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0FA8E5B" w14:textId="77777777" w:rsidR="0096250E" w:rsidRDefault="0096250E"/>
    <w:p w14:paraId="17340710" w14:textId="77777777" w:rsidR="0096250E" w:rsidRDefault="0096250E"/>
    <w:p w14:paraId="76A059EE" w14:textId="77777777" w:rsidR="00CE1FAD" w:rsidRDefault="00CE1FAD">
      <w:pPr>
        <w:rPr>
          <w:sz w:val="44"/>
          <w:szCs w:val="44"/>
          <w:lang w:val="en-US"/>
        </w:rPr>
      </w:pPr>
    </w:p>
    <w:p w14:paraId="225D267D" w14:textId="77777777" w:rsidR="00CE1FAD" w:rsidRDefault="00CE1FAD">
      <w:pPr>
        <w:rPr>
          <w:sz w:val="44"/>
          <w:szCs w:val="44"/>
          <w:lang w:val="en-US"/>
        </w:rPr>
      </w:pPr>
    </w:p>
    <w:p w14:paraId="3D0CEBE2" w14:textId="77777777" w:rsidR="00CE1FAD" w:rsidRDefault="00CE1FAD">
      <w:pPr>
        <w:rPr>
          <w:sz w:val="44"/>
          <w:szCs w:val="44"/>
          <w:lang w:val="en-US"/>
        </w:rPr>
      </w:pPr>
    </w:p>
    <w:p w14:paraId="39E2771C" w14:textId="77777777" w:rsidR="00CE1FAD" w:rsidRDefault="00CE1FAD">
      <w:pPr>
        <w:rPr>
          <w:sz w:val="44"/>
          <w:szCs w:val="44"/>
          <w:lang w:val="en-US"/>
        </w:rPr>
      </w:pPr>
    </w:p>
    <w:p w14:paraId="32E8F007" w14:textId="77777777" w:rsidR="00CE1FAD" w:rsidRDefault="00CE1FAD">
      <w:pPr>
        <w:rPr>
          <w:sz w:val="44"/>
          <w:szCs w:val="44"/>
          <w:lang w:val="en-US"/>
        </w:rPr>
      </w:pPr>
    </w:p>
    <w:p w14:paraId="34ADF047" w14:textId="57214597" w:rsidR="007118FA" w:rsidRPr="007118FA" w:rsidRDefault="007118FA">
      <w:pPr>
        <w:rPr>
          <w:color w:val="002060"/>
          <w:sz w:val="44"/>
          <w:szCs w:val="44"/>
          <w:lang w:val="en-US"/>
        </w:rPr>
      </w:pPr>
      <w:r>
        <w:rPr>
          <w:noProof/>
          <w:color w:val="002060"/>
          <w:sz w:val="44"/>
          <w:szCs w:val="44"/>
          <w:lang w:val="en-US"/>
        </w:rPr>
        <mc:AlternateContent>
          <mc:Choice Requires="wps">
            <w:drawing>
              <wp:anchor distT="0" distB="0" distL="114300" distR="114300" simplePos="0" relativeHeight="251668480" behindDoc="0" locked="0" layoutInCell="1" allowOverlap="1" wp14:anchorId="246D9ED2" wp14:editId="26A4FF2A">
                <wp:simplePos x="0" y="0"/>
                <wp:positionH relativeFrom="column">
                  <wp:posOffset>25400</wp:posOffset>
                </wp:positionH>
                <wp:positionV relativeFrom="paragraph">
                  <wp:posOffset>392017</wp:posOffset>
                </wp:positionV>
                <wp:extent cx="3910988" cy="0"/>
                <wp:effectExtent l="0" t="0" r="0" b="0"/>
                <wp:wrapNone/>
                <wp:docPr id="43" name="Rechte verbindingslijn 43"/>
                <wp:cNvGraphicFramePr/>
                <a:graphic xmlns:a="http://schemas.openxmlformats.org/drawingml/2006/main">
                  <a:graphicData uri="http://schemas.microsoft.com/office/word/2010/wordprocessingShape">
                    <wps:wsp>
                      <wps:cNvCnPr/>
                      <wps:spPr>
                        <a:xfrm flipV="1">
                          <a:off x="0" y="0"/>
                          <a:ext cx="3910988" cy="0"/>
                        </a:xfrm>
                        <a:prstGeom prst="line">
                          <a:avLst/>
                        </a:prstGeom>
                        <a:ln>
                          <a:solidFill>
                            <a:schemeClr val="bg2">
                              <a:lumMod val="9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1CF648B4" id="Rechte verbindingslijn 43" o:spid="_x0000_s1026" style="position:absolute;flip:y;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pt,30.85pt" to="309.95pt,3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" strokecolor="#cfcdcd [2894]" strokeweight=".5pt">
                <v:stroke joinstyle="miter"/>
              </v:line>
            </w:pict>
          </mc:Fallback>
        </mc:AlternateContent>
      </w:r>
      <w:r w:rsidR="00A6302C" w:rsidRPr="007118FA">
        <w:rPr>
          <w:color w:val="002060"/>
          <w:sz w:val="44"/>
          <w:szCs w:val="44"/>
          <w:lang w:val="en-US"/>
        </w:rPr>
        <w:t>Reluctant Europhiles</w:t>
      </w:r>
    </w:p>
    <w:p w14:paraId="22F699F8" w14:textId="46101CBC" w:rsidR="005E6EE2" w:rsidRPr="007118FA" w:rsidRDefault="000E65C1">
      <w:pPr>
        <w:rPr>
          <w:color w:val="0070C0"/>
          <w:lang w:val="en-US"/>
        </w:rPr>
      </w:pPr>
      <w:r w:rsidRPr="007118FA">
        <w:rPr>
          <w:color w:val="0070C0"/>
          <w:sz w:val="32"/>
          <w:szCs w:val="32"/>
          <w:lang w:val="en-US"/>
        </w:rPr>
        <w:t>Bureaucra</w:t>
      </w:r>
      <w:r w:rsidR="00FE4DEA" w:rsidRPr="007118FA">
        <w:rPr>
          <w:color w:val="0070C0"/>
          <w:sz w:val="32"/>
          <w:szCs w:val="32"/>
          <w:lang w:val="en-US"/>
        </w:rPr>
        <w:t xml:space="preserve">cy </w:t>
      </w:r>
      <w:r w:rsidRPr="007118FA">
        <w:rPr>
          <w:color w:val="0070C0"/>
          <w:sz w:val="32"/>
          <w:szCs w:val="32"/>
          <w:lang w:val="en-US"/>
        </w:rPr>
        <w:t>and the Balkenende II</w:t>
      </w:r>
      <w:r w:rsidR="00E03FEB" w:rsidRPr="007118FA">
        <w:rPr>
          <w:color w:val="0070C0"/>
          <w:sz w:val="32"/>
          <w:szCs w:val="32"/>
          <w:lang w:val="en-US"/>
        </w:rPr>
        <w:t xml:space="preserve"> </w:t>
      </w:r>
      <w:r w:rsidR="00FE4DEA" w:rsidRPr="007118FA">
        <w:rPr>
          <w:color w:val="0070C0"/>
          <w:sz w:val="32"/>
          <w:szCs w:val="32"/>
          <w:lang w:val="en-US"/>
        </w:rPr>
        <w:t>administration’s</w:t>
      </w:r>
      <w:r w:rsidRPr="007118FA">
        <w:rPr>
          <w:color w:val="0070C0"/>
          <w:sz w:val="32"/>
          <w:szCs w:val="32"/>
          <w:lang w:val="en-US"/>
        </w:rPr>
        <w:t xml:space="preserve"> campaign in favor of the European </w:t>
      </w:r>
      <w:r w:rsidR="001944AC" w:rsidRPr="007118FA">
        <w:rPr>
          <w:color w:val="0070C0"/>
          <w:sz w:val="32"/>
          <w:szCs w:val="32"/>
          <w:lang w:val="en-US"/>
        </w:rPr>
        <w:t>Constitution</w:t>
      </w:r>
    </w:p>
    <w:p w14:paraId="0EF701D0" w14:textId="57C81511" w:rsidR="005E6EE2" w:rsidRDefault="005E6EE2">
      <w:pPr>
        <w:rPr>
          <w:lang w:val="en-US"/>
        </w:rPr>
      </w:pPr>
    </w:p>
    <w:p w14:paraId="6448E7E7" w14:textId="77777777" w:rsidR="00497ECA" w:rsidRPr="00497ECA" w:rsidRDefault="00497ECA" w:rsidP="00497ECA">
      <w:pPr>
        <w:spacing w:after="0"/>
        <w:rPr>
          <w:i/>
          <w:iCs/>
          <w:lang w:val="en-US"/>
        </w:rPr>
      </w:pPr>
      <w:r w:rsidRPr="00497ECA">
        <w:rPr>
          <w:i/>
          <w:iCs/>
          <w:lang w:val="en-US"/>
        </w:rPr>
        <w:t>Thesis Submitted in Partial Fulfillment of the Requirements for the Degree of Master in Political Science (MSc)</w:t>
      </w:r>
    </w:p>
    <w:p w14:paraId="31DD2031" w14:textId="0B28CAAD" w:rsidR="002910ED" w:rsidRDefault="002910ED">
      <w:pPr>
        <w:rPr>
          <w:lang w:val="en-US"/>
        </w:rPr>
      </w:pPr>
    </w:p>
    <w:p w14:paraId="36F3FE47" w14:textId="496EC2CF" w:rsidR="002910ED" w:rsidRDefault="002910ED">
      <w:pPr>
        <w:rPr>
          <w:lang w:val="en-US"/>
        </w:rPr>
      </w:pPr>
    </w:p>
    <w:p w14:paraId="393450F2" w14:textId="27123446" w:rsidR="002910ED" w:rsidRDefault="002910ED">
      <w:pPr>
        <w:rPr>
          <w:lang w:val="en-US"/>
        </w:rPr>
      </w:pPr>
    </w:p>
    <w:p w14:paraId="417AE8F2" w14:textId="23475B44" w:rsidR="002910ED" w:rsidRDefault="002910ED">
      <w:pPr>
        <w:rPr>
          <w:lang w:val="en-US"/>
        </w:rPr>
      </w:pPr>
    </w:p>
    <w:p w14:paraId="42998C7E" w14:textId="15D9CCDB" w:rsidR="005E6EE2" w:rsidRDefault="00CE1FAD" w:rsidP="002910ED">
      <w:pPr>
        <w:spacing w:after="0"/>
        <w:rPr>
          <w:lang w:val="en-US"/>
        </w:rPr>
      </w:pPr>
      <w:r>
        <w:rPr>
          <w:lang w:val="en-US"/>
        </w:rPr>
        <w:t>Syl</w:t>
      </w:r>
      <w:r w:rsidR="005E6EE2" w:rsidRPr="005E6EE2">
        <w:rPr>
          <w:lang w:val="en-US"/>
        </w:rPr>
        <w:t>vie Verhoef (s4618653)</w:t>
      </w:r>
    </w:p>
    <w:p w14:paraId="1F1D2F51" w14:textId="4601F796" w:rsidR="005E6EE2" w:rsidRDefault="005E6EE2" w:rsidP="002910ED">
      <w:pPr>
        <w:spacing w:after="0"/>
        <w:rPr>
          <w:lang w:val="en-US"/>
        </w:rPr>
      </w:pPr>
      <w:r>
        <w:rPr>
          <w:lang w:val="en-US"/>
        </w:rPr>
        <w:t>Specialization International Relations</w:t>
      </w:r>
    </w:p>
    <w:p w14:paraId="14E08E73" w14:textId="6A837395" w:rsidR="005E6EE2" w:rsidRPr="009542A6" w:rsidRDefault="005E6EE2" w:rsidP="002910ED">
      <w:pPr>
        <w:spacing w:after="0"/>
      </w:pPr>
      <w:r>
        <w:rPr>
          <w:lang w:val="en-US"/>
        </w:rPr>
        <w:t xml:space="preserve">Supervisor: Prof. dr. </w:t>
      </w:r>
      <w:r w:rsidRPr="009542A6">
        <w:t>J. A. Verbeek</w:t>
      </w:r>
    </w:p>
    <w:p w14:paraId="07741A58" w14:textId="77777777" w:rsidR="005E6EE2" w:rsidRPr="009542A6" w:rsidRDefault="005E6EE2" w:rsidP="002910ED">
      <w:pPr>
        <w:spacing w:after="0"/>
      </w:pPr>
      <w:r w:rsidRPr="009542A6">
        <w:t>Nijmegen School of Management</w:t>
      </w:r>
    </w:p>
    <w:p w14:paraId="113A4583" w14:textId="77777777" w:rsidR="005E6EE2" w:rsidRDefault="005E6EE2" w:rsidP="002910ED">
      <w:pPr>
        <w:spacing w:after="0"/>
        <w:rPr>
          <w:lang w:val="en-US"/>
        </w:rPr>
      </w:pPr>
      <w:r>
        <w:rPr>
          <w:lang w:val="en-US"/>
        </w:rPr>
        <w:t>Radboud University, Nijmegen, The Netherlands</w:t>
      </w:r>
    </w:p>
    <w:p w14:paraId="30A03749" w14:textId="29B7F385" w:rsidR="00B8231D" w:rsidRDefault="002910ED" w:rsidP="002910ED">
      <w:pPr>
        <w:spacing w:after="0"/>
        <w:rPr>
          <w:lang w:val="en-US"/>
        </w:rPr>
      </w:pPr>
      <w:r>
        <w:rPr>
          <w:lang w:val="en-US"/>
        </w:rPr>
        <w:t>21</w:t>
      </w:r>
      <w:r w:rsidR="00B8231D">
        <w:rPr>
          <w:lang w:val="en-US"/>
        </w:rPr>
        <w:t>-08-2020</w:t>
      </w:r>
    </w:p>
    <w:p w14:paraId="4B6DCA0E" w14:textId="79BF5D9E" w:rsidR="0096250E" w:rsidRDefault="00272ED2" w:rsidP="002910ED">
      <w:pPr>
        <w:spacing w:after="0"/>
        <w:rPr>
          <w:lang w:val="en-US"/>
        </w:rPr>
      </w:pPr>
      <w:r>
        <w:rPr>
          <w:lang w:val="en-US"/>
        </w:rPr>
        <w:t>23,814 words</w:t>
      </w:r>
      <w:r w:rsidR="0096250E" w:rsidRPr="005E6EE2">
        <w:rPr>
          <w:lang w:val="en-US"/>
        </w:rPr>
        <w:br w:type="page"/>
      </w:r>
    </w:p>
    <w:p w14:paraId="01F2EF5B" w14:textId="28A1E074" w:rsidR="00B97C24" w:rsidRDefault="00B97C24">
      <w:pPr>
        <w:rPr>
          <w:rFonts w:asciiTheme="majorHAnsi" w:eastAsiaTheme="majorEastAsia" w:hAnsiTheme="majorHAnsi" w:cstheme="majorBidi"/>
          <w:sz w:val="32"/>
          <w:szCs w:val="32"/>
          <w:lang w:val="en-US"/>
        </w:rPr>
      </w:pPr>
      <w:r w:rsidRPr="005B6813">
        <w:rPr>
          <w:rFonts w:asciiTheme="majorHAnsi" w:eastAsiaTheme="majorEastAsia" w:hAnsiTheme="majorHAnsi" w:cstheme="majorBidi"/>
          <w:sz w:val="32"/>
          <w:szCs w:val="32"/>
          <w:lang w:val="en-US"/>
        </w:rPr>
        <w:lastRenderedPageBreak/>
        <w:t>Abstract</w:t>
      </w:r>
    </w:p>
    <w:p w14:paraId="318EDCA3" w14:textId="1EBA102C" w:rsidR="007F5D8F" w:rsidRPr="006B4233" w:rsidRDefault="002C6CE4" w:rsidP="00D82AA1">
      <w:pPr>
        <w:jc w:val="both"/>
        <w:rPr>
          <w:lang w:val="en-US"/>
        </w:rPr>
      </w:pPr>
      <w:r w:rsidRPr="006B4233">
        <w:rPr>
          <w:lang w:val="en-US"/>
        </w:rPr>
        <w:t>In 2005, the Dutch electorate rejecte</w:t>
      </w:r>
      <w:r w:rsidR="00B67DFC" w:rsidRPr="006B4233">
        <w:rPr>
          <w:lang w:val="en-US"/>
        </w:rPr>
        <w:t xml:space="preserve">d the European Constitution by referendum. </w:t>
      </w:r>
      <w:r w:rsidR="0094059F" w:rsidRPr="006B4233">
        <w:rPr>
          <w:lang w:val="en-US"/>
        </w:rPr>
        <w:t>The Balkenende II-administration had already signed the treaty, and had an interest in its ratification. However,</w:t>
      </w:r>
      <w:r w:rsidR="009140CD" w:rsidRPr="006B4233">
        <w:rPr>
          <w:lang w:val="en-US"/>
        </w:rPr>
        <w:t xml:space="preserve"> p</w:t>
      </w:r>
      <w:r w:rsidR="00FF7A2B" w:rsidRPr="006B4233">
        <w:rPr>
          <w:lang w:val="en-US"/>
        </w:rPr>
        <w:t>ublic support indicated by early polls</w:t>
      </w:r>
      <w:r w:rsidR="009140CD" w:rsidRPr="006B4233">
        <w:rPr>
          <w:lang w:val="en-US"/>
        </w:rPr>
        <w:t xml:space="preserve"> slipped away as its campaign commenced</w:t>
      </w:r>
      <w:r w:rsidR="00CA6173" w:rsidRPr="006B4233">
        <w:rPr>
          <w:lang w:val="en-US"/>
        </w:rPr>
        <w:t xml:space="preserve">. </w:t>
      </w:r>
      <w:r w:rsidR="00366727" w:rsidRPr="006B4233">
        <w:rPr>
          <w:lang w:val="en-US"/>
        </w:rPr>
        <w:t>The government’s campaign attracted negative attention, with some believing that it contributed to the negative referendum-outcome. T</w:t>
      </w:r>
      <w:r w:rsidR="007F5D8F" w:rsidRPr="006B4233">
        <w:rPr>
          <w:lang w:val="en-US"/>
        </w:rPr>
        <w:t>o explain how this sub-optimal strategy came to be, this study</w:t>
      </w:r>
      <w:r w:rsidR="006515AC" w:rsidRPr="006B4233">
        <w:rPr>
          <w:lang w:val="en-US"/>
        </w:rPr>
        <w:t xml:space="preserve"> combines theoretical insights on bureaucratic politics, organizational culture, and cognition. </w:t>
      </w:r>
      <w:r w:rsidR="004D4692" w:rsidRPr="006B4233">
        <w:rPr>
          <w:lang w:val="en-US"/>
        </w:rPr>
        <w:t xml:space="preserve">Looking at the Taskforce established within the Ministry of Foreign Affairs and the Political Control Group leading the campaign, </w:t>
      </w:r>
      <w:r w:rsidR="00230C49" w:rsidRPr="006B4233">
        <w:rPr>
          <w:lang w:val="en-US"/>
        </w:rPr>
        <w:t>the study</w:t>
      </w:r>
      <w:r w:rsidR="008A092D" w:rsidRPr="006B4233">
        <w:rPr>
          <w:lang w:val="en-US"/>
        </w:rPr>
        <w:t xml:space="preserve">’s findings support that bureaucratic roles, </w:t>
      </w:r>
      <w:r w:rsidR="00AC7196" w:rsidRPr="006B4233">
        <w:rPr>
          <w:lang w:val="en-US"/>
        </w:rPr>
        <w:t xml:space="preserve">procedural scripts, and cultural rationales were present in the decision-making process </w:t>
      </w:r>
      <w:r w:rsidR="006B4233" w:rsidRPr="006B4233">
        <w:rPr>
          <w:lang w:val="en-US"/>
        </w:rPr>
        <w:t xml:space="preserve">between November 2004 and June 1st 2005, </w:t>
      </w:r>
      <w:r w:rsidR="00AC7196" w:rsidRPr="006B4233">
        <w:rPr>
          <w:lang w:val="en-US"/>
        </w:rPr>
        <w:t xml:space="preserve">and </w:t>
      </w:r>
      <w:r w:rsidR="006B4233" w:rsidRPr="006B4233">
        <w:rPr>
          <w:lang w:val="en-US"/>
        </w:rPr>
        <w:t xml:space="preserve">subsequently </w:t>
      </w:r>
      <w:r w:rsidR="00203FD3" w:rsidRPr="006B4233">
        <w:rPr>
          <w:lang w:val="en-US"/>
        </w:rPr>
        <w:t>led to defective decision-making.</w:t>
      </w:r>
    </w:p>
    <w:p w14:paraId="738E6B87" w14:textId="77777777" w:rsidR="009F4F48" w:rsidRPr="000269B8" w:rsidRDefault="009F4F48">
      <w:pPr>
        <w:rPr>
          <w:color w:val="FF0000"/>
          <w:lang w:val="en-US"/>
        </w:rPr>
      </w:pPr>
      <w:r w:rsidRPr="000269B8">
        <w:rPr>
          <w:color w:val="FF0000"/>
          <w:lang w:val="en-US"/>
        </w:rPr>
        <w:br w:type="page"/>
      </w:r>
    </w:p>
    <w:p w14:paraId="5D47E2AD" w14:textId="6D871DC8" w:rsidR="00B97C24" w:rsidRPr="005B6813" w:rsidRDefault="00B97C24">
      <w:pPr>
        <w:rPr>
          <w:rFonts w:asciiTheme="majorHAnsi" w:eastAsiaTheme="majorEastAsia" w:hAnsiTheme="majorHAnsi" w:cstheme="majorBidi"/>
          <w:sz w:val="32"/>
          <w:szCs w:val="32"/>
          <w:lang w:val="en-US"/>
        </w:rPr>
      </w:pPr>
      <w:r w:rsidRPr="005B6813">
        <w:rPr>
          <w:rFonts w:asciiTheme="majorHAnsi" w:eastAsiaTheme="majorEastAsia" w:hAnsiTheme="majorHAnsi" w:cstheme="majorBidi"/>
          <w:sz w:val="32"/>
          <w:szCs w:val="32"/>
          <w:lang w:val="en-US"/>
        </w:rPr>
        <w:lastRenderedPageBreak/>
        <w:t>Acknowledgements</w:t>
      </w:r>
    </w:p>
    <w:p w14:paraId="0AAE8337" w14:textId="5E1DC388" w:rsidR="00186EA9" w:rsidRDefault="00186EA9" w:rsidP="005275E1">
      <w:pPr>
        <w:jc w:val="both"/>
        <w:rPr>
          <w:lang w:val="en-US"/>
        </w:rPr>
      </w:pPr>
      <w:r>
        <w:rPr>
          <w:lang w:val="en-US"/>
        </w:rPr>
        <w:t xml:space="preserve">A word of thanks goes out to all </w:t>
      </w:r>
      <w:r w:rsidR="00862F7B">
        <w:rPr>
          <w:lang w:val="en-US"/>
        </w:rPr>
        <w:t xml:space="preserve">of those kind enough to take time out of their day to answer my questions. </w:t>
      </w:r>
      <w:r w:rsidR="00250062">
        <w:rPr>
          <w:lang w:val="en-US"/>
        </w:rPr>
        <w:t xml:space="preserve">I would like to extend my gratitude to the interviewees, those who served as intermediaries </w:t>
      </w:r>
      <w:r w:rsidR="005275E1">
        <w:rPr>
          <w:lang w:val="en-US"/>
        </w:rPr>
        <w:t>in contacting potential interviewees, and those who brainstormed with me</w:t>
      </w:r>
      <w:r w:rsidR="00AB4EAF">
        <w:rPr>
          <w:lang w:val="en-US"/>
        </w:rPr>
        <w:t xml:space="preserve"> on the approach of my thesis and interviews. </w:t>
      </w:r>
    </w:p>
    <w:p w14:paraId="634CB81B" w14:textId="2D98034E" w:rsidR="00B97C24" w:rsidRPr="005E6EE2" w:rsidRDefault="00B97C24">
      <w:pPr>
        <w:rPr>
          <w:lang w:val="en-US"/>
        </w:rPr>
      </w:pPr>
      <w:r>
        <w:rPr>
          <w:lang w:val="en-US"/>
        </w:rPr>
        <w:br w:type="page"/>
      </w:r>
    </w:p>
    <w:sdt>
      <w:sdtPr>
        <w:rPr>
          <w:rFonts w:asciiTheme="minorHAnsi" w:eastAsiaTheme="minorHAnsi" w:hAnsiTheme="minorHAnsi" w:cstheme="minorBidi"/>
          <w:color w:val="auto"/>
          <w:sz w:val="22"/>
          <w:szCs w:val="22"/>
          <w:lang w:val="nl-NL"/>
        </w:rPr>
        <w:id w:val="824708532"/>
        <w:docPartObj>
          <w:docPartGallery w:val="Table of Contents"/>
          <w:docPartUnique/>
        </w:docPartObj>
      </w:sdtPr>
      <w:sdtEndPr>
        <w:rPr>
          <w:b/>
          <w:bCs/>
          <w:noProof/>
        </w:rPr>
      </w:sdtEndPr>
      <w:sdtContent>
        <w:p w14:paraId="4DED5A2B" w14:textId="77777777" w:rsidR="0037038F" w:rsidRPr="00143DE8" w:rsidRDefault="0037038F">
          <w:pPr>
            <w:pStyle w:val="Kopvaninhoudsopgave"/>
            <w:rPr>
              <w:color w:val="auto"/>
            </w:rPr>
          </w:pPr>
          <w:r w:rsidRPr="00143DE8">
            <w:rPr>
              <w:color w:val="auto"/>
            </w:rPr>
            <w:t>Contents</w:t>
          </w:r>
        </w:p>
        <w:p w14:paraId="0E1A8954" w14:textId="494C6BED" w:rsidR="001732A1" w:rsidRDefault="0037038F" w:rsidP="001732A1">
          <w:pPr>
            <w:pStyle w:val="Inhopg1"/>
            <w:rPr>
              <w:rFonts w:eastAsiaTheme="minorEastAsia"/>
              <w:lang w:eastAsia="nl-NL"/>
            </w:rPr>
          </w:pPr>
          <w:r>
            <w:rPr>
              <w:noProof w:val="0"/>
            </w:rPr>
            <w:fldChar w:fldCharType="begin"/>
          </w:r>
          <w:r>
            <w:instrText xml:space="preserve"> TOC \o "1-3" \h \z \u </w:instrText>
          </w:r>
          <w:r>
            <w:rPr>
              <w:noProof w:val="0"/>
            </w:rPr>
            <w:fldChar w:fldCharType="separate"/>
          </w:r>
          <w:hyperlink w:anchor="_Toc48891275" w:history="1">
            <w:r w:rsidR="001732A1" w:rsidRPr="001732A1">
              <w:rPr>
                <w:rStyle w:val="Hyperlink"/>
              </w:rPr>
              <w:t>1. Introduction</w:t>
            </w:r>
            <w:r w:rsidR="001732A1">
              <w:rPr>
                <w:webHidden/>
              </w:rPr>
              <w:tab/>
            </w:r>
            <w:r w:rsidR="001732A1">
              <w:rPr>
                <w:webHidden/>
              </w:rPr>
              <w:fldChar w:fldCharType="begin"/>
            </w:r>
            <w:r w:rsidR="001732A1">
              <w:rPr>
                <w:webHidden/>
              </w:rPr>
              <w:instrText xml:space="preserve"> PAGEREF _Toc48891275 \h </w:instrText>
            </w:r>
            <w:r w:rsidR="001732A1">
              <w:rPr>
                <w:webHidden/>
              </w:rPr>
            </w:r>
            <w:r w:rsidR="001732A1">
              <w:rPr>
                <w:webHidden/>
              </w:rPr>
              <w:fldChar w:fldCharType="separate"/>
            </w:r>
            <w:r w:rsidR="001732A1">
              <w:rPr>
                <w:webHidden/>
              </w:rPr>
              <w:t>1</w:t>
            </w:r>
            <w:r w:rsidR="001732A1">
              <w:rPr>
                <w:webHidden/>
              </w:rPr>
              <w:fldChar w:fldCharType="end"/>
            </w:r>
          </w:hyperlink>
        </w:p>
        <w:p w14:paraId="2B1311B1" w14:textId="2DA6E937" w:rsidR="001732A1" w:rsidRDefault="00550166">
          <w:pPr>
            <w:pStyle w:val="Inhopg2"/>
            <w:tabs>
              <w:tab w:val="right" w:leader="dot" w:pos="9062"/>
            </w:tabs>
            <w:rPr>
              <w:rFonts w:eastAsiaTheme="minorEastAsia"/>
              <w:noProof/>
              <w:lang w:eastAsia="nl-NL"/>
            </w:rPr>
          </w:pPr>
          <w:hyperlink w:anchor="_Toc48891276" w:history="1">
            <w:r w:rsidR="001732A1" w:rsidRPr="000435D1">
              <w:rPr>
                <w:rStyle w:val="Hyperlink"/>
                <w:noProof/>
                <w:lang w:val="en-US"/>
              </w:rPr>
              <w:t>1.1 Scientific puzzle</w:t>
            </w:r>
            <w:r w:rsidR="001732A1">
              <w:rPr>
                <w:noProof/>
                <w:webHidden/>
              </w:rPr>
              <w:tab/>
            </w:r>
            <w:r w:rsidR="001732A1">
              <w:rPr>
                <w:noProof/>
                <w:webHidden/>
              </w:rPr>
              <w:fldChar w:fldCharType="begin"/>
            </w:r>
            <w:r w:rsidR="001732A1">
              <w:rPr>
                <w:noProof/>
                <w:webHidden/>
              </w:rPr>
              <w:instrText xml:space="preserve"> PAGEREF _Toc48891276 \h </w:instrText>
            </w:r>
            <w:r w:rsidR="001732A1">
              <w:rPr>
                <w:noProof/>
                <w:webHidden/>
              </w:rPr>
            </w:r>
            <w:r w:rsidR="001732A1">
              <w:rPr>
                <w:noProof/>
                <w:webHidden/>
              </w:rPr>
              <w:fldChar w:fldCharType="separate"/>
            </w:r>
            <w:r w:rsidR="001732A1">
              <w:rPr>
                <w:noProof/>
                <w:webHidden/>
              </w:rPr>
              <w:t>1</w:t>
            </w:r>
            <w:r w:rsidR="001732A1">
              <w:rPr>
                <w:noProof/>
                <w:webHidden/>
              </w:rPr>
              <w:fldChar w:fldCharType="end"/>
            </w:r>
          </w:hyperlink>
        </w:p>
        <w:p w14:paraId="159A734B" w14:textId="070C0EA0" w:rsidR="001732A1" w:rsidRDefault="00550166">
          <w:pPr>
            <w:pStyle w:val="Inhopg2"/>
            <w:tabs>
              <w:tab w:val="right" w:leader="dot" w:pos="9062"/>
            </w:tabs>
            <w:rPr>
              <w:rFonts w:eastAsiaTheme="minorEastAsia"/>
              <w:noProof/>
              <w:lang w:eastAsia="nl-NL"/>
            </w:rPr>
          </w:pPr>
          <w:hyperlink w:anchor="_Toc48891277" w:history="1">
            <w:r w:rsidR="001732A1" w:rsidRPr="000435D1">
              <w:rPr>
                <w:rStyle w:val="Hyperlink"/>
                <w:noProof/>
                <w:lang w:val="en-US"/>
              </w:rPr>
              <w:t>1.2 The unit of analysis: governmental campaign</w:t>
            </w:r>
            <w:r w:rsidR="001732A1">
              <w:rPr>
                <w:noProof/>
                <w:webHidden/>
              </w:rPr>
              <w:tab/>
            </w:r>
            <w:r w:rsidR="001732A1">
              <w:rPr>
                <w:noProof/>
                <w:webHidden/>
              </w:rPr>
              <w:fldChar w:fldCharType="begin"/>
            </w:r>
            <w:r w:rsidR="001732A1">
              <w:rPr>
                <w:noProof/>
                <w:webHidden/>
              </w:rPr>
              <w:instrText xml:space="preserve"> PAGEREF _Toc48891277 \h </w:instrText>
            </w:r>
            <w:r w:rsidR="001732A1">
              <w:rPr>
                <w:noProof/>
                <w:webHidden/>
              </w:rPr>
            </w:r>
            <w:r w:rsidR="001732A1">
              <w:rPr>
                <w:noProof/>
                <w:webHidden/>
              </w:rPr>
              <w:fldChar w:fldCharType="separate"/>
            </w:r>
            <w:r w:rsidR="001732A1">
              <w:rPr>
                <w:noProof/>
                <w:webHidden/>
              </w:rPr>
              <w:t>2</w:t>
            </w:r>
            <w:r w:rsidR="001732A1">
              <w:rPr>
                <w:noProof/>
                <w:webHidden/>
              </w:rPr>
              <w:fldChar w:fldCharType="end"/>
            </w:r>
          </w:hyperlink>
        </w:p>
        <w:p w14:paraId="6145BC5E" w14:textId="6BF119F9" w:rsidR="001732A1" w:rsidRDefault="00550166">
          <w:pPr>
            <w:pStyle w:val="Inhopg2"/>
            <w:tabs>
              <w:tab w:val="right" w:leader="dot" w:pos="9062"/>
            </w:tabs>
            <w:rPr>
              <w:rFonts w:eastAsiaTheme="minorEastAsia"/>
              <w:noProof/>
              <w:lang w:eastAsia="nl-NL"/>
            </w:rPr>
          </w:pPr>
          <w:hyperlink w:anchor="_Toc48891278" w:history="1">
            <w:r w:rsidR="001732A1" w:rsidRPr="000435D1">
              <w:rPr>
                <w:rStyle w:val="Hyperlink"/>
                <w:noProof/>
                <w:lang w:val="en-US"/>
              </w:rPr>
              <w:t>1.3 Theoretical approach: bureaucratic politics</w:t>
            </w:r>
            <w:r w:rsidR="001732A1">
              <w:rPr>
                <w:noProof/>
                <w:webHidden/>
              </w:rPr>
              <w:tab/>
            </w:r>
            <w:r w:rsidR="001732A1">
              <w:rPr>
                <w:noProof/>
                <w:webHidden/>
              </w:rPr>
              <w:fldChar w:fldCharType="begin"/>
            </w:r>
            <w:r w:rsidR="001732A1">
              <w:rPr>
                <w:noProof/>
                <w:webHidden/>
              </w:rPr>
              <w:instrText xml:space="preserve"> PAGEREF _Toc48891278 \h </w:instrText>
            </w:r>
            <w:r w:rsidR="001732A1">
              <w:rPr>
                <w:noProof/>
                <w:webHidden/>
              </w:rPr>
            </w:r>
            <w:r w:rsidR="001732A1">
              <w:rPr>
                <w:noProof/>
                <w:webHidden/>
              </w:rPr>
              <w:fldChar w:fldCharType="separate"/>
            </w:r>
            <w:r w:rsidR="001732A1">
              <w:rPr>
                <w:noProof/>
                <w:webHidden/>
              </w:rPr>
              <w:t>3</w:t>
            </w:r>
            <w:r w:rsidR="001732A1">
              <w:rPr>
                <w:noProof/>
                <w:webHidden/>
              </w:rPr>
              <w:fldChar w:fldCharType="end"/>
            </w:r>
          </w:hyperlink>
        </w:p>
        <w:p w14:paraId="4B583DDC" w14:textId="76AD63DD" w:rsidR="001732A1" w:rsidRDefault="00550166">
          <w:pPr>
            <w:pStyle w:val="Inhopg2"/>
            <w:tabs>
              <w:tab w:val="right" w:leader="dot" w:pos="9062"/>
            </w:tabs>
            <w:rPr>
              <w:rFonts w:eastAsiaTheme="minorEastAsia"/>
              <w:noProof/>
              <w:lang w:eastAsia="nl-NL"/>
            </w:rPr>
          </w:pPr>
          <w:hyperlink w:anchor="_Toc48891279" w:history="1">
            <w:r w:rsidR="001732A1" w:rsidRPr="000435D1">
              <w:rPr>
                <w:rStyle w:val="Hyperlink"/>
                <w:noProof/>
                <w:lang w:val="en-US"/>
              </w:rPr>
              <w:t>1.4 Societal relevance</w:t>
            </w:r>
            <w:r w:rsidR="001732A1">
              <w:rPr>
                <w:noProof/>
                <w:webHidden/>
              </w:rPr>
              <w:tab/>
            </w:r>
            <w:r w:rsidR="001732A1">
              <w:rPr>
                <w:noProof/>
                <w:webHidden/>
              </w:rPr>
              <w:fldChar w:fldCharType="begin"/>
            </w:r>
            <w:r w:rsidR="001732A1">
              <w:rPr>
                <w:noProof/>
                <w:webHidden/>
              </w:rPr>
              <w:instrText xml:space="preserve"> PAGEREF _Toc48891279 \h </w:instrText>
            </w:r>
            <w:r w:rsidR="001732A1">
              <w:rPr>
                <w:noProof/>
                <w:webHidden/>
              </w:rPr>
            </w:r>
            <w:r w:rsidR="001732A1">
              <w:rPr>
                <w:noProof/>
                <w:webHidden/>
              </w:rPr>
              <w:fldChar w:fldCharType="separate"/>
            </w:r>
            <w:r w:rsidR="001732A1">
              <w:rPr>
                <w:noProof/>
                <w:webHidden/>
              </w:rPr>
              <w:t>4</w:t>
            </w:r>
            <w:r w:rsidR="001732A1">
              <w:rPr>
                <w:noProof/>
                <w:webHidden/>
              </w:rPr>
              <w:fldChar w:fldCharType="end"/>
            </w:r>
          </w:hyperlink>
        </w:p>
        <w:p w14:paraId="134A075A" w14:textId="65A1063D" w:rsidR="001732A1" w:rsidRDefault="00550166">
          <w:pPr>
            <w:pStyle w:val="Inhopg2"/>
            <w:tabs>
              <w:tab w:val="right" w:leader="dot" w:pos="9062"/>
            </w:tabs>
            <w:rPr>
              <w:rFonts w:eastAsiaTheme="minorEastAsia"/>
              <w:noProof/>
              <w:lang w:eastAsia="nl-NL"/>
            </w:rPr>
          </w:pPr>
          <w:hyperlink w:anchor="_Toc48891280" w:history="1">
            <w:r w:rsidR="001732A1" w:rsidRPr="000435D1">
              <w:rPr>
                <w:rStyle w:val="Hyperlink"/>
                <w:noProof/>
                <w:lang w:val="en-US"/>
              </w:rPr>
              <w:t>1.5 Scientific relevance</w:t>
            </w:r>
            <w:r w:rsidR="001732A1">
              <w:rPr>
                <w:noProof/>
                <w:webHidden/>
              </w:rPr>
              <w:tab/>
            </w:r>
            <w:r w:rsidR="001732A1">
              <w:rPr>
                <w:noProof/>
                <w:webHidden/>
              </w:rPr>
              <w:fldChar w:fldCharType="begin"/>
            </w:r>
            <w:r w:rsidR="001732A1">
              <w:rPr>
                <w:noProof/>
                <w:webHidden/>
              </w:rPr>
              <w:instrText xml:space="preserve"> PAGEREF _Toc48891280 \h </w:instrText>
            </w:r>
            <w:r w:rsidR="001732A1">
              <w:rPr>
                <w:noProof/>
                <w:webHidden/>
              </w:rPr>
            </w:r>
            <w:r w:rsidR="001732A1">
              <w:rPr>
                <w:noProof/>
                <w:webHidden/>
              </w:rPr>
              <w:fldChar w:fldCharType="separate"/>
            </w:r>
            <w:r w:rsidR="001732A1">
              <w:rPr>
                <w:noProof/>
                <w:webHidden/>
              </w:rPr>
              <w:t>4</w:t>
            </w:r>
            <w:r w:rsidR="001732A1">
              <w:rPr>
                <w:noProof/>
                <w:webHidden/>
              </w:rPr>
              <w:fldChar w:fldCharType="end"/>
            </w:r>
          </w:hyperlink>
        </w:p>
        <w:p w14:paraId="1A08C6CA" w14:textId="7055A117" w:rsidR="001732A1" w:rsidRDefault="00550166">
          <w:pPr>
            <w:pStyle w:val="Inhopg2"/>
            <w:tabs>
              <w:tab w:val="right" w:leader="dot" w:pos="9062"/>
            </w:tabs>
            <w:rPr>
              <w:rFonts w:eastAsiaTheme="minorEastAsia"/>
              <w:noProof/>
              <w:lang w:eastAsia="nl-NL"/>
            </w:rPr>
          </w:pPr>
          <w:hyperlink w:anchor="_Toc48891281" w:history="1">
            <w:r w:rsidR="001732A1" w:rsidRPr="000435D1">
              <w:rPr>
                <w:rStyle w:val="Hyperlink"/>
                <w:noProof/>
                <w:lang w:val="en-US"/>
              </w:rPr>
              <w:t>1.6 Structure of the thesis</w:t>
            </w:r>
            <w:r w:rsidR="001732A1">
              <w:rPr>
                <w:noProof/>
                <w:webHidden/>
              </w:rPr>
              <w:tab/>
            </w:r>
            <w:r w:rsidR="001732A1">
              <w:rPr>
                <w:noProof/>
                <w:webHidden/>
              </w:rPr>
              <w:fldChar w:fldCharType="begin"/>
            </w:r>
            <w:r w:rsidR="001732A1">
              <w:rPr>
                <w:noProof/>
                <w:webHidden/>
              </w:rPr>
              <w:instrText xml:space="preserve"> PAGEREF _Toc48891281 \h </w:instrText>
            </w:r>
            <w:r w:rsidR="001732A1">
              <w:rPr>
                <w:noProof/>
                <w:webHidden/>
              </w:rPr>
            </w:r>
            <w:r w:rsidR="001732A1">
              <w:rPr>
                <w:noProof/>
                <w:webHidden/>
              </w:rPr>
              <w:fldChar w:fldCharType="separate"/>
            </w:r>
            <w:r w:rsidR="001732A1">
              <w:rPr>
                <w:noProof/>
                <w:webHidden/>
              </w:rPr>
              <w:t>4</w:t>
            </w:r>
            <w:r w:rsidR="001732A1">
              <w:rPr>
                <w:noProof/>
                <w:webHidden/>
              </w:rPr>
              <w:fldChar w:fldCharType="end"/>
            </w:r>
          </w:hyperlink>
        </w:p>
        <w:p w14:paraId="5DBEE49C" w14:textId="12F74E89" w:rsidR="001732A1" w:rsidRPr="001732A1" w:rsidRDefault="00550166" w:rsidP="001732A1">
          <w:pPr>
            <w:pStyle w:val="Inhopg1"/>
            <w:rPr>
              <w:rFonts w:eastAsiaTheme="minorEastAsia"/>
              <w:lang w:eastAsia="nl-NL"/>
            </w:rPr>
          </w:pPr>
          <w:hyperlink w:anchor="_Toc48891282" w:history="1">
            <w:r w:rsidR="001732A1" w:rsidRPr="001732A1">
              <w:rPr>
                <w:rStyle w:val="Hyperlink"/>
                <w:b/>
                <w:bCs/>
              </w:rPr>
              <w:t xml:space="preserve">2. </w:t>
            </w:r>
            <w:r w:rsidR="001732A1" w:rsidRPr="001732A1">
              <w:rPr>
                <w:rStyle w:val="Hyperlink"/>
              </w:rPr>
              <w:t>Theoretical framework</w:t>
            </w:r>
            <w:r w:rsidR="001732A1" w:rsidRPr="001732A1">
              <w:rPr>
                <w:webHidden/>
              </w:rPr>
              <w:tab/>
            </w:r>
            <w:r w:rsidR="001732A1" w:rsidRPr="001732A1">
              <w:rPr>
                <w:webHidden/>
              </w:rPr>
              <w:fldChar w:fldCharType="begin"/>
            </w:r>
            <w:r w:rsidR="001732A1" w:rsidRPr="001732A1">
              <w:rPr>
                <w:webHidden/>
              </w:rPr>
              <w:instrText xml:space="preserve"> PAGEREF _Toc48891282 \h </w:instrText>
            </w:r>
            <w:r w:rsidR="001732A1" w:rsidRPr="001732A1">
              <w:rPr>
                <w:webHidden/>
              </w:rPr>
            </w:r>
            <w:r w:rsidR="001732A1" w:rsidRPr="001732A1">
              <w:rPr>
                <w:webHidden/>
              </w:rPr>
              <w:fldChar w:fldCharType="separate"/>
            </w:r>
            <w:r w:rsidR="001732A1" w:rsidRPr="001732A1">
              <w:rPr>
                <w:webHidden/>
              </w:rPr>
              <w:t>6</w:t>
            </w:r>
            <w:r w:rsidR="001732A1" w:rsidRPr="001732A1">
              <w:rPr>
                <w:webHidden/>
              </w:rPr>
              <w:fldChar w:fldCharType="end"/>
            </w:r>
          </w:hyperlink>
        </w:p>
        <w:p w14:paraId="7F551B78" w14:textId="1F5628EE" w:rsidR="001732A1" w:rsidRDefault="00550166">
          <w:pPr>
            <w:pStyle w:val="Inhopg2"/>
            <w:tabs>
              <w:tab w:val="right" w:leader="dot" w:pos="9062"/>
            </w:tabs>
            <w:rPr>
              <w:rFonts w:eastAsiaTheme="minorEastAsia"/>
              <w:noProof/>
              <w:lang w:eastAsia="nl-NL"/>
            </w:rPr>
          </w:pPr>
          <w:hyperlink w:anchor="_Toc48891283" w:history="1">
            <w:r w:rsidR="001732A1" w:rsidRPr="000435D1">
              <w:rPr>
                <w:rStyle w:val="Hyperlink"/>
                <w:noProof/>
                <w:lang w:val="en-US"/>
              </w:rPr>
              <w:t>2.1 The rational actor approach</w:t>
            </w:r>
            <w:r w:rsidR="001732A1">
              <w:rPr>
                <w:noProof/>
                <w:webHidden/>
              </w:rPr>
              <w:tab/>
            </w:r>
            <w:r w:rsidR="001732A1">
              <w:rPr>
                <w:noProof/>
                <w:webHidden/>
              </w:rPr>
              <w:fldChar w:fldCharType="begin"/>
            </w:r>
            <w:r w:rsidR="001732A1">
              <w:rPr>
                <w:noProof/>
                <w:webHidden/>
              </w:rPr>
              <w:instrText xml:space="preserve"> PAGEREF _Toc48891283 \h </w:instrText>
            </w:r>
            <w:r w:rsidR="001732A1">
              <w:rPr>
                <w:noProof/>
                <w:webHidden/>
              </w:rPr>
            </w:r>
            <w:r w:rsidR="001732A1">
              <w:rPr>
                <w:noProof/>
                <w:webHidden/>
              </w:rPr>
              <w:fldChar w:fldCharType="separate"/>
            </w:r>
            <w:r w:rsidR="001732A1">
              <w:rPr>
                <w:noProof/>
                <w:webHidden/>
              </w:rPr>
              <w:t>6</w:t>
            </w:r>
            <w:r w:rsidR="001732A1">
              <w:rPr>
                <w:noProof/>
                <w:webHidden/>
              </w:rPr>
              <w:fldChar w:fldCharType="end"/>
            </w:r>
          </w:hyperlink>
        </w:p>
        <w:p w14:paraId="7F0BD2E3" w14:textId="3D4EADB4" w:rsidR="001732A1" w:rsidRDefault="00550166">
          <w:pPr>
            <w:pStyle w:val="Inhopg2"/>
            <w:tabs>
              <w:tab w:val="right" w:leader="dot" w:pos="9062"/>
            </w:tabs>
            <w:rPr>
              <w:rFonts w:eastAsiaTheme="minorEastAsia"/>
              <w:noProof/>
              <w:lang w:eastAsia="nl-NL"/>
            </w:rPr>
          </w:pPr>
          <w:hyperlink w:anchor="_Toc48891284" w:history="1">
            <w:r w:rsidR="001732A1" w:rsidRPr="000435D1">
              <w:rPr>
                <w:rStyle w:val="Hyperlink"/>
                <w:noProof/>
                <w:lang w:val="en-US"/>
              </w:rPr>
              <w:t>2.2 Foreign Policy Analysis: bureaucratic politics approach</w:t>
            </w:r>
            <w:r w:rsidR="001732A1">
              <w:rPr>
                <w:noProof/>
                <w:webHidden/>
              </w:rPr>
              <w:tab/>
            </w:r>
            <w:r w:rsidR="001732A1">
              <w:rPr>
                <w:noProof/>
                <w:webHidden/>
              </w:rPr>
              <w:fldChar w:fldCharType="begin"/>
            </w:r>
            <w:r w:rsidR="001732A1">
              <w:rPr>
                <w:noProof/>
                <w:webHidden/>
              </w:rPr>
              <w:instrText xml:space="preserve"> PAGEREF _Toc48891284 \h </w:instrText>
            </w:r>
            <w:r w:rsidR="001732A1">
              <w:rPr>
                <w:noProof/>
                <w:webHidden/>
              </w:rPr>
            </w:r>
            <w:r w:rsidR="001732A1">
              <w:rPr>
                <w:noProof/>
                <w:webHidden/>
              </w:rPr>
              <w:fldChar w:fldCharType="separate"/>
            </w:r>
            <w:r w:rsidR="001732A1">
              <w:rPr>
                <w:noProof/>
                <w:webHidden/>
              </w:rPr>
              <w:t>6</w:t>
            </w:r>
            <w:r w:rsidR="001732A1">
              <w:rPr>
                <w:noProof/>
                <w:webHidden/>
              </w:rPr>
              <w:fldChar w:fldCharType="end"/>
            </w:r>
          </w:hyperlink>
        </w:p>
        <w:p w14:paraId="03A637E5" w14:textId="5EF34269" w:rsidR="001732A1" w:rsidRDefault="00550166">
          <w:pPr>
            <w:pStyle w:val="Inhopg3"/>
            <w:tabs>
              <w:tab w:val="right" w:leader="dot" w:pos="9062"/>
            </w:tabs>
            <w:rPr>
              <w:rFonts w:eastAsiaTheme="minorEastAsia"/>
              <w:noProof/>
              <w:lang w:eastAsia="nl-NL"/>
            </w:rPr>
          </w:pPr>
          <w:hyperlink w:anchor="_Toc48891285" w:history="1">
            <w:r w:rsidR="001732A1" w:rsidRPr="000435D1">
              <w:rPr>
                <w:rStyle w:val="Hyperlink"/>
                <w:rFonts w:eastAsia="Times New Roman"/>
                <w:noProof/>
                <w:lang w:val="en-US" w:eastAsia="nl-NL"/>
              </w:rPr>
              <w:t>2.2.1 Allison’s conceptual models: individual rationality</w:t>
            </w:r>
            <w:r w:rsidR="001732A1">
              <w:rPr>
                <w:noProof/>
                <w:webHidden/>
              </w:rPr>
              <w:tab/>
            </w:r>
            <w:r w:rsidR="001732A1">
              <w:rPr>
                <w:noProof/>
                <w:webHidden/>
              </w:rPr>
              <w:fldChar w:fldCharType="begin"/>
            </w:r>
            <w:r w:rsidR="001732A1">
              <w:rPr>
                <w:noProof/>
                <w:webHidden/>
              </w:rPr>
              <w:instrText xml:space="preserve"> PAGEREF _Toc48891285 \h </w:instrText>
            </w:r>
            <w:r w:rsidR="001732A1">
              <w:rPr>
                <w:noProof/>
                <w:webHidden/>
              </w:rPr>
            </w:r>
            <w:r w:rsidR="001732A1">
              <w:rPr>
                <w:noProof/>
                <w:webHidden/>
              </w:rPr>
              <w:fldChar w:fldCharType="separate"/>
            </w:r>
            <w:r w:rsidR="001732A1">
              <w:rPr>
                <w:noProof/>
                <w:webHidden/>
              </w:rPr>
              <w:t>7</w:t>
            </w:r>
            <w:r w:rsidR="001732A1">
              <w:rPr>
                <w:noProof/>
                <w:webHidden/>
              </w:rPr>
              <w:fldChar w:fldCharType="end"/>
            </w:r>
          </w:hyperlink>
        </w:p>
        <w:p w14:paraId="1ABAEF2F" w14:textId="07719DBA" w:rsidR="001732A1" w:rsidRDefault="00550166">
          <w:pPr>
            <w:pStyle w:val="Inhopg3"/>
            <w:tabs>
              <w:tab w:val="right" w:leader="dot" w:pos="9062"/>
            </w:tabs>
            <w:rPr>
              <w:rFonts w:eastAsiaTheme="minorEastAsia"/>
              <w:noProof/>
              <w:lang w:eastAsia="nl-NL"/>
            </w:rPr>
          </w:pPr>
          <w:hyperlink w:anchor="_Toc48891286" w:history="1">
            <w:r w:rsidR="001732A1" w:rsidRPr="000435D1">
              <w:rPr>
                <w:rStyle w:val="Hyperlink"/>
                <w:rFonts w:eastAsia="Times New Roman"/>
                <w:noProof/>
                <w:lang w:val="en-US" w:eastAsia="nl-NL"/>
              </w:rPr>
              <w:t>2.2.2 Constraints to individual rationality</w:t>
            </w:r>
            <w:r w:rsidR="001732A1">
              <w:rPr>
                <w:noProof/>
                <w:webHidden/>
              </w:rPr>
              <w:tab/>
            </w:r>
            <w:r w:rsidR="001732A1">
              <w:rPr>
                <w:noProof/>
                <w:webHidden/>
              </w:rPr>
              <w:fldChar w:fldCharType="begin"/>
            </w:r>
            <w:r w:rsidR="001732A1">
              <w:rPr>
                <w:noProof/>
                <w:webHidden/>
              </w:rPr>
              <w:instrText xml:space="preserve"> PAGEREF _Toc48891286 \h </w:instrText>
            </w:r>
            <w:r w:rsidR="001732A1">
              <w:rPr>
                <w:noProof/>
                <w:webHidden/>
              </w:rPr>
            </w:r>
            <w:r w:rsidR="001732A1">
              <w:rPr>
                <w:noProof/>
                <w:webHidden/>
              </w:rPr>
              <w:fldChar w:fldCharType="separate"/>
            </w:r>
            <w:r w:rsidR="001732A1">
              <w:rPr>
                <w:noProof/>
                <w:webHidden/>
              </w:rPr>
              <w:t>10</w:t>
            </w:r>
            <w:r w:rsidR="001732A1">
              <w:rPr>
                <w:noProof/>
                <w:webHidden/>
              </w:rPr>
              <w:fldChar w:fldCharType="end"/>
            </w:r>
          </w:hyperlink>
        </w:p>
        <w:p w14:paraId="1076B13F" w14:textId="497CAD62" w:rsidR="001732A1" w:rsidRDefault="00550166">
          <w:pPr>
            <w:pStyle w:val="Inhopg3"/>
            <w:tabs>
              <w:tab w:val="right" w:leader="dot" w:pos="9062"/>
            </w:tabs>
            <w:rPr>
              <w:rFonts w:eastAsiaTheme="minorEastAsia"/>
              <w:noProof/>
              <w:lang w:eastAsia="nl-NL"/>
            </w:rPr>
          </w:pPr>
          <w:hyperlink w:anchor="_Toc48891287" w:history="1">
            <w:r w:rsidR="001732A1" w:rsidRPr="000435D1">
              <w:rPr>
                <w:rStyle w:val="Hyperlink"/>
                <w:rFonts w:eastAsia="Times New Roman"/>
                <w:noProof/>
                <w:lang w:val="en-US" w:eastAsia="nl-NL"/>
              </w:rPr>
              <w:t>2.2.3 Toward a combined approach</w:t>
            </w:r>
            <w:r w:rsidR="001732A1">
              <w:rPr>
                <w:noProof/>
                <w:webHidden/>
              </w:rPr>
              <w:tab/>
            </w:r>
            <w:r w:rsidR="001732A1">
              <w:rPr>
                <w:noProof/>
                <w:webHidden/>
              </w:rPr>
              <w:fldChar w:fldCharType="begin"/>
            </w:r>
            <w:r w:rsidR="001732A1">
              <w:rPr>
                <w:noProof/>
                <w:webHidden/>
              </w:rPr>
              <w:instrText xml:space="preserve"> PAGEREF _Toc48891287 \h </w:instrText>
            </w:r>
            <w:r w:rsidR="001732A1">
              <w:rPr>
                <w:noProof/>
                <w:webHidden/>
              </w:rPr>
            </w:r>
            <w:r w:rsidR="001732A1">
              <w:rPr>
                <w:noProof/>
                <w:webHidden/>
              </w:rPr>
              <w:fldChar w:fldCharType="separate"/>
            </w:r>
            <w:r w:rsidR="001732A1">
              <w:rPr>
                <w:noProof/>
                <w:webHidden/>
              </w:rPr>
              <w:t>14</w:t>
            </w:r>
            <w:r w:rsidR="001732A1">
              <w:rPr>
                <w:noProof/>
                <w:webHidden/>
              </w:rPr>
              <w:fldChar w:fldCharType="end"/>
            </w:r>
          </w:hyperlink>
        </w:p>
        <w:p w14:paraId="347A8931" w14:textId="44ED590B" w:rsidR="001732A1" w:rsidRPr="001732A1" w:rsidRDefault="00550166" w:rsidP="001732A1">
          <w:pPr>
            <w:pStyle w:val="Inhopg1"/>
            <w:rPr>
              <w:rFonts w:eastAsiaTheme="minorEastAsia"/>
              <w:lang w:eastAsia="nl-NL"/>
            </w:rPr>
          </w:pPr>
          <w:hyperlink w:anchor="_Toc48891288" w:history="1">
            <w:r w:rsidR="001732A1" w:rsidRPr="001732A1">
              <w:rPr>
                <w:rStyle w:val="Hyperlink"/>
                <w:b/>
                <w:bCs/>
              </w:rPr>
              <w:t xml:space="preserve">3. </w:t>
            </w:r>
            <w:r w:rsidR="001732A1" w:rsidRPr="001732A1">
              <w:rPr>
                <w:rStyle w:val="Hyperlink"/>
              </w:rPr>
              <w:t>Methodology</w:t>
            </w:r>
            <w:r w:rsidR="001732A1" w:rsidRPr="001732A1">
              <w:rPr>
                <w:webHidden/>
              </w:rPr>
              <w:tab/>
            </w:r>
            <w:r w:rsidR="001732A1" w:rsidRPr="001732A1">
              <w:rPr>
                <w:webHidden/>
              </w:rPr>
              <w:fldChar w:fldCharType="begin"/>
            </w:r>
            <w:r w:rsidR="001732A1" w:rsidRPr="001732A1">
              <w:rPr>
                <w:webHidden/>
              </w:rPr>
              <w:instrText xml:space="preserve"> PAGEREF _Toc48891288 \h </w:instrText>
            </w:r>
            <w:r w:rsidR="001732A1" w:rsidRPr="001732A1">
              <w:rPr>
                <w:webHidden/>
              </w:rPr>
            </w:r>
            <w:r w:rsidR="001732A1" w:rsidRPr="001732A1">
              <w:rPr>
                <w:webHidden/>
              </w:rPr>
              <w:fldChar w:fldCharType="separate"/>
            </w:r>
            <w:r w:rsidR="001732A1" w:rsidRPr="001732A1">
              <w:rPr>
                <w:webHidden/>
              </w:rPr>
              <w:t>18</w:t>
            </w:r>
            <w:r w:rsidR="001732A1" w:rsidRPr="001732A1">
              <w:rPr>
                <w:webHidden/>
              </w:rPr>
              <w:fldChar w:fldCharType="end"/>
            </w:r>
          </w:hyperlink>
        </w:p>
        <w:p w14:paraId="5BEDE554" w14:textId="2482CE2E" w:rsidR="001732A1" w:rsidRDefault="00550166">
          <w:pPr>
            <w:pStyle w:val="Inhopg2"/>
            <w:tabs>
              <w:tab w:val="right" w:leader="dot" w:pos="9062"/>
            </w:tabs>
            <w:rPr>
              <w:rFonts w:eastAsiaTheme="minorEastAsia"/>
              <w:noProof/>
              <w:lang w:eastAsia="nl-NL"/>
            </w:rPr>
          </w:pPr>
          <w:hyperlink w:anchor="_Toc48891289" w:history="1">
            <w:r w:rsidR="001732A1" w:rsidRPr="000435D1">
              <w:rPr>
                <w:rStyle w:val="Hyperlink"/>
                <w:noProof/>
                <w:lang w:val="en-US"/>
              </w:rPr>
              <w:t>3.1 Research design: single case study</w:t>
            </w:r>
            <w:r w:rsidR="001732A1">
              <w:rPr>
                <w:noProof/>
                <w:webHidden/>
              </w:rPr>
              <w:tab/>
            </w:r>
            <w:r w:rsidR="001732A1">
              <w:rPr>
                <w:noProof/>
                <w:webHidden/>
              </w:rPr>
              <w:fldChar w:fldCharType="begin"/>
            </w:r>
            <w:r w:rsidR="001732A1">
              <w:rPr>
                <w:noProof/>
                <w:webHidden/>
              </w:rPr>
              <w:instrText xml:space="preserve"> PAGEREF _Toc48891289 \h </w:instrText>
            </w:r>
            <w:r w:rsidR="001732A1">
              <w:rPr>
                <w:noProof/>
                <w:webHidden/>
              </w:rPr>
            </w:r>
            <w:r w:rsidR="001732A1">
              <w:rPr>
                <w:noProof/>
                <w:webHidden/>
              </w:rPr>
              <w:fldChar w:fldCharType="separate"/>
            </w:r>
            <w:r w:rsidR="001732A1">
              <w:rPr>
                <w:noProof/>
                <w:webHidden/>
              </w:rPr>
              <w:t>18</w:t>
            </w:r>
            <w:r w:rsidR="001732A1">
              <w:rPr>
                <w:noProof/>
                <w:webHidden/>
              </w:rPr>
              <w:fldChar w:fldCharType="end"/>
            </w:r>
          </w:hyperlink>
        </w:p>
        <w:p w14:paraId="5083C120" w14:textId="31487138" w:rsidR="001732A1" w:rsidRDefault="00550166">
          <w:pPr>
            <w:pStyle w:val="Inhopg2"/>
            <w:tabs>
              <w:tab w:val="right" w:leader="dot" w:pos="9062"/>
            </w:tabs>
            <w:rPr>
              <w:rFonts w:eastAsiaTheme="minorEastAsia"/>
              <w:noProof/>
              <w:lang w:eastAsia="nl-NL"/>
            </w:rPr>
          </w:pPr>
          <w:hyperlink w:anchor="_Toc48891290" w:history="1">
            <w:r w:rsidR="001732A1" w:rsidRPr="000435D1">
              <w:rPr>
                <w:rStyle w:val="Hyperlink"/>
                <w:noProof/>
                <w:lang w:val="en-US"/>
              </w:rPr>
              <w:t>3.2 Case selection</w:t>
            </w:r>
            <w:r w:rsidR="001732A1">
              <w:rPr>
                <w:noProof/>
                <w:webHidden/>
              </w:rPr>
              <w:tab/>
            </w:r>
            <w:r w:rsidR="001732A1">
              <w:rPr>
                <w:noProof/>
                <w:webHidden/>
              </w:rPr>
              <w:fldChar w:fldCharType="begin"/>
            </w:r>
            <w:r w:rsidR="001732A1">
              <w:rPr>
                <w:noProof/>
                <w:webHidden/>
              </w:rPr>
              <w:instrText xml:space="preserve"> PAGEREF _Toc48891290 \h </w:instrText>
            </w:r>
            <w:r w:rsidR="001732A1">
              <w:rPr>
                <w:noProof/>
                <w:webHidden/>
              </w:rPr>
            </w:r>
            <w:r w:rsidR="001732A1">
              <w:rPr>
                <w:noProof/>
                <w:webHidden/>
              </w:rPr>
              <w:fldChar w:fldCharType="separate"/>
            </w:r>
            <w:r w:rsidR="001732A1">
              <w:rPr>
                <w:noProof/>
                <w:webHidden/>
              </w:rPr>
              <w:t>18</w:t>
            </w:r>
            <w:r w:rsidR="001732A1">
              <w:rPr>
                <w:noProof/>
                <w:webHidden/>
              </w:rPr>
              <w:fldChar w:fldCharType="end"/>
            </w:r>
          </w:hyperlink>
        </w:p>
        <w:p w14:paraId="6994BAE5" w14:textId="6D92D129" w:rsidR="001732A1" w:rsidRDefault="00550166">
          <w:pPr>
            <w:pStyle w:val="Inhopg2"/>
            <w:tabs>
              <w:tab w:val="right" w:leader="dot" w:pos="9062"/>
            </w:tabs>
            <w:rPr>
              <w:rFonts w:eastAsiaTheme="minorEastAsia"/>
              <w:noProof/>
              <w:lang w:eastAsia="nl-NL"/>
            </w:rPr>
          </w:pPr>
          <w:hyperlink w:anchor="_Toc48891291" w:history="1">
            <w:r w:rsidR="001732A1" w:rsidRPr="000435D1">
              <w:rPr>
                <w:rStyle w:val="Hyperlink"/>
                <w:rFonts w:ascii="Calibri" w:eastAsia="Times New Roman" w:hAnsi="Calibri" w:cs="Calibri"/>
                <w:noProof/>
                <w:lang w:val="en-US" w:eastAsia="nl-NL"/>
              </w:rPr>
              <w:t>3.3 The dependent variable</w:t>
            </w:r>
            <w:r w:rsidR="001732A1">
              <w:rPr>
                <w:noProof/>
                <w:webHidden/>
              </w:rPr>
              <w:tab/>
            </w:r>
            <w:r w:rsidR="001732A1">
              <w:rPr>
                <w:noProof/>
                <w:webHidden/>
              </w:rPr>
              <w:fldChar w:fldCharType="begin"/>
            </w:r>
            <w:r w:rsidR="001732A1">
              <w:rPr>
                <w:noProof/>
                <w:webHidden/>
              </w:rPr>
              <w:instrText xml:space="preserve"> PAGEREF _Toc48891291 \h </w:instrText>
            </w:r>
            <w:r w:rsidR="001732A1">
              <w:rPr>
                <w:noProof/>
                <w:webHidden/>
              </w:rPr>
            </w:r>
            <w:r w:rsidR="001732A1">
              <w:rPr>
                <w:noProof/>
                <w:webHidden/>
              </w:rPr>
              <w:fldChar w:fldCharType="separate"/>
            </w:r>
            <w:r w:rsidR="001732A1">
              <w:rPr>
                <w:noProof/>
                <w:webHidden/>
              </w:rPr>
              <w:t>19</w:t>
            </w:r>
            <w:r w:rsidR="001732A1">
              <w:rPr>
                <w:noProof/>
                <w:webHidden/>
              </w:rPr>
              <w:fldChar w:fldCharType="end"/>
            </w:r>
          </w:hyperlink>
        </w:p>
        <w:p w14:paraId="09D2CDF8" w14:textId="70A91E51" w:rsidR="001732A1" w:rsidRDefault="00550166">
          <w:pPr>
            <w:pStyle w:val="Inhopg2"/>
            <w:tabs>
              <w:tab w:val="right" w:leader="dot" w:pos="9062"/>
            </w:tabs>
            <w:rPr>
              <w:rFonts w:eastAsiaTheme="minorEastAsia"/>
              <w:noProof/>
              <w:lang w:eastAsia="nl-NL"/>
            </w:rPr>
          </w:pPr>
          <w:hyperlink w:anchor="_Toc48891292" w:history="1">
            <w:r w:rsidR="001732A1" w:rsidRPr="000435D1">
              <w:rPr>
                <w:rStyle w:val="Hyperlink"/>
                <w:noProof/>
                <w:lang w:val="en-US"/>
              </w:rPr>
              <w:t>3.4 The independent variables</w:t>
            </w:r>
            <w:r w:rsidR="001732A1">
              <w:rPr>
                <w:noProof/>
                <w:webHidden/>
              </w:rPr>
              <w:tab/>
            </w:r>
            <w:r w:rsidR="001732A1">
              <w:rPr>
                <w:noProof/>
                <w:webHidden/>
              </w:rPr>
              <w:fldChar w:fldCharType="begin"/>
            </w:r>
            <w:r w:rsidR="001732A1">
              <w:rPr>
                <w:noProof/>
                <w:webHidden/>
              </w:rPr>
              <w:instrText xml:space="preserve"> PAGEREF _Toc48891292 \h </w:instrText>
            </w:r>
            <w:r w:rsidR="001732A1">
              <w:rPr>
                <w:noProof/>
                <w:webHidden/>
              </w:rPr>
            </w:r>
            <w:r w:rsidR="001732A1">
              <w:rPr>
                <w:noProof/>
                <w:webHidden/>
              </w:rPr>
              <w:fldChar w:fldCharType="separate"/>
            </w:r>
            <w:r w:rsidR="001732A1">
              <w:rPr>
                <w:noProof/>
                <w:webHidden/>
              </w:rPr>
              <w:t>20</w:t>
            </w:r>
            <w:r w:rsidR="001732A1">
              <w:rPr>
                <w:noProof/>
                <w:webHidden/>
              </w:rPr>
              <w:fldChar w:fldCharType="end"/>
            </w:r>
          </w:hyperlink>
        </w:p>
        <w:p w14:paraId="77345059" w14:textId="39570904" w:rsidR="001732A1" w:rsidRDefault="00550166">
          <w:pPr>
            <w:pStyle w:val="Inhopg3"/>
            <w:tabs>
              <w:tab w:val="right" w:leader="dot" w:pos="9062"/>
            </w:tabs>
            <w:rPr>
              <w:rFonts w:eastAsiaTheme="minorEastAsia"/>
              <w:noProof/>
              <w:lang w:eastAsia="nl-NL"/>
            </w:rPr>
          </w:pPr>
          <w:hyperlink w:anchor="_Toc48891293" w:history="1">
            <w:r w:rsidR="001732A1" w:rsidRPr="000435D1">
              <w:rPr>
                <w:rStyle w:val="Hyperlink"/>
                <w:noProof/>
                <w:lang w:val="en-US"/>
              </w:rPr>
              <w:t>3.4.1 Bureaucratic roles</w:t>
            </w:r>
            <w:r w:rsidR="001732A1">
              <w:rPr>
                <w:noProof/>
                <w:webHidden/>
              </w:rPr>
              <w:tab/>
            </w:r>
            <w:r w:rsidR="001732A1">
              <w:rPr>
                <w:noProof/>
                <w:webHidden/>
              </w:rPr>
              <w:fldChar w:fldCharType="begin"/>
            </w:r>
            <w:r w:rsidR="001732A1">
              <w:rPr>
                <w:noProof/>
                <w:webHidden/>
              </w:rPr>
              <w:instrText xml:space="preserve"> PAGEREF _Toc48891293 \h </w:instrText>
            </w:r>
            <w:r w:rsidR="001732A1">
              <w:rPr>
                <w:noProof/>
                <w:webHidden/>
              </w:rPr>
            </w:r>
            <w:r w:rsidR="001732A1">
              <w:rPr>
                <w:noProof/>
                <w:webHidden/>
              </w:rPr>
              <w:fldChar w:fldCharType="separate"/>
            </w:r>
            <w:r w:rsidR="001732A1">
              <w:rPr>
                <w:noProof/>
                <w:webHidden/>
              </w:rPr>
              <w:t>20</w:t>
            </w:r>
            <w:r w:rsidR="001732A1">
              <w:rPr>
                <w:noProof/>
                <w:webHidden/>
              </w:rPr>
              <w:fldChar w:fldCharType="end"/>
            </w:r>
          </w:hyperlink>
        </w:p>
        <w:p w14:paraId="2CFB5B72" w14:textId="654210D7" w:rsidR="001732A1" w:rsidRDefault="00550166">
          <w:pPr>
            <w:pStyle w:val="Inhopg3"/>
            <w:tabs>
              <w:tab w:val="right" w:leader="dot" w:pos="9062"/>
            </w:tabs>
            <w:rPr>
              <w:rFonts w:eastAsiaTheme="minorEastAsia"/>
              <w:noProof/>
              <w:lang w:eastAsia="nl-NL"/>
            </w:rPr>
          </w:pPr>
          <w:hyperlink w:anchor="_Toc48891294" w:history="1">
            <w:r w:rsidR="001732A1" w:rsidRPr="000435D1">
              <w:rPr>
                <w:rStyle w:val="Hyperlink"/>
                <w:noProof/>
                <w:lang w:val="en-US"/>
              </w:rPr>
              <w:t>3.4.2 Procedural scripts</w:t>
            </w:r>
            <w:r w:rsidR="001732A1">
              <w:rPr>
                <w:noProof/>
                <w:webHidden/>
              </w:rPr>
              <w:tab/>
            </w:r>
            <w:r w:rsidR="001732A1">
              <w:rPr>
                <w:noProof/>
                <w:webHidden/>
              </w:rPr>
              <w:fldChar w:fldCharType="begin"/>
            </w:r>
            <w:r w:rsidR="001732A1">
              <w:rPr>
                <w:noProof/>
                <w:webHidden/>
              </w:rPr>
              <w:instrText xml:space="preserve"> PAGEREF _Toc48891294 \h </w:instrText>
            </w:r>
            <w:r w:rsidR="001732A1">
              <w:rPr>
                <w:noProof/>
                <w:webHidden/>
              </w:rPr>
            </w:r>
            <w:r w:rsidR="001732A1">
              <w:rPr>
                <w:noProof/>
                <w:webHidden/>
              </w:rPr>
              <w:fldChar w:fldCharType="separate"/>
            </w:r>
            <w:r w:rsidR="001732A1">
              <w:rPr>
                <w:noProof/>
                <w:webHidden/>
              </w:rPr>
              <w:t>21</w:t>
            </w:r>
            <w:r w:rsidR="001732A1">
              <w:rPr>
                <w:noProof/>
                <w:webHidden/>
              </w:rPr>
              <w:fldChar w:fldCharType="end"/>
            </w:r>
          </w:hyperlink>
        </w:p>
        <w:p w14:paraId="41EFFAA8" w14:textId="2F59711C" w:rsidR="001732A1" w:rsidRDefault="00550166">
          <w:pPr>
            <w:pStyle w:val="Inhopg3"/>
            <w:tabs>
              <w:tab w:val="right" w:leader="dot" w:pos="9062"/>
            </w:tabs>
            <w:rPr>
              <w:rFonts w:eastAsiaTheme="minorEastAsia"/>
              <w:noProof/>
              <w:lang w:eastAsia="nl-NL"/>
            </w:rPr>
          </w:pPr>
          <w:hyperlink w:anchor="_Toc48891295" w:history="1">
            <w:r w:rsidR="001732A1" w:rsidRPr="000435D1">
              <w:rPr>
                <w:rStyle w:val="Hyperlink"/>
                <w:rFonts w:eastAsia="Times New Roman"/>
                <w:noProof/>
                <w:lang w:val="en-US" w:eastAsia="nl-NL"/>
              </w:rPr>
              <w:t>3.4.3 Cultural rationales</w:t>
            </w:r>
            <w:r w:rsidR="001732A1">
              <w:rPr>
                <w:noProof/>
                <w:webHidden/>
              </w:rPr>
              <w:tab/>
            </w:r>
            <w:r w:rsidR="001732A1">
              <w:rPr>
                <w:noProof/>
                <w:webHidden/>
              </w:rPr>
              <w:fldChar w:fldCharType="begin"/>
            </w:r>
            <w:r w:rsidR="001732A1">
              <w:rPr>
                <w:noProof/>
                <w:webHidden/>
              </w:rPr>
              <w:instrText xml:space="preserve"> PAGEREF _Toc48891295 \h </w:instrText>
            </w:r>
            <w:r w:rsidR="001732A1">
              <w:rPr>
                <w:noProof/>
                <w:webHidden/>
              </w:rPr>
            </w:r>
            <w:r w:rsidR="001732A1">
              <w:rPr>
                <w:noProof/>
                <w:webHidden/>
              </w:rPr>
              <w:fldChar w:fldCharType="separate"/>
            </w:r>
            <w:r w:rsidR="001732A1">
              <w:rPr>
                <w:noProof/>
                <w:webHidden/>
              </w:rPr>
              <w:t>22</w:t>
            </w:r>
            <w:r w:rsidR="001732A1">
              <w:rPr>
                <w:noProof/>
                <w:webHidden/>
              </w:rPr>
              <w:fldChar w:fldCharType="end"/>
            </w:r>
          </w:hyperlink>
        </w:p>
        <w:p w14:paraId="2E6FDB7F" w14:textId="6023D2BA" w:rsidR="001732A1" w:rsidRDefault="00550166">
          <w:pPr>
            <w:pStyle w:val="Inhopg2"/>
            <w:tabs>
              <w:tab w:val="right" w:leader="dot" w:pos="9062"/>
            </w:tabs>
            <w:rPr>
              <w:rFonts w:eastAsiaTheme="minorEastAsia"/>
              <w:noProof/>
              <w:lang w:eastAsia="nl-NL"/>
            </w:rPr>
          </w:pPr>
          <w:hyperlink w:anchor="_Toc48891296" w:history="1">
            <w:r w:rsidR="001732A1" w:rsidRPr="000435D1">
              <w:rPr>
                <w:rStyle w:val="Hyperlink"/>
                <w:noProof/>
                <w:lang w:val="en-US"/>
              </w:rPr>
              <w:t>3.5 Data collection</w:t>
            </w:r>
            <w:r w:rsidR="001732A1">
              <w:rPr>
                <w:noProof/>
                <w:webHidden/>
              </w:rPr>
              <w:tab/>
            </w:r>
            <w:r w:rsidR="001732A1">
              <w:rPr>
                <w:noProof/>
                <w:webHidden/>
              </w:rPr>
              <w:fldChar w:fldCharType="begin"/>
            </w:r>
            <w:r w:rsidR="001732A1">
              <w:rPr>
                <w:noProof/>
                <w:webHidden/>
              </w:rPr>
              <w:instrText xml:space="preserve"> PAGEREF _Toc48891296 \h </w:instrText>
            </w:r>
            <w:r w:rsidR="001732A1">
              <w:rPr>
                <w:noProof/>
                <w:webHidden/>
              </w:rPr>
            </w:r>
            <w:r w:rsidR="001732A1">
              <w:rPr>
                <w:noProof/>
                <w:webHidden/>
              </w:rPr>
              <w:fldChar w:fldCharType="separate"/>
            </w:r>
            <w:r w:rsidR="001732A1">
              <w:rPr>
                <w:noProof/>
                <w:webHidden/>
              </w:rPr>
              <w:t>22</w:t>
            </w:r>
            <w:r w:rsidR="001732A1">
              <w:rPr>
                <w:noProof/>
                <w:webHidden/>
              </w:rPr>
              <w:fldChar w:fldCharType="end"/>
            </w:r>
          </w:hyperlink>
        </w:p>
        <w:p w14:paraId="14445029" w14:textId="1AE8EA79" w:rsidR="001732A1" w:rsidRPr="001732A1" w:rsidRDefault="00550166" w:rsidP="001732A1">
          <w:pPr>
            <w:pStyle w:val="Inhopg1"/>
            <w:rPr>
              <w:rFonts w:eastAsiaTheme="minorEastAsia"/>
              <w:lang w:eastAsia="nl-NL"/>
            </w:rPr>
          </w:pPr>
          <w:hyperlink w:anchor="_Toc48891297" w:history="1">
            <w:r w:rsidR="001732A1" w:rsidRPr="001732A1">
              <w:rPr>
                <w:rStyle w:val="Hyperlink"/>
                <w:b/>
                <w:bCs/>
              </w:rPr>
              <w:t xml:space="preserve">4. </w:t>
            </w:r>
            <w:r w:rsidR="001732A1" w:rsidRPr="001732A1">
              <w:rPr>
                <w:rStyle w:val="Hyperlink"/>
              </w:rPr>
              <w:t>Empirics</w:t>
            </w:r>
            <w:r w:rsidR="001732A1" w:rsidRPr="001732A1">
              <w:rPr>
                <w:webHidden/>
              </w:rPr>
              <w:tab/>
            </w:r>
            <w:r w:rsidR="001732A1" w:rsidRPr="001732A1">
              <w:rPr>
                <w:webHidden/>
              </w:rPr>
              <w:fldChar w:fldCharType="begin"/>
            </w:r>
            <w:r w:rsidR="001732A1" w:rsidRPr="001732A1">
              <w:rPr>
                <w:webHidden/>
              </w:rPr>
              <w:instrText xml:space="preserve"> PAGEREF _Toc48891297 \h </w:instrText>
            </w:r>
            <w:r w:rsidR="001732A1" w:rsidRPr="001732A1">
              <w:rPr>
                <w:webHidden/>
              </w:rPr>
            </w:r>
            <w:r w:rsidR="001732A1" w:rsidRPr="001732A1">
              <w:rPr>
                <w:webHidden/>
              </w:rPr>
              <w:fldChar w:fldCharType="separate"/>
            </w:r>
            <w:r w:rsidR="001732A1" w:rsidRPr="001732A1">
              <w:rPr>
                <w:webHidden/>
              </w:rPr>
              <w:t>25</w:t>
            </w:r>
            <w:r w:rsidR="001732A1" w:rsidRPr="001732A1">
              <w:rPr>
                <w:webHidden/>
              </w:rPr>
              <w:fldChar w:fldCharType="end"/>
            </w:r>
          </w:hyperlink>
        </w:p>
        <w:p w14:paraId="1BC3F124" w14:textId="1C052EC6" w:rsidR="001732A1" w:rsidRDefault="00550166">
          <w:pPr>
            <w:pStyle w:val="Inhopg2"/>
            <w:tabs>
              <w:tab w:val="right" w:leader="dot" w:pos="9062"/>
            </w:tabs>
            <w:rPr>
              <w:rFonts w:eastAsiaTheme="minorEastAsia"/>
              <w:noProof/>
              <w:lang w:eastAsia="nl-NL"/>
            </w:rPr>
          </w:pPr>
          <w:hyperlink w:anchor="_Toc48891298" w:history="1">
            <w:r w:rsidR="001732A1" w:rsidRPr="000435D1">
              <w:rPr>
                <w:rStyle w:val="Hyperlink"/>
                <w:noProof/>
                <w:lang w:val="en-US"/>
              </w:rPr>
              <w:t>4.1 Context</w:t>
            </w:r>
            <w:r w:rsidR="001732A1">
              <w:rPr>
                <w:noProof/>
                <w:webHidden/>
              </w:rPr>
              <w:tab/>
            </w:r>
            <w:r w:rsidR="001732A1">
              <w:rPr>
                <w:noProof/>
                <w:webHidden/>
              </w:rPr>
              <w:fldChar w:fldCharType="begin"/>
            </w:r>
            <w:r w:rsidR="001732A1">
              <w:rPr>
                <w:noProof/>
                <w:webHidden/>
              </w:rPr>
              <w:instrText xml:space="preserve"> PAGEREF _Toc48891298 \h </w:instrText>
            </w:r>
            <w:r w:rsidR="001732A1">
              <w:rPr>
                <w:noProof/>
                <w:webHidden/>
              </w:rPr>
            </w:r>
            <w:r w:rsidR="001732A1">
              <w:rPr>
                <w:noProof/>
                <w:webHidden/>
              </w:rPr>
              <w:fldChar w:fldCharType="separate"/>
            </w:r>
            <w:r w:rsidR="001732A1">
              <w:rPr>
                <w:noProof/>
                <w:webHidden/>
              </w:rPr>
              <w:t>25</w:t>
            </w:r>
            <w:r w:rsidR="001732A1">
              <w:rPr>
                <w:noProof/>
                <w:webHidden/>
              </w:rPr>
              <w:fldChar w:fldCharType="end"/>
            </w:r>
          </w:hyperlink>
        </w:p>
        <w:p w14:paraId="4706A70D" w14:textId="34035810" w:rsidR="001732A1" w:rsidRDefault="00550166">
          <w:pPr>
            <w:pStyle w:val="Inhopg3"/>
            <w:tabs>
              <w:tab w:val="right" w:leader="dot" w:pos="9062"/>
            </w:tabs>
            <w:rPr>
              <w:rFonts w:eastAsiaTheme="minorEastAsia"/>
              <w:noProof/>
              <w:lang w:eastAsia="nl-NL"/>
            </w:rPr>
          </w:pPr>
          <w:hyperlink w:anchor="_Toc48891299" w:history="1">
            <w:r w:rsidR="001732A1" w:rsidRPr="000435D1">
              <w:rPr>
                <w:rStyle w:val="Hyperlink"/>
                <w:rFonts w:eastAsia="Times New Roman"/>
                <w:noProof/>
                <w:lang w:val="en-US" w:eastAsia="nl-NL"/>
              </w:rPr>
              <w:t>4.1.1 European context</w:t>
            </w:r>
            <w:r w:rsidR="001732A1">
              <w:rPr>
                <w:noProof/>
                <w:webHidden/>
              </w:rPr>
              <w:tab/>
            </w:r>
            <w:r w:rsidR="001732A1">
              <w:rPr>
                <w:noProof/>
                <w:webHidden/>
              </w:rPr>
              <w:fldChar w:fldCharType="begin"/>
            </w:r>
            <w:r w:rsidR="001732A1">
              <w:rPr>
                <w:noProof/>
                <w:webHidden/>
              </w:rPr>
              <w:instrText xml:space="preserve"> PAGEREF _Toc48891299 \h </w:instrText>
            </w:r>
            <w:r w:rsidR="001732A1">
              <w:rPr>
                <w:noProof/>
                <w:webHidden/>
              </w:rPr>
            </w:r>
            <w:r w:rsidR="001732A1">
              <w:rPr>
                <w:noProof/>
                <w:webHidden/>
              </w:rPr>
              <w:fldChar w:fldCharType="separate"/>
            </w:r>
            <w:r w:rsidR="001732A1">
              <w:rPr>
                <w:noProof/>
                <w:webHidden/>
              </w:rPr>
              <w:t>25</w:t>
            </w:r>
            <w:r w:rsidR="001732A1">
              <w:rPr>
                <w:noProof/>
                <w:webHidden/>
              </w:rPr>
              <w:fldChar w:fldCharType="end"/>
            </w:r>
          </w:hyperlink>
        </w:p>
        <w:p w14:paraId="654387AB" w14:textId="6DA090F9" w:rsidR="001732A1" w:rsidRDefault="00550166">
          <w:pPr>
            <w:pStyle w:val="Inhopg3"/>
            <w:tabs>
              <w:tab w:val="right" w:leader="dot" w:pos="9062"/>
            </w:tabs>
            <w:rPr>
              <w:rFonts w:eastAsiaTheme="minorEastAsia"/>
              <w:noProof/>
              <w:lang w:eastAsia="nl-NL"/>
            </w:rPr>
          </w:pPr>
          <w:hyperlink w:anchor="_Toc48891300" w:history="1">
            <w:r w:rsidR="001732A1" w:rsidRPr="000435D1">
              <w:rPr>
                <w:rStyle w:val="Hyperlink"/>
                <w:rFonts w:eastAsia="Times New Roman"/>
                <w:noProof/>
                <w:lang w:val="en-US" w:eastAsia="nl-NL"/>
              </w:rPr>
              <w:t>4.1.2 Dutch context</w:t>
            </w:r>
            <w:r w:rsidR="001732A1">
              <w:rPr>
                <w:noProof/>
                <w:webHidden/>
              </w:rPr>
              <w:tab/>
            </w:r>
            <w:r w:rsidR="001732A1">
              <w:rPr>
                <w:noProof/>
                <w:webHidden/>
              </w:rPr>
              <w:fldChar w:fldCharType="begin"/>
            </w:r>
            <w:r w:rsidR="001732A1">
              <w:rPr>
                <w:noProof/>
                <w:webHidden/>
              </w:rPr>
              <w:instrText xml:space="preserve"> PAGEREF _Toc48891300 \h </w:instrText>
            </w:r>
            <w:r w:rsidR="001732A1">
              <w:rPr>
                <w:noProof/>
                <w:webHidden/>
              </w:rPr>
            </w:r>
            <w:r w:rsidR="001732A1">
              <w:rPr>
                <w:noProof/>
                <w:webHidden/>
              </w:rPr>
              <w:fldChar w:fldCharType="separate"/>
            </w:r>
            <w:r w:rsidR="001732A1">
              <w:rPr>
                <w:noProof/>
                <w:webHidden/>
              </w:rPr>
              <w:t>25</w:t>
            </w:r>
            <w:r w:rsidR="001732A1">
              <w:rPr>
                <w:noProof/>
                <w:webHidden/>
              </w:rPr>
              <w:fldChar w:fldCharType="end"/>
            </w:r>
          </w:hyperlink>
        </w:p>
        <w:p w14:paraId="6AB8A52D" w14:textId="49D69B5A" w:rsidR="001732A1" w:rsidRDefault="00550166">
          <w:pPr>
            <w:pStyle w:val="Inhopg3"/>
            <w:tabs>
              <w:tab w:val="right" w:leader="dot" w:pos="9062"/>
            </w:tabs>
            <w:rPr>
              <w:rFonts w:eastAsiaTheme="minorEastAsia"/>
              <w:noProof/>
              <w:lang w:eastAsia="nl-NL"/>
            </w:rPr>
          </w:pPr>
          <w:hyperlink w:anchor="_Toc48891301" w:history="1">
            <w:r w:rsidR="001732A1" w:rsidRPr="000435D1">
              <w:rPr>
                <w:rStyle w:val="Hyperlink"/>
                <w:rFonts w:eastAsia="Times New Roman"/>
                <w:noProof/>
                <w:lang w:val="en-US" w:eastAsia="nl-NL"/>
              </w:rPr>
              <w:t>4.1.3 Political-official relations in the Netherlands</w:t>
            </w:r>
            <w:r w:rsidR="001732A1">
              <w:rPr>
                <w:noProof/>
                <w:webHidden/>
              </w:rPr>
              <w:tab/>
            </w:r>
            <w:r w:rsidR="001732A1">
              <w:rPr>
                <w:noProof/>
                <w:webHidden/>
              </w:rPr>
              <w:fldChar w:fldCharType="begin"/>
            </w:r>
            <w:r w:rsidR="001732A1">
              <w:rPr>
                <w:noProof/>
                <w:webHidden/>
              </w:rPr>
              <w:instrText xml:space="preserve"> PAGEREF _Toc48891301 \h </w:instrText>
            </w:r>
            <w:r w:rsidR="001732A1">
              <w:rPr>
                <w:noProof/>
                <w:webHidden/>
              </w:rPr>
            </w:r>
            <w:r w:rsidR="001732A1">
              <w:rPr>
                <w:noProof/>
                <w:webHidden/>
              </w:rPr>
              <w:fldChar w:fldCharType="separate"/>
            </w:r>
            <w:r w:rsidR="001732A1">
              <w:rPr>
                <w:noProof/>
                <w:webHidden/>
              </w:rPr>
              <w:t>26</w:t>
            </w:r>
            <w:r w:rsidR="001732A1">
              <w:rPr>
                <w:noProof/>
                <w:webHidden/>
              </w:rPr>
              <w:fldChar w:fldCharType="end"/>
            </w:r>
          </w:hyperlink>
        </w:p>
        <w:p w14:paraId="48A5AB6E" w14:textId="5252890F" w:rsidR="001732A1" w:rsidRDefault="00550166">
          <w:pPr>
            <w:pStyle w:val="Inhopg2"/>
            <w:tabs>
              <w:tab w:val="right" w:leader="dot" w:pos="9062"/>
            </w:tabs>
            <w:rPr>
              <w:rFonts w:eastAsiaTheme="minorEastAsia"/>
              <w:noProof/>
              <w:lang w:eastAsia="nl-NL"/>
            </w:rPr>
          </w:pPr>
          <w:hyperlink w:anchor="_Toc48891302" w:history="1">
            <w:r w:rsidR="001732A1" w:rsidRPr="000435D1">
              <w:rPr>
                <w:rStyle w:val="Hyperlink"/>
                <w:noProof/>
                <w:lang w:val="en-US"/>
              </w:rPr>
              <w:t>4.2 Bureaucratic roles</w:t>
            </w:r>
            <w:r w:rsidR="001732A1">
              <w:rPr>
                <w:noProof/>
                <w:webHidden/>
              </w:rPr>
              <w:tab/>
            </w:r>
            <w:r w:rsidR="001732A1">
              <w:rPr>
                <w:noProof/>
                <w:webHidden/>
              </w:rPr>
              <w:fldChar w:fldCharType="begin"/>
            </w:r>
            <w:r w:rsidR="001732A1">
              <w:rPr>
                <w:noProof/>
                <w:webHidden/>
              </w:rPr>
              <w:instrText xml:space="preserve"> PAGEREF _Toc48891302 \h </w:instrText>
            </w:r>
            <w:r w:rsidR="001732A1">
              <w:rPr>
                <w:noProof/>
                <w:webHidden/>
              </w:rPr>
            </w:r>
            <w:r w:rsidR="001732A1">
              <w:rPr>
                <w:noProof/>
                <w:webHidden/>
              </w:rPr>
              <w:fldChar w:fldCharType="separate"/>
            </w:r>
            <w:r w:rsidR="001732A1">
              <w:rPr>
                <w:noProof/>
                <w:webHidden/>
              </w:rPr>
              <w:t>27</w:t>
            </w:r>
            <w:r w:rsidR="001732A1">
              <w:rPr>
                <w:noProof/>
                <w:webHidden/>
              </w:rPr>
              <w:fldChar w:fldCharType="end"/>
            </w:r>
          </w:hyperlink>
        </w:p>
        <w:p w14:paraId="16AE6D03" w14:textId="1A83020C" w:rsidR="001732A1" w:rsidRDefault="00550166">
          <w:pPr>
            <w:pStyle w:val="Inhopg3"/>
            <w:tabs>
              <w:tab w:val="right" w:leader="dot" w:pos="9062"/>
            </w:tabs>
            <w:rPr>
              <w:rFonts w:eastAsiaTheme="minorEastAsia"/>
              <w:noProof/>
              <w:lang w:eastAsia="nl-NL"/>
            </w:rPr>
          </w:pPr>
          <w:hyperlink w:anchor="_Toc48891303" w:history="1">
            <w:r w:rsidR="001732A1" w:rsidRPr="000435D1">
              <w:rPr>
                <w:rStyle w:val="Hyperlink"/>
                <w:rFonts w:eastAsia="Times New Roman"/>
                <w:noProof/>
                <w:lang w:val="en-US" w:eastAsia="nl-NL"/>
              </w:rPr>
              <w:t>4.2.1 Phase I: Reluctant cabinet members and task-oriented civil servants</w:t>
            </w:r>
            <w:r w:rsidR="001732A1">
              <w:rPr>
                <w:noProof/>
                <w:webHidden/>
              </w:rPr>
              <w:tab/>
            </w:r>
            <w:r w:rsidR="001732A1">
              <w:rPr>
                <w:noProof/>
                <w:webHidden/>
              </w:rPr>
              <w:fldChar w:fldCharType="begin"/>
            </w:r>
            <w:r w:rsidR="001732A1">
              <w:rPr>
                <w:noProof/>
                <w:webHidden/>
              </w:rPr>
              <w:instrText xml:space="preserve"> PAGEREF _Toc48891303 \h </w:instrText>
            </w:r>
            <w:r w:rsidR="001732A1">
              <w:rPr>
                <w:noProof/>
                <w:webHidden/>
              </w:rPr>
            </w:r>
            <w:r w:rsidR="001732A1">
              <w:rPr>
                <w:noProof/>
                <w:webHidden/>
              </w:rPr>
              <w:fldChar w:fldCharType="separate"/>
            </w:r>
            <w:r w:rsidR="001732A1">
              <w:rPr>
                <w:noProof/>
                <w:webHidden/>
              </w:rPr>
              <w:t>27</w:t>
            </w:r>
            <w:r w:rsidR="001732A1">
              <w:rPr>
                <w:noProof/>
                <w:webHidden/>
              </w:rPr>
              <w:fldChar w:fldCharType="end"/>
            </w:r>
          </w:hyperlink>
        </w:p>
        <w:p w14:paraId="3C98BB98" w14:textId="0E29B519" w:rsidR="001732A1" w:rsidRDefault="00550166">
          <w:pPr>
            <w:pStyle w:val="Inhopg3"/>
            <w:tabs>
              <w:tab w:val="right" w:leader="dot" w:pos="9062"/>
            </w:tabs>
            <w:rPr>
              <w:rFonts w:eastAsiaTheme="minorEastAsia"/>
              <w:noProof/>
              <w:lang w:eastAsia="nl-NL"/>
            </w:rPr>
          </w:pPr>
          <w:hyperlink w:anchor="_Toc48891304" w:history="1">
            <w:r w:rsidR="001732A1" w:rsidRPr="000435D1">
              <w:rPr>
                <w:rStyle w:val="Hyperlink"/>
                <w:rFonts w:eastAsia="Times New Roman"/>
                <w:noProof/>
                <w:lang w:val="en-US" w:eastAsia="nl-NL"/>
              </w:rPr>
              <w:t>4.2.2 Phase II: Ensuring a soft-landing for the campaign strategy</w:t>
            </w:r>
            <w:r w:rsidR="001732A1">
              <w:rPr>
                <w:noProof/>
                <w:webHidden/>
              </w:rPr>
              <w:tab/>
            </w:r>
            <w:r w:rsidR="001732A1">
              <w:rPr>
                <w:noProof/>
                <w:webHidden/>
              </w:rPr>
              <w:fldChar w:fldCharType="begin"/>
            </w:r>
            <w:r w:rsidR="001732A1">
              <w:rPr>
                <w:noProof/>
                <w:webHidden/>
              </w:rPr>
              <w:instrText xml:space="preserve"> PAGEREF _Toc48891304 \h </w:instrText>
            </w:r>
            <w:r w:rsidR="001732A1">
              <w:rPr>
                <w:noProof/>
                <w:webHidden/>
              </w:rPr>
            </w:r>
            <w:r w:rsidR="001732A1">
              <w:rPr>
                <w:noProof/>
                <w:webHidden/>
              </w:rPr>
              <w:fldChar w:fldCharType="separate"/>
            </w:r>
            <w:r w:rsidR="001732A1">
              <w:rPr>
                <w:noProof/>
                <w:webHidden/>
              </w:rPr>
              <w:t>28</w:t>
            </w:r>
            <w:r w:rsidR="001732A1">
              <w:rPr>
                <w:noProof/>
                <w:webHidden/>
              </w:rPr>
              <w:fldChar w:fldCharType="end"/>
            </w:r>
          </w:hyperlink>
        </w:p>
        <w:p w14:paraId="4A619634" w14:textId="086920C0" w:rsidR="001732A1" w:rsidRDefault="00550166">
          <w:pPr>
            <w:pStyle w:val="Inhopg3"/>
            <w:tabs>
              <w:tab w:val="right" w:leader="dot" w:pos="9062"/>
            </w:tabs>
            <w:rPr>
              <w:rFonts w:eastAsiaTheme="minorEastAsia"/>
              <w:noProof/>
              <w:lang w:eastAsia="nl-NL"/>
            </w:rPr>
          </w:pPr>
          <w:hyperlink w:anchor="_Toc48891305" w:history="1">
            <w:r w:rsidR="001732A1" w:rsidRPr="000435D1">
              <w:rPr>
                <w:rStyle w:val="Hyperlink"/>
                <w:rFonts w:eastAsia="Times New Roman"/>
                <w:noProof/>
                <w:lang w:val="en-US" w:eastAsia="nl-NL"/>
              </w:rPr>
              <w:t>4.2.3 Phase III: Running the campaign</w:t>
            </w:r>
            <w:r w:rsidR="001732A1">
              <w:rPr>
                <w:noProof/>
                <w:webHidden/>
              </w:rPr>
              <w:tab/>
            </w:r>
            <w:r w:rsidR="001732A1">
              <w:rPr>
                <w:noProof/>
                <w:webHidden/>
              </w:rPr>
              <w:fldChar w:fldCharType="begin"/>
            </w:r>
            <w:r w:rsidR="001732A1">
              <w:rPr>
                <w:noProof/>
                <w:webHidden/>
              </w:rPr>
              <w:instrText xml:space="preserve"> PAGEREF _Toc48891305 \h </w:instrText>
            </w:r>
            <w:r w:rsidR="001732A1">
              <w:rPr>
                <w:noProof/>
                <w:webHidden/>
              </w:rPr>
            </w:r>
            <w:r w:rsidR="001732A1">
              <w:rPr>
                <w:noProof/>
                <w:webHidden/>
              </w:rPr>
              <w:fldChar w:fldCharType="separate"/>
            </w:r>
            <w:r w:rsidR="001732A1">
              <w:rPr>
                <w:noProof/>
                <w:webHidden/>
              </w:rPr>
              <w:t>29</w:t>
            </w:r>
            <w:r w:rsidR="001732A1">
              <w:rPr>
                <w:noProof/>
                <w:webHidden/>
              </w:rPr>
              <w:fldChar w:fldCharType="end"/>
            </w:r>
          </w:hyperlink>
        </w:p>
        <w:p w14:paraId="1CCC1685" w14:textId="49A69708" w:rsidR="001732A1" w:rsidRDefault="00550166">
          <w:pPr>
            <w:pStyle w:val="Inhopg3"/>
            <w:tabs>
              <w:tab w:val="right" w:leader="dot" w:pos="9062"/>
            </w:tabs>
            <w:rPr>
              <w:rFonts w:eastAsiaTheme="minorEastAsia"/>
              <w:noProof/>
              <w:lang w:eastAsia="nl-NL"/>
            </w:rPr>
          </w:pPr>
          <w:hyperlink w:anchor="_Toc48891306" w:history="1">
            <w:r w:rsidR="001732A1" w:rsidRPr="000435D1">
              <w:rPr>
                <w:rStyle w:val="Hyperlink"/>
                <w:rFonts w:eastAsia="Times New Roman"/>
                <w:noProof/>
                <w:lang w:val="en-US" w:eastAsia="nl-NL"/>
              </w:rPr>
              <w:t>4.2.4 Analysis</w:t>
            </w:r>
            <w:r w:rsidR="001732A1">
              <w:rPr>
                <w:noProof/>
                <w:webHidden/>
              </w:rPr>
              <w:tab/>
            </w:r>
            <w:r w:rsidR="001732A1">
              <w:rPr>
                <w:noProof/>
                <w:webHidden/>
              </w:rPr>
              <w:fldChar w:fldCharType="begin"/>
            </w:r>
            <w:r w:rsidR="001732A1">
              <w:rPr>
                <w:noProof/>
                <w:webHidden/>
              </w:rPr>
              <w:instrText xml:space="preserve"> PAGEREF _Toc48891306 \h </w:instrText>
            </w:r>
            <w:r w:rsidR="001732A1">
              <w:rPr>
                <w:noProof/>
                <w:webHidden/>
              </w:rPr>
            </w:r>
            <w:r w:rsidR="001732A1">
              <w:rPr>
                <w:noProof/>
                <w:webHidden/>
              </w:rPr>
              <w:fldChar w:fldCharType="separate"/>
            </w:r>
            <w:r w:rsidR="001732A1">
              <w:rPr>
                <w:noProof/>
                <w:webHidden/>
              </w:rPr>
              <w:t>31</w:t>
            </w:r>
            <w:r w:rsidR="001732A1">
              <w:rPr>
                <w:noProof/>
                <w:webHidden/>
              </w:rPr>
              <w:fldChar w:fldCharType="end"/>
            </w:r>
          </w:hyperlink>
        </w:p>
        <w:p w14:paraId="5C88A6AF" w14:textId="37C5F8B4" w:rsidR="001732A1" w:rsidRDefault="00550166">
          <w:pPr>
            <w:pStyle w:val="Inhopg2"/>
            <w:tabs>
              <w:tab w:val="right" w:leader="dot" w:pos="9062"/>
            </w:tabs>
            <w:rPr>
              <w:rFonts w:eastAsiaTheme="minorEastAsia"/>
              <w:noProof/>
              <w:lang w:eastAsia="nl-NL"/>
            </w:rPr>
          </w:pPr>
          <w:hyperlink w:anchor="_Toc48891307" w:history="1">
            <w:r w:rsidR="001732A1" w:rsidRPr="000435D1">
              <w:rPr>
                <w:rStyle w:val="Hyperlink"/>
                <w:noProof/>
                <w:lang w:val="en-US"/>
              </w:rPr>
              <w:t>4.3 Procedural scripts</w:t>
            </w:r>
            <w:r w:rsidR="001732A1">
              <w:rPr>
                <w:noProof/>
                <w:webHidden/>
              </w:rPr>
              <w:tab/>
            </w:r>
            <w:r w:rsidR="001732A1">
              <w:rPr>
                <w:noProof/>
                <w:webHidden/>
              </w:rPr>
              <w:fldChar w:fldCharType="begin"/>
            </w:r>
            <w:r w:rsidR="001732A1">
              <w:rPr>
                <w:noProof/>
                <w:webHidden/>
              </w:rPr>
              <w:instrText xml:space="preserve"> PAGEREF _Toc48891307 \h </w:instrText>
            </w:r>
            <w:r w:rsidR="001732A1">
              <w:rPr>
                <w:noProof/>
                <w:webHidden/>
              </w:rPr>
            </w:r>
            <w:r w:rsidR="001732A1">
              <w:rPr>
                <w:noProof/>
                <w:webHidden/>
              </w:rPr>
              <w:fldChar w:fldCharType="separate"/>
            </w:r>
            <w:r w:rsidR="001732A1">
              <w:rPr>
                <w:noProof/>
                <w:webHidden/>
              </w:rPr>
              <w:t>32</w:t>
            </w:r>
            <w:r w:rsidR="001732A1">
              <w:rPr>
                <w:noProof/>
                <w:webHidden/>
              </w:rPr>
              <w:fldChar w:fldCharType="end"/>
            </w:r>
          </w:hyperlink>
        </w:p>
        <w:p w14:paraId="016F7486" w14:textId="5406E602" w:rsidR="001732A1" w:rsidRDefault="00550166">
          <w:pPr>
            <w:pStyle w:val="Inhopg3"/>
            <w:tabs>
              <w:tab w:val="right" w:leader="dot" w:pos="9062"/>
            </w:tabs>
            <w:rPr>
              <w:rFonts w:eastAsiaTheme="minorEastAsia"/>
              <w:noProof/>
              <w:lang w:eastAsia="nl-NL"/>
            </w:rPr>
          </w:pPr>
          <w:hyperlink w:anchor="_Toc48891308" w:history="1">
            <w:r w:rsidR="001732A1" w:rsidRPr="000435D1">
              <w:rPr>
                <w:rStyle w:val="Hyperlink"/>
                <w:rFonts w:eastAsia="Times New Roman"/>
                <w:noProof/>
                <w:lang w:val="en-US" w:eastAsia="nl-NL"/>
              </w:rPr>
              <w:t>4.3.1 Phase I: Political and proportional campaign strategy</w:t>
            </w:r>
            <w:r w:rsidR="001732A1">
              <w:rPr>
                <w:noProof/>
                <w:webHidden/>
              </w:rPr>
              <w:tab/>
            </w:r>
            <w:r w:rsidR="001732A1">
              <w:rPr>
                <w:noProof/>
                <w:webHidden/>
              </w:rPr>
              <w:fldChar w:fldCharType="begin"/>
            </w:r>
            <w:r w:rsidR="001732A1">
              <w:rPr>
                <w:noProof/>
                <w:webHidden/>
              </w:rPr>
              <w:instrText xml:space="preserve"> PAGEREF _Toc48891308 \h </w:instrText>
            </w:r>
            <w:r w:rsidR="001732A1">
              <w:rPr>
                <w:noProof/>
                <w:webHidden/>
              </w:rPr>
            </w:r>
            <w:r w:rsidR="001732A1">
              <w:rPr>
                <w:noProof/>
                <w:webHidden/>
              </w:rPr>
              <w:fldChar w:fldCharType="separate"/>
            </w:r>
            <w:r w:rsidR="001732A1">
              <w:rPr>
                <w:noProof/>
                <w:webHidden/>
              </w:rPr>
              <w:t>32</w:t>
            </w:r>
            <w:r w:rsidR="001732A1">
              <w:rPr>
                <w:noProof/>
                <w:webHidden/>
              </w:rPr>
              <w:fldChar w:fldCharType="end"/>
            </w:r>
          </w:hyperlink>
        </w:p>
        <w:p w14:paraId="2BD5F034" w14:textId="66C40D13" w:rsidR="001732A1" w:rsidRDefault="00550166">
          <w:pPr>
            <w:pStyle w:val="Inhopg3"/>
            <w:tabs>
              <w:tab w:val="right" w:leader="dot" w:pos="9062"/>
            </w:tabs>
            <w:rPr>
              <w:rFonts w:eastAsiaTheme="minorEastAsia"/>
              <w:noProof/>
              <w:lang w:eastAsia="nl-NL"/>
            </w:rPr>
          </w:pPr>
          <w:hyperlink w:anchor="_Toc48891309" w:history="1">
            <w:r w:rsidR="001732A1" w:rsidRPr="000435D1">
              <w:rPr>
                <w:rStyle w:val="Hyperlink"/>
                <w:rFonts w:eastAsia="Times New Roman"/>
                <w:noProof/>
                <w:lang w:val="en-US" w:eastAsia="nl-NL"/>
              </w:rPr>
              <w:t>4.3.2 Phase II: Ad-hoc provision of public information</w:t>
            </w:r>
            <w:r w:rsidR="001732A1">
              <w:rPr>
                <w:noProof/>
                <w:webHidden/>
              </w:rPr>
              <w:tab/>
            </w:r>
            <w:r w:rsidR="001732A1">
              <w:rPr>
                <w:noProof/>
                <w:webHidden/>
              </w:rPr>
              <w:fldChar w:fldCharType="begin"/>
            </w:r>
            <w:r w:rsidR="001732A1">
              <w:rPr>
                <w:noProof/>
                <w:webHidden/>
              </w:rPr>
              <w:instrText xml:space="preserve"> PAGEREF _Toc48891309 \h </w:instrText>
            </w:r>
            <w:r w:rsidR="001732A1">
              <w:rPr>
                <w:noProof/>
                <w:webHidden/>
              </w:rPr>
            </w:r>
            <w:r w:rsidR="001732A1">
              <w:rPr>
                <w:noProof/>
                <w:webHidden/>
              </w:rPr>
              <w:fldChar w:fldCharType="separate"/>
            </w:r>
            <w:r w:rsidR="001732A1">
              <w:rPr>
                <w:noProof/>
                <w:webHidden/>
              </w:rPr>
              <w:t>33</w:t>
            </w:r>
            <w:r w:rsidR="001732A1">
              <w:rPr>
                <w:noProof/>
                <w:webHidden/>
              </w:rPr>
              <w:fldChar w:fldCharType="end"/>
            </w:r>
          </w:hyperlink>
        </w:p>
        <w:p w14:paraId="496CC538" w14:textId="193F0C51" w:rsidR="001732A1" w:rsidRDefault="00550166">
          <w:pPr>
            <w:pStyle w:val="Inhopg3"/>
            <w:tabs>
              <w:tab w:val="right" w:leader="dot" w:pos="9062"/>
            </w:tabs>
            <w:rPr>
              <w:rFonts w:eastAsiaTheme="minorEastAsia"/>
              <w:noProof/>
              <w:lang w:eastAsia="nl-NL"/>
            </w:rPr>
          </w:pPr>
          <w:hyperlink w:anchor="_Toc48891310" w:history="1">
            <w:r w:rsidR="001732A1" w:rsidRPr="000435D1">
              <w:rPr>
                <w:rStyle w:val="Hyperlink"/>
                <w:rFonts w:eastAsia="Times New Roman"/>
                <w:noProof/>
                <w:lang w:val="en-US" w:eastAsia="nl-NL"/>
              </w:rPr>
              <w:t>4.3.3 Phase III: Inter-departmental tensions and political campaigning</w:t>
            </w:r>
            <w:r w:rsidR="001732A1">
              <w:rPr>
                <w:noProof/>
                <w:webHidden/>
              </w:rPr>
              <w:tab/>
            </w:r>
            <w:r w:rsidR="001732A1">
              <w:rPr>
                <w:noProof/>
                <w:webHidden/>
              </w:rPr>
              <w:fldChar w:fldCharType="begin"/>
            </w:r>
            <w:r w:rsidR="001732A1">
              <w:rPr>
                <w:noProof/>
                <w:webHidden/>
              </w:rPr>
              <w:instrText xml:space="preserve"> PAGEREF _Toc48891310 \h </w:instrText>
            </w:r>
            <w:r w:rsidR="001732A1">
              <w:rPr>
                <w:noProof/>
                <w:webHidden/>
              </w:rPr>
            </w:r>
            <w:r w:rsidR="001732A1">
              <w:rPr>
                <w:noProof/>
                <w:webHidden/>
              </w:rPr>
              <w:fldChar w:fldCharType="separate"/>
            </w:r>
            <w:r w:rsidR="001732A1">
              <w:rPr>
                <w:noProof/>
                <w:webHidden/>
              </w:rPr>
              <w:t>34</w:t>
            </w:r>
            <w:r w:rsidR="001732A1">
              <w:rPr>
                <w:noProof/>
                <w:webHidden/>
              </w:rPr>
              <w:fldChar w:fldCharType="end"/>
            </w:r>
          </w:hyperlink>
        </w:p>
        <w:p w14:paraId="6CD6E1E0" w14:textId="1A690C29" w:rsidR="001732A1" w:rsidRDefault="00550166">
          <w:pPr>
            <w:pStyle w:val="Inhopg3"/>
            <w:tabs>
              <w:tab w:val="right" w:leader="dot" w:pos="9062"/>
            </w:tabs>
            <w:rPr>
              <w:rFonts w:eastAsiaTheme="minorEastAsia"/>
              <w:noProof/>
              <w:lang w:eastAsia="nl-NL"/>
            </w:rPr>
          </w:pPr>
          <w:hyperlink w:anchor="_Toc48891311" w:history="1">
            <w:r w:rsidR="001732A1" w:rsidRPr="000435D1">
              <w:rPr>
                <w:rStyle w:val="Hyperlink"/>
                <w:rFonts w:eastAsia="Times New Roman"/>
                <w:noProof/>
                <w:lang w:val="en-US" w:eastAsia="nl-NL"/>
              </w:rPr>
              <w:t>4.3.4 Analysis</w:t>
            </w:r>
            <w:r w:rsidR="001732A1">
              <w:rPr>
                <w:noProof/>
                <w:webHidden/>
              </w:rPr>
              <w:tab/>
            </w:r>
            <w:r w:rsidR="001732A1">
              <w:rPr>
                <w:noProof/>
                <w:webHidden/>
              </w:rPr>
              <w:fldChar w:fldCharType="begin"/>
            </w:r>
            <w:r w:rsidR="001732A1">
              <w:rPr>
                <w:noProof/>
                <w:webHidden/>
              </w:rPr>
              <w:instrText xml:space="preserve"> PAGEREF _Toc48891311 \h </w:instrText>
            </w:r>
            <w:r w:rsidR="001732A1">
              <w:rPr>
                <w:noProof/>
                <w:webHidden/>
              </w:rPr>
            </w:r>
            <w:r w:rsidR="001732A1">
              <w:rPr>
                <w:noProof/>
                <w:webHidden/>
              </w:rPr>
              <w:fldChar w:fldCharType="separate"/>
            </w:r>
            <w:r w:rsidR="001732A1">
              <w:rPr>
                <w:noProof/>
                <w:webHidden/>
              </w:rPr>
              <w:t>35</w:t>
            </w:r>
            <w:r w:rsidR="001732A1">
              <w:rPr>
                <w:noProof/>
                <w:webHidden/>
              </w:rPr>
              <w:fldChar w:fldCharType="end"/>
            </w:r>
          </w:hyperlink>
        </w:p>
        <w:p w14:paraId="0AA43F85" w14:textId="08A57725" w:rsidR="001732A1" w:rsidRDefault="00550166">
          <w:pPr>
            <w:pStyle w:val="Inhopg2"/>
            <w:tabs>
              <w:tab w:val="right" w:leader="dot" w:pos="9062"/>
            </w:tabs>
            <w:rPr>
              <w:rFonts w:eastAsiaTheme="minorEastAsia"/>
              <w:noProof/>
              <w:lang w:eastAsia="nl-NL"/>
            </w:rPr>
          </w:pPr>
          <w:hyperlink w:anchor="_Toc48891312" w:history="1">
            <w:r w:rsidR="001732A1" w:rsidRPr="000435D1">
              <w:rPr>
                <w:rStyle w:val="Hyperlink"/>
                <w:noProof/>
                <w:lang w:val="en-US"/>
              </w:rPr>
              <w:t>4.4 Cultural rationales</w:t>
            </w:r>
            <w:r w:rsidR="001732A1">
              <w:rPr>
                <w:noProof/>
                <w:webHidden/>
              </w:rPr>
              <w:tab/>
            </w:r>
            <w:r w:rsidR="001732A1">
              <w:rPr>
                <w:noProof/>
                <w:webHidden/>
              </w:rPr>
              <w:fldChar w:fldCharType="begin"/>
            </w:r>
            <w:r w:rsidR="001732A1">
              <w:rPr>
                <w:noProof/>
                <w:webHidden/>
              </w:rPr>
              <w:instrText xml:space="preserve"> PAGEREF _Toc48891312 \h </w:instrText>
            </w:r>
            <w:r w:rsidR="001732A1">
              <w:rPr>
                <w:noProof/>
                <w:webHidden/>
              </w:rPr>
            </w:r>
            <w:r w:rsidR="001732A1">
              <w:rPr>
                <w:noProof/>
                <w:webHidden/>
              </w:rPr>
              <w:fldChar w:fldCharType="separate"/>
            </w:r>
            <w:r w:rsidR="001732A1">
              <w:rPr>
                <w:noProof/>
                <w:webHidden/>
              </w:rPr>
              <w:t>35</w:t>
            </w:r>
            <w:r w:rsidR="001732A1">
              <w:rPr>
                <w:noProof/>
                <w:webHidden/>
              </w:rPr>
              <w:fldChar w:fldCharType="end"/>
            </w:r>
          </w:hyperlink>
        </w:p>
        <w:p w14:paraId="5A258F95" w14:textId="48AD509C" w:rsidR="001732A1" w:rsidRDefault="00550166">
          <w:pPr>
            <w:pStyle w:val="Inhopg3"/>
            <w:tabs>
              <w:tab w:val="right" w:leader="dot" w:pos="9062"/>
            </w:tabs>
            <w:rPr>
              <w:rFonts w:eastAsiaTheme="minorEastAsia"/>
              <w:noProof/>
              <w:lang w:eastAsia="nl-NL"/>
            </w:rPr>
          </w:pPr>
          <w:hyperlink w:anchor="_Toc48891313" w:history="1">
            <w:r w:rsidR="001732A1" w:rsidRPr="000435D1">
              <w:rPr>
                <w:rStyle w:val="Hyperlink"/>
                <w:rFonts w:eastAsia="Times New Roman"/>
                <w:noProof/>
                <w:lang w:val="en-US" w:eastAsia="nl-NL"/>
              </w:rPr>
              <w:t>4.4.1 Phase I: Positive messaging and modest budgets</w:t>
            </w:r>
            <w:r w:rsidR="001732A1">
              <w:rPr>
                <w:noProof/>
                <w:webHidden/>
              </w:rPr>
              <w:tab/>
            </w:r>
            <w:r w:rsidR="001732A1">
              <w:rPr>
                <w:noProof/>
                <w:webHidden/>
              </w:rPr>
              <w:fldChar w:fldCharType="begin"/>
            </w:r>
            <w:r w:rsidR="001732A1">
              <w:rPr>
                <w:noProof/>
                <w:webHidden/>
              </w:rPr>
              <w:instrText xml:space="preserve"> PAGEREF _Toc48891313 \h </w:instrText>
            </w:r>
            <w:r w:rsidR="001732A1">
              <w:rPr>
                <w:noProof/>
                <w:webHidden/>
              </w:rPr>
            </w:r>
            <w:r w:rsidR="001732A1">
              <w:rPr>
                <w:noProof/>
                <w:webHidden/>
              </w:rPr>
              <w:fldChar w:fldCharType="separate"/>
            </w:r>
            <w:r w:rsidR="001732A1">
              <w:rPr>
                <w:noProof/>
                <w:webHidden/>
              </w:rPr>
              <w:t>35</w:t>
            </w:r>
            <w:r w:rsidR="001732A1">
              <w:rPr>
                <w:noProof/>
                <w:webHidden/>
              </w:rPr>
              <w:fldChar w:fldCharType="end"/>
            </w:r>
          </w:hyperlink>
        </w:p>
        <w:p w14:paraId="6E021ECB" w14:textId="051F4597" w:rsidR="001732A1" w:rsidRDefault="00550166">
          <w:pPr>
            <w:pStyle w:val="Inhopg3"/>
            <w:tabs>
              <w:tab w:val="right" w:leader="dot" w:pos="9062"/>
            </w:tabs>
            <w:rPr>
              <w:rFonts w:eastAsiaTheme="minorEastAsia"/>
              <w:noProof/>
              <w:lang w:eastAsia="nl-NL"/>
            </w:rPr>
          </w:pPr>
          <w:hyperlink w:anchor="_Toc48891314" w:history="1">
            <w:r w:rsidR="001732A1" w:rsidRPr="000435D1">
              <w:rPr>
                <w:rStyle w:val="Hyperlink"/>
                <w:rFonts w:eastAsia="Times New Roman"/>
                <w:noProof/>
                <w:lang w:val="en-US" w:eastAsia="nl-NL"/>
              </w:rPr>
              <w:t>4.4.2 Phase II: Nuanced messaging and providing information</w:t>
            </w:r>
            <w:r w:rsidR="001732A1">
              <w:rPr>
                <w:noProof/>
                <w:webHidden/>
              </w:rPr>
              <w:tab/>
            </w:r>
            <w:r w:rsidR="001732A1">
              <w:rPr>
                <w:noProof/>
                <w:webHidden/>
              </w:rPr>
              <w:fldChar w:fldCharType="begin"/>
            </w:r>
            <w:r w:rsidR="001732A1">
              <w:rPr>
                <w:noProof/>
                <w:webHidden/>
              </w:rPr>
              <w:instrText xml:space="preserve"> PAGEREF _Toc48891314 \h </w:instrText>
            </w:r>
            <w:r w:rsidR="001732A1">
              <w:rPr>
                <w:noProof/>
                <w:webHidden/>
              </w:rPr>
            </w:r>
            <w:r w:rsidR="001732A1">
              <w:rPr>
                <w:noProof/>
                <w:webHidden/>
              </w:rPr>
              <w:fldChar w:fldCharType="separate"/>
            </w:r>
            <w:r w:rsidR="001732A1">
              <w:rPr>
                <w:noProof/>
                <w:webHidden/>
              </w:rPr>
              <w:t>36</w:t>
            </w:r>
            <w:r w:rsidR="001732A1">
              <w:rPr>
                <w:noProof/>
                <w:webHidden/>
              </w:rPr>
              <w:fldChar w:fldCharType="end"/>
            </w:r>
          </w:hyperlink>
        </w:p>
        <w:p w14:paraId="62643F84" w14:textId="18735883" w:rsidR="001732A1" w:rsidRDefault="00550166">
          <w:pPr>
            <w:pStyle w:val="Inhopg3"/>
            <w:tabs>
              <w:tab w:val="right" w:leader="dot" w:pos="9062"/>
            </w:tabs>
            <w:rPr>
              <w:rFonts w:eastAsiaTheme="minorEastAsia"/>
              <w:noProof/>
              <w:lang w:eastAsia="nl-NL"/>
            </w:rPr>
          </w:pPr>
          <w:hyperlink w:anchor="_Toc48891315" w:history="1">
            <w:r w:rsidR="001732A1" w:rsidRPr="000435D1">
              <w:rPr>
                <w:rStyle w:val="Hyperlink"/>
                <w:rFonts w:eastAsia="Times New Roman"/>
                <w:noProof/>
                <w:lang w:val="en-US" w:eastAsia="nl-NL"/>
              </w:rPr>
              <w:t>4.4.3 Phase III: Incorporating counter-arguments and purchasing publicity</w:t>
            </w:r>
            <w:r w:rsidR="001732A1">
              <w:rPr>
                <w:noProof/>
                <w:webHidden/>
              </w:rPr>
              <w:tab/>
            </w:r>
            <w:r w:rsidR="001732A1">
              <w:rPr>
                <w:noProof/>
                <w:webHidden/>
              </w:rPr>
              <w:fldChar w:fldCharType="begin"/>
            </w:r>
            <w:r w:rsidR="001732A1">
              <w:rPr>
                <w:noProof/>
                <w:webHidden/>
              </w:rPr>
              <w:instrText xml:space="preserve"> PAGEREF _Toc48891315 \h </w:instrText>
            </w:r>
            <w:r w:rsidR="001732A1">
              <w:rPr>
                <w:noProof/>
                <w:webHidden/>
              </w:rPr>
            </w:r>
            <w:r w:rsidR="001732A1">
              <w:rPr>
                <w:noProof/>
                <w:webHidden/>
              </w:rPr>
              <w:fldChar w:fldCharType="separate"/>
            </w:r>
            <w:r w:rsidR="001732A1">
              <w:rPr>
                <w:noProof/>
                <w:webHidden/>
              </w:rPr>
              <w:t>37</w:t>
            </w:r>
            <w:r w:rsidR="001732A1">
              <w:rPr>
                <w:noProof/>
                <w:webHidden/>
              </w:rPr>
              <w:fldChar w:fldCharType="end"/>
            </w:r>
          </w:hyperlink>
        </w:p>
        <w:p w14:paraId="3AE588D7" w14:textId="7A27AFD9" w:rsidR="001732A1" w:rsidRDefault="00550166">
          <w:pPr>
            <w:pStyle w:val="Inhopg3"/>
            <w:tabs>
              <w:tab w:val="right" w:leader="dot" w:pos="9062"/>
            </w:tabs>
            <w:rPr>
              <w:rFonts w:eastAsiaTheme="minorEastAsia"/>
              <w:noProof/>
              <w:lang w:eastAsia="nl-NL"/>
            </w:rPr>
          </w:pPr>
          <w:hyperlink w:anchor="_Toc48891316" w:history="1">
            <w:r w:rsidR="001732A1" w:rsidRPr="000435D1">
              <w:rPr>
                <w:rStyle w:val="Hyperlink"/>
                <w:rFonts w:eastAsia="Times New Roman"/>
                <w:noProof/>
                <w:lang w:val="en-US" w:eastAsia="nl-NL"/>
              </w:rPr>
              <w:t>4.4.4 Analysis</w:t>
            </w:r>
            <w:r w:rsidR="001732A1">
              <w:rPr>
                <w:noProof/>
                <w:webHidden/>
              </w:rPr>
              <w:tab/>
            </w:r>
            <w:r w:rsidR="001732A1">
              <w:rPr>
                <w:noProof/>
                <w:webHidden/>
              </w:rPr>
              <w:fldChar w:fldCharType="begin"/>
            </w:r>
            <w:r w:rsidR="001732A1">
              <w:rPr>
                <w:noProof/>
                <w:webHidden/>
              </w:rPr>
              <w:instrText xml:space="preserve"> PAGEREF _Toc48891316 \h </w:instrText>
            </w:r>
            <w:r w:rsidR="001732A1">
              <w:rPr>
                <w:noProof/>
                <w:webHidden/>
              </w:rPr>
            </w:r>
            <w:r w:rsidR="001732A1">
              <w:rPr>
                <w:noProof/>
                <w:webHidden/>
              </w:rPr>
              <w:fldChar w:fldCharType="separate"/>
            </w:r>
            <w:r w:rsidR="001732A1">
              <w:rPr>
                <w:noProof/>
                <w:webHidden/>
              </w:rPr>
              <w:t>38</w:t>
            </w:r>
            <w:r w:rsidR="001732A1">
              <w:rPr>
                <w:noProof/>
                <w:webHidden/>
              </w:rPr>
              <w:fldChar w:fldCharType="end"/>
            </w:r>
          </w:hyperlink>
        </w:p>
        <w:p w14:paraId="12BF6A70" w14:textId="3A7BB65F" w:rsidR="001732A1" w:rsidRDefault="00550166">
          <w:pPr>
            <w:pStyle w:val="Inhopg2"/>
            <w:tabs>
              <w:tab w:val="right" w:leader="dot" w:pos="9062"/>
            </w:tabs>
            <w:rPr>
              <w:rFonts w:eastAsiaTheme="minorEastAsia"/>
              <w:noProof/>
              <w:lang w:eastAsia="nl-NL"/>
            </w:rPr>
          </w:pPr>
          <w:hyperlink w:anchor="_Toc48891317" w:history="1">
            <w:r w:rsidR="001732A1" w:rsidRPr="000435D1">
              <w:rPr>
                <w:rStyle w:val="Hyperlink"/>
                <w:noProof/>
                <w:lang w:val="en-US"/>
              </w:rPr>
              <w:t>4.5 Defective decision-making</w:t>
            </w:r>
            <w:r w:rsidR="001732A1">
              <w:rPr>
                <w:noProof/>
                <w:webHidden/>
              </w:rPr>
              <w:tab/>
            </w:r>
            <w:r w:rsidR="001732A1">
              <w:rPr>
                <w:noProof/>
                <w:webHidden/>
              </w:rPr>
              <w:fldChar w:fldCharType="begin"/>
            </w:r>
            <w:r w:rsidR="001732A1">
              <w:rPr>
                <w:noProof/>
                <w:webHidden/>
              </w:rPr>
              <w:instrText xml:space="preserve"> PAGEREF _Toc48891317 \h </w:instrText>
            </w:r>
            <w:r w:rsidR="001732A1">
              <w:rPr>
                <w:noProof/>
                <w:webHidden/>
              </w:rPr>
            </w:r>
            <w:r w:rsidR="001732A1">
              <w:rPr>
                <w:noProof/>
                <w:webHidden/>
              </w:rPr>
              <w:fldChar w:fldCharType="separate"/>
            </w:r>
            <w:r w:rsidR="001732A1">
              <w:rPr>
                <w:noProof/>
                <w:webHidden/>
              </w:rPr>
              <w:t>38</w:t>
            </w:r>
            <w:r w:rsidR="001732A1">
              <w:rPr>
                <w:noProof/>
                <w:webHidden/>
              </w:rPr>
              <w:fldChar w:fldCharType="end"/>
            </w:r>
          </w:hyperlink>
        </w:p>
        <w:p w14:paraId="5463055B" w14:textId="114573F9" w:rsidR="001732A1" w:rsidRPr="001732A1" w:rsidRDefault="00550166" w:rsidP="001732A1">
          <w:pPr>
            <w:pStyle w:val="Inhopg1"/>
            <w:rPr>
              <w:rFonts w:eastAsiaTheme="minorEastAsia"/>
              <w:lang w:eastAsia="nl-NL"/>
            </w:rPr>
          </w:pPr>
          <w:hyperlink w:anchor="_Toc48891318" w:history="1">
            <w:r w:rsidR="001732A1" w:rsidRPr="001732A1">
              <w:rPr>
                <w:rStyle w:val="Hyperlink"/>
                <w:b/>
                <w:bCs/>
              </w:rPr>
              <w:t xml:space="preserve">5. </w:t>
            </w:r>
            <w:r w:rsidR="001732A1" w:rsidRPr="001732A1">
              <w:rPr>
                <w:rStyle w:val="Hyperlink"/>
              </w:rPr>
              <w:t>Conclusion</w:t>
            </w:r>
            <w:r w:rsidR="001732A1" w:rsidRPr="001732A1">
              <w:rPr>
                <w:webHidden/>
              </w:rPr>
              <w:tab/>
            </w:r>
            <w:r w:rsidR="001732A1" w:rsidRPr="001732A1">
              <w:rPr>
                <w:webHidden/>
              </w:rPr>
              <w:fldChar w:fldCharType="begin"/>
            </w:r>
            <w:r w:rsidR="001732A1" w:rsidRPr="001732A1">
              <w:rPr>
                <w:webHidden/>
              </w:rPr>
              <w:instrText xml:space="preserve"> PAGEREF _Toc48891318 \h </w:instrText>
            </w:r>
            <w:r w:rsidR="001732A1" w:rsidRPr="001732A1">
              <w:rPr>
                <w:webHidden/>
              </w:rPr>
            </w:r>
            <w:r w:rsidR="001732A1" w:rsidRPr="001732A1">
              <w:rPr>
                <w:webHidden/>
              </w:rPr>
              <w:fldChar w:fldCharType="separate"/>
            </w:r>
            <w:r w:rsidR="001732A1" w:rsidRPr="001732A1">
              <w:rPr>
                <w:webHidden/>
              </w:rPr>
              <w:t>40</w:t>
            </w:r>
            <w:r w:rsidR="001732A1" w:rsidRPr="001732A1">
              <w:rPr>
                <w:webHidden/>
              </w:rPr>
              <w:fldChar w:fldCharType="end"/>
            </w:r>
          </w:hyperlink>
        </w:p>
        <w:p w14:paraId="75D15683" w14:textId="702D4975" w:rsidR="001732A1" w:rsidRDefault="00550166">
          <w:pPr>
            <w:pStyle w:val="Inhopg2"/>
            <w:tabs>
              <w:tab w:val="right" w:leader="dot" w:pos="9062"/>
            </w:tabs>
            <w:rPr>
              <w:rFonts w:eastAsiaTheme="minorEastAsia"/>
              <w:noProof/>
              <w:lang w:eastAsia="nl-NL"/>
            </w:rPr>
          </w:pPr>
          <w:hyperlink w:anchor="_Toc48891319" w:history="1">
            <w:r w:rsidR="001732A1" w:rsidRPr="000435D1">
              <w:rPr>
                <w:rStyle w:val="Hyperlink"/>
                <w:noProof/>
                <w:lang w:val="en-US"/>
              </w:rPr>
              <w:t>5.1 Answering the research question</w:t>
            </w:r>
            <w:r w:rsidR="001732A1">
              <w:rPr>
                <w:noProof/>
                <w:webHidden/>
              </w:rPr>
              <w:tab/>
            </w:r>
            <w:r w:rsidR="001732A1">
              <w:rPr>
                <w:noProof/>
                <w:webHidden/>
              </w:rPr>
              <w:fldChar w:fldCharType="begin"/>
            </w:r>
            <w:r w:rsidR="001732A1">
              <w:rPr>
                <w:noProof/>
                <w:webHidden/>
              </w:rPr>
              <w:instrText xml:space="preserve"> PAGEREF _Toc48891319 \h </w:instrText>
            </w:r>
            <w:r w:rsidR="001732A1">
              <w:rPr>
                <w:noProof/>
                <w:webHidden/>
              </w:rPr>
            </w:r>
            <w:r w:rsidR="001732A1">
              <w:rPr>
                <w:noProof/>
                <w:webHidden/>
              </w:rPr>
              <w:fldChar w:fldCharType="separate"/>
            </w:r>
            <w:r w:rsidR="001732A1">
              <w:rPr>
                <w:noProof/>
                <w:webHidden/>
              </w:rPr>
              <w:t>40</w:t>
            </w:r>
            <w:r w:rsidR="001732A1">
              <w:rPr>
                <w:noProof/>
                <w:webHidden/>
              </w:rPr>
              <w:fldChar w:fldCharType="end"/>
            </w:r>
          </w:hyperlink>
        </w:p>
        <w:p w14:paraId="7AF0D35A" w14:textId="4C8473C0" w:rsidR="001732A1" w:rsidRDefault="00550166">
          <w:pPr>
            <w:pStyle w:val="Inhopg2"/>
            <w:tabs>
              <w:tab w:val="right" w:leader="dot" w:pos="9062"/>
            </w:tabs>
            <w:rPr>
              <w:rFonts w:eastAsiaTheme="minorEastAsia"/>
              <w:noProof/>
              <w:lang w:eastAsia="nl-NL"/>
            </w:rPr>
          </w:pPr>
          <w:hyperlink w:anchor="_Toc48891320" w:history="1">
            <w:r w:rsidR="001732A1" w:rsidRPr="000435D1">
              <w:rPr>
                <w:rStyle w:val="Hyperlink"/>
                <w:noProof/>
                <w:lang w:val="en-US"/>
              </w:rPr>
              <w:t>5.2 Theoretical reflection</w:t>
            </w:r>
            <w:r w:rsidR="001732A1">
              <w:rPr>
                <w:noProof/>
                <w:webHidden/>
              </w:rPr>
              <w:tab/>
            </w:r>
            <w:r w:rsidR="001732A1">
              <w:rPr>
                <w:noProof/>
                <w:webHidden/>
              </w:rPr>
              <w:fldChar w:fldCharType="begin"/>
            </w:r>
            <w:r w:rsidR="001732A1">
              <w:rPr>
                <w:noProof/>
                <w:webHidden/>
              </w:rPr>
              <w:instrText xml:space="preserve"> PAGEREF _Toc48891320 \h </w:instrText>
            </w:r>
            <w:r w:rsidR="001732A1">
              <w:rPr>
                <w:noProof/>
                <w:webHidden/>
              </w:rPr>
            </w:r>
            <w:r w:rsidR="001732A1">
              <w:rPr>
                <w:noProof/>
                <w:webHidden/>
              </w:rPr>
              <w:fldChar w:fldCharType="separate"/>
            </w:r>
            <w:r w:rsidR="001732A1">
              <w:rPr>
                <w:noProof/>
                <w:webHidden/>
              </w:rPr>
              <w:t>41</w:t>
            </w:r>
            <w:r w:rsidR="001732A1">
              <w:rPr>
                <w:noProof/>
                <w:webHidden/>
              </w:rPr>
              <w:fldChar w:fldCharType="end"/>
            </w:r>
          </w:hyperlink>
        </w:p>
        <w:p w14:paraId="03E915F7" w14:textId="3D464624" w:rsidR="001732A1" w:rsidRDefault="00550166">
          <w:pPr>
            <w:pStyle w:val="Inhopg3"/>
            <w:tabs>
              <w:tab w:val="right" w:leader="dot" w:pos="9062"/>
            </w:tabs>
            <w:rPr>
              <w:rFonts w:eastAsiaTheme="minorEastAsia"/>
              <w:noProof/>
              <w:lang w:eastAsia="nl-NL"/>
            </w:rPr>
          </w:pPr>
          <w:hyperlink w:anchor="_Toc48891321" w:history="1">
            <w:r w:rsidR="001732A1" w:rsidRPr="000435D1">
              <w:rPr>
                <w:rStyle w:val="Hyperlink"/>
                <w:rFonts w:eastAsia="Times New Roman"/>
                <w:noProof/>
                <w:lang w:val="en-US" w:eastAsia="nl-NL"/>
              </w:rPr>
              <w:t>5.2.1 Theoretical limitations</w:t>
            </w:r>
            <w:r w:rsidR="001732A1">
              <w:rPr>
                <w:noProof/>
                <w:webHidden/>
              </w:rPr>
              <w:tab/>
            </w:r>
            <w:r w:rsidR="001732A1">
              <w:rPr>
                <w:noProof/>
                <w:webHidden/>
              </w:rPr>
              <w:fldChar w:fldCharType="begin"/>
            </w:r>
            <w:r w:rsidR="001732A1">
              <w:rPr>
                <w:noProof/>
                <w:webHidden/>
              </w:rPr>
              <w:instrText xml:space="preserve"> PAGEREF _Toc48891321 \h </w:instrText>
            </w:r>
            <w:r w:rsidR="001732A1">
              <w:rPr>
                <w:noProof/>
                <w:webHidden/>
              </w:rPr>
            </w:r>
            <w:r w:rsidR="001732A1">
              <w:rPr>
                <w:noProof/>
                <w:webHidden/>
              </w:rPr>
              <w:fldChar w:fldCharType="separate"/>
            </w:r>
            <w:r w:rsidR="001732A1">
              <w:rPr>
                <w:noProof/>
                <w:webHidden/>
              </w:rPr>
              <w:t>42</w:t>
            </w:r>
            <w:r w:rsidR="001732A1">
              <w:rPr>
                <w:noProof/>
                <w:webHidden/>
              </w:rPr>
              <w:fldChar w:fldCharType="end"/>
            </w:r>
          </w:hyperlink>
        </w:p>
        <w:p w14:paraId="1FFC585C" w14:textId="7BE2E628" w:rsidR="001732A1" w:rsidRDefault="00550166">
          <w:pPr>
            <w:pStyle w:val="Inhopg3"/>
            <w:tabs>
              <w:tab w:val="right" w:leader="dot" w:pos="9062"/>
            </w:tabs>
            <w:rPr>
              <w:rFonts w:eastAsiaTheme="minorEastAsia"/>
              <w:noProof/>
              <w:lang w:eastAsia="nl-NL"/>
            </w:rPr>
          </w:pPr>
          <w:hyperlink w:anchor="_Toc48891322" w:history="1">
            <w:r w:rsidR="001732A1" w:rsidRPr="000435D1">
              <w:rPr>
                <w:rStyle w:val="Hyperlink"/>
                <w:rFonts w:eastAsia="Times New Roman"/>
                <w:noProof/>
                <w:lang w:val="en-US" w:eastAsia="nl-NL"/>
              </w:rPr>
              <w:t>5.2.2 Alternative explanations</w:t>
            </w:r>
            <w:r w:rsidR="001732A1">
              <w:rPr>
                <w:noProof/>
                <w:webHidden/>
              </w:rPr>
              <w:tab/>
            </w:r>
            <w:r w:rsidR="001732A1">
              <w:rPr>
                <w:noProof/>
                <w:webHidden/>
              </w:rPr>
              <w:fldChar w:fldCharType="begin"/>
            </w:r>
            <w:r w:rsidR="001732A1">
              <w:rPr>
                <w:noProof/>
                <w:webHidden/>
              </w:rPr>
              <w:instrText xml:space="preserve"> PAGEREF _Toc48891322 \h </w:instrText>
            </w:r>
            <w:r w:rsidR="001732A1">
              <w:rPr>
                <w:noProof/>
                <w:webHidden/>
              </w:rPr>
            </w:r>
            <w:r w:rsidR="001732A1">
              <w:rPr>
                <w:noProof/>
                <w:webHidden/>
              </w:rPr>
              <w:fldChar w:fldCharType="separate"/>
            </w:r>
            <w:r w:rsidR="001732A1">
              <w:rPr>
                <w:noProof/>
                <w:webHidden/>
              </w:rPr>
              <w:t>42</w:t>
            </w:r>
            <w:r w:rsidR="001732A1">
              <w:rPr>
                <w:noProof/>
                <w:webHidden/>
              </w:rPr>
              <w:fldChar w:fldCharType="end"/>
            </w:r>
          </w:hyperlink>
        </w:p>
        <w:p w14:paraId="2ED67AAB" w14:textId="30F5C7FB" w:rsidR="001732A1" w:rsidRDefault="00550166">
          <w:pPr>
            <w:pStyle w:val="Inhopg2"/>
            <w:tabs>
              <w:tab w:val="right" w:leader="dot" w:pos="9062"/>
            </w:tabs>
            <w:rPr>
              <w:rFonts w:eastAsiaTheme="minorEastAsia"/>
              <w:noProof/>
              <w:lang w:eastAsia="nl-NL"/>
            </w:rPr>
          </w:pPr>
          <w:hyperlink w:anchor="_Toc48891323" w:history="1">
            <w:r w:rsidR="001732A1" w:rsidRPr="000435D1">
              <w:rPr>
                <w:rStyle w:val="Hyperlink"/>
                <w:noProof/>
                <w:lang w:val="en-US"/>
              </w:rPr>
              <w:t>5.3 Methodological reflection</w:t>
            </w:r>
            <w:r w:rsidR="001732A1">
              <w:rPr>
                <w:noProof/>
                <w:webHidden/>
              </w:rPr>
              <w:tab/>
            </w:r>
            <w:r w:rsidR="001732A1">
              <w:rPr>
                <w:noProof/>
                <w:webHidden/>
              </w:rPr>
              <w:fldChar w:fldCharType="begin"/>
            </w:r>
            <w:r w:rsidR="001732A1">
              <w:rPr>
                <w:noProof/>
                <w:webHidden/>
              </w:rPr>
              <w:instrText xml:space="preserve"> PAGEREF _Toc48891323 \h </w:instrText>
            </w:r>
            <w:r w:rsidR="001732A1">
              <w:rPr>
                <w:noProof/>
                <w:webHidden/>
              </w:rPr>
            </w:r>
            <w:r w:rsidR="001732A1">
              <w:rPr>
                <w:noProof/>
                <w:webHidden/>
              </w:rPr>
              <w:fldChar w:fldCharType="separate"/>
            </w:r>
            <w:r w:rsidR="001732A1">
              <w:rPr>
                <w:noProof/>
                <w:webHidden/>
              </w:rPr>
              <w:t>42</w:t>
            </w:r>
            <w:r w:rsidR="001732A1">
              <w:rPr>
                <w:noProof/>
                <w:webHidden/>
              </w:rPr>
              <w:fldChar w:fldCharType="end"/>
            </w:r>
          </w:hyperlink>
        </w:p>
        <w:p w14:paraId="752CC344" w14:textId="1B440EA8" w:rsidR="001732A1" w:rsidRDefault="00550166">
          <w:pPr>
            <w:pStyle w:val="Inhopg2"/>
            <w:tabs>
              <w:tab w:val="right" w:leader="dot" w:pos="9062"/>
            </w:tabs>
            <w:rPr>
              <w:rFonts w:eastAsiaTheme="minorEastAsia"/>
              <w:noProof/>
              <w:lang w:eastAsia="nl-NL"/>
            </w:rPr>
          </w:pPr>
          <w:hyperlink w:anchor="_Toc48891324" w:history="1">
            <w:r w:rsidR="001732A1" w:rsidRPr="000435D1">
              <w:rPr>
                <w:rStyle w:val="Hyperlink"/>
                <w:noProof/>
                <w:lang w:val="en-US"/>
              </w:rPr>
              <w:t>5.4 Generalizability</w:t>
            </w:r>
            <w:r w:rsidR="001732A1">
              <w:rPr>
                <w:noProof/>
                <w:webHidden/>
              </w:rPr>
              <w:tab/>
            </w:r>
            <w:r w:rsidR="001732A1">
              <w:rPr>
                <w:noProof/>
                <w:webHidden/>
              </w:rPr>
              <w:fldChar w:fldCharType="begin"/>
            </w:r>
            <w:r w:rsidR="001732A1">
              <w:rPr>
                <w:noProof/>
                <w:webHidden/>
              </w:rPr>
              <w:instrText xml:space="preserve"> PAGEREF _Toc48891324 \h </w:instrText>
            </w:r>
            <w:r w:rsidR="001732A1">
              <w:rPr>
                <w:noProof/>
                <w:webHidden/>
              </w:rPr>
            </w:r>
            <w:r w:rsidR="001732A1">
              <w:rPr>
                <w:noProof/>
                <w:webHidden/>
              </w:rPr>
              <w:fldChar w:fldCharType="separate"/>
            </w:r>
            <w:r w:rsidR="001732A1">
              <w:rPr>
                <w:noProof/>
                <w:webHidden/>
              </w:rPr>
              <w:t>43</w:t>
            </w:r>
            <w:r w:rsidR="001732A1">
              <w:rPr>
                <w:noProof/>
                <w:webHidden/>
              </w:rPr>
              <w:fldChar w:fldCharType="end"/>
            </w:r>
          </w:hyperlink>
        </w:p>
        <w:p w14:paraId="514BFD0A" w14:textId="05C70DF0" w:rsidR="001732A1" w:rsidRDefault="00550166">
          <w:pPr>
            <w:pStyle w:val="Inhopg2"/>
            <w:tabs>
              <w:tab w:val="right" w:leader="dot" w:pos="9062"/>
            </w:tabs>
            <w:rPr>
              <w:rFonts w:eastAsiaTheme="minorEastAsia"/>
              <w:noProof/>
              <w:lang w:eastAsia="nl-NL"/>
            </w:rPr>
          </w:pPr>
          <w:hyperlink w:anchor="_Toc48891325" w:history="1">
            <w:r w:rsidR="001732A1" w:rsidRPr="000435D1">
              <w:rPr>
                <w:rStyle w:val="Hyperlink"/>
                <w:noProof/>
                <w:lang w:val="en-US"/>
              </w:rPr>
              <w:t>5.5 Recommendations for further research</w:t>
            </w:r>
            <w:r w:rsidR="001732A1">
              <w:rPr>
                <w:noProof/>
                <w:webHidden/>
              </w:rPr>
              <w:tab/>
            </w:r>
            <w:r w:rsidR="001732A1">
              <w:rPr>
                <w:noProof/>
                <w:webHidden/>
              </w:rPr>
              <w:fldChar w:fldCharType="begin"/>
            </w:r>
            <w:r w:rsidR="001732A1">
              <w:rPr>
                <w:noProof/>
                <w:webHidden/>
              </w:rPr>
              <w:instrText xml:space="preserve"> PAGEREF _Toc48891325 \h </w:instrText>
            </w:r>
            <w:r w:rsidR="001732A1">
              <w:rPr>
                <w:noProof/>
                <w:webHidden/>
              </w:rPr>
            </w:r>
            <w:r w:rsidR="001732A1">
              <w:rPr>
                <w:noProof/>
                <w:webHidden/>
              </w:rPr>
              <w:fldChar w:fldCharType="separate"/>
            </w:r>
            <w:r w:rsidR="001732A1">
              <w:rPr>
                <w:noProof/>
                <w:webHidden/>
              </w:rPr>
              <w:t>44</w:t>
            </w:r>
            <w:r w:rsidR="001732A1">
              <w:rPr>
                <w:noProof/>
                <w:webHidden/>
              </w:rPr>
              <w:fldChar w:fldCharType="end"/>
            </w:r>
          </w:hyperlink>
        </w:p>
        <w:p w14:paraId="6B3753DA" w14:textId="2DE65F84" w:rsidR="001732A1" w:rsidRPr="001732A1" w:rsidRDefault="00550166" w:rsidP="001732A1">
          <w:pPr>
            <w:pStyle w:val="Inhopg1"/>
            <w:rPr>
              <w:rFonts w:eastAsiaTheme="minorEastAsia"/>
              <w:lang w:eastAsia="nl-NL"/>
            </w:rPr>
          </w:pPr>
          <w:hyperlink w:anchor="_Toc48891326" w:history="1">
            <w:r w:rsidR="001732A1" w:rsidRPr="001732A1">
              <w:rPr>
                <w:rStyle w:val="Hyperlink"/>
              </w:rPr>
              <w:t>6. Literature</w:t>
            </w:r>
            <w:r w:rsidR="001732A1" w:rsidRPr="001732A1">
              <w:rPr>
                <w:webHidden/>
              </w:rPr>
              <w:tab/>
            </w:r>
            <w:r w:rsidR="001732A1" w:rsidRPr="001732A1">
              <w:rPr>
                <w:webHidden/>
              </w:rPr>
              <w:fldChar w:fldCharType="begin"/>
            </w:r>
            <w:r w:rsidR="001732A1" w:rsidRPr="001732A1">
              <w:rPr>
                <w:webHidden/>
              </w:rPr>
              <w:instrText xml:space="preserve"> PAGEREF _Toc48891326 \h </w:instrText>
            </w:r>
            <w:r w:rsidR="001732A1" w:rsidRPr="001732A1">
              <w:rPr>
                <w:webHidden/>
              </w:rPr>
            </w:r>
            <w:r w:rsidR="001732A1" w:rsidRPr="001732A1">
              <w:rPr>
                <w:webHidden/>
              </w:rPr>
              <w:fldChar w:fldCharType="separate"/>
            </w:r>
            <w:r w:rsidR="001732A1" w:rsidRPr="001732A1">
              <w:rPr>
                <w:webHidden/>
              </w:rPr>
              <w:t>45</w:t>
            </w:r>
            <w:r w:rsidR="001732A1" w:rsidRPr="001732A1">
              <w:rPr>
                <w:webHidden/>
              </w:rPr>
              <w:fldChar w:fldCharType="end"/>
            </w:r>
          </w:hyperlink>
        </w:p>
        <w:p w14:paraId="4498CFA0" w14:textId="0DC79AB5" w:rsidR="001732A1" w:rsidRPr="001732A1" w:rsidRDefault="00550166" w:rsidP="001732A1">
          <w:pPr>
            <w:pStyle w:val="Inhopg1"/>
            <w:rPr>
              <w:rFonts w:eastAsiaTheme="minorEastAsia"/>
              <w:lang w:eastAsia="nl-NL"/>
            </w:rPr>
          </w:pPr>
          <w:hyperlink w:anchor="_Toc48891327" w:history="1">
            <w:r w:rsidR="001732A1" w:rsidRPr="001732A1">
              <w:rPr>
                <w:rStyle w:val="Hyperlink"/>
              </w:rPr>
              <w:t>Appendix A: List of interviewees</w:t>
            </w:r>
            <w:r w:rsidR="001732A1" w:rsidRPr="001732A1">
              <w:rPr>
                <w:webHidden/>
              </w:rPr>
              <w:tab/>
            </w:r>
            <w:r w:rsidR="001732A1" w:rsidRPr="001732A1">
              <w:rPr>
                <w:webHidden/>
              </w:rPr>
              <w:fldChar w:fldCharType="begin"/>
            </w:r>
            <w:r w:rsidR="001732A1" w:rsidRPr="001732A1">
              <w:rPr>
                <w:webHidden/>
              </w:rPr>
              <w:instrText xml:space="preserve"> PAGEREF _Toc48891327 \h </w:instrText>
            </w:r>
            <w:r w:rsidR="001732A1" w:rsidRPr="001732A1">
              <w:rPr>
                <w:webHidden/>
              </w:rPr>
            </w:r>
            <w:r w:rsidR="001732A1" w:rsidRPr="001732A1">
              <w:rPr>
                <w:webHidden/>
              </w:rPr>
              <w:fldChar w:fldCharType="separate"/>
            </w:r>
            <w:r w:rsidR="001732A1" w:rsidRPr="001732A1">
              <w:rPr>
                <w:webHidden/>
              </w:rPr>
              <w:t>54</w:t>
            </w:r>
            <w:r w:rsidR="001732A1" w:rsidRPr="001732A1">
              <w:rPr>
                <w:webHidden/>
              </w:rPr>
              <w:fldChar w:fldCharType="end"/>
            </w:r>
          </w:hyperlink>
        </w:p>
        <w:p w14:paraId="356209AA" w14:textId="18D3A4B3" w:rsidR="001732A1" w:rsidRPr="001732A1" w:rsidRDefault="00550166" w:rsidP="001732A1">
          <w:pPr>
            <w:pStyle w:val="Inhopg1"/>
            <w:rPr>
              <w:rFonts w:eastAsiaTheme="minorEastAsia"/>
              <w:lang w:eastAsia="nl-NL"/>
            </w:rPr>
          </w:pPr>
          <w:hyperlink w:anchor="_Toc48891328" w:history="1">
            <w:r w:rsidR="001732A1" w:rsidRPr="001732A1">
              <w:rPr>
                <w:rStyle w:val="Hyperlink"/>
              </w:rPr>
              <w:t>Appendix B: Interview questions</w:t>
            </w:r>
            <w:r w:rsidR="001732A1" w:rsidRPr="001732A1">
              <w:rPr>
                <w:webHidden/>
              </w:rPr>
              <w:tab/>
            </w:r>
            <w:r w:rsidR="001732A1" w:rsidRPr="001732A1">
              <w:rPr>
                <w:webHidden/>
              </w:rPr>
              <w:fldChar w:fldCharType="begin"/>
            </w:r>
            <w:r w:rsidR="001732A1" w:rsidRPr="001732A1">
              <w:rPr>
                <w:webHidden/>
              </w:rPr>
              <w:instrText xml:space="preserve"> PAGEREF _Toc48891328 \h </w:instrText>
            </w:r>
            <w:r w:rsidR="001732A1" w:rsidRPr="001732A1">
              <w:rPr>
                <w:webHidden/>
              </w:rPr>
            </w:r>
            <w:r w:rsidR="001732A1" w:rsidRPr="001732A1">
              <w:rPr>
                <w:webHidden/>
              </w:rPr>
              <w:fldChar w:fldCharType="separate"/>
            </w:r>
            <w:r w:rsidR="001732A1" w:rsidRPr="001732A1">
              <w:rPr>
                <w:webHidden/>
              </w:rPr>
              <w:t>55</w:t>
            </w:r>
            <w:r w:rsidR="001732A1" w:rsidRPr="001732A1">
              <w:rPr>
                <w:webHidden/>
              </w:rPr>
              <w:fldChar w:fldCharType="end"/>
            </w:r>
          </w:hyperlink>
        </w:p>
        <w:p w14:paraId="04ABDC6D" w14:textId="0D197EC0" w:rsidR="0037038F" w:rsidRDefault="0037038F">
          <w:r>
            <w:rPr>
              <w:b/>
              <w:bCs/>
              <w:noProof/>
            </w:rPr>
            <w:fldChar w:fldCharType="end"/>
          </w:r>
        </w:p>
      </w:sdtContent>
    </w:sdt>
    <w:p w14:paraId="5033F692" w14:textId="3BC3A5AC" w:rsidR="0096250E" w:rsidRDefault="0096250E">
      <w:r>
        <w:br w:type="page"/>
      </w:r>
    </w:p>
    <w:p w14:paraId="3D0BD747" w14:textId="58D0D7CB" w:rsidR="008B596D" w:rsidRDefault="008251F1" w:rsidP="008B596D">
      <w:pPr>
        <w:pStyle w:val="Lijstmetafbeeldingen"/>
        <w:tabs>
          <w:tab w:val="right" w:leader="dot" w:pos="9062"/>
        </w:tabs>
        <w:rPr>
          <w:rFonts w:asciiTheme="majorHAnsi" w:eastAsiaTheme="majorEastAsia" w:hAnsiTheme="majorHAnsi" w:cstheme="majorBidi"/>
          <w:sz w:val="32"/>
          <w:szCs w:val="32"/>
          <w:lang w:val="en-US"/>
        </w:rPr>
      </w:pPr>
      <w:r w:rsidRPr="00143DE8">
        <w:rPr>
          <w:rFonts w:asciiTheme="majorHAnsi" w:eastAsiaTheme="majorEastAsia" w:hAnsiTheme="majorHAnsi" w:cstheme="majorBidi"/>
          <w:sz w:val="32"/>
          <w:szCs w:val="32"/>
          <w:lang w:val="en-US"/>
        </w:rPr>
        <w:lastRenderedPageBreak/>
        <w:t>Table of figures</w:t>
      </w:r>
    </w:p>
    <w:p w14:paraId="5EF36D2C" w14:textId="77777777" w:rsidR="004A5B41" w:rsidRPr="004A5B41" w:rsidRDefault="004A5B41" w:rsidP="004A5B41">
      <w:pPr>
        <w:rPr>
          <w:lang w:val="en-US"/>
        </w:rPr>
      </w:pPr>
    </w:p>
    <w:p w14:paraId="079854ED" w14:textId="3C4D49C7" w:rsidR="004A5B41" w:rsidRDefault="004A5B41">
      <w:pPr>
        <w:pStyle w:val="Lijstmetafbeeldingen"/>
        <w:tabs>
          <w:tab w:val="right" w:leader="dot" w:pos="9062"/>
        </w:tabs>
        <w:rPr>
          <w:rFonts w:eastAsiaTheme="minorEastAsia"/>
          <w:noProof/>
          <w:lang w:eastAsia="nl-NL"/>
        </w:rPr>
      </w:pPr>
      <w:r>
        <w:fldChar w:fldCharType="begin"/>
      </w:r>
      <w:r>
        <w:instrText xml:space="preserve"> TOC \h \z \c "Figure" </w:instrText>
      </w:r>
      <w:r>
        <w:fldChar w:fldCharType="separate"/>
      </w:r>
      <w:hyperlink r:id="rId8" w:anchor="_Toc48850667" w:history="1">
        <w:r w:rsidRPr="00702202">
          <w:rPr>
            <w:rStyle w:val="Hyperlink"/>
            <w:noProof/>
            <w:lang w:val="en-US"/>
          </w:rPr>
          <w:t>Figure 1. Conceptual model of Ripley’s approach.</w:t>
        </w:r>
        <w:r>
          <w:rPr>
            <w:noProof/>
            <w:webHidden/>
          </w:rPr>
          <w:tab/>
        </w:r>
        <w:r>
          <w:rPr>
            <w:noProof/>
            <w:webHidden/>
          </w:rPr>
          <w:fldChar w:fldCharType="begin"/>
        </w:r>
        <w:r>
          <w:rPr>
            <w:noProof/>
            <w:webHidden/>
          </w:rPr>
          <w:instrText xml:space="preserve"> PAGEREF _Toc48850667 \h </w:instrText>
        </w:r>
        <w:r>
          <w:rPr>
            <w:noProof/>
            <w:webHidden/>
          </w:rPr>
        </w:r>
        <w:r>
          <w:rPr>
            <w:noProof/>
            <w:webHidden/>
          </w:rPr>
          <w:fldChar w:fldCharType="separate"/>
        </w:r>
        <w:r>
          <w:rPr>
            <w:noProof/>
            <w:webHidden/>
          </w:rPr>
          <w:t>17</w:t>
        </w:r>
        <w:r>
          <w:rPr>
            <w:noProof/>
            <w:webHidden/>
          </w:rPr>
          <w:fldChar w:fldCharType="end"/>
        </w:r>
      </w:hyperlink>
    </w:p>
    <w:p w14:paraId="79FECCCE" w14:textId="4AF1A40B" w:rsidR="004A5B41" w:rsidRDefault="00550166">
      <w:pPr>
        <w:pStyle w:val="Lijstmetafbeeldingen"/>
        <w:tabs>
          <w:tab w:val="right" w:leader="dot" w:pos="9062"/>
        </w:tabs>
        <w:rPr>
          <w:rFonts w:eastAsiaTheme="minorEastAsia"/>
          <w:noProof/>
          <w:lang w:eastAsia="nl-NL"/>
        </w:rPr>
      </w:pPr>
      <w:hyperlink w:anchor="_Toc48850668" w:history="1">
        <w:r w:rsidR="004A5B41" w:rsidRPr="00702202">
          <w:rPr>
            <w:rStyle w:val="Hyperlink"/>
            <w:noProof/>
            <w:lang w:val="en-US"/>
          </w:rPr>
          <w:t>Figure 2. Phases within the decision-making process regarding the cabinet campaign.</w:t>
        </w:r>
        <w:r w:rsidR="004A5B41">
          <w:rPr>
            <w:noProof/>
            <w:webHidden/>
          </w:rPr>
          <w:tab/>
        </w:r>
        <w:r w:rsidR="004A5B41">
          <w:rPr>
            <w:noProof/>
            <w:webHidden/>
          </w:rPr>
          <w:fldChar w:fldCharType="begin"/>
        </w:r>
        <w:r w:rsidR="004A5B41">
          <w:rPr>
            <w:noProof/>
            <w:webHidden/>
          </w:rPr>
          <w:instrText xml:space="preserve"> PAGEREF _Toc48850668 \h </w:instrText>
        </w:r>
        <w:r w:rsidR="004A5B41">
          <w:rPr>
            <w:noProof/>
            <w:webHidden/>
          </w:rPr>
        </w:r>
        <w:r w:rsidR="004A5B41">
          <w:rPr>
            <w:noProof/>
            <w:webHidden/>
          </w:rPr>
          <w:fldChar w:fldCharType="separate"/>
        </w:r>
        <w:r w:rsidR="004A5B41">
          <w:rPr>
            <w:noProof/>
            <w:webHidden/>
          </w:rPr>
          <w:t>19</w:t>
        </w:r>
        <w:r w:rsidR="004A5B41">
          <w:rPr>
            <w:noProof/>
            <w:webHidden/>
          </w:rPr>
          <w:fldChar w:fldCharType="end"/>
        </w:r>
      </w:hyperlink>
    </w:p>
    <w:p w14:paraId="3F03EA54" w14:textId="318E5E93" w:rsidR="004A5B41" w:rsidRDefault="00550166">
      <w:pPr>
        <w:pStyle w:val="Lijstmetafbeeldingen"/>
        <w:tabs>
          <w:tab w:val="right" w:leader="dot" w:pos="9062"/>
        </w:tabs>
        <w:rPr>
          <w:rFonts w:eastAsiaTheme="minorEastAsia"/>
          <w:noProof/>
          <w:lang w:eastAsia="nl-NL"/>
        </w:rPr>
      </w:pPr>
      <w:hyperlink w:anchor="_Toc48850669" w:history="1">
        <w:r w:rsidR="004A5B41" w:rsidRPr="00702202">
          <w:rPr>
            <w:rStyle w:val="Hyperlink"/>
            <w:noProof/>
            <w:lang w:val="en-US"/>
          </w:rPr>
          <w:t>Figure 3. Schematic overview of the independent variables and their operationalization.</w:t>
        </w:r>
        <w:r w:rsidR="004A5B41">
          <w:rPr>
            <w:noProof/>
            <w:webHidden/>
          </w:rPr>
          <w:tab/>
        </w:r>
        <w:r w:rsidR="004A5B41">
          <w:rPr>
            <w:noProof/>
            <w:webHidden/>
          </w:rPr>
          <w:fldChar w:fldCharType="begin"/>
        </w:r>
        <w:r w:rsidR="004A5B41">
          <w:rPr>
            <w:noProof/>
            <w:webHidden/>
          </w:rPr>
          <w:instrText xml:space="preserve"> PAGEREF _Toc48850669 \h </w:instrText>
        </w:r>
        <w:r w:rsidR="004A5B41">
          <w:rPr>
            <w:noProof/>
            <w:webHidden/>
          </w:rPr>
        </w:r>
        <w:r w:rsidR="004A5B41">
          <w:rPr>
            <w:noProof/>
            <w:webHidden/>
          </w:rPr>
          <w:fldChar w:fldCharType="separate"/>
        </w:r>
        <w:r w:rsidR="004A5B41">
          <w:rPr>
            <w:noProof/>
            <w:webHidden/>
          </w:rPr>
          <w:t>24</w:t>
        </w:r>
        <w:r w:rsidR="004A5B41">
          <w:rPr>
            <w:noProof/>
            <w:webHidden/>
          </w:rPr>
          <w:fldChar w:fldCharType="end"/>
        </w:r>
      </w:hyperlink>
    </w:p>
    <w:p w14:paraId="5BB78542" w14:textId="14417D26" w:rsidR="00143DE8" w:rsidRDefault="004A5B41">
      <w:r>
        <w:fldChar w:fldCharType="end"/>
      </w:r>
    </w:p>
    <w:p w14:paraId="27ABA102" w14:textId="77777777" w:rsidR="00143DE8" w:rsidRDefault="00143DE8">
      <w:r>
        <w:br w:type="page"/>
      </w:r>
    </w:p>
    <w:p w14:paraId="1C416E42" w14:textId="77777777" w:rsidR="00C0150F" w:rsidRPr="00C0150F" w:rsidRDefault="00143DE8" w:rsidP="00143DE8">
      <w:pPr>
        <w:spacing w:after="0" w:line="240" w:lineRule="auto"/>
        <w:textAlignment w:val="baseline"/>
        <w:rPr>
          <w:rFonts w:asciiTheme="majorHAnsi" w:eastAsiaTheme="majorEastAsia" w:hAnsiTheme="majorHAnsi" w:cstheme="majorBidi"/>
          <w:sz w:val="32"/>
          <w:szCs w:val="32"/>
          <w:lang w:val="en-US"/>
        </w:rPr>
      </w:pPr>
      <w:r w:rsidRPr="00C0150F">
        <w:rPr>
          <w:rFonts w:asciiTheme="majorHAnsi" w:eastAsiaTheme="majorEastAsia" w:hAnsiTheme="majorHAnsi" w:cstheme="majorBidi"/>
          <w:sz w:val="32"/>
          <w:szCs w:val="32"/>
          <w:lang w:val="en-US"/>
        </w:rPr>
        <w:t>List of abbreviations</w:t>
      </w:r>
    </w:p>
    <w:p w14:paraId="2EFD7625" w14:textId="0713C38B" w:rsidR="00143DE8" w:rsidRPr="00143DE8" w:rsidRDefault="00143DE8" w:rsidP="00143DE8">
      <w:pPr>
        <w:spacing w:after="0" w:line="240" w:lineRule="auto"/>
        <w:textAlignment w:val="baseline"/>
        <w:rPr>
          <w:rFonts w:ascii="Segoe UI" w:eastAsia="Times New Roman" w:hAnsi="Segoe UI" w:cs="Segoe UI"/>
          <w:sz w:val="18"/>
          <w:szCs w:val="18"/>
          <w:lang w:eastAsia="nl-NL" w:bidi="he-IL"/>
        </w:rPr>
      </w:pPr>
      <w:r w:rsidRPr="00143DE8">
        <w:rPr>
          <w:rFonts w:ascii="Calibri" w:eastAsia="Times New Roman" w:hAnsi="Calibri" w:cs="Calibri"/>
          <w:lang w:eastAsia="nl-NL" w:bidi="he-IL"/>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0"/>
        <w:gridCol w:w="8205"/>
      </w:tblGrid>
      <w:tr w:rsidR="00143DE8" w:rsidRPr="008878CF" w14:paraId="59D46DA3" w14:textId="77777777" w:rsidTr="00143DE8">
        <w:tc>
          <w:tcPr>
            <w:tcW w:w="840" w:type="dxa"/>
            <w:tcBorders>
              <w:top w:val="nil"/>
              <w:left w:val="nil"/>
              <w:bottom w:val="nil"/>
              <w:right w:val="nil"/>
            </w:tcBorders>
            <w:shd w:val="clear" w:color="auto" w:fill="auto"/>
            <w:hideMark/>
          </w:tcPr>
          <w:p w14:paraId="4CAA43CE" w14:textId="77777777" w:rsidR="00143DE8" w:rsidRPr="00143DE8" w:rsidRDefault="00143DE8" w:rsidP="00C0150F">
            <w:pPr>
              <w:spacing w:after="0" w:line="480" w:lineRule="auto"/>
              <w:textAlignment w:val="baseline"/>
              <w:rPr>
                <w:rFonts w:eastAsia="Times New Roman" w:cstheme="minorHAnsi"/>
                <w:sz w:val="24"/>
                <w:szCs w:val="24"/>
                <w:lang w:eastAsia="nl-NL" w:bidi="he-IL"/>
              </w:rPr>
            </w:pPr>
            <w:r w:rsidRPr="00143DE8">
              <w:rPr>
                <w:rFonts w:eastAsia="Times New Roman" w:cstheme="minorHAnsi"/>
                <w:lang w:val="en-US" w:eastAsia="nl-NL" w:bidi="he-IL"/>
              </w:rPr>
              <w:t>CDA</w:t>
            </w:r>
            <w:r w:rsidRPr="00143DE8">
              <w:rPr>
                <w:rFonts w:eastAsia="Times New Roman" w:cstheme="minorHAnsi"/>
                <w:lang w:eastAsia="nl-NL" w:bidi="he-IL"/>
              </w:rPr>
              <w:t> </w:t>
            </w:r>
          </w:p>
        </w:tc>
        <w:tc>
          <w:tcPr>
            <w:tcW w:w="8205" w:type="dxa"/>
            <w:tcBorders>
              <w:top w:val="nil"/>
              <w:left w:val="nil"/>
              <w:bottom w:val="nil"/>
              <w:right w:val="nil"/>
            </w:tcBorders>
            <w:shd w:val="clear" w:color="auto" w:fill="auto"/>
            <w:hideMark/>
          </w:tcPr>
          <w:p w14:paraId="3AF811EC" w14:textId="77777777" w:rsidR="00143DE8" w:rsidRPr="00143DE8" w:rsidRDefault="00143DE8" w:rsidP="00C0150F">
            <w:pPr>
              <w:spacing w:after="0" w:line="480" w:lineRule="auto"/>
              <w:textAlignment w:val="baseline"/>
              <w:rPr>
                <w:rFonts w:eastAsia="Times New Roman" w:cstheme="minorHAnsi"/>
                <w:sz w:val="24"/>
                <w:szCs w:val="24"/>
                <w:lang w:val="en-US" w:eastAsia="nl-NL" w:bidi="he-IL"/>
              </w:rPr>
            </w:pPr>
            <w:r w:rsidRPr="00C0150F">
              <w:rPr>
                <w:rFonts w:eastAsia="Times New Roman" w:cstheme="minorHAnsi"/>
                <w:i/>
                <w:iCs/>
                <w:lang w:val="en-US" w:eastAsia="nl-NL" w:bidi="he-IL"/>
              </w:rPr>
              <w:t>Christen-Democratisch Appèl (</w:t>
            </w:r>
            <w:r w:rsidRPr="00143DE8">
              <w:rPr>
                <w:rFonts w:eastAsia="Times New Roman" w:cstheme="minorHAnsi"/>
                <w:lang w:val="en-US" w:eastAsia="nl-NL" w:bidi="he-IL"/>
              </w:rPr>
              <w:t>Christian-democratic party) </w:t>
            </w:r>
          </w:p>
        </w:tc>
      </w:tr>
      <w:tr w:rsidR="00143DE8" w:rsidRPr="00143DE8" w14:paraId="5E20F301" w14:textId="77777777" w:rsidTr="00143DE8">
        <w:tc>
          <w:tcPr>
            <w:tcW w:w="840" w:type="dxa"/>
            <w:tcBorders>
              <w:top w:val="nil"/>
              <w:left w:val="nil"/>
              <w:bottom w:val="nil"/>
              <w:right w:val="nil"/>
            </w:tcBorders>
            <w:shd w:val="clear" w:color="auto" w:fill="auto"/>
            <w:hideMark/>
          </w:tcPr>
          <w:p w14:paraId="457EFD6D" w14:textId="77777777" w:rsidR="00143DE8" w:rsidRPr="00143DE8" w:rsidRDefault="00143DE8" w:rsidP="00C0150F">
            <w:pPr>
              <w:spacing w:after="0" w:line="480" w:lineRule="auto"/>
              <w:textAlignment w:val="baseline"/>
              <w:rPr>
                <w:rFonts w:eastAsia="Times New Roman" w:cstheme="minorHAnsi"/>
                <w:sz w:val="24"/>
                <w:szCs w:val="24"/>
                <w:lang w:eastAsia="nl-NL" w:bidi="he-IL"/>
              </w:rPr>
            </w:pPr>
            <w:r w:rsidRPr="00143DE8">
              <w:rPr>
                <w:rFonts w:eastAsia="Times New Roman" w:cstheme="minorHAnsi"/>
                <w:lang w:val="en-US" w:eastAsia="nl-NL" w:bidi="he-IL"/>
              </w:rPr>
              <w:t>D66</w:t>
            </w:r>
            <w:r w:rsidRPr="00143DE8">
              <w:rPr>
                <w:rFonts w:eastAsia="Times New Roman" w:cstheme="minorHAnsi"/>
                <w:lang w:eastAsia="nl-NL" w:bidi="he-IL"/>
              </w:rPr>
              <w:t> </w:t>
            </w:r>
          </w:p>
        </w:tc>
        <w:tc>
          <w:tcPr>
            <w:tcW w:w="8205" w:type="dxa"/>
            <w:tcBorders>
              <w:top w:val="nil"/>
              <w:left w:val="nil"/>
              <w:bottom w:val="nil"/>
              <w:right w:val="nil"/>
            </w:tcBorders>
            <w:shd w:val="clear" w:color="auto" w:fill="auto"/>
            <w:hideMark/>
          </w:tcPr>
          <w:p w14:paraId="33CD1810" w14:textId="77777777" w:rsidR="00143DE8" w:rsidRPr="00143DE8" w:rsidRDefault="00143DE8" w:rsidP="00C0150F">
            <w:pPr>
              <w:spacing w:after="0" w:line="480" w:lineRule="auto"/>
              <w:textAlignment w:val="baseline"/>
              <w:rPr>
                <w:rFonts w:eastAsia="Times New Roman" w:cstheme="minorHAnsi"/>
                <w:sz w:val="24"/>
                <w:szCs w:val="24"/>
                <w:lang w:eastAsia="nl-NL" w:bidi="he-IL"/>
              </w:rPr>
            </w:pPr>
            <w:r w:rsidRPr="00C0150F">
              <w:rPr>
                <w:rFonts w:eastAsia="Times New Roman" w:cstheme="minorHAnsi"/>
                <w:i/>
                <w:iCs/>
                <w:lang w:val="en-US" w:eastAsia="nl-NL" w:bidi="he-IL"/>
              </w:rPr>
              <w:t>Democraten 66</w:t>
            </w:r>
            <w:r w:rsidRPr="00143DE8">
              <w:rPr>
                <w:rFonts w:eastAsia="Times New Roman" w:cstheme="minorHAnsi"/>
                <w:lang w:val="en-US" w:eastAsia="nl-NL" w:bidi="he-IL"/>
              </w:rPr>
              <w:t xml:space="preserve"> (progressive-liberal party)</w:t>
            </w:r>
            <w:r w:rsidRPr="00143DE8">
              <w:rPr>
                <w:rFonts w:eastAsia="Times New Roman" w:cstheme="minorHAnsi"/>
                <w:lang w:eastAsia="nl-NL" w:bidi="he-IL"/>
              </w:rPr>
              <w:t> </w:t>
            </w:r>
          </w:p>
        </w:tc>
      </w:tr>
      <w:tr w:rsidR="00143DE8" w:rsidRPr="00143DE8" w14:paraId="14761D4B" w14:textId="77777777" w:rsidTr="00143DE8">
        <w:tc>
          <w:tcPr>
            <w:tcW w:w="840" w:type="dxa"/>
            <w:tcBorders>
              <w:top w:val="nil"/>
              <w:left w:val="nil"/>
              <w:bottom w:val="nil"/>
              <w:right w:val="nil"/>
            </w:tcBorders>
            <w:shd w:val="clear" w:color="auto" w:fill="auto"/>
            <w:hideMark/>
          </w:tcPr>
          <w:p w14:paraId="31175B5C" w14:textId="77777777" w:rsidR="00143DE8" w:rsidRPr="00143DE8" w:rsidRDefault="00143DE8" w:rsidP="00C0150F">
            <w:pPr>
              <w:spacing w:after="0" w:line="480" w:lineRule="auto"/>
              <w:textAlignment w:val="baseline"/>
              <w:rPr>
                <w:rFonts w:eastAsia="Times New Roman" w:cstheme="minorHAnsi"/>
                <w:sz w:val="24"/>
                <w:szCs w:val="24"/>
                <w:lang w:eastAsia="nl-NL" w:bidi="he-IL"/>
              </w:rPr>
            </w:pPr>
            <w:r w:rsidRPr="00143DE8">
              <w:rPr>
                <w:rFonts w:eastAsia="Times New Roman" w:cstheme="minorHAnsi"/>
                <w:lang w:val="en-US" w:eastAsia="nl-NL" w:bidi="he-IL"/>
              </w:rPr>
              <w:t>ECT</w:t>
            </w:r>
            <w:r w:rsidRPr="00143DE8">
              <w:rPr>
                <w:rFonts w:eastAsia="Times New Roman" w:cstheme="minorHAnsi"/>
                <w:lang w:eastAsia="nl-NL" w:bidi="he-IL"/>
              </w:rPr>
              <w:t> </w:t>
            </w:r>
          </w:p>
        </w:tc>
        <w:tc>
          <w:tcPr>
            <w:tcW w:w="8205" w:type="dxa"/>
            <w:tcBorders>
              <w:top w:val="nil"/>
              <w:left w:val="nil"/>
              <w:bottom w:val="nil"/>
              <w:right w:val="nil"/>
            </w:tcBorders>
            <w:shd w:val="clear" w:color="auto" w:fill="auto"/>
            <w:hideMark/>
          </w:tcPr>
          <w:p w14:paraId="6818A4C6" w14:textId="77777777" w:rsidR="00143DE8" w:rsidRPr="00143DE8" w:rsidRDefault="00143DE8" w:rsidP="00C0150F">
            <w:pPr>
              <w:spacing w:after="0" w:line="480" w:lineRule="auto"/>
              <w:textAlignment w:val="baseline"/>
              <w:rPr>
                <w:rFonts w:eastAsia="Times New Roman" w:cstheme="minorHAnsi"/>
                <w:sz w:val="24"/>
                <w:szCs w:val="24"/>
                <w:lang w:eastAsia="nl-NL" w:bidi="he-IL"/>
              </w:rPr>
            </w:pPr>
            <w:r w:rsidRPr="00143DE8">
              <w:rPr>
                <w:rFonts w:eastAsia="Times New Roman" w:cstheme="minorHAnsi"/>
                <w:lang w:val="en-US" w:eastAsia="nl-NL" w:bidi="he-IL"/>
              </w:rPr>
              <w:t>European Constitutional Treaty </w:t>
            </w:r>
            <w:r w:rsidRPr="00143DE8">
              <w:rPr>
                <w:rFonts w:eastAsia="Times New Roman" w:cstheme="minorHAnsi"/>
                <w:lang w:eastAsia="nl-NL" w:bidi="he-IL"/>
              </w:rPr>
              <w:t> </w:t>
            </w:r>
          </w:p>
        </w:tc>
      </w:tr>
      <w:tr w:rsidR="00C0150F" w:rsidRPr="00143DE8" w14:paraId="3AEB707C" w14:textId="77777777" w:rsidTr="00143DE8">
        <w:tc>
          <w:tcPr>
            <w:tcW w:w="840" w:type="dxa"/>
            <w:tcBorders>
              <w:top w:val="nil"/>
              <w:left w:val="nil"/>
              <w:bottom w:val="nil"/>
              <w:right w:val="nil"/>
            </w:tcBorders>
            <w:shd w:val="clear" w:color="auto" w:fill="auto"/>
          </w:tcPr>
          <w:p w14:paraId="303420FD" w14:textId="168CB488" w:rsidR="00C0150F" w:rsidRPr="00143DE8" w:rsidRDefault="00C0150F" w:rsidP="00C0150F">
            <w:pPr>
              <w:spacing w:after="0" w:line="480" w:lineRule="auto"/>
              <w:textAlignment w:val="baseline"/>
              <w:rPr>
                <w:rFonts w:eastAsia="Times New Roman" w:cstheme="minorHAnsi"/>
                <w:lang w:val="en-US" w:eastAsia="nl-NL" w:bidi="he-IL"/>
              </w:rPr>
            </w:pPr>
            <w:r>
              <w:rPr>
                <w:rFonts w:eastAsia="Times New Roman" w:cstheme="minorHAnsi"/>
                <w:lang w:val="en-US" w:eastAsia="nl-NL" w:bidi="he-IL"/>
              </w:rPr>
              <w:t>IGC</w:t>
            </w:r>
          </w:p>
        </w:tc>
        <w:tc>
          <w:tcPr>
            <w:tcW w:w="8205" w:type="dxa"/>
            <w:tcBorders>
              <w:top w:val="nil"/>
              <w:left w:val="nil"/>
              <w:bottom w:val="nil"/>
              <w:right w:val="nil"/>
            </w:tcBorders>
            <w:shd w:val="clear" w:color="auto" w:fill="auto"/>
          </w:tcPr>
          <w:p w14:paraId="5AE26938" w14:textId="47F7C37F" w:rsidR="00C0150F" w:rsidRPr="00143DE8" w:rsidRDefault="00C0150F" w:rsidP="00C0150F">
            <w:pPr>
              <w:spacing w:after="0" w:line="480" w:lineRule="auto"/>
              <w:textAlignment w:val="baseline"/>
              <w:rPr>
                <w:rFonts w:eastAsia="Times New Roman" w:cstheme="minorHAnsi"/>
                <w:lang w:val="en-US" w:eastAsia="nl-NL" w:bidi="he-IL"/>
              </w:rPr>
            </w:pPr>
            <w:r>
              <w:rPr>
                <w:rFonts w:eastAsia="Times New Roman" w:cstheme="minorHAnsi"/>
                <w:lang w:val="en-US" w:eastAsia="nl-NL" w:bidi="he-IL"/>
              </w:rPr>
              <w:t>Intergovernmental Conference</w:t>
            </w:r>
          </w:p>
        </w:tc>
      </w:tr>
      <w:tr w:rsidR="00143DE8" w:rsidRPr="00143DE8" w14:paraId="14FF5DFB" w14:textId="77777777" w:rsidTr="00143DE8">
        <w:tc>
          <w:tcPr>
            <w:tcW w:w="840" w:type="dxa"/>
            <w:tcBorders>
              <w:top w:val="nil"/>
              <w:left w:val="nil"/>
              <w:bottom w:val="nil"/>
              <w:right w:val="nil"/>
            </w:tcBorders>
            <w:shd w:val="clear" w:color="auto" w:fill="auto"/>
            <w:hideMark/>
          </w:tcPr>
          <w:p w14:paraId="124E862A" w14:textId="77777777" w:rsidR="00143DE8" w:rsidRPr="00143DE8" w:rsidRDefault="00143DE8" w:rsidP="00C0150F">
            <w:pPr>
              <w:spacing w:after="0" w:line="480" w:lineRule="auto"/>
              <w:textAlignment w:val="baseline"/>
              <w:rPr>
                <w:rFonts w:eastAsia="Times New Roman" w:cstheme="minorHAnsi"/>
                <w:sz w:val="24"/>
                <w:szCs w:val="24"/>
                <w:lang w:eastAsia="nl-NL" w:bidi="he-IL"/>
              </w:rPr>
            </w:pPr>
            <w:r w:rsidRPr="00143DE8">
              <w:rPr>
                <w:rFonts w:eastAsia="Times New Roman" w:cstheme="minorHAnsi"/>
                <w:lang w:val="en-US" w:eastAsia="nl-NL" w:bidi="he-IL"/>
              </w:rPr>
              <w:t>PCG</w:t>
            </w:r>
            <w:r w:rsidRPr="00143DE8">
              <w:rPr>
                <w:rFonts w:eastAsia="Times New Roman" w:cstheme="minorHAnsi"/>
                <w:lang w:eastAsia="nl-NL" w:bidi="he-IL"/>
              </w:rPr>
              <w:t> </w:t>
            </w:r>
          </w:p>
        </w:tc>
        <w:tc>
          <w:tcPr>
            <w:tcW w:w="8205" w:type="dxa"/>
            <w:tcBorders>
              <w:top w:val="nil"/>
              <w:left w:val="nil"/>
              <w:bottom w:val="nil"/>
              <w:right w:val="nil"/>
            </w:tcBorders>
            <w:shd w:val="clear" w:color="auto" w:fill="auto"/>
            <w:hideMark/>
          </w:tcPr>
          <w:p w14:paraId="697DAA69" w14:textId="77777777" w:rsidR="00143DE8" w:rsidRPr="00143DE8" w:rsidRDefault="00143DE8" w:rsidP="00C0150F">
            <w:pPr>
              <w:spacing w:after="0" w:line="480" w:lineRule="auto"/>
              <w:textAlignment w:val="baseline"/>
              <w:rPr>
                <w:rFonts w:eastAsia="Times New Roman" w:cstheme="minorHAnsi"/>
                <w:sz w:val="24"/>
                <w:szCs w:val="24"/>
                <w:lang w:eastAsia="nl-NL" w:bidi="he-IL"/>
              </w:rPr>
            </w:pPr>
            <w:r w:rsidRPr="00143DE8">
              <w:rPr>
                <w:rFonts w:eastAsia="Times New Roman" w:cstheme="minorHAnsi"/>
                <w:lang w:val="en-US" w:eastAsia="nl-NL" w:bidi="he-IL"/>
              </w:rPr>
              <w:t>Political Coordination Group (</w:t>
            </w:r>
            <w:r w:rsidRPr="00C0150F">
              <w:rPr>
                <w:rFonts w:eastAsia="Times New Roman" w:cstheme="minorHAnsi"/>
                <w:i/>
                <w:iCs/>
                <w:lang w:val="en-US" w:eastAsia="nl-NL" w:bidi="he-IL"/>
              </w:rPr>
              <w:t>Politieke Regiegroep</w:t>
            </w:r>
            <w:r w:rsidRPr="00143DE8">
              <w:rPr>
                <w:rFonts w:eastAsia="Times New Roman" w:cstheme="minorHAnsi"/>
                <w:lang w:val="en-US" w:eastAsia="nl-NL" w:bidi="he-IL"/>
              </w:rPr>
              <w:t>)</w:t>
            </w:r>
            <w:r w:rsidRPr="00143DE8">
              <w:rPr>
                <w:rFonts w:eastAsia="Times New Roman" w:cstheme="minorHAnsi"/>
                <w:lang w:eastAsia="nl-NL" w:bidi="he-IL"/>
              </w:rPr>
              <w:t> </w:t>
            </w:r>
          </w:p>
        </w:tc>
      </w:tr>
      <w:tr w:rsidR="00143DE8" w:rsidRPr="00143DE8" w14:paraId="1873E3BF" w14:textId="77777777" w:rsidTr="00143DE8">
        <w:tc>
          <w:tcPr>
            <w:tcW w:w="840" w:type="dxa"/>
            <w:tcBorders>
              <w:top w:val="nil"/>
              <w:left w:val="nil"/>
              <w:bottom w:val="nil"/>
              <w:right w:val="nil"/>
            </w:tcBorders>
            <w:shd w:val="clear" w:color="auto" w:fill="auto"/>
            <w:hideMark/>
          </w:tcPr>
          <w:p w14:paraId="23C525E0" w14:textId="77777777" w:rsidR="00143DE8" w:rsidRPr="00143DE8" w:rsidRDefault="00143DE8" w:rsidP="00C0150F">
            <w:pPr>
              <w:spacing w:after="0" w:line="480" w:lineRule="auto"/>
              <w:textAlignment w:val="baseline"/>
              <w:rPr>
                <w:rFonts w:eastAsia="Times New Roman" w:cstheme="minorHAnsi"/>
                <w:sz w:val="24"/>
                <w:szCs w:val="24"/>
                <w:lang w:eastAsia="nl-NL" w:bidi="he-IL"/>
              </w:rPr>
            </w:pPr>
            <w:r w:rsidRPr="00143DE8">
              <w:rPr>
                <w:rFonts w:eastAsia="Times New Roman" w:cstheme="minorHAnsi"/>
                <w:lang w:val="en-US" w:eastAsia="nl-NL" w:bidi="he-IL"/>
              </w:rPr>
              <w:t>TFR</w:t>
            </w:r>
            <w:r w:rsidRPr="00143DE8">
              <w:rPr>
                <w:rFonts w:eastAsia="Times New Roman" w:cstheme="minorHAnsi"/>
                <w:lang w:eastAsia="nl-NL" w:bidi="he-IL"/>
              </w:rPr>
              <w:t> </w:t>
            </w:r>
          </w:p>
        </w:tc>
        <w:tc>
          <w:tcPr>
            <w:tcW w:w="8205" w:type="dxa"/>
            <w:tcBorders>
              <w:top w:val="nil"/>
              <w:left w:val="nil"/>
              <w:bottom w:val="nil"/>
              <w:right w:val="nil"/>
            </w:tcBorders>
            <w:shd w:val="clear" w:color="auto" w:fill="auto"/>
            <w:hideMark/>
          </w:tcPr>
          <w:p w14:paraId="5D4AC4FC" w14:textId="77777777" w:rsidR="00143DE8" w:rsidRPr="00143DE8" w:rsidRDefault="00143DE8" w:rsidP="00C0150F">
            <w:pPr>
              <w:spacing w:after="0" w:line="480" w:lineRule="auto"/>
              <w:textAlignment w:val="baseline"/>
              <w:rPr>
                <w:rFonts w:eastAsia="Times New Roman" w:cstheme="minorHAnsi"/>
                <w:sz w:val="24"/>
                <w:szCs w:val="24"/>
                <w:lang w:eastAsia="nl-NL" w:bidi="he-IL"/>
              </w:rPr>
            </w:pPr>
            <w:r w:rsidRPr="00143DE8">
              <w:rPr>
                <w:rFonts w:eastAsia="Times New Roman" w:cstheme="minorHAnsi"/>
                <w:lang w:val="en-US" w:eastAsia="nl-NL" w:bidi="he-IL"/>
              </w:rPr>
              <w:t>Taskforce Referendum</w:t>
            </w:r>
            <w:r w:rsidRPr="00143DE8">
              <w:rPr>
                <w:rFonts w:eastAsia="Times New Roman" w:cstheme="minorHAnsi"/>
                <w:lang w:eastAsia="nl-NL" w:bidi="he-IL"/>
              </w:rPr>
              <w:t> </w:t>
            </w:r>
          </w:p>
        </w:tc>
      </w:tr>
      <w:tr w:rsidR="00143DE8" w:rsidRPr="00143DE8" w14:paraId="2CA76C37" w14:textId="77777777" w:rsidTr="00143DE8">
        <w:tc>
          <w:tcPr>
            <w:tcW w:w="840" w:type="dxa"/>
            <w:tcBorders>
              <w:top w:val="nil"/>
              <w:left w:val="nil"/>
              <w:bottom w:val="nil"/>
              <w:right w:val="nil"/>
            </w:tcBorders>
            <w:shd w:val="clear" w:color="auto" w:fill="auto"/>
            <w:hideMark/>
          </w:tcPr>
          <w:p w14:paraId="30F4D4F4" w14:textId="77777777" w:rsidR="00143DE8" w:rsidRPr="00143DE8" w:rsidRDefault="00143DE8" w:rsidP="00C0150F">
            <w:pPr>
              <w:spacing w:after="0" w:line="480" w:lineRule="auto"/>
              <w:textAlignment w:val="baseline"/>
              <w:rPr>
                <w:rFonts w:eastAsia="Times New Roman" w:cstheme="minorHAnsi"/>
                <w:sz w:val="24"/>
                <w:szCs w:val="24"/>
                <w:lang w:eastAsia="nl-NL" w:bidi="he-IL"/>
              </w:rPr>
            </w:pPr>
            <w:r w:rsidRPr="00143DE8">
              <w:rPr>
                <w:rFonts w:eastAsia="Times New Roman" w:cstheme="minorHAnsi"/>
                <w:lang w:val="en-US" w:eastAsia="nl-NL" w:bidi="he-IL"/>
              </w:rPr>
              <w:t>VVD</w:t>
            </w:r>
            <w:r w:rsidRPr="00143DE8">
              <w:rPr>
                <w:rFonts w:eastAsia="Times New Roman" w:cstheme="minorHAnsi"/>
                <w:lang w:eastAsia="nl-NL" w:bidi="he-IL"/>
              </w:rPr>
              <w:t> </w:t>
            </w:r>
          </w:p>
        </w:tc>
        <w:tc>
          <w:tcPr>
            <w:tcW w:w="8205" w:type="dxa"/>
            <w:tcBorders>
              <w:top w:val="nil"/>
              <w:left w:val="nil"/>
              <w:bottom w:val="nil"/>
              <w:right w:val="nil"/>
            </w:tcBorders>
            <w:shd w:val="clear" w:color="auto" w:fill="auto"/>
            <w:hideMark/>
          </w:tcPr>
          <w:p w14:paraId="3B9A61D1" w14:textId="77777777" w:rsidR="00143DE8" w:rsidRPr="00143DE8" w:rsidRDefault="00143DE8" w:rsidP="00C0150F">
            <w:pPr>
              <w:spacing w:after="0" w:line="480" w:lineRule="auto"/>
              <w:textAlignment w:val="baseline"/>
              <w:rPr>
                <w:rFonts w:eastAsia="Times New Roman" w:cstheme="minorHAnsi"/>
                <w:sz w:val="24"/>
                <w:szCs w:val="24"/>
                <w:lang w:eastAsia="nl-NL" w:bidi="he-IL"/>
              </w:rPr>
            </w:pPr>
            <w:r w:rsidRPr="00C0150F">
              <w:rPr>
                <w:rFonts w:eastAsia="Times New Roman" w:cstheme="minorHAnsi"/>
                <w:i/>
                <w:iCs/>
                <w:lang w:eastAsia="nl-NL" w:bidi="he-IL"/>
              </w:rPr>
              <w:t>Volkspartij voor Vrijheid en Democratie</w:t>
            </w:r>
            <w:r w:rsidRPr="00143DE8">
              <w:rPr>
                <w:rFonts w:eastAsia="Times New Roman" w:cstheme="minorHAnsi"/>
                <w:lang w:eastAsia="nl-NL" w:bidi="he-IL"/>
              </w:rPr>
              <w:t xml:space="preserve"> (conservative-liberal party) </w:t>
            </w:r>
          </w:p>
        </w:tc>
      </w:tr>
      <w:tr w:rsidR="00143DE8" w:rsidRPr="00143DE8" w14:paraId="208DD0C2" w14:textId="77777777" w:rsidTr="00143DE8">
        <w:tc>
          <w:tcPr>
            <w:tcW w:w="840" w:type="dxa"/>
            <w:tcBorders>
              <w:top w:val="nil"/>
              <w:left w:val="nil"/>
              <w:bottom w:val="nil"/>
              <w:right w:val="nil"/>
            </w:tcBorders>
            <w:shd w:val="clear" w:color="auto" w:fill="auto"/>
            <w:hideMark/>
          </w:tcPr>
          <w:p w14:paraId="2DEF32ED" w14:textId="77777777" w:rsidR="00143DE8" w:rsidRPr="00143DE8" w:rsidRDefault="00143DE8" w:rsidP="00143DE8">
            <w:pPr>
              <w:spacing w:after="0" w:line="240" w:lineRule="auto"/>
              <w:textAlignment w:val="baseline"/>
              <w:rPr>
                <w:rFonts w:eastAsia="Times New Roman" w:cstheme="minorHAnsi"/>
                <w:sz w:val="24"/>
                <w:szCs w:val="24"/>
                <w:lang w:eastAsia="nl-NL" w:bidi="he-IL"/>
              </w:rPr>
            </w:pPr>
            <w:r w:rsidRPr="00143DE8">
              <w:rPr>
                <w:rFonts w:eastAsia="Times New Roman" w:cstheme="minorHAnsi"/>
                <w:lang w:eastAsia="nl-NL" w:bidi="he-IL"/>
              </w:rPr>
              <w:t> </w:t>
            </w:r>
          </w:p>
        </w:tc>
        <w:tc>
          <w:tcPr>
            <w:tcW w:w="8205" w:type="dxa"/>
            <w:tcBorders>
              <w:top w:val="nil"/>
              <w:left w:val="nil"/>
              <w:bottom w:val="nil"/>
              <w:right w:val="nil"/>
            </w:tcBorders>
            <w:shd w:val="clear" w:color="auto" w:fill="auto"/>
            <w:hideMark/>
          </w:tcPr>
          <w:p w14:paraId="4C8189BC" w14:textId="77777777" w:rsidR="00143DE8" w:rsidRPr="00143DE8" w:rsidRDefault="00143DE8" w:rsidP="00143DE8">
            <w:pPr>
              <w:spacing w:after="0" w:line="240" w:lineRule="auto"/>
              <w:textAlignment w:val="baseline"/>
              <w:rPr>
                <w:rFonts w:eastAsia="Times New Roman" w:cstheme="minorHAnsi"/>
                <w:sz w:val="24"/>
                <w:szCs w:val="24"/>
                <w:lang w:eastAsia="nl-NL" w:bidi="he-IL"/>
              </w:rPr>
            </w:pPr>
            <w:r w:rsidRPr="00143DE8">
              <w:rPr>
                <w:rFonts w:eastAsia="Times New Roman" w:cstheme="minorHAnsi"/>
                <w:lang w:eastAsia="nl-NL" w:bidi="he-IL"/>
              </w:rPr>
              <w:t> </w:t>
            </w:r>
          </w:p>
        </w:tc>
      </w:tr>
    </w:tbl>
    <w:p w14:paraId="05BA93F1" w14:textId="77777777" w:rsidR="00B97C24" w:rsidRPr="00143DE8" w:rsidRDefault="00B97C24"/>
    <w:p w14:paraId="62F40539" w14:textId="77777777" w:rsidR="00B97C24" w:rsidRPr="00143DE8" w:rsidRDefault="00B97C24">
      <w:r w:rsidRPr="00143DE8">
        <w:br w:type="page"/>
      </w:r>
    </w:p>
    <w:p w14:paraId="4E36E6A7" w14:textId="77777777" w:rsidR="00CF540B" w:rsidRPr="00143DE8" w:rsidRDefault="00CF540B" w:rsidP="0096250E">
      <w:pPr>
        <w:pStyle w:val="Kop1"/>
        <w:sectPr w:rsidR="00CF540B" w:rsidRPr="00143DE8" w:rsidSect="00CF540B">
          <w:footerReference w:type="default" r:id="rId9"/>
          <w:pgSz w:w="11906" w:h="16838"/>
          <w:pgMar w:top="1417" w:right="1417" w:bottom="1417" w:left="1417" w:header="708" w:footer="708" w:gutter="0"/>
          <w:pgNumType w:start="1"/>
          <w:cols w:space="708"/>
          <w:docGrid w:linePitch="360"/>
        </w:sectPr>
      </w:pPr>
    </w:p>
    <w:p w14:paraId="748728FC" w14:textId="53DC8714" w:rsidR="0096250E" w:rsidRPr="00A81153" w:rsidRDefault="0096250E" w:rsidP="00A81153">
      <w:pPr>
        <w:pStyle w:val="Kop1"/>
        <w:jc w:val="center"/>
        <w:rPr>
          <w:b/>
          <w:bCs/>
          <w:color w:val="auto"/>
          <w:lang w:val="en-US"/>
        </w:rPr>
      </w:pPr>
      <w:bookmarkStart w:id="0" w:name="_Toc48891275"/>
      <w:r w:rsidRPr="00A81153">
        <w:rPr>
          <w:b/>
          <w:bCs/>
          <w:color w:val="auto"/>
          <w:lang w:val="en-US"/>
        </w:rPr>
        <w:t>1. Introduction</w:t>
      </w:r>
      <w:bookmarkEnd w:id="0"/>
    </w:p>
    <w:p w14:paraId="6C922746" w14:textId="77777777" w:rsidR="00A81153" w:rsidRDefault="00A81153" w:rsidP="0096250E">
      <w:pPr>
        <w:pStyle w:val="paragraph"/>
        <w:spacing w:before="0" w:beforeAutospacing="0" w:after="0" w:afterAutospacing="0"/>
        <w:jc w:val="both"/>
        <w:textAlignment w:val="baseline"/>
        <w:rPr>
          <w:rStyle w:val="normaltextrun"/>
          <w:rFonts w:ascii="Calibri" w:hAnsi="Calibri" w:cs="Calibri"/>
          <w:sz w:val="22"/>
          <w:szCs w:val="22"/>
          <w:lang w:val="en-US"/>
        </w:rPr>
      </w:pPr>
    </w:p>
    <w:p w14:paraId="003C459C" w14:textId="712D2931" w:rsidR="0096250E" w:rsidRDefault="0096250E" w:rsidP="0096250E">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At the stroke of midnight January 31</w:t>
      </w:r>
      <w:r>
        <w:rPr>
          <w:rStyle w:val="normaltextrun"/>
          <w:rFonts w:ascii="Calibri" w:hAnsi="Calibri" w:cs="Calibri"/>
          <w:sz w:val="17"/>
          <w:szCs w:val="17"/>
          <w:vertAlign w:val="superscript"/>
          <w:lang w:val="en-US"/>
        </w:rPr>
        <w:t>st</w:t>
      </w:r>
      <w:r>
        <w:rPr>
          <w:rStyle w:val="contextualspellingandgrammarerror"/>
          <w:rFonts w:ascii="Calibri" w:hAnsi="Calibri" w:cs="Calibri"/>
          <w:sz w:val="22"/>
          <w:szCs w:val="22"/>
          <w:lang w:val="en-US"/>
        </w:rPr>
        <w:t> 2020</w:t>
      </w:r>
      <w:r>
        <w:rPr>
          <w:rStyle w:val="normaltextrun"/>
          <w:rFonts w:ascii="Calibri" w:hAnsi="Calibri" w:cs="Calibri"/>
          <w:sz w:val="22"/>
          <w:szCs w:val="22"/>
          <w:lang w:val="en-US"/>
        </w:rPr>
        <w:t>, the time had come: the UK officially left the European Union [EU] (NOS, 2020). Thousands of people had gathered in front of Parliament in London to count down together. The decision to leave the EU and the conditions under which this should happen had dominated the national political debate for years. Waving flags lighting fireworks: these people were all too happy to leave the EU behind, setting o</w:t>
      </w:r>
      <w:r w:rsidR="003B5128">
        <w:rPr>
          <w:rStyle w:val="normaltextrun"/>
          <w:rFonts w:ascii="Calibri" w:hAnsi="Calibri" w:cs="Calibri"/>
          <w:sz w:val="22"/>
          <w:szCs w:val="22"/>
          <w:lang w:val="en-US"/>
        </w:rPr>
        <w:t>ut on the streets to celebrate.</w:t>
      </w:r>
    </w:p>
    <w:p w14:paraId="2347211B" w14:textId="77777777" w:rsidR="0096250E" w:rsidRPr="0096250E" w:rsidRDefault="0096250E" w:rsidP="0096250E">
      <w:pPr>
        <w:pStyle w:val="paragraph"/>
        <w:spacing w:before="0" w:beforeAutospacing="0" w:after="0" w:afterAutospacing="0"/>
        <w:jc w:val="both"/>
        <w:textAlignment w:val="baseline"/>
        <w:rPr>
          <w:rFonts w:ascii="Segoe UI" w:hAnsi="Segoe UI" w:cs="Segoe UI"/>
          <w:sz w:val="18"/>
          <w:szCs w:val="18"/>
          <w:lang w:val="en-US"/>
        </w:rPr>
      </w:pPr>
    </w:p>
    <w:p w14:paraId="7ACDBB75" w14:textId="77777777" w:rsidR="0096250E" w:rsidRDefault="0096250E" w:rsidP="0096250E">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With this image in mind, it is hard to imagine a time when citizens hardly cared about the process of European integration. And yet exactly this was the case before the turn of the century. For a long time, European integration was subject to a “permissive consensus” (</w:t>
      </w:r>
      <w:r>
        <w:rPr>
          <w:rStyle w:val="spellingerror"/>
          <w:rFonts w:ascii="Calibri" w:hAnsi="Calibri" w:cs="Calibri"/>
          <w:sz w:val="22"/>
          <w:szCs w:val="22"/>
          <w:lang w:val="en-US"/>
        </w:rPr>
        <w:t>Hobolt</w:t>
      </w:r>
      <w:r>
        <w:rPr>
          <w:rStyle w:val="normaltextrun"/>
          <w:rFonts w:ascii="Calibri" w:hAnsi="Calibri" w:cs="Calibri"/>
          <w:sz w:val="22"/>
          <w:szCs w:val="22"/>
          <w:lang w:val="en-US"/>
        </w:rPr>
        <w:t> &amp; De Vries, 2016; </w:t>
      </w:r>
      <w:r>
        <w:rPr>
          <w:rStyle w:val="spellingerror"/>
          <w:rFonts w:ascii="Calibri" w:hAnsi="Calibri" w:cs="Calibri"/>
          <w:sz w:val="22"/>
          <w:szCs w:val="22"/>
          <w:lang w:val="en-US"/>
        </w:rPr>
        <w:t>Hooghe</w:t>
      </w:r>
      <w:r>
        <w:rPr>
          <w:rStyle w:val="normaltextrun"/>
          <w:rFonts w:ascii="Calibri" w:hAnsi="Calibri" w:cs="Calibri"/>
          <w:sz w:val="22"/>
          <w:szCs w:val="22"/>
          <w:lang w:val="en-US"/>
        </w:rPr>
        <w:t> &amp; Marks, 2009). The matter was hardly discussed in national parliament and was not considered an important political subject by the electorate. Citizens did not have strong opinions on the topic and mostly relied on the judgement of political elites. European integration was effectively isolated from public scrutiny, as political elites seemed to agree about the merits of the process.</w:t>
      </w:r>
      <w:r w:rsidRPr="0096250E">
        <w:rPr>
          <w:rStyle w:val="eop"/>
          <w:rFonts w:ascii="Calibri" w:hAnsi="Calibri" w:cs="Calibri"/>
          <w:sz w:val="22"/>
          <w:szCs w:val="22"/>
          <w:lang w:val="en-US"/>
        </w:rPr>
        <w:t> </w:t>
      </w:r>
    </w:p>
    <w:p w14:paraId="419D7E00" w14:textId="77777777" w:rsidR="0096250E" w:rsidRPr="0096250E" w:rsidRDefault="0096250E" w:rsidP="0096250E">
      <w:pPr>
        <w:pStyle w:val="paragraph"/>
        <w:spacing w:before="0" w:beforeAutospacing="0" w:after="0" w:afterAutospacing="0"/>
        <w:jc w:val="both"/>
        <w:textAlignment w:val="baseline"/>
        <w:rPr>
          <w:rFonts w:ascii="Segoe UI" w:hAnsi="Segoe UI" w:cs="Segoe UI"/>
          <w:sz w:val="18"/>
          <w:szCs w:val="18"/>
          <w:lang w:val="en-US"/>
        </w:rPr>
      </w:pPr>
    </w:p>
    <w:p w14:paraId="51F7A1A3" w14:textId="0B74513D" w:rsidR="0096250E" w:rsidRDefault="0096250E" w:rsidP="0096250E">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Yet the “permissive consensus” grew increasingly strained over time. Over the last decades, supranational politics have become more and more politicized (De Wilde, 2011; Zürn et al., 2012). Globalization and Europeanization have blurred the lines between the international and national level (Verbeek et al., 2019). Previously domestic affairs now often have international dimensions, and citizens find that their lives are increasingly affected by supranational politics. The permissive consensus has been effectively replaced by a “constraining dissensus” (</w:t>
      </w:r>
      <w:r>
        <w:rPr>
          <w:rStyle w:val="spellingerror"/>
          <w:rFonts w:ascii="Calibri" w:hAnsi="Calibri" w:cs="Calibri"/>
          <w:sz w:val="22"/>
          <w:szCs w:val="22"/>
          <w:lang w:val="en-US"/>
        </w:rPr>
        <w:t>Hooghe</w:t>
      </w:r>
      <w:r>
        <w:rPr>
          <w:rStyle w:val="normaltextrun"/>
          <w:rFonts w:ascii="Calibri" w:hAnsi="Calibri" w:cs="Calibri"/>
          <w:sz w:val="22"/>
          <w:szCs w:val="22"/>
          <w:lang w:val="en-US"/>
        </w:rPr>
        <w:t xml:space="preserve"> &amp; Marks, 2009). International affairs are increasingly a matter of domestic political debate, </w:t>
      </w:r>
      <w:r w:rsidR="00A72BD6">
        <w:rPr>
          <w:rStyle w:val="normaltextrun"/>
          <w:rFonts w:ascii="Calibri" w:hAnsi="Calibri" w:cs="Calibri"/>
          <w:sz w:val="22"/>
          <w:szCs w:val="22"/>
          <w:lang w:val="en-US"/>
        </w:rPr>
        <w:t>requiring</w:t>
      </w:r>
      <w:r>
        <w:rPr>
          <w:rStyle w:val="normaltextrun"/>
          <w:rFonts w:ascii="Calibri" w:hAnsi="Calibri" w:cs="Calibri"/>
          <w:sz w:val="22"/>
          <w:szCs w:val="22"/>
          <w:lang w:val="en-US"/>
        </w:rPr>
        <w:t xml:space="preserve"> foreign policy makers to take public opinion into account.</w:t>
      </w:r>
      <w:r w:rsidRPr="0096250E">
        <w:rPr>
          <w:rStyle w:val="eop"/>
          <w:rFonts w:ascii="Calibri" w:hAnsi="Calibri" w:cs="Calibri"/>
          <w:sz w:val="22"/>
          <w:szCs w:val="22"/>
          <w:lang w:val="en-US"/>
        </w:rPr>
        <w:t> </w:t>
      </w:r>
    </w:p>
    <w:p w14:paraId="2400C9AD" w14:textId="77777777" w:rsidR="0096250E" w:rsidRPr="0096250E" w:rsidRDefault="0096250E" w:rsidP="0096250E">
      <w:pPr>
        <w:pStyle w:val="paragraph"/>
        <w:spacing w:before="0" w:beforeAutospacing="0" w:after="0" w:afterAutospacing="0"/>
        <w:jc w:val="both"/>
        <w:textAlignment w:val="baseline"/>
        <w:rPr>
          <w:rFonts w:ascii="Segoe UI" w:hAnsi="Segoe UI" w:cs="Segoe UI"/>
          <w:sz w:val="18"/>
          <w:szCs w:val="18"/>
          <w:lang w:val="en-US"/>
        </w:rPr>
      </w:pPr>
    </w:p>
    <w:p w14:paraId="4D45B50F" w14:textId="44311A71" w:rsidR="0096250E" w:rsidRDefault="0096250E" w:rsidP="0096250E">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A critical moment in the move toward this “constraining dissensus” was the Dutch rejection of the European Constitution through a national referendum in 2005. The electorate, directly consulted on the European integration process for the first time, expressed a serious discontent with the direction the national government had envisioned (</w:t>
      </w:r>
      <w:r>
        <w:rPr>
          <w:rStyle w:val="spellingerror"/>
          <w:rFonts w:ascii="Calibri" w:hAnsi="Calibri" w:cs="Calibri"/>
          <w:sz w:val="22"/>
          <w:szCs w:val="22"/>
          <w:lang w:val="en-US"/>
        </w:rPr>
        <w:t>Lucardie</w:t>
      </w:r>
      <w:r>
        <w:rPr>
          <w:rStyle w:val="normaltextrun"/>
          <w:rFonts w:ascii="Calibri" w:hAnsi="Calibri" w:cs="Calibri"/>
          <w:sz w:val="22"/>
          <w:szCs w:val="22"/>
          <w:lang w:val="en-US"/>
        </w:rPr>
        <w:t>, 2005; Van den Berg, 2006). A treaty 85% of the </w:t>
      </w:r>
      <w:r>
        <w:rPr>
          <w:rStyle w:val="spellingerror"/>
          <w:rFonts w:ascii="Calibri" w:hAnsi="Calibri" w:cs="Calibri"/>
          <w:i/>
          <w:iCs/>
          <w:sz w:val="22"/>
          <w:szCs w:val="22"/>
          <w:lang w:val="en-US"/>
        </w:rPr>
        <w:t>Tweede</w:t>
      </w:r>
      <w:r>
        <w:rPr>
          <w:rStyle w:val="normaltextrun"/>
          <w:rFonts w:ascii="Calibri" w:hAnsi="Calibri" w:cs="Calibri"/>
          <w:i/>
          <w:iCs/>
          <w:sz w:val="22"/>
          <w:szCs w:val="22"/>
          <w:lang w:val="en-US"/>
        </w:rPr>
        <w:t> Kamer</w:t>
      </w:r>
      <w:r>
        <w:rPr>
          <w:rStyle w:val="normaltextrun"/>
          <w:rFonts w:ascii="Calibri" w:hAnsi="Calibri" w:cs="Calibri"/>
          <w:sz w:val="22"/>
          <w:szCs w:val="22"/>
          <w:lang w:val="en-US"/>
        </w:rPr>
        <w:t> had agreed upon was met with rejection by 61,5% of the voters</w:t>
      </w:r>
      <w:r w:rsidR="006322F2">
        <w:rPr>
          <w:rStyle w:val="normaltextrun"/>
          <w:rFonts w:ascii="Calibri" w:hAnsi="Calibri" w:cs="Calibri"/>
          <w:sz w:val="22"/>
          <w:szCs w:val="22"/>
          <w:lang w:val="en-US"/>
        </w:rPr>
        <w:t xml:space="preserve"> with a high voter turn-out of 63,3% (Kiesraad, 2005)</w:t>
      </w:r>
      <w:r>
        <w:rPr>
          <w:rStyle w:val="normaltextrun"/>
          <w:rFonts w:ascii="Calibri" w:hAnsi="Calibri" w:cs="Calibri"/>
          <w:sz w:val="22"/>
          <w:szCs w:val="22"/>
          <w:lang w:val="en-US"/>
        </w:rPr>
        <w:t>.</w:t>
      </w:r>
      <w:r w:rsidRPr="0096250E">
        <w:rPr>
          <w:rStyle w:val="eop"/>
          <w:rFonts w:ascii="Calibri" w:hAnsi="Calibri" w:cs="Calibri"/>
          <w:sz w:val="22"/>
          <w:szCs w:val="22"/>
          <w:lang w:val="en-US"/>
        </w:rPr>
        <w:t> </w:t>
      </w:r>
    </w:p>
    <w:p w14:paraId="063FD7AB" w14:textId="77777777" w:rsidR="0096250E" w:rsidRPr="0096250E" w:rsidRDefault="0096250E" w:rsidP="0096250E">
      <w:pPr>
        <w:pStyle w:val="paragraph"/>
        <w:spacing w:before="0" w:beforeAutospacing="0" w:after="0" w:afterAutospacing="0"/>
        <w:jc w:val="both"/>
        <w:textAlignment w:val="baseline"/>
        <w:rPr>
          <w:rFonts w:ascii="Segoe UI" w:hAnsi="Segoe UI" w:cs="Segoe UI"/>
          <w:sz w:val="18"/>
          <w:szCs w:val="18"/>
          <w:lang w:val="en-US"/>
        </w:rPr>
      </w:pPr>
    </w:p>
    <w:p w14:paraId="5A417F14" w14:textId="77777777" w:rsidR="0096250E" w:rsidRDefault="0096250E" w:rsidP="0096250E">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The disconnect between political elites and the average citizen had thus become painfully visible. </w:t>
      </w:r>
      <w:r>
        <w:rPr>
          <w:rStyle w:val="contextualspellingandgrammarerror"/>
          <w:rFonts w:ascii="Calibri" w:hAnsi="Calibri" w:cs="Calibri"/>
          <w:sz w:val="22"/>
          <w:szCs w:val="22"/>
          <w:lang w:val="en-US"/>
        </w:rPr>
        <w:t>Policy-makers</w:t>
      </w:r>
      <w:r>
        <w:rPr>
          <w:rStyle w:val="normaltextrun"/>
          <w:rFonts w:ascii="Calibri" w:hAnsi="Calibri" w:cs="Calibri"/>
          <w:sz w:val="22"/>
          <w:szCs w:val="22"/>
          <w:lang w:val="en-US"/>
        </w:rPr>
        <w:t> were faced with the fact that they did not adequately represent public opinion regarding European integration. Citizens, on the other hand, grew aware of the impact of the EU on their daily lives, and their limited personal knowledge about the workings of the institution (Dekker et al., 2006). Not only had European integration been successfully politicized, it has since come to structure the domestic political debate and the national vote in the Netherlands (</w:t>
      </w:r>
      <w:r>
        <w:rPr>
          <w:rStyle w:val="spellingerror"/>
          <w:rFonts w:ascii="Calibri" w:hAnsi="Calibri" w:cs="Calibri"/>
          <w:sz w:val="22"/>
          <w:szCs w:val="22"/>
          <w:lang w:val="en-US"/>
        </w:rPr>
        <w:t>Hooghe</w:t>
      </w:r>
      <w:r>
        <w:rPr>
          <w:rStyle w:val="normaltextrun"/>
          <w:rFonts w:ascii="Calibri" w:hAnsi="Calibri" w:cs="Calibri"/>
          <w:sz w:val="22"/>
          <w:szCs w:val="22"/>
          <w:lang w:val="en-US"/>
        </w:rPr>
        <w:t> &amp; Marks, 2009; </w:t>
      </w:r>
      <w:r>
        <w:rPr>
          <w:rStyle w:val="spellingerror"/>
          <w:rFonts w:ascii="Calibri" w:hAnsi="Calibri" w:cs="Calibri"/>
          <w:sz w:val="22"/>
          <w:szCs w:val="22"/>
          <w:lang w:val="en-US"/>
        </w:rPr>
        <w:t>Meijers</w:t>
      </w:r>
      <w:r>
        <w:rPr>
          <w:rStyle w:val="normaltextrun"/>
          <w:rFonts w:ascii="Calibri" w:hAnsi="Calibri" w:cs="Calibri"/>
          <w:sz w:val="22"/>
          <w:szCs w:val="22"/>
          <w:lang w:val="en-US"/>
        </w:rPr>
        <w:t>, 2017).</w:t>
      </w:r>
      <w:r w:rsidRPr="0096250E">
        <w:rPr>
          <w:rStyle w:val="eop"/>
          <w:rFonts w:ascii="Calibri" w:hAnsi="Calibri" w:cs="Calibri"/>
          <w:sz w:val="22"/>
          <w:szCs w:val="22"/>
          <w:lang w:val="en-US"/>
        </w:rPr>
        <w:t> </w:t>
      </w:r>
    </w:p>
    <w:p w14:paraId="1DB518CE" w14:textId="77777777" w:rsidR="0096250E" w:rsidRPr="0096250E" w:rsidRDefault="0096250E" w:rsidP="0096250E">
      <w:pPr>
        <w:pStyle w:val="paragraph"/>
        <w:spacing w:before="0" w:beforeAutospacing="0" w:after="0" w:afterAutospacing="0"/>
        <w:jc w:val="both"/>
        <w:textAlignment w:val="baseline"/>
        <w:rPr>
          <w:rFonts w:ascii="Segoe UI" w:hAnsi="Segoe UI" w:cs="Segoe UI"/>
          <w:sz w:val="18"/>
          <w:szCs w:val="18"/>
          <w:lang w:val="en-US"/>
        </w:rPr>
      </w:pPr>
    </w:p>
    <w:p w14:paraId="478557F3" w14:textId="236EA2C5" w:rsidR="0096250E" w:rsidRPr="00A81153" w:rsidRDefault="00A527B5" w:rsidP="00A527B5">
      <w:pPr>
        <w:pStyle w:val="Kop2"/>
        <w:rPr>
          <w:rStyle w:val="eop"/>
          <w:color w:val="auto"/>
          <w:lang w:val="en-US"/>
        </w:rPr>
      </w:pPr>
      <w:bookmarkStart w:id="1" w:name="_Toc48891276"/>
      <w:r w:rsidRPr="00A81153">
        <w:rPr>
          <w:rStyle w:val="normaltextrun"/>
          <w:color w:val="auto"/>
          <w:lang w:val="en-US"/>
        </w:rPr>
        <w:t xml:space="preserve">1.1 </w:t>
      </w:r>
      <w:r w:rsidR="0096250E" w:rsidRPr="00A81153">
        <w:rPr>
          <w:rStyle w:val="normaltextrun"/>
          <w:color w:val="auto"/>
          <w:lang w:val="en-US"/>
        </w:rPr>
        <w:t>Scientific </w:t>
      </w:r>
      <w:r w:rsidR="00C73DE0" w:rsidRPr="00A81153">
        <w:rPr>
          <w:rStyle w:val="normaltextrun"/>
          <w:color w:val="auto"/>
          <w:lang w:val="en-US"/>
        </w:rPr>
        <w:t>p</w:t>
      </w:r>
      <w:r w:rsidR="0096250E" w:rsidRPr="00A81153">
        <w:rPr>
          <w:rStyle w:val="normaltextrun"/>
          <w:color w:val="auto"/>
          <w:lang w:val="en-US"/>
        </w:rPr>
        <w:t>uzzle</w:t>
      </w:r>
      <w:bookmarkEnd w:id="1"/>
      <w:r w:rsidR="0096250E" w:rsidRPr="00A81153">
        <w:rPr>
          <w:rStyle w:val="eop"/>
          <w:color w:val="auto"/>
          <w:lang w:val="en-US"/>
        </w:rPr>
        <w:t> </w:t>
      </w:r>
    </w:p>
    <w:p w14:paraId="618BD932" w14:textId="0FD01CD5" w:rsidR="0096250E" w:rsidRPr="0091739F" w:rsidRDefault="0096250E" w:rsidP="0096250E">
      <w:pPr>
        <w:pStyle w:val="paragraph"/>
        <w:spacing w:before="0" w:beforeAutospacing="0" w:after="0" w:afterAutospacing="0"/>
        <w:jc w:val="both"/>
        <w:textAlignment w:val="baseline"/>
        <w:rPr>
          <w:rStyle w:val="eop"/>
          <w:rFonts w:ascii="Calibri" w:hAnsi="Calibri" w:cs="Calibri"/>
          <w:sz w:val="22"/>
          <w:szCs w:val="22"/>
          <w:lang w:val="en-US"/>
        </w:rPr>
      </w:pPr>
      <w:r w:rsidRPr="0091739F">
        <w:rPr>
          <w:rStyle w:val="normaltextrun"/>
          <w:rFonts w:ascii="Calibri" w:hAnsi="Calibri" w:cs="Calibri"/>
          <w:sz w:val="22"/>
          <w:szCs w:val="22"/>
          <w:lang w:val="en-US"/>
        </w:rPr>
        <w:t>According to Robert Putnam (1988), the drafting and ratification of international treaties forces governments to engage in multilevel games. Governments need to consider both the national and international sphere in arriving at international agreement. The interests of national actors need to be </w:t>
      </w:r>
      <w:r w:rsidRPr="0091739F">
        <w:rPr>
          <w:rStyle w:val="advancedproofingissue"/>
          <w:rFonts w:ascii="Calibri" w:eastAsiaTheme="majorEastAsia" w:hAnsi="Calibri" w:cs="Calibri"/>
          <w:sz w:val="22"/>
          <w:szCs w:val="22"/>
          <w:lang w:val="en-US"/>
        </w:rPr>
        <w:t>taken into account</w:t>
      </w:r>
      <w:r w:rsidRPr="0091739F">
        <w:rPr>
          <w:rStyle w:val="normaltextrun"/>
          <w:rFonts w:ascii="Calibri" w:hAnsi="Calibri" w:cs="Calibri"/>
          <w:sz w:val="22"/>
          <w:szCs w:val="22"/>
          <w:lang w:val="en-US"/>
        </w:rPr>
        <w:t> when negotiating at the international level, and vice versa. </w:t>
      </w:r>
      <w:r w:rsidRPr="0091739F">
        <w:rPr>
          <w:rStyle w:val="contextualspellingandgrammarerror"/>
          <w:rFonts w:ascii="Calibri" w:hAnsi="Calibri" w:cs="Calibri"/>
          <w:sz w:val="22"/>
          <w:szCs w:val="22"/>
          <w:lang w:val="en-US"/>
        </w:rPr>
        <w:t>Effectively,</w:t>
      </w:r>
      <w:r w:rsidRPr="0091739F">
        <w:rPr>
          <w:rStyle w:val="normaltextrun"/>
          <w:rFonts w:ascii="Calibri" w:hAnsi="Calibri" w:cs="Calibri"/>
          <w:sz w:val="22"/>
          <w:szCs w:val="22"/>
          <w:lang w:val="en-US"/>
        </w:rPr>
        <w:t> the government engages in strategic games at both levels simultaneously in order to achieve an outcome that both serves their interests and is acceptable to their national and international counterparts.</w:t>
      </w:r>
      <w:r w:rsidRPr="0091739F">
        <w:rPr>
          <w:rStyle w:val="eop"/>
          <w:rFonts w:ascii="Calibri" w:hAnsi="Calibri" w:cs="Calibri"/>
          <w:sz w:val="22"/>
          <w:szCs w:val="22"/>
          <w:lang w:val="en-US"/>
        </w:rPr>
        <w:t> </w:t>
      </w:r>
    </w:p>
    <w:p w14:paraId="4D183DC9" w14:textId="77777777" w:rsidR="0096250E" w:rsidRPr="0091739F" w:rsidRDefault="0096250E" w:rsidP="0096250E">
      <w:pPr>
        <w:pStyle w:val="paragraph"/>
        <w:spacing w:before="0" w:beforeAutospacing="0" w:after="0" w:afterAutospacing="0"/>
        <w:jc w:val="both"/>
        <w:textAlignment w:val="baseline"/>
        <w:rPr>
          <w:rFonts w:ascii="Segoe UI" w:hAnsi="Segoe UI" w:cs="Segoe UI"/>
          <w:sz w:val="18"/>
          <w:szCs w:val="18"/>
          <w:lang w:val="en-US"/>
        </w:rPr>
      </w:pPr>
    </w:p>
    <w:p w14:paraId="4F11A018" w14:textId="656DF25A" w:rsidR="009B7952" w:rsidRPr="0091739F" w:rsidRDefault="0096250E" w:rsidP="0096250E">
      <w:pPr>
        <w:pStyle w:val="paragraph"/>
        <w:spacing w:before="0" w:beforeAutospacing="0" w:after="0" w:afterAutospacing="0"/>
        <w:jc w:val="both"/>
        <w:textAlignment w:val="baseline"/>
        <w:rPr>
          <w:rStyle w:val="normaltextrun"/>
          <w:rFonts w:ascii="Calibri" w:hAnsi="Calibri" w:cs="Calibri"/>
          <w:sz w:val="22"/>
          <w:szCs w:val="22"/>
          <w:lang w:val="en-US"/>
        </w:rPr>
      </w:pPr>
      <w:r w:rsidRPr="0091739F">
        <w:rPr>
          <w:rStyle w:val="normaltextrun"/>
          <w:rFonts w:ascii="Calibri" w:hAnsi="Calibri" w:cs="Calibri"/>
          <w:sz w:val="22"/>
          <w:szCs w:val="22"/>
          <w:lang w:val="en-US"/>
        </w:rPr>
        <w:t>Following Putnam’s theory, an international treaty that is signed by national governments should be acceptable to </w:t>
      </w:r>
      <w:r w:rsidRPr="0091739F">
        <w:rPr>
          <w:rStyle w:val="advancedproofingissue"/>
          <w:rFonts w:ascii="Calibri" w:eastAsiaTheme="majorEastAsia" w:hAnsi="Calibri" w:cs="Calibri"/>
          <w:sz w:val="22"/>
          <w:szCs w:val="22"/>
          <w:lang w:val="en-US"/>
        </w:rPr>
        <w:t>a majority of</w:t>
      </w:r>
      <w:r w:rsidRPr="0091739F">
        <w:rPr>
          <w:rStyle w:val="normaltextrun"/>
          <w:rFonts w:ascii="Calibri" w:hAnsi="Calibri" w:cs="Calibri"/>
          <w:sz w:val="22"/>
          <w:szCs w:val="22"/>
          <w:lang w:val="en-US"/>
        </w:rPr>
        <w:t> actors in the domestic sphere in all participating countries. After all, approval at the domestic level is required for the ratification of the agreement. It can thus be expected that the actors the link the two levels are </w:t>
      </w:r>
      <w:r w:rsidRPr="0091739F">
        <w:rPr>
          <w:rStyle w:val="advancedproofingissue"/>
          <w:rFonts w:ascii="Calibri" w:eastAsiaTheme="majorEastAsia" w:hAnsi="Calibri" w:cs="Calibri"/>
          <w:sz w:val="22"/>
          <w:szCs w:val="22"/>
          <w:lang w:val="en-US"/>
        </w:rPr>
        <w:t>well aware</w:t>
      </w:r>
      <w:r w:rsidRPr="0091739F">
        <w:rPr>
          <w:rStyle w:val="normaltextrun"/>
          <w:rFonts w:ascii="Calibri" w:hAnsi="Calibri" w:cs="Calibri"/>
          <w:sz w:val="22"/>
          <w:szCs w:val="22"/>
          <w:lang w:val="en-US"/>
        </w:rPr>
        <w:t xml:space="preserve"> of domestic public opinion on the matter. </w:t>
      </w:r>
      <w:r w:rsidR="002D311B" w:rsidRPr="0091739F">
        <w:rPr>
          <w:rStyle w:val="normaltextrun"/>
          <w:rFonts w:ascii="Calibri" w:hAnsi="Calibri" w:cs="Calibri"/>
          <w:sz w:val="22"/>
          <w:szCs w:val="22"/>
          <w:lang w:val="en-US"/>
        </w:rPr>
        <w:t xml:space="preserve">It would therefore be rational for a state to pursue a strategy that maximizes </w:t>
      </w:r>
      <w:r w:rsidR="009B7952" w:rsidRPr="0091739F">
        <w:rPr>
          <w:rStyle w:val="normaltextrun"/>
          <w:rFonts w:ascii="Calibri" w:hAnsi="Calibri" w:cs="Calibri"/>
          <w:sz w:val="22"/>
          <w:szCs w:val="22"/>
          <w:lang w:val="en-US"/>
        </w:rPr>
        <w:t>the domestic support for the treaty</w:t>
      </w:r>
      <w:r w:rsidR="00220523" w:rsidRPr="0091739F">
        <w:rPr>
          <w:rStyle w:val="normaltextrun"/>
          <w:rFonts w:ascii="Calibri" w:hAnsi="Calibri" w:cs="Calibri"/>
          <w:sz w:val="22"/>
          <w:szCs w:val="22"/>
          <w:lang w:val="en-US"/>
        </w:rPr>
        <w:t xml:space="preserve">, as this </w:t>
      </w:r>
      <w:r w:rsidR="001F7DCD" w:rsidRPr="0091739F">
        <w:rPr>
          <w:rStyle w:val="normaltextrun"/>
          <w:rFonts w:ascii="Calibri" w:hAnsi="Calibri" w:cs="Calibri"/>
          <w:sz w:val="22"/>
          <w:szCs w:val="22"/>
          <w:lang w:val="en-US"/>
        </w:rPr>
        <w:t>support is needed for the ratification of the treaty desired by the administration</w:t>
      </w:r>
    </w:p>
    <w:p w14:paraId="1E069AE7" w14:textId="77777777" w:rsidR="009B7952" w:rsidRPr="0091739F" w:rsidRDefault="009B7952" w:rsidP="0096250E">
      <w:pPr>
        <w:pStyle w:val="paragraph"/>
        <w:spacing w:before="0" w:beforeAutospacing="0" w:after="0" w:afterAutospacing="0"/>
        <w:jc w:val="both"/>
        <w:textAlignment w:val="baseline"/>
        <w:rPr>
          <w:rStyle w:val="normaltextrun"/>
          <w:rFonts w:ascii="Calibri" w:hAnsi="Calibri" w:cs="Calibri"/>
          <w:sz w:val="22"/>
          <w:szCs w:val="22"/>
          <w:lang w:val="en-US"/>
        </w:rPr>
      </w:pPr>
    </w:p>
    <w:p w14:paraId="36073411" w14:textId="424087D8" w:rsidR="0096250E" w:rsidRPr="0091739F" w:rsidRDefault="009B7952" w:rsidP="0096250E">
      <w:pPr>
        <w:pStyle w:val="paragraph"/>
        <w:spacing w:before="0" w:beforeAutospacing="0" w:after="0" w:afterAutospacing="0"/>
        <w:jc w:val="both"/>
        <w:textAlignment w:val="baseline"/>
        <w:rPr>
          <w:rStyle w:val="eop"/>
          <w:rFonts w:ascii="Calibri" w:hAnsi="Calibri" w:cs="Calibri"/>
          <w:sz w:val="22"/>
          <w:szCs w:val="22"/>
          <w:lang w:val="en-US"/>
        </w:rPr>
      </w:pPr>
      <w:r w:rsidRPr="0091739F">
        <w:rPr>
          <w:rStyle w:val="normaltextrun"/>
          <w:rFonts w:ascii="Calibri" w:hAnsi="Calibri" w:cs="Calibri"/>
          <w:sz w:val="22"/>
          <w:szCs w:val="22"/>
          <w:lang w:val="en-US"/>
        </w:rPr>
        <w:t>However, the Dutch cabinet’s campaign was generally regarded as weak</w:t>
      </w:r>
      <w:r w:rsidR="001F7DCD" w:rsidRPr="0091739F">
        <w:rPr>
          <w:rStyle w:val="normaltextrun"/>
          <w:rFonts w:ascii="Calibri" w:hAnsi="Calibri" w:cs="Calibri"/>
          <w:sz w:val="22"/>
          <w:szCs w:val="22"/>
          <w:lang w:val="en-US"/>
        </w:rPr>
        <w:t xml:space="preserve">, with some even believing </w:t>
      </w:r>
      <w:r w:rsidR="00617167" w:rsidRPr="0091739F">
        <w:rPr>
          <w:rStyle w:val="normaltextrun"/>
          <w:rFonts w:ascii="Calibri" w:hAnsi="Calibri" w:cs="Calibri"/>
          <w:sz w:val="22"/>
          <w:szCs w:val="22"/>
          <w:lang w:val="en-US"/>
        </w:rPr>
        <w:t>that the government’s actions contributed to the rejection of the European Constitution</w:t>
      </w:r>
      <w:r w:rsidRPr="0091739F">
        <w:rPr>
          <w:rStyle w:val="normaltextrun"/>
          <w:rFonts w:ascii="Calibri" w:hAnsi="Calibri" w:cs="Calibri"/>
          <w:sz w:val="22"/>
          <w:szCs w:val="22"/>
          <w:lang w:val="en-US"/>
        </w:rPr>
        <w:t xml:space="preserve"> (Giebels et al., 2005; Peeperkorn, 2005</w:t>
      </w:r>
      <w:r w:rsidR="0091739F" w:rsidRPr="0091739F">
        <w:rPr>
          <w:rStyle w:val="normaltextrun"/>
          <w:rFonts w:ascii="Calibri" w:hAnsi="Calibri" w:cs="Calibri"/>
          <w:sz w:val="22"/>
          <w:szCs w:val="22"/>
          <w:lang w:val="en-US"/>
        </w:rPr>
        <w:t>; Sprenger, 2016a</w:t>
      </w:r>
      <w:r w:rsidRPr="0091739F">
        <w:rPr>
          <w:rStyle w:val="normaltextrun"/>
          <w:rFonts w:ascii="Calibri" w:hAnsi="Calibri" w:cs="Calibri"/>
          <w:sz w:val="22"/>
          <w:szCs w:val="22"/>
          <w:lang w:val="en-US"/>
        </w:rPr>
        <w:t xml:space="preserve">). </w:t>
      </w:r>
      <w:r w:rsidR="00BA0EEF" w:rsidRPr="0091739F">
        <w:rPr>
          <w:rStyle w:val="normaltextrun"/>
          <w:rFonts w:ascii="Calibri" w:hAnsi="Calibri" w:cs="Calibri"/>
          <w:sz w:val="22"/>
          <w:szCs w:val="22"/>
          <w:lang w:val="en-US"/>
        </w:rPr>
        <w:t xml:space="preserve">It relied upon a strategy of free publicity </w:t>
      </w:r>
      <w:r w:rsidR="00A67B39" w:rsidRPr="0091739F">
        <w:rPr>
          <w:rStyle w:val="normaltextrun"/>
          <w:rFonts w:ascii="Calibri" w:hAnsi="Calibri" w:cs="Calibri"/>
          <w:sz w:val="22"/>
          <w:szCs w:val="22"/>
          <w:lang w:val="en-US"/>
        </w:rPr>
        <w:t xml:space="preserve">generated through public performances of </w:t>
      </w:r>
      <w:r w:rsidR="00454AF1" w:rsidRPr="0091739F">
        <w:rPr>
          <w:rStyle w:val="normaltextrun"/>
          <w:rFonts w:ascii="Calibri" w:hAnsi="Calibri" w:cs="Calibri"/>
          <w:sz w:val="22"/>
          <w:szCs w:val="22"/>
          <w:lang w:val="en-US"/>
        </w:rPr>
        <w:t>cabinet members</w:t>
      </w:r>
      <w:r w:rsidR="00A67B39" w:rsidRPr="0091739F">
        <w:rPr>
          <w:rStyle w:val="normaltextrun"/>
          <w:rFonts w:ascii="Calibri" w:hAnsi="Calibri" w:cs="Calibri"/>
          <w:sz w:val="22"/>
          <w:szCs w:val="22"/>
          <w:lang w:val="en-US"/>
        </w:rPr>
        <w:t xml:space="preserve">, while the government was historically unpopular with the electorate and discontent with European integration </w:t>
      </w:r>
      <w:r w:rsidR="005E0199" w:rsidRPr="0091739F">
        <w:rPr>
          <w:rStyle w:val="normaltextrun"/>
          <w:rFonts w:ascii="Calibri" w:hAnsi="Calibri" w:cs="Calibri"/>
          <w:sz w:val="22"/>
          <w:szCs w:val="22"/>
          <w:lang w:val="en-US"/>
        </w:rPr>
        <w:t>was growing</w:t>
      </w:r>
      <w:r w:rsidR="0096250E" w:rsidRPr="0091739F">
        <w:rPr>
          <w:rStyle w:val="normaltextrun"/>
          <w:rFonts w:ascii="Calibri" w:hAnsi="Calibri" w:cs="Calibri"/>
          <w:sz w:val="22"/>
          <w:szCs w:val="22"/>
          <w:lang w:val="en-US"/>
        </w:rPr>
        <w:t xml:space="preserve">. How could it be that </w:t>
      </w:r>
      <w:r w:rsidR="00BA0EEF" w:rsidRPr="0091739F">
        <w:rPr>
          <w:rStyle w:val="normaltextrun"/>
          <w:rFonts w:ascii="Calibri" w:hAnsi="Calibri" w:cs="Calibri"/>
          <w:sz w:val="22"/>
          <w:szCs w:val="22"/>
          <w:lang w:val="en-US"/>
        </w:rPr>
        <w:t xml:space="preserve">political leaders and civil servants working on the campaign </w:t>
      </w:r>
      <w:r w:rsidR="0096250E" w:rsidRPr="0091739F">
        <w:rPr>
          <w:rStyle w:val="normaltextrun"/>
          <w:rFonts w:ascii="Calibri" w:hAnsi="Calibri" w:cs="Calibri"/>
          <w:sz w:val="22"/>
          <w:szCs w:val="22"/>
          <w:lang w:val="en-US"/>
        </w:rPr>
        <w:t>missed the prevalent Eurosceptic sentiments in society that the 2005 referendum brought to light?</w:t>
      </w:r>
      <w:r w:rsidR="0096250E" w:rsidRPr="0091739F">
        <w:rPr>
          <w:rStyle w:val="eop"/>
          <w:rFonts w:ascii="Calibri" w:hAnsi="Calibri" w:cs="Calibri"/>
          <w:sz w:val="22"/>
          <w:szCs w:val="22"/>
          <w:lang w:val="en-US"/>
        </w:rPr>
        <w:t> </w:t>
      </w:r>
      <w:r w:rsidR="008867FA" w:rsidRPr="0091739F">
        <w:rPr>
          <w:rStyle w:val="eop"/>
          <w:rFonts w:ascii="Calibri" w:hAnsi="Calibri" w:cs="Calibri"/>
          <w:sz w:val="22"/>
          <w:szCs w:val="22"/>
          <w:lang w:val="en-US"/>
        </w:rPr>
        <w:t xml:space="preserve">This study aims to explain the </w:t>
      </w:r>
      <w:r w:rsidR="0091739F" w:rsidRPr="0091739F">
        <w:rPr>
          <w:rStyle w:val="eop"/>
          <w:rFonts w:ascii="Calibri" w:hAnsi="Calibri" w:cs="Calibri"/>
          <w:sz w:val="22"/>
          <w:szCs w:val="22"/>
          <w:lang w:val="en-US"/>
        </w:rPr>
        <w:t>sub-optimal</w:t>
      </w:r>
      <w:r w:rsidR="008867FA" w:rsidRPr="0091739F">
        <w:rPr>
          <w:rStyle w:val="eop"/>
          <w:rFonts w:ascii="Calibri" w:hAnsi="Calibri" w:cs="Calibri"/>
          <w:sz w:val="22"/>
          <w:szCs w:val="22"/>
          <w:lang w:val="en-US"/>
        </w:rPr>
        <w:t xml:space="preserve"> campaign strategy developed and pursued by the Dutch government in 2005.</w:t>
      </w:r>
    </w:p>
    <w:p w14:paraId="4D65472B" w14:textId="77777777" w:rsidR="0096250E" w:rsidRPr="00B57B4D" w:rsidRDefault="0096250E" w:rsidP="0096250E">
      <w:pPr>
        <w:pStyle w:val="paragraph"/>
        <w:spacing w:before="0" w:beforeAutospacing="0" w:after="0" w:afterAutospacing="0"/>
        <w:jc w:val="both"/>
        <w:textAlignment w:val="baseline"/>
        <w:rPr>
          <w:rFonts w:ascii="Segoe UI" w:hAnsi="Segoe UI" w:cs="Segoe UI"/>
          <w:color w:val="FF0000"/>
          <w:sz w:val="18"/>
          <w:szCs w:val="18"/>
          <w:lang w:val="en-US"/>
        </w:rPr>
      </w:pPr>
    </w:p>
    <w:p w14:paraId="4168120A" w14:textId="77777777" w:rsidR="0096250E" w:rsidRPr="00A81153" w:rsidRDefault="0096250E" w:rsidP="00A527B5">
      <w:pPr>
        <w:pStyle w:val="Kop2"/>
        <w:rPr>
          <w:color w:val="auto"/>
          <w:lang w:val="en-US"/>
        </w:rPr>
      </w:pPr>
      <w:bookmarkStart w:id="2" w:name="_Toc48891277"/>
      <w:r w:rsidRPr="00A81153">
        <w:rPr>
          <w:rStyle w:val="normaltextrun"/>
          <w:color w:val="auto"/>
          <w:lang w:val="en-US"/>
        </w:rPr>
        <w:t>1.2 The unit of analysis: governmental campaign</w:t>
      </w:r>
      <w:bookmarkEnd w:id="2"/>
      <w:r w:rsidRPr="00A81153">
        <w:rPr>
          <w:rStyle w:val="eop"/>
          <w:color w:val="auto"/>
          <w:lang w:val="en-US"/>
        </w:rPr>
        <w:t> </w:t>
      </w:r>
    </w:p>
    <w:p w14:paraId="5088E62B" w14:textId="51A33FAE" w:rsidR="0096250E" w:rsidRDefault="0096250E" w:rsidP="0096250E">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 xml:space="preserve">This research focuses on the campaign in favor of the European Constitution waged by the Dutch government. By signing the European Constitution, the Dutch government committed itself to push for ratification of the treaty at the national level. Consequently, the Dutch government was both an important stakeholder in the debate as well as the organizer of the referendum. To ensure impartiality, organizational matters were divided among different ministries (Bot, 2006). The Ministry of the Interior was concerned with the organization of the referendum, </w:t>
      </w:r>
      <w:r w:rsidR="008C6197">
        <w:rPr>
          <w:rStyle w:val="normaltextrun"/>
          <w:rFonts w:ascii="Calibri" w:hAnsi="Calibri" w:cs="Calibri"/>
          <w:sz w:val="22"/>
          <w:szCs w:val="22"/>
          <w:lang w:val="en-US"/>
        </w:rPr>
        <w:t xml:space="preserve">including </w:t>
      </w:r>
      <w:r>
        <w:rPr>
          <w:rStyle w:val="normaltextrun"/>
          <w:rFonts w:ascii="Calibri" w:hAnsi="Calibri" w:cs="Calibri"/>
          <w:sz w:val="22"/>
          <w:szCs w:val="22"/>
          <w:lang w:val="en-US"/>
        </w:rPr>
        <w:t>housing the independent Referendum Commission. It provided neutral information and made efforts to increase voter turn-out. The Ministry of Foreign Affairs was tasked with the organization of a campaign in favor of the treaty, representing the cabinet’s substantive position.</w:t>
      </w:r>
      <w:r w:rsidRPr="0096250E">
        <w:rPr>
          <w:rStyle w:val="eop"/>
          <w:rFonts w:ascii="Calibri" w:hAnsi="Calibri" w:cs="Calibri"/>
          <w:sz w:val="22"/>
          <w:szCs w:val="22"/>
          <w:lang w:val="en-US"/>
        </w:rPr>
        <w:t> </w:t>
      </w:r>
    </w:p>
    <w:p w14:paraId="2EF2E5F9" w14:textId="77777777" w:rsidR="0096250E" w:rsidRPr="0096250E" w:rsidRDefault="0096250E" w:rsidP="0096250E">
      <w:pPr>
        <w:pStyle w:val="paragraph"/>
        <w:spacing w:before="0" w:beforeAutospacing="0" w:after="0" w:afterAutospacing="0"/>
        <w:jc w:val="both"/>
        <w:textAlignment w:val="baseline"/>
        <w:rPr>
          <w:rFonts w:ascii="Segoe UI" w:hAnsi="Segoe UI" w:cs="Segoe UI"/>
          <w:sz w:val="18"/>
          <w:szCs w:val="18"/>
          <w:lang w:val="en-US"/>
        </w:rPr>
      </w:pPr>
    </w:p>
    <w:p w14:paraId="376D5FF1" w14:textId="3D7DBCC3" w:rsidR="0096250E" w:rsidRDefault="0096250E" w:rsidP="0096250E">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The Ministry of Foreign Affairs set up a temporary Taskforce responsible for the campaign (</w:t>
      </w:r>
      <w:r>
        <w:rPr>
          <w:rStyle w:val="spellingerror"/>
          <w:rFonts w:ascii="Calibri" w:hAnsi="Calibri" w:cs="Calibri"/>
          <w:sz w:val="22"/>
          <w:szCs w:val="22"/>
          <w:lang w:val="en-US"/>
        </w:rPr>
        <w:t>Goeijenbier</w:t>
      </w:r>
      <w:r>
        <w:rPr>
          <w:rStyle w:val="normaltextrun"/>
          <w:rFonts w:ascii="Calibri" w:hAnsi="Calibri" w:cs="Calibri"/>
          <w:sz w:val="22"/>
          <w:szCs w:val="22"/>
          <w:lang w:val="en-US"/>
        </w:rPr>
        <w:t>, 2005). This Taskforce was led by an external project </w:t>
      </w:r>
      <w:r>
        <w:rPr>
          <w:rStyle w:val="contextualspellingandgrammarerror"/>
          <w:rFonts w:ascii="Calibri" w:hAnsi="Calibri" w:cs="Calibri"/>
          <w:sz w:val="22"/>
          <w:szCs w:val="22"/>
          <w:lang w:val="en-US"/>
        </w:rPr>
        <w:t>leader, and</w:t>
      </w:r>
      <w:r>
        <w:rPr>
          <w:rStyle w:val="normaltextrun"/>
          <w:rFonts w:ascii="Calibri" w:hAnsi="Calibri" w:cs="Calibri"/>
          <w:sz w:val="22"/>
          <w:szCs w:val="22"/>
          <w:lang w:val="en-US"/>
        </w:rPr>
        <w:t> consisted of civil servants from five different ministries (General Affairs [Prime Minister’s office], Foreign Affairs, Interior Affairs, Economic Affairs, and Finance). The Taskforce answered directly to the Junior Minister of Foreign Affairs, who was tasked with European affairs. Ministers of the five departments, thus including the Prime Minister, took part in the </w:t>
      </w:r>
      <w:r w:rsidR="009E58B0">
        <w:rPr>
          <w:rStyle w:val="normaltextrun"/>
          <w:rFonts w:ascii="Calibri" w:hAnsi="Calibri" w:cs="Calibri"/>
          <w:sz w:val="22"/>
          <w:szCs w:val="22"/>
          <w:lang w:val="en-US"/>
        </w:rPr>
        <w:t>Political Control Group (</w:t>
      </w:r>
      <w:r>
        <w:rPr>
          <w:rStyle w:val="spellingerror"/>
          <w:rFonts w:ascii="Calibri" w:hAnsi="Calibri" w:cs="Calibri"/>
          <w:i/>
          <w:iCs/>
          <w:sz w:val="22"/>
          <w:szCs w:val="22"/>
          <w:lang w:val="en-US"/>
        </w:rPr>
        <w:t>Politieke</w:t>
      </w:r>
      <w:r>
        <w:rPr>
          <w:rStyle w:val="normaltextrun"/>
          <w:rFonts w:ascii="Calibri" w:hAnsi="Calibri" w:cs="Calibri"/>
          <w:i/>
          <w:iCs/>
          <w:sz w:val="22"/>
          <w:szCs w:val="22"/>
          <w:lang w:val="en-US"/>
        </w:rPr>
        <w:t> Regie Groep</w:t>
      </w:r>
      <w:r w:rsidR="009E58B0">
        <w:rPr>
          <w:rStyle w:val="normaltextrun"/>
          <w:rFonts w:ascii="Calibri" w:hAnsi="Calibri" w:cs="Calibri"/>
          <w:i/>
          <w:iCs/>
          <w:sz w:val="22"/>
          <w:szCs w:val="22"/>
          <w:lang w:val="en-US"/>
        </w:rPr>
        <w:t>)</w:t>
      </w:r>
      <w:r>
        <w:rPr>
          <w:rStyle w:val="normaltextrun"/>
          <w:rFonts w:ascii="Calibri" w:hAnsi="Calibri" w:cs="Calibri"/>
          <w:i/>
          <w:iCs/>
          <w:sz w:val="22"/>
          <w:szCs w:val="22"/>
          <w:lang w:val="en-US"/>
        </w:rPr>
        <w:t>, </w:t>
      </w:r>
      <w:r>
        <w:rPr>
          <w:rStyle w:val="normaltextrun"/>
          <w:rFonts w:ascii="Calibri" w:hAnsi="Calibri" w:cs="Calibri"/>
          <w:sz w:val="22"/>
          <w:szCs w:val="22"/>
          <w:lang w:val="en-US"/>
        </w:rPr>
        <w:t>that was responsible for the directions of the campaign. </w:t>
      </w:r>
      <w:r>
        <w:rPr>
          <w:rStyle w:val="contextualspellingandgrammarerror"/>
          <w:rFonts w:ascii="Calibri" w:hAnsi="Calibri" w:cs="Calibri"/>
          <w:sz w:val="22"/>
          <w:szCs w:val="22"/>
          <w:lang w:val="en-US"/>
        </w:rPr>
        <w:t>Highly-ranked</w:t>
      </w:r>
      <w:r>
        <w:rPr>
          <w:rStyle w:val="normaltextrun"/>
          <w:rFonts w:ascii="Calibri" w:hAnsi="Calibri" w:cs="Calibri"/>
          <w:sz w:val="22"/>
          <w:szCs w:val="22"/>
          <w:lang w:val="en-US"/>
        </w:rPr>
        <w:t> civil servants of the relevant departments of the Ministry of Foreign Affairs regularly attended meetings as well.</w:t>
      </w:r>
      <w:r w:rsidRPr="0096250E">
        <w:rPr>
          <w:rStyle w:val="eop"/>
          <w:rFonts w:ascii="Calibri" w:hAnsi="Calibri" w:cs="Calibri"/>
          <w:sz w:val="22"/>
          <w:szCs w:val="22"/>
          <w:lang w:val="en-US"/>
        </w:rPr>
        <w:t> </w:t>
      </w:r>
    </w:p>
    <w:p w14:paraId="7A067C43" w14:textId="77777777" w:rsidR="0096250E" w:rsidRPr="0096250E" w:rsidRDefault="0096250E" w:rsidP="0096250E">
      <w:pPr>
        <w:pStyle w:val="paragraph"/>
        <w:spacing w:before="0" w:beforeAutospacing="0" w:after="0" w:afterAutospacing="0"/>
        <w:jc w:val="both"/>
        <w:textAlignment w:val="baseline"/>
        <w:rPr>
          <w:rFonts w:ascii="Segoe UI" w:hAnsi="Segoe UI" w:cs="Segoe UI"/>
          <w:sz w:val="18"/>
          <w:szCs w:val="18"/>
          <w:lang w:val="en-US"/>
        </w:rPr>
      </w:pPr>
    </w:p>
    <w:p w14:paraId="65D9FCC4" w14:textId="77777777" w:rsidR="0096250E" w:rsidRDefault="0096250E" w:rsidP="0096250E">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The campaign aimed to inform citizens, involve civil society, and spread a unified message on behalf of the government (Bot &amp; </w:t>
      </w:r>
      <w:r>
        <w:rPr>
          <w:rStyle w:val="spellingerror"/>
          <w:rFonts w:ascii="Calibri" w:hAnsi="Calibri" w:cs="Calibri"/>
          <w:sz w:val="22"/>
          <w:szCs w:val="22"/>
          <w:lang w:val="en-US"/>
        </w:rPr>
        <w:t>Nicolaï</w:t>
      </w:r>
      <w:r>
        <w:rPr>
          <w:rStyle w:val="normaltextrun"/>
          <w:rFonts w:ascii="Calibri" w:hAnsi="Calibri" w:cs="Calibri"/>
          <w:sz w:val="22"/>
          <w:szCs w:val="22"/>
          <w:lang w:val="en-US"/>
        </w:rPr>
        <w:t>, 2005; </w:t>
      </w:r>
      <w:r>
        <w:rPr>
          <w:rStyle w:val="spellingerror"/>
          <w:rFonts w:ascii="Calibri" w:hAnsi="Calibri" w:cs="Calibri"/>
          <w:sz w:val="22"/>
          <w:szCs w:val="22"/>
          <w:lang w:val="en-US"/>
        </w:rPr>
        <w:t>Goeijenbier</w:t>
      </w:r>
      <w:r>
        <w:rPr>
          <w:rStyle w:val="normaltextrun"/>
          <w:rFonts w:ascii="Calibri" w:hAnsi="Calibri" w:cs="Calibri"/>
          <w:sz w:val="22"/>
          <w:szCs w:val="22"/>
          <w:lang w:val="en-US"/>
        </w:rPr>
        <w:t>, 2005). It relied heavily upon free publicity generated by public performances of members of Cabinet, and on cooperation with civil society actors. However, this strategy proved largely unsuccessful (</w:t>
      </w:r>
      <w:r>
        <w:rPr>
          <w:rStyle w:val="spellingerror"/>
          <w:rFonts w:ascii="Calibri" w:hAnsi="Calibri" w:cs="Calibri"/>
          <w:sz w:val="22"/>
          <w:szCs w:val="22"/>
          <w:lang w:val="en-US"/>
        </w:rPr>
        <w:t>Lucardie</w:t>
      </w:r>
      <w:r>
        <w:rPr>
          <w:rStyle w:val="normaltextrun"/>
          <w:rFonts w:ascii="Calibri" w:hAnsi="Calibri" w:cs="Calibri"/>
          <w:sz w:val="22"/>
          <w:szCs w:val="22"/>
          <w:lang w:val="en-US"/>
        </w:rPr>
        <w:t>, 2005). The position of the government remained largely unclear to civilians, and cooperation with civil society never fully came to be. Polls early in the process predicted a narrow majority in favor of the treaty, but support slipped away as the campaign progressed.</w:t>
      </w:r>
      <w:r w:rsidRPr="0096250E">
        <w:rPr>
          <w:rStyle w:val="eop"/>
          <w:rFonts w:ascii="Calibri" w:hAnsi="Calibri" w:cs="Calibri"/>
          <w:sz w:val="22"/>
          <w:szCs w:val="22"/>
          <w:lang w:val="en-US"/>
        </w:rPr>
        <w:t> </w:t>
      </w:r>
    </w:p>
    <w:p w14:paraId="76C2D0BA" w14:textId="77777777" w:rsidR="0096250E" w:rsidRPr="0096250E" w:rsidRDefault="0096250E" w:rsidP="0096250E">
      <w:pPr>
        <w:pStyle w:val="paragraph"/>
        <w:spacing w:before="0" w:beforeAutospacing="0" w:after="0" w:afterAutospacing="0"/>
        <w:jc w:val="both"/>
        <w:textAlignment w:val="baseline"/>
        <w:rPr>
          <w:rFonts w:ascii="Segoe UI" w:hAnsi="Segoe UI" w:cs="Segoe UI"/>
          <w:sz w:val="18"/>
          <w:szCs w:val="18"/>
          <w:lang w:val="en-US"/>
        </w:rPr>
      </w:pPr>
    </w:p>
    <w:p w14:paraId="2ACE747F" w14:textId="17091FF8" w:rsidR="0096250E" w:rsidRDefault="0096250E" w:rsidP="0096250E">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Earlier research has shown that the campaign was </w:t>
      </w:r>
      <w:r>
        <w:rPr>
          <w:rStyle w:val="contextualspellingandgrammarerror"/>
          <w:rFonts w:ascii="Calibri" w:hAnsi="Calibri" w:cs="Calibri"/>
          <w:sz w:val="22"/>
          <w:szCs w:val="22"/>
          <w:lang w:val="en-US"/>
        </w:rPr>
        <w:t>disorganized</w:t>
      </w:r>
      <w:r>
        <w:rPr>
          <w:rStyle w:val="normaltextrun"/>
          <w:rFonts w:ascii="Calibri" w:hAnsi="Calibri" w:cs="Calibri"/>
          <w:sz w:val="22"/>
          <w:szCs w:val="22"/>
          <w:lang w:val="en-US"/>
        </w:rPr>
        <w:t> and that communication missed the mark (</w:t>
      </w:r>
      <w:r>
        <w:rPr>
          <w:rStyle w:val="spellingerror"/>
          <w:rFonts w:ascii="Calibri" w:hAnsi="Calibri" w:cs="Calibri"/>
          <w:sz w:val="22"/>
          <w:szCs w:val="22"/>
          <w:lang w:val="en-US"/>
        </w:rPr>
        <w:t>Lucardie</w:t>
      </w:r>
      <w:r>
        <w:rPr>
          <w:rStyle w:val="normaltextrun"/>
          <w:rFonts w:ascii="Calibri" w:hAnsi="Calibri" w:cs="Calibri"/>
          <w:sz w:val="22"/>
          <w:szCs w:val="22"/>
          <w:lang w:val="en-US"/>
        </w:rPr>
        <w:t>, 2005; Van den Berg, 2006). The government struggled to find the right tone, being both the neutral organizer of the referendum as well as a partial competitor. Despite having access to extensive qualitative and quantitative research on the electorate’s voting intentions, the campaign failed to successfully address citizens (</w:t>
      </w:r>
      <w:r>
        <w:rPr>
          <w:rStyle w:val="spellingerror"/>
          <w:rFonts w:ascii="Calibri" w:hAnsi="Calibri" w:cs="Calibri"/>
          <w:sz w:val="22"/>
          <w:szCs w:val="22"/>
          <w:lang w:val="en-US"/>
        </w:rPr>
        <w:t>Goeijenbier</w:t>
      </w:r>
      <w:r>
        <w:rPr>
          <w:rStyle w:val="normaltextrun"/>
          <w:rFonts w:ascii="Calibri" w:hAnsi="Calibri" w:cs="Calibri"/>
          <w:sz w:val="22"/>
          <w:szCs w:val="22"/>
          <w:lang w:val="en-US"/>
        </w:rPr>
        <w:t>, 2005). Some believe that the campaigning efforts by members of cabinet effectively contributed to the electorate’s decision to reject the treaty (Sprenger, 2016</w:t>
      </w:r>
      <w:r w:rsidR="00EC288A">
        <w:rPr>
          <w:rStyle w:val="normaltextrun"/>
          <w:rFonts w:ascii="Calibri" w:hAnsi="Calibri" w:cs="Calibri"/>
          <w:sz w:val="22"/>
          <w:szCs w:val="22"/>
          <w:lang w:val="en-US"/>
        </w:rPr>
        <w:t>a</w:t>
      </w:r>
      <w:r>
        <w:rPr>
          <w:rStyle w:val="normaltextrun"/>
          <w:rFonts w:ascii="Calibri" w:hAnsi="Calibri" w:cs="Calibri"/>
          <w:sz w:val="22"/>
          <w:szCs w:val="22"/>
          <w:lang w:val="en-US"/>
        </w:rPr>
        <w:t>).</w:t>
      </w:r>
      <w:r w:rsidRPr="0096250E">
        <w:rPr>
          <w:rStyle w:val="eop"/>
          <w:rFonts w:ascii="Calibri" w:hAnsi="Calibri" w:cs="Calibri"/>
          <w:sz w:val="22"/>
          <w:szCs w:val="22"/>
          <w:lang w:val="en-US"/>
        </w:rPr>
        <w:t> </w:t>
      </w:r>
    </w:p>
    <w:p w14:paraId="4D57E89A" w14:textId="77777777" w:rsidR="0096250E" w:rsidRPr="0096250E" w:rsidRDefault="0096250E" w:rsidP="0096250E">
      <w:pPr>
        <w:pStyle w:val="paragraph"/>
        <w:spacing w:before="0" w:beforeAutospacing="0" w:after="0" w:afterAutospacing="0"/>
        <w:jc w:val="both"/>
        <w:textAlignment w:val="baseline"/>
        <w:rPr>
          <w:rFonts w:ascii="Segoe UI" w:hAnsi="Segoe UI" w:cs="Segoe UI"/>
          <w:sz w:val="18"/>
          <w:szCs w:val="18"/>
          <w:lang w:val="en-US"/>
        </w:rPr>
      </w:pPr>
    </w:p>
    <w:p w14:paraId="40834C30" w14:textId="77777777" w:rsidR="0096250E" w:rsidRPr="00A81153" w:rsidRDefault="0096250E" w:rsidP="00A527B5">
      <w:pPr>
        <w:pStyle w:val="Kop2"/>
        <w:rPr>
          <w:color w:val="auto"/>
          <w:lang w:val="en-US"/>
        </w:rPr>
      </w:pPr>
      <w:bookmarkStart w:id="3" w:name="_Toc48891278"/>
      <w:r w:rsidRPr="00A81153">
        <w:rPr>
          <w:rStyle w:val="normaltextrun"/>
          <w:color w:val="auto"/>
          <w:lang w:val="en-US"/>
        </w:rPr>
        <w:t xml:space="preserve">1.3 Theoretical approach: </w:t>
      </w:r>
      <w:r w:rsidR="0037038F" w:rsidRPr="00A81153">
        <w:rPr>
          <w:rStyle w:val="normaltextrun"/>
          <w:color w:val="auto"/>
          <w:lang w:val="en-US"/>
        </w:rPr>
        <w:t>bureaucratic politics</w:t>
      </w:r>
      <w:bookmarkEnd w:id="3"/>
      <w:r w:rsidRPr="00A81153">
        <w:rPr>
          <w:rStyle w:val="eop"/>
          <w:color w:val="auto"/>
          <w:lang w:val="en-US"/>
        </w:rPr>
        <w:t> </w:t>
      </w:r>
    </w:p>
    <w:p w14:paraId="5C3F32E0" w14:textId="7547C4BF" w:rsidR="00421E63" w:rsidRDefault="0096250E" w:rsidP="0096250E">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Scholars of Foreign Policy Analysis [FPA] look at the influence of domestic factors to explain foreign policy outcomes (Breuning, 2007). They counter the traditional view that foreign policy consists of rational actions by a unitary state. Instead, scholars look at actors within the state such as media, organizations, small groups, and individuals. Special attention is paid to the ways in which organizational culture and individual cognitive processes shape decision-making. It is assumed that the processing of new information and the decision-making process are structured by these factors, as they determine which actions the participants deem to be logical or appropriate.</w:t>
      </w:r>
      <w:r w:rsidRPr="0096250E">
        <w:rPr>
          <w:rStyle w:val="eop"/>
          <w:rFonts w:ascii="Calibri" w:hAnsi="Calibri" w:cs="Calibri"/>
          <w:sz w:val="22"/>
          <w:szCs w:val="22"/>
          <w:lang w:val="en-US"/>
        </w:rPr>
        <w:t> </w:t>
      </w:r>
    </w:p>
    <w:p w14:paraId="35C3DA00" w14:textId="77777777" w:rsidR="0096250E" w:rsidRPr="0096250E" w:rsidRDefault="0096250E" w:rsidP="0096250E">
      <w:pPr>
        <w:pStyle w:val="paragraph"/>
        <w:spacing w:before="0" w:beforeAutospacing="0" w:after="0" w:afterAutospacing="0"/>
        <w:jc w:val="both"/>
        <w:textAlignment w:val="baseline"/>
        <w:rPr>
          <w:rFonts w:ascii="Segoe UI" w:hAnsi="Segoe UI" w:cs="Segoe UI"/>
          <w:sz w:val="18"/>
          <w:szCs w:val="18"/>
          <w:lang w:val="en-US"/>
        </w:rPr>
      </w:pPr>
    </w:p>
    <w:p w14:paraId="358EFD27" w14:textId="15382CEA" w:rsidR="0096250E" w:rsidRPr="009D4158" w:rsidRDefault="0096250E" w:rsidP="0096250E">
      <w:pPr>
        <w:pStyle w:val="paragraph"/>
        <w:spacing w:before="0" w:beforeAutospacing="0" w:after="0" w:afterAutospacing="0"/>
        <w:jc w:val="both"/>
        <w:textAlignment w:val="baseline"/>
        <w:rPr>
          <w:rStyle w:val="eop"/>
          <w:rFonts w:ascii="Calibri" w:hAnsi="Calibri" w:cs="Calibri"/>
          <w:sz w:val="22"/>
          <w:szCs w:val="22"/>
          <w:lang w:val="en-US"/>
        </w:rPr>
      </w:pPr>
      <w:r w:rsidRPr="009D4158">
        <w:rPr>
          <w:rStyle w:val="normaltextrun"/>
          <w:rFonts w:ascii="Calibri" w:hAnsi="Calibri" w:cs="Calibri"/>
          <w:sz w:val="22"/>
          <w:szCs w:val="22"/>
          <w:lang w:val="en-US"/>
        </w:rPr>
        <w:t>Foreign Policy Analysis could provide insight in the decision-making process leading up to and during the referendum campaign, </w:t>
      </w:r>
      <w:r w:rsidRPr="009D4158">
        <w:rPr>
          <w:rStyle w:val="advancedproofingissue"/>
          <w:rFonts w:ascii="Calibri" w:eastAsiaTheme="majorEastAsia" w:hAnsi="Calibri" w:cs="Calibri"/>
          <w:sz w:val="22"/>
          <w:szCs w:val="22"/>
          <w:lang w:val="en-US"/>
        </w:rPr>
        <w:t>in an effort to</w:t>
      </w:r>
      <w:r w:rsidRPr="009D4158">
        <w:rPr>
          <w:rStyle w:val="normaltextrun"/>
          <w:rFonts w:ascii="Calibri" w:hAnsi="Calibri" w:cs="Calibri"/>
          <w:sz w:val="22"/>
          <w:szCs w:val="22"/>
          <w:lang w:val="en-US"/>
        </w:rPr>
        <w:t> explain how the</w:t>
      </w:r>
      <w:r w:rsidR="00F53340" w:rsidRPr="009D4158">
        <w:rPr>
          <w:rStyle w:val="normaltextrun"/>
          <w:rFonts w:ascii="Calibri" w:hAnsi="Calibri" w:cs="Calibri"/>
          <w:sz w:val="22"/>
          <w:szCs w:val="22"/>
          <w:lang w:val="en-US"/>
        </w:rPr>
        <w:t xml:space="preserve"> </w:t>
      </w:r>
      <w:r w:rsidR="00AA13A2" w:rsidRPr="009D4158">
        <w:rPr>
          <w:rStyle w:val="normaltextrun"/>
          <w:rFonts w:ascii="Calibri" w:hAnsi="Calibri" w:cs="Calibri"/>
          <w:sz w:val="22"/>
          <w:szCs w:val="22"/>
          <w:lang w:val="en-US"/>
        </w:rPr>
        <w:t>policy</w:t>
      </w:r>
      <w:r w:rsidRPr="009D4158">
        <w:rPr>
          <w:rStyle w:val="normaltextrun"/>
          <w:rFonts w:ascii="Calibri" w:hAnsi="Calibri" w:cs="Calibri"/>
          <w:sz w:val="22"/>
          <w:szCs w:val="22"/>
          <w:lang w:val="en-US"/>
        </w:rPr>
        <w:t xml:space="preserve"> came to be. </w:t>
      </w:r>
      <w:r w:rsidR="00AA13A2" w:rsidRPr="009D4158">
        <w:rPr>
          <w:rStyle w:val="normaltextrun"/>
          <w:rFonts w:ascii="Calibri" w:hAnsi="Calibri" w:cs="Calibri"/>
          <w:sz w:val="22"/>
          <w:szCs w:val="22"/>
          <w:lang w:val="en-US"/>
        </w:rPr>
        <w:t xml:space="preserve">It aims to explain the </w:t>
      </w:r>
      <w:r w:rsidR="00DA5D5F" w:rsidRPr="009D4158">
        <w:rPr>
          <w:rStyle w:val="normaltextrun"/>
          <w:rFonts w:ascii="Calibri" w:hAnsi="Calibri" w:cs="Calibri"/>
          <w:sz w:val="22"/>
          <w:szCs w:val="22"/>
          <w:lang w:val="en-US"/>
        </w:rPr>
        <w:t xml:space="preserve">choice for sub-optimal decisions with an integrated model </w:t>
      </w:r>
      <w:r w:rsidR="00CD73EF" w:rsidRPr="009D4158">
        <w:rPr>
          <w:rStyle w:val="normaltextrun"/>
          <w:rFonts w:ascii="Calibri" w:hAnsi="Calibri" w:cs="Calibri"/>
          <w:sz w:val="22"/>
          <w:szCs w:val="22"/>
          <w:lang w:val="en-US"/>
        </w:rPr>
        <w:t>inspired by</w:t>
      </w:r>
      <w:r w:rsidR="00DA5D5F" w:rsidRPr="009D4158">
        <w:rPr>
          <w:rStyle w:val="normaltextrun"/>
          <w:rFonts w:ascii="Calibri" w:hAnsi="Calibri" w:cs="Calibri"/>
          <w:sz w:val="22"/>
          <w:szCs w:val="22"/>
          <w:lang w:val="en-US"/>
        </w:rPr>
        <w:t xml:space="preserve"> Allison’s bureaucratic politics model and organizational process model</w:t>
      </w:r>
      <w:r w:rsidR="00733F89">
        <w:rPr>
          <w:rStyle w:val="normaltextrun"/>
          <w:rFonts w:ascii="Calibri" w:hAnsi="Calibri" w:cs="Calibri"/>
          <w:sz w:val="22"/>
          <w:szCs w:val="22"/>
          <w:lang w:val="en-US"/>
        </w:rPr>
        <w:t xml:space="preserve"> (Allison &amp;</w:t>
      </w:r>
      <w:r w:rsidR="004F356D">
        <w:rPr>
          <w:rStyle w:val="normaltextrun"/>
          <w:rFonts w:ascii="Calibri" w:hAnsi="Calibri" w:cs="Calibri"/>
          <w:sz w:val="22"/>
          <w:szCs w:val="22"/>
          <w:lang w:val="en-US"/>
        </w:rPr>
        <w:t xml:space="preserve"> Zelikow, 1999)</w:t>
      </w:r>
      <w:r w:rsidR="00DA5D5F" w:rsidRPr="009D4158">
        <w:rPr>
          <w:rStyle w:val="normaltextrun"/>
          <w:rFonts w:ascii="Calibri" w:hAnsi="Calibri" w:cs="Calibri"/>
          <w:sz w:val="22"/>
          <w:szCs w:val="22"/>
          <w:lang w:val="en-US"/>
        </w:rPr>
        <w:t>.</w:t>
      </w:r>
      <w:r w:rsidR="00C173C5" w:rsidRPr="009D4158">
        <w:rPr>
          <w:rStyle w:val="normaltextrun"/>
          <w:rFonts w:ascii="Calibri" w:hAnsi="Calibri" w:cs="Calibri"/>
          <w:sz w:val="22"/>
          <w:szCs w:val="22"/>
          <w:lang w:val="en-US"/>
        </w:rPr>
        <w:t xml:space="preserve"> </w:t>
      </w:r>
      <w:r w:rsidR="00E40D37" w:rsidRPr="009D4158">
        <w:rPr>
          <w:rStyle w:val="normaltextrun"/>
          <w:rFonts w:ascii="Calibri" w:hAnsi="Calibri" w:cs="Calibri"/>
          <w:sz w:val="22"/>
          <w:szCs w:val="22"/>
          <w:lang w:val="en-US"/>
        </w:rPr>
        <w:t>It focuses</w:t>
      </w:r>
      <w:r w:rsidR="00ED6DEF" w:rsidRPr="009D4158">
        <w:rPr>
          <w:rStyle w:val="normaltextrun"/>
          <w:rFonts w:ascii="Calibri" w:hAnsi="Calibri" w:cs="Calibri"/>
          <w:sz w:val="22"/>
          <w:szCs w:val="22"/>
          <w:lang w:val="en-US"/>
        </w:rPr>
        <w:t xml:space="preserve"> on the decision-making by the Taskforce </w:t>
      </w:r>
      <w:r w:rsidR="00E40D37" w:rsidRPr="009D4158">
        <w:rPr>
          <w:rStyle w:val="normaltextrun"/>
          <w:rFonts w:ascii="Calibri" w:hAnsi="Calibri" w:cs="Calibri"/>
          <w:sz w:val="22"/>
          <w:szCs w:val="22"/>
          <w:lang w:val="en-US"/>
        </w:rPr>
        <w:t xml:space="preserve">housed by the Ministry of Foreign Affairs and the Political Control Group from the establishment of the government’s </w:t>
      </w:r>
      <w:r w:rsidR="00F27E15" w:rsidRPr="009D4158">
        <w:rPr>
          <w:rStyle w:val="normaltextrun"/>
          <w:rFonts w:ascii="Calibri" w:hAnsi="Calibri" w:cs="Calibri"/>
          <w:sz w:val="22"/>
          <w:szCs w:val="22"/>
          <w:lang w:val="en-US"/>
        </w:rPr>
        <w:t>general strategy, until the day of the referendum, June 1</w:t>
      </w:r>
      <w:r w:rsidR="00F27E15" w:rsidRPr="009D4158">
        <w:rPr>
          <w:rStyle w:val="normaltextrun"/>
          <w:rFonts w:ascii="Calibri" w:hAnsi="Calibri" w:cs="Calibri"/>
          <w:sz w:val="22"/>
          <w:szCs w:val="22"/>
          <w:vertAlign w:val="superscript"/>
          <w:lang w:val="en-US"/>
        </w:rPr>
        <w:t>st</w:t>
      </w:r>
      <w:r w:rsidR="00F27E15" w:rsidRPr="009D4158">
        <w:rPr>
          <w:rStyle w:val="normaltextrun"/>
          <w:rFonts w:ascii="Calibri" w:hAnsi="Calibri" w:cs="Calibri"/>
          <w:sz w:val="22"/>
          <w:szCs w:val="22"/>
          <w:lang w:val="en-US"/>
        </w:rPr>
        <w:t xml:space="preserve"> 2005.</w:t>
      </w:r>
      <w:r w:rsidRPr="009D4158">
        <w:rPr>
          <w:rStyle w:val="normaltextrun"/>
          <w:rFonts w:ascii="Calibri" w:hAnsi="Calibri" w:cs="Calibri"/>
          <w:sz w:val="22"/>
          <w:szCs w:val="22"/>
          <w:lang w:val="en-US"/>
        </w:rPr>
        <w:t> </w:t>
      </w:r>
      <w:r w:rsidR="007C7C76" w:rsidRPr="009D4158">
        <w:rPr>
          <w:rStyle w:val="normaltextrun"/>
          <w:rFonts w:ascii="Calibri" w:hAnsi="Calibri" w:cs="Calibri"/>
          <w:sz w:val="22"/>
          <w:szCs w:val="22"/>
          <w:lang w:val="en-US"/>
        </w:rPr>
        <w:t xml:space="preserve">Based on Ripley (1995), it is examined whether </w:t>
      </w:r>
      <w:r w:rsidR="00CA7951" w:rsidRPr="009D4158">
        <w:rPr>
          <w:rStyle w:val="normaltextrun"/>
          <w:rFonts w:ascii="Calibri" w:hAnsi="Calibri" w:cs="Calibri"/>
          <w:sz w:val="22"/>
          <w:szCs w:val="22"/>
          <w:lang w:val="en-US"/>
        </w:rPr>
        <w:t xml:space="preserve">the non-rational campaign </w:t>
      </w:r>
      <w:r w:rsidR="00A83AEE" w:rsidRPr="009D4158">
        <w:rPr>
          <w:rStyle w:val="normaltextrun"/>
          <w:rFonts w:ascii="Calibri" w:hAnsi="Calibri" w:cs="Calibri"/>
          <w:sz w:val="22"/>
          <w:szCs w:val="22"/>
          <w:lang w:val="en-US"/>
        </w:rPr>
        <w:t xml:space="preserve">can be explained as the sub-optimal outcome of individual rational behavior </w:t>
      </w:r>
      <w:r w:rsidR="00936252" w:rsidRPr="009D4158">
        <w:rPr>
          <w:rStyle w:val="normaltextrun"/>
          <w:rFonts w:ascii="Calibri" w:hAnsi="Calibri" w:cs="Calibri"/>
          <w:sz w:val="22"/>
          <w:szCs w:val="22"/>
          <w:lang w:val="en-US"/>
        </w:rPr>
        <w:t xml:space="preserve">conditioned by </w:t>
      </w:r>
      <w:r w:rsidR="009D4158" w:rsidRPr="009D4158">
        <w:rPr>
          <w:rStyle w:val="normaltextrun"/>
          <w:rFonts w:ascii="Calibri" w:hAnsi="Calibri" w:cs="Calibri"/>
          <w:sz w:val="22"/>
          <w:szCs w:val="22"/>
          <w:lang w:val="en-US"/>
        </w:rPr>
        <w:t xml:space="preserve">the existing bureaucratic culture, </w:t>
      </w:r>
      <w:r w:rsidRPr="009D4158">
        <w:rPr>
          <w:rStyle w:val="normaltextrun"/>
          <w:rFonts w:ascii="Calibri" w:hAnsi="Calibri" w:cs="Calibri"/>
          <w:sz w:val="22"/>
          <w:szCs w:val="22"/>
          <w:lang w:val="en-US"/>
        </w:rPr>
        <w:t xml:space="preserve"> In order to do so, it poses the following research question:</w:t>
      </w:r>
      <w:r w:rsidRPr="009D4158">
        <w:rPr>
          <w:rStyle w:val="eop"/>
          <w:rFonts w:ascii="Calibri" w:hAnsi="Calibri" w:cs="Calibri"/>
          <w:sz w:val="22"/>
          <w:szCs w:val="22"/>
          <w:lang w:val="en-US"/>
        </w:rPr>
        <w:t> </w:t>
      </w:r>
    </w:p>
    <w:p w14:paraId="4992A220" w14:textId="77777777" w:rsidR="0096250E" w:rsidRPr="009D4158" w:rsidRDefault="0096250E" w:rsidP="0096250E">
      <w:pPr>
        <w:pStyle w:val="paragraph"/>
        <w:spacing w:before="0" w:beforeAutospacing="0" w:after="0" w:afterAutospacing="0"/>
        <w:jc w:val="both"/>
        <w:textAlignment w:val="baseline"/>
        <w:rPr>
          <w:rFonts w:ascii="Segoe UI" w:hAnsi="Segoe UI" w:cs="Segoe UI"/>
          <w:sz w:val="18"/>
          <w:szCs w:val="18"/>
          <w:lang w:val="en-US"/>
        </w:rPr>
      </w:pPr>
    </w:p>
    <w:p w14:paraId="1962811D" w14:textId="54CAC2BD" w:rsidR="0096250E" w:rsidRDefault="0096250E" w:rsidP="0096250E">
      <w:pPr>
        <w:pStyle w:val="paragraph"/>
        <w:spacing w:before="0" w:beforeAutospacing="0" w:after="0" w:afterAutospacing="0"/>
        <w:ind w:left="705"/>
        <w:jc w:val="both"/>
        <w:textAlignment w:val="baseline"/>
        <w:rPr>
          <w:rStyle w:val="eop"/>
          <w:rFonts w:ascii="Calibri" w:hAnsi="Calibri" w:cs="Calibri"/>
          <w:sz w:val="22"/>
          <w:szCs w:val="22"/>
          <w:lang w:val="en-US"/>
        </w:rPr>
      </w:pPr>
      <w:r w:rsidRPr="009D4158">
        <w:rPr>
          <w:rStyle w:val="normaltextrun"/>
          <w:rFonts w:ascii="Calibri" w:hAnsi="Calibri" w:cs="Calibri"/>
          <w:i/>
          <w:iCs/>
          <w:sz w:val="22"/>
          <w:szCs w:val="22"/>
          <w:lang w:val="en-US"/>
        </w:rPr>
        <w:t>To what extent can the</w:t>
      </w:r>
      <w:r w:rsidR="007C7C76" w:rsidRPr="009D4158">
        <w:rPr>
          <w:rStyle w:val="normaltextrun"/>
          <w:rFonts w:ascii="Calibri" w:hAnsi="Calibri" w:cs="Calibri"/>
          <w:i/>
          <w:iCs/>
          <w:sz w:val="22"/>
          <w:szCs w:val="22"/>
          <w:lang w:val="en-US"/>
        </w:rPr>
        <w:t xml:space="preserve"> Dutch</w:t>
      </w:r>
      <w:r w:rsidRPr="009D4158">
        <w:rPr>
          <w:rStyle w:val="normaltextrun"/>
          <w:rFonts w:ascii="Calibri" w:hAnsi="Calibri" w:cs="Calibri"/>
          <w:i/>
          <w:iCs/>
          <w:sz w:val="22"/>
          <w:szCs w:val="22"/>
          <w:lang w:val="en-US"/>
        </w:rPr>
        <w:t xml:space="preserve"> governmental campaign </w:t>
      </w:r>
      <w:r w:rsidR="00770832" w:rsidRPr="009D4158">
        <w:rPr>
          <w:rStyle w:val="normaltextrun"/>
          <w:rFonts w:ascii="Calibri" w:hAnsi="Calibri" w:cs="Calibri"/>
          <w:i/>
          <w:iCs/>
          <w:sz w:val="22"/>
          <w:szCs w:val="22"/>
          <w:lang w:val="en-US"/>
        </w:rPr>
        <w:t xml:space="preserve">for the </w:t>
      </w:r>
      <w:r w:rsidR="007C7C76" w:rsidRPr="009D4158">
        <w:rPr>
          <w:rStyle w:val="normaltextrun"/>
          <w:rFonts w:ascii="Calibri" w:hAnsi="Calibri" w:cs="Calibri"/>
          <w:i/>
          <w:iCs/>
          <w:sz w:val="22"/>
          <w:szCs w:val="22"/>
          <w:lang w:val="en-US"/>
        </w:rPr>
        <w:t xml:space="preserve">2005 referendum </w:t>
      </w:r>
      <w:r w:rsidR="00BF3D54" w:rsidRPr="009D4158">
        <w:rPr>
          <w:rStyle w:val="normaltextrun"/>
          <w:rFonts w:ascii="Calibri" w:hAnsi="Calibri" w:cs="Calibri"/>
          <w:i/>
          <w:iCs/>
          <w:sz w:val="22"/>
          <w:szCs w:val="22"/>
          <w:lang w:val="en-US"/>
        </w:rPr>
        <w:t xml:space="preserve"> the </w:t>
      </w:r>
      <w:r w:rsidRPr="009D4158">
        <w:rPr>
          <w:rStyle w:val="normaltextrun"/>
          <w:rFonts w:ascii="Calibri" w:hAnsi="Calibri" w:cs="Calibri"/>
          <w:i/>
          <w:iCs/>
          <w:sz w:val="22"/>
          <w:szCs w:val="22"/>
          <w:lang w:val="en-US"/>
        </w:rPr>
        <w:t>European Constitution</w:t>
      </w:r>
      <w:r w:rsidR="007C7C76" w:rsidRPr="009D4158">
        <w:rPr>
          <w:rStyle w:val="normaltextrun"/>
          <w:rFonts w:ascii="Calibri" w:hAnsi="Calibri" w:cs="Calibri"/>
          <w:i/>
          <w:iCs/>
          <w:sz w:val="22"/>
          <w:szCs w:val="22"/>
          <w:lang w:val="en-US"/>
        </w:rPr>
        <w:t>al Treaty</w:t>
      </w:r>
      <w:r w:rsidRPr="009D4158">
        <w:rPr>
          <w:rStyle w:val="normaltextrun"/>
          <w:rFonts w:ascii="Calibri" w:hAnsi="Calibri" w:cs="Calibri"/>
          <w:i/>
          <w:iCs/>
          <w:sz w:val="22"/>
          <w:szCs w:val="22"/>
          <w:lang w:val="en-US"/>
        </w:rPr>
        <w:t xml:space="preserve"> </w:t>
      </w:r>
      <w:r w:rsidR="00792EF6" w:rsidRPr="009D4158">
        <w:rPr>
          <w:rStyle w:val="normaltextrun"/>
          <w:rFonts w:ascii="Calibri" w:hAnsi="Calibri" w:cs="Calibri"/>
          <w:i/>
          <w:iCs/>
          <w:sz w:val="22"/>
          <w:szCs w:val="22"/>
          <w:lang w:val="en-US"/>
        </w:rPr>
        <w:t>be explained by the</w:t>
      </w:r>
      <w:r w:rsidR="007C7C76" w:rsidRPr="009D4158">
        <w:rPr>
          <w:rStyle w:val="normaltextrun"/>
          <w:rFonts w:ascii="Calibri" w:hAnsi="Calibri" w:cs="Calibri"/>
          <w:i/>
          <w:iCs/>
          <w:sz w:val="22"/>
          <w:szCs w:val="22"/>
          <w:lang w:val="en-US"/>
        </w:rPr>
        <w:t xml:space="preserve"> bureaucratic roles, procedural scripts and cultural rationales employed by decision-makers</w:t>
      </w:r>
      <w:r w:rsidRPr="009D4158">
        <w:rPr>
          <w:rStyle w:val="normaltextrun"/>
          <w:rFonts w:ascii="Calibri" w:hAnsi="Calibri" w:cs="Calibri"/>
          <w:i/>
          <w:iCs/>
          <w:sz w:val="22"/>
          <w:szCs w:val="22"/>
          <w:lang w:val="en-US"/>
        </w:rPr>
        <w:t>?</w:t>
      </w:r>
      <w:r w:rsidRPr="009D4158">
        <w:rPr>
          <w:rStyle w:val="eop"/>
          <w:rFonts w:ascii="Calibri" w:hAnsi="Calibri" w:cs="Calibri"/>
          <w:sz w:val="22"/>
          <w:szCs w:val="22"/>
          <w:lang w:val="en-US"/>
        </w:rPr>
        <w:t> </w:t>
      </w:r>
    </w:p>
    <w:p w14:paraId="019DB9E9" w14:textId="77777777" w:rsidR="00661A02" w:rsidRPr="009D4158" w:rsidRDefault="00661A02" w:rsidP="0096250E">
      <w:pPr>
        <w:pStyle w:val="paragraph"/>
        <w:spacing w:before="0" w:beforeAutospacing="0" w:after="0" w:afterAutospacing="0"/>
        <w:ind w:left="705"/>
        <w:jc w:val="both"/>
        <w:textAlignment w:val="baseline"/>
        <w:rPr>
          <w:rStyle w:val="eop"/>
          <w:rFonts w:ascii="Calibri" w:hAnsi="Calibri" w:cs="Calibri"/>
          <w:sz w:val="22"/>
          <w:szCs w:val="22"/>
          <w:lang w:val="en-US"/>
        </w:rPr>
      </w:pPr>
    </w:p>
    <w:p w14:paraId="464A6E58" w14:textId="77777777" w:rsidR="00661A02" w:rsidRPr="00164D81" w:rsidRDefault="00661A02" w:rsidP="00661A02">
      <w:pPr>
        <w:pStyle w:val="paragraph"/>
        <w:spacing w:before="0" w:beforeAutospacing="0" w:after="0" w:afterAutospacing="0"/>
        <w:jc w:val="both"/>
        <w:textAlignment w:val="baseline"/>
        <w:rPr>
          <w:rStyle w:val="normaltextrun"/>
          <w:rFonts w:ascii="Calibri" w:hAnsi="Calibri" w:cs="Calibri"/>
          <w:sz w:val="22"/>
          <w:szCs w:val="22"/>
          <w:lang w:val="en-US"/>
        </w:rPr>
      </w:pPr>
      <w:r>
        <w:rPr>
          <w:rStyle w:val="normaltextrun"/>
          <w:rFonts w:ascii="Calibri" w:hAnsi="Calibri" w:cs="Calibri"/>
          <w:sz w:val="22"/>
          <w:szCs w:val="22"/>
          <w:lang w:val="en-US"/>
        </w:rPr>
        <w:t xml:space="preserve">It </w:t>
      </w:r>
      <w:r w:rsidRPr="004C5C8D">
        <w:rPr>
          <w:rStyle w:val="normaltextrun"/>
          <w:rFonts w:ascii="Calibri" w:hAnsi="Calibri" w:cs="Calibri"/>
          <w:sz w:val="22"/>
          <w:szCs w:val="22"/>
          <w:lang w:val="en-US"/>
        </w:rPr>
        <w:t xml:space="preserve">is hypothesized that the organizational context of those involved in the campaign influenced what approaches were assumed to be appropriate. </w:t>
      </w:r>
      <w:r>
        <w:rPr>
          <w:rStyle w:val="normaltextrun"/>
          <w:rFonts w:ascii="Calibri" w:hAnsi="Calibri" w:cs="Calibri"/>
          <w:sz w:val="22"/>
          <w:szCs w:val="22"/>
          <w:lang w:val="en-US"/>
        </w:rPr>
        <w:t>Bureaucratic</w:t>
      </w:r>
      <w:r w:rsidRPr="004C5C8D">
        <w:rPr>
          <w:rStyle w:val="normaltextrun"/>
          <w:rFonts w:ascii="Calibri" w:hAnsi="Calibri" w:cs="Calibri"/>
          <w:sz w:val="22"/>
          <w:szCs w:val="22"/>
          <w:lang w:val="en-US"/>
        </w:rPr>
        <w:t xml:space="preserve"> culture is expected to have influenced both the information processing of participants, their personal and organizational interests, and the action channels used to arrive at policy-outcome. </w:t>
      </w:r>
      <w:r w:rsidRPr="00164D81">
        <w:rPr>
          <w:rStyle w:val="normaltextrun"/>
          <w:rFonts w:ascii="Calibri" w:hAnsi="Calibri" w:cs="Calibri"/>
          <w:sz w:val="22"/>
          <w:szCs w:val="22"/>
          <w:lang w:val="en-US"/>
        </w:rPr>
        <w:t xml:space="preserve">It is expected that bureaucratic actors, that is cabinet members and civil service, will have based their actions on the anticipated consequences for their position within the organization, scripts prescribed </w:t>
      </w:r>
      <w:r>
        <w:rPr>
          <w:rStyle w:val="normaltextrun"/>
          <w:rFonts w:ascii="Calibri" w:hAnsi="Calibri" w:cs="Calibri"/>
          <w:sz w:val="22"/>
          <w:szCs w:val="22"/>
          <w:lang w:val="en-US"/>
        </w:rPr>
        <w:t>on</w:t>
      </w:r>
      <w:r w:rsidRPr="00164D81">
        <w:rPr>
          <w:rStyle w:val="normaltextrun"/>
          <w:rFonts w:ascii="Calibri" w:hAnsi="Calibri" w:cs="Calibri"/>
          <w:sz w:val="22"/>
          <w:szCs w:val="22"/>
          <w:lang w:val="en-US"/>
        </w:rPr>
        <w:t xml:space="preserve"> past experiences with political and information campaigns, and ritualistic cultural rationales regarding European integration and modesty upheld within the bureaucratic context.  </w:t>
      </w:r>
      <w:r w:rsidRPr="004C5C8D">
        <w:rPr>
          <w:rStyle w:val="normaltextrun"/>
          <w:rFonts w:ascii="Calibri" w:hAnsi="Calibri" w:cs="Calibri"/>
          <w:sz w:val="22"/>
          <w:szCs w:val="22"/>
          <w:lang w:val="en-US"/>
        </w:rPr>
        <w:t xml:space="preserve">Relying on past experiences, </w:t>
      </w:r>
      <w:r>
        <w:rPr>
          <w:rStyle w:val="normaltextrun"/>
          <w:rFonts w:ascii="Calibri" w:hAnsi="Calibri" w:cs="Calibri"/>
          <w:sz w:val="22"/>
          <w:szCs w:val="22"/>
          <w:lang w:val="en-US"/>
        </w:rPr>
        <w:t>the bureaucratic actors</w:t>
      </w:r>
      <w:r w:rsidRPr="004C5C8D">
        <w:rPr>
          <w:rStyle w:val="normaltextrun"/>
          <w:rFonts w:ascii="Calibri" w:hAnsi="Calibri" w:cs="Calibri"/>
          <w:sz w:val="22"/>
          <w:szCs w:val="22"/>
          <w:lang w:val="en-US"/>
        </w:rPr>
        <w:t xml:space="preserve"> expected </w:t>
      </w:r>
      <w:r>
        <w:rPr>
          <w:rStyle w:val="normaltextrun"/>
          <w:rFonts w:ascii="Calibri" w:hAnsi="Calibri" w:cs="Calibri"/>
          <w:sz w:val="22"/>
          <w:szCs w:val="22"/>
          <w:lang w:val="en-US"/>
        </w:rPr>
        <w:t>that a short campaign period would suffice to win the referendum</w:t>
      </w:r>
      <w:r w:rsidRPr="004C5C8D">
        <w:rPr>
          <w:rStyle w:val="normaltextrun"/>
          <w:rFonts w:ascii="Calibri" w:hAnsi="Calibri" w:cs="Calibri"/>
          <w:sz w:val="22"/>
          <w:szCs w:val="22"/>
          <w:lang w:val="en-US"/>
        </w:rPr>
        <w:t xml:space="preserve">. Because of this, the campaign started off too late and with too limited resources. When the prospective of rejection of the </w:t>
      </w:r>
      <w:r>
        <w:rPr>
          <w:rStyle w:val="normaltextrun"/>
          <w:rFonts w:ascii="Calibri" w:hAnsi="Calibri" w:cs="Calibri"/>
          <w:sz w:val="22"/>
          <w:szCs w:val="22"/>
          <w:lang w:val="en-US"/>
        </w:rPr>
        <w:t>T</w:t>
      </w:r>
      <w:r w:rsidRPr="004C5C8D">
        <w:rPr>
          <w:rStyle w:val="normaltextrun"/>
          <w:rFonts w:ascii="Calibri" w:hAnsi="Calibri" w:cs="Calibri"/>
          <w:sz w:val="22"/>
          <w:szCs w:val="22"/>
          <w:lang w:val="en-US"/>
        </w:rPr>
        <w:t>reaty became</w:t>
      </w:r>
      <w:r w:rsidRPr="00164D81">
        <w:rPr>
          <w:rStyle w:val="normaltextrun"/>
          <w:rFonts w:ascii="Calibri" w:hAnsi="Calibri" w:cs="Calibri"/>
          <w:sz w:val="22"/>
          <w:szCs w:val="22"/>
          <w:lang w:val="en-US"/>
        </w:rPr>
        <w:t xml:space="preserve"> clear</w:t>
      </w:r>
      <w:r>
        <w:rPr>
          <w:rStyle w:val="normaltextrun"/>
          <w:rFonts w:ascii="Calibri" w:hAnsi="Calibri" w:cs="Calibri"/>
          <w:sz w:val="22"/>
          <w:szCs w:val="22"/>
          <w:lang w:val="en-US"/>
        </w:rPr>
        <w:t xml:space="preserve"> to them</w:t>
      </w:r>
      <w:r w:rsidRPr="004C5C8D">
        <w:rPr>
          <w:rStyle w:val="normaltextrun"/>
          <w:rFonts w:ascii="Calibri" w:hAnsi="Calibri" w:cs="Calibri"/>
          <w:sz w:val="22"/>
          <w:szCs w:val="22"/>
          <w:lang w:val="en-US"/>
        </w:rPr>
        <w:t xml:space="preserve">, it was too late to correct these errors. Additionally, self-interested survival instinct led decision-makers </w:t>
      </w:r>
      <w:r>
        <w:rPr>
          <w:rStyle w:val="normaltextrun"/>
          <w:rFonts w:ascii="Calibri" w:hAnsi="Calibri" w:cs="Calibri"/>
          <w:sz w:val="22"/>
          <w:szCs w:val="22"/>
          <w:lang w:val="en-US"/>
        </w:rPr>
        <w:t>who perceived the campaign to be risky to avoid association with the referendum, impairing its chances of success.</w:t>
      </w:r>
    </w:p>
    <w:p w14:paraId="34529576" w14:textId="77777777" w:rsidR="0096250E" w:rsidRPr="00B57B4D" w:rsidRDefault="0096250E" w:rsidP="0096250E">
      <w:pPr>
        <w:pStyle w:val="paragraph"/>
        <w:spacing w:before="0" w:beforeAutospacing="0" w:after="0" w:afterAutospacing="0"/>
        <w:jc w:val="both"/>
        <w:textAlignment w:val="baseline"/>
        <w:rPr>
          <w:rFonts w:ascii="Segoe UI" w:hAnsi="Segoe UI" w:cs="Segoe UI"/>
          <w:color w:val="FF0000"/>
          <w:sz w:val="18"/>
          <w:szCs w:val="18"/>
          <w:lang w:val="en-US"/>
        </w:rPr>
      </w:pPr>
    </w:p>
    <w:p w14:paraId="5F3CA1D6" w14:textId="3B696D90" w:rsidR="0096250E" w:rsidRPr="007C23F4" w:rsidRDefault="0096250E" w:rsidP="0096250E">
      <w:pPr>
        <w:pStyle w:val="paragraph"/>
        <w:spacing w:before="0" w:beforeAutospacing="0" w:after="0" w:afterAutospacing="0"/>
        <w:jc w:val="both"/>
        <w:textAlignment w:val="baseline"/>
        <w:rPr>
          <w:rStyle w:val="eop"/>
          <w:rFonts w:ascii="Calibri" w:hAnsi="Calibri" w:cs="Calibri"/>
          <w:sz w:val="22"/>
          <w:szCs w:val="22"/>
          <w:lang w:val="en-US"/>
        </w:rPr>
      </w:pPr>
      <w:r w:rsidRPr="007C23F4">
        <w:rPr>
          <w:rStyle w:val="normaltextrun"/>
          <w:rFonts w:ascii="Calibri" w:hAnsi="Calibri" w:cs="Calibri"/>
          <w:sz w:val="22"/>
          <w:szCs w:val="22"/>
          <w:lang w:val="en-US"/>
        </w:rPr>
        <w:t>This research consists of a single case study on the impact of cognition and bureaucratic politics during the conception and execution of the governmental campaign during the Dutch referendum on the European Constitution in 2005. </w:t>
      </w:r>
      <w:r w:rsidR="00E24676" w:rsidRPr="007C23F4">
        <w:rPr>
          <w:rStyle w:val="normaltextrun"/>
          <w:rFonts w:ascii="Calibri" w:hAnsi="Calibri" w:cs="Calibri"/>
          <w:sz w:val="22"/>
          <w:szCs w:val="22"/>
          <w:lang w:val="en-US"/>
        </w:rPr>
        <w:t>Process-tracing</w:t>
      </w:r>
      <w:r w:rsidRPr="007C23F4">
        <w:rPr>
          <w:rStyle w:val="normaltextrun"/>
          <w:rFonts w:ascii="Calibri" w:hAnsi="Calibri" w:cs="Calibri"/>
          <w:sz w:val="22"/>
          <w:szCs w:val="22"/>
          <w:lang w:val="en-US"/>
        </w:rPr>
        <w:t xml:space="preserve"> is used to determine </w:t>
      </w:r>
      <w:r w:rsidR="00E24676" w:rsidRPr="007C23F4">
        <w:rPr>
          <w:rStyle w:val="normaltextrun"/>
          <w:rFonts w:ascii="Calibri" w:hAnsi="Calibri" w:cs="Calibri"/>
          <w:sz w:val="22"/>
          <w:szCs w:val="22"/>
          <w:lang w:val="en-US"/>
        </w:rPr>
        <w:t xml:space="preserve">whether bureaucratic elements where present in the </w:t>
      </w:r>
      <w:r w:rsidR="001517FE" w:rsidRPr="007C23F4">
        <w:rPr>
          <w:rStyle w:val="normaltextrun"/>
          <w:rFonts w:ascii="Calibri" w:hAnsi="Calibri" w:cs="Calibri"/>
          <w:sz w:val="22"/>
          <w:szCs w:val="22"/>
          <w:lang w:val="en-US"/>
        </w:rPr>
        <w:t xml:space="preserve">different phases of decision-making and whether they can be logically linked to </w:t>
      </w:r>
      <w:r w:rsidR="00517DD9" w:rsidRPr="007C23F4">
        <w:rPr>
          <w:rStyle w:val="normaltextrun"/>
          <w:rFonts w:ascii="Calibri" w:hAnsi="Calibri" w:cs="Calibri"/>
          <w:sz w:val="22"/>
          <w:szCs w:val="22"/>
          <w:lang w:val="en-US"/>
        </w:rPr>
        <w:t xml:space="preserve">symptoms of defective decision-making. The main source of data are twelve semi-structured in-depth interviews with members of the Taskforce Referendum and Political Control Group, </w:t>
      </w:r>
      <w:r w:rsidR="00471677" w:rsidRPr="007C23F4">
        <w:rPr>
          <w:rStyle w:val="normaltextrun"/>
          <w:rFonts w:ascii="Calibri" w:hAnsi="Calibri" w:cs="Calibri"/>
          <w:sz w:val="22"/>
          <w:szCs w:val="22"/>
          <w:lang w:val="en-US"/>
        </w:rPr>
        <w:t xml:space="preserve">and experts. The latter consists of both </w:t>
      </w:r>
      <w:r w:rsidR="003D7853" w:rsidRPr="007C23F4">
        <w:rPr>
          <w:rStyle w:val="normaltextrun"/>
          <w:rFonts w:ascii="Calibri" w:hAnsi="Calibri" w:cs="Calibri"/>
          <w:sz w:val="22"/>
          <w:szCs w:val="22"/>
          <w:lang w:val="en-US"/>
        </w:rPr>
        <w:t>politicians and civil servants involved with the process at the time, academics, and journalists. Other d</w:t>
      </w:r>
      <w:r w:rsidRPr="007C23F4">
        <w:rPr>
          <w:rStyle w:val="normaltextrun"/>
          <w:rFonts w:ascii="Calibri" w:hAnsi="Calibri" w:cs="Calibri"/>
          <w:sz w:val="22"/>
          <w:szCs w:val="22"/>
          <w:lang w:val="en-US"/>
        </w:rPr>
        <w:t xml:space="preserve">ata </w:t>
      </w:r>
      <w:r w:rsidR="003D7853" w:rsidRPr="007C23F4">
        <w:rPr>
          <w:rStyle w:val="normaltextrun"/>
          <w:rFonts w:ascii="Calibri" w:hAnsi="Calibri" w:cs="Calibri"/>
          <w:sz w:val="22"/>
          <w:szCs w:val="22"/>
          <w:lang w:val="en-US"/>
        </w:rPr>
        <w:t xml:space="preserve">used </w:t>
      </w:r>
      <w:r w:rsidRPr="007C23F4">
        <w:rPr>
          <w:rStyle w:val="normaltextrun"/>
          <w:rFonts w:ascii="Calibri" w:hAnsi="Calibri" w:cs="Calibri"/>
          <w:sz w:val="22"/>
          <w:szCs w:val="22"/>
          <w:lang w:val="en-US"/>
        </w:rPr>
        <w:t xml:space="preserve">consists of briefings provided to parliaments, newspaper articles, and internal documents detailing the progress of the campaign. These are used to map out the decision-making process, allowing for the impact of individuals, their perceptions, and their </w:t>
      </w:r>
      <w:r w:rsidR="007C23F4">
        <w:rPr>
          <w:rStyle w:val="normaltextrun"/>
          <w:rFonts w:ascii="Calibri" w:hAnsi="Calibri" w:cs="Calibri"/>
          <w:sz w:val="22"/>
          <w:szCs w:val="22"/>
          <w:lang w:val="en-US"/>
        </w:rPr>
        <w:t>interests</w:t>
      </w:r>
      <w:r w:rsidRPr="007C23F4">
        <w:rPr>
          <w:rStyle w:val="normaltextrun"/>
          <w:rFonts w:ascii="Calibri" w:hAnsi="Calibri" w:cs="Calibri"/>
          <w:sz w:val="22"/>
          <w:szCs w:val="22"/>
          <w:lang w:val="en-US"/>
        </w:rPr>
        <w:t xml:space="preserve"> to be pinpointed.</w:t>
      </w:r>
      <w:r w:rsidRPr="007C23F4">
        <w:rPr>
          <w:rStyle w:val="eop"/>
          <w:rFonts w:ascii="Calibri" w:hAnsi="Calibri" w:cs="Calibri"/>
          <w:sz w:val="22"/>
          <w:szCs w:val="22"/>
          <w:lang w:val="en-US"/>
        </w:rPr>
        <w:t> </w:t>
      </w:r>
    </w:p>
    <w:p w14:paraId="34198402" w14:textId="77777777" w:rsidR="0096250E" w:rsidRPr="009A18FA" w:rsidRDefault="0096250E" w:rsidP="0096250E">
      <w:pPr>
        <w:pStyle w:val="paragraph"/>
        <w:spacing w:before="0" w:beforeAutospacing="0" w:after="0" w:afterAutospacing="0"/>
        <w:jc w:val="both"/>
        <w:textAlignment w:val="baseline"/>
        <w:rPr>
          <w:rFonts w:ascii="Segoe UI" w:hAnsi="Segoe UI" w:cs="Segoe UI"/>
          <w:sz w:val="18"/>
          <w:szCs w:val="18"/>
          <w:lang w:val="en-US"/>
        </w:rPr>
      </w:pPr>
    </w:p>
    <w:p w14:paraId="51E9FE77" w14:textId="77777777" w:rsidR="0096250E" w:rsidRPr="00A81153" w:rsidRDefault="0096250E" w:rsidP="00A527B5">
      <w:pPr>
        <w:pStyle w:val="Kop2"/>
        <w:rPr>
          <w:color w:val="auto"/>
          <w:lang w:val="en-US"/>
        </w:rPr>
      </w:pPr>
      <w:bookmarkStart w:id="4" w:name="_Toc48891279"/>
      <w:r w:rsidRPr="00A81153">
        <w:rPr>
          <w:rStyle w:val="normaltextrun"/>
          <w:color w:val="auto"/>
          <w:lang w:val="en-US"/>
        </w:rPr>
        <w:t>1.4 Societal relevance</w:t>
      </w:r>
      <w:bookmarkEnd w:id="4"/>
      <w:r w:rsidRPr="00A81153">
        <w:rPr>
          <w:rStyle w:val="eop"/>
          <w:color w:val="auto"/>
          <w:lang w:val="en-US"/>
        </w:rPr>
        <w:t> </w:t>
      </w:r>
    </w:p>
    <w:p w14:paraId="18D40ED9" w14:textId="173DD726" w:rsidR="0096250E" w:rsidRDefault="0096250E" w:rsidP="0096250E">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The societal relevance of this research is two-fold. Firstly, it addresses a critical turning point in the European integration process. The 2005 referendum irreversibly politicized the EU polity and its policies. This has impacted both the domestic landscape and the Dutch foreign policy regarding the EU. The Netherlands has become more skeptical regarding European cooperation. Relatedly the referendum has significantly shaped other member-states perceptions of the position of The Netherlands within the EU (Dekker et al., 2019, p. 33).</w:t>
      </w:r>
      <w:r w:rsidRPr="0096250E">
        <w:rPr>
          <w:rStyle w:val="eop"/>
          <w:rFonts w:ascii="Calibri" w:hAnsi="Calibri" w:cs="Calibri"/>
          <w:sz w:val="22"/>
          <w:szCs w:val="22"/>
          <w:lang w:val="en-US"/>
        </w:rPr>
        <w:t> </w:t>
      </w:r>
    </w:p>
    <w:p w14:paraId="3A73805B" w14:textId="77777777" w:rsidR="00B57B4D" w:rsidRDefault="00B57B4D" w:rsidP="0096250E">
      <w:pPr>
        <w:pStyle w:val="paragraph"/>
        <w:spacing w:before="0" w:beforeAutospacing="0" w:after="0" w:afterAutospacing="0"/>
        <w:jc w:val="both"/>
        <w:textAlignment w:val="baseline"/>
        <w:rPr>
          <w:rStyle w:val="eop"/>
          <w:rFonts w:ascii="Calibri" w:hAnsi="Calibri" w:cs="Calibri"/>
          <w:sz w:val="22"/>
          <w:szCs w:val="22"/>
          <w:lang w:val="en-US"/>
        </w:rPr>
      </w:pPr>
    </w:p>
    <w:p w14:paraId="3C7C4175" w14:textId="381824EC" w:rsidR="00B57B4D" w:rsidRDefault="00B57B4D" w:rsidP="00B57B4D">
      <w:pPr>
        <w:pStyle w:val="paragraph"/>
        <w:spacing w:before="0" w:beforeAutospacing="0" w:after="0" w:afterAutospacing="0"/>
        <w:jc w:val="both"/>
        <w:textAlignment w:val="baseline"/>
        <w:rPr>
          <w:rStyle w:val="eop"/>
          <w:rFonts w:ascii="Calibri" w:hAnsi="Calibri" w:cs="Calibri"/>
          <w:sz w:val="22"/>
          <w:szCs w:val="22"/>
          <w:lang w:val="en-US"/>
        </w:rPr>
      </w:pPr>
      <w:r>
        <w:rPr>
          <w:rStyle w:val="eop"/>
          <w:rFonts w:ascii="Calibri" w:hAnsi="Calibri" w:cs="Calibri"/>
          <w:sz w:val="22"/>
          <w:szCs w:val="22"/>
          <w:lang w:val="en-US"/>
        </w:rPr>
        <w:t>The analysis can thus provide insight into current developments in European integration. For example: during the corona-crisis, the EU has made efforts to come to a collective response and create a relief fund to help member-states that were hit especially badly during the pandemic (</w:t>
      </w:r>
      <w:r w:rsidRPr="00F31F20">
        <w:rPr>
          <w:rStyle w:val="eop"/>
          <w:rFonts w:ascii="Calibri" w:hAnsi="Calibri" w:cs="Calibri"/>
          <w:sz w:val="22"/>
          <w:szCs w:val="22"/>
          <w:lang w:val="en-US"/>
        </w:rPr>
        <w:t>Herszenhorn et al., 2020)</w:t>
      </w:r>
      <w:r>
        <w:rPr>
          <w:rStyle w:val="eop"/>
          <w:rFonts w:ascii="Calibri" w:hAnsi="Calibri" w:cs="Calibri"/>
          <w:sz w:val="22"/>
          <w:szCs w:val="22"/>
          <w:lang w:val="en-US"/>
        </w:rPr>
        <w:t>. The Dutch position drew considerable attention, as member-states found its frugality and blunt rejection of proposed instruments offensive. This research into the first explicit rejection of European integration by the Dutch electorate can shine a light upon the origin of this critical approach to European cooperation.</w:t>
      </w:r>
    </w:p>
    <w:p w14:paraId="1A4A58BA" w14:textId="77777777" w:rsidR="0096250E" w:rsidRPr="0096250E" w:rsidRDefault="0096250E" w:rsidP="0096250E">
      <w:pPr>
        <w:pStyle w:val="paragraph"/>
        <w:spacing w:before="0" w:beforeAutospacing="0" w:after="0" w:afterAutospacing="0"/>
        <w:jc w:val="both"/>
        <w:textAlignment w:val="baseline"/>
        <w:rPr>
          <w:rFonts w:ascii="Segoe UI" w:hAnsi="Segoe UI" w:cs="Segoe UI"/>
          <w:sz w:val="18"/>
          <w:szCs w:val="18"/>
          <w:lang w:val="en-US"/>
        </w:rPr>
      </w:pPr>
    </w:p>
    <w:p w14:paraId="313A8C65" w14:textId="3FDE28A5" w:rsidR="0096250E" w:rsidRDefault="00E715C2" w:rsidP="0096250E">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 xml:space="preserve">Secondly, the </w:t>
      </w:r>
      <w:r w:rsidR="0096250E">
        <w:rPr>
          <w:rStyle w:val="normaltextrun"/>
          <w:rFonts w:ascii="Calibri" w:hAnsi="Calibri" w:cs="Calibri"/>
          <w:sz w:val="22"/>
          <w:szCs w:val="22"/>
          <w:lang w:val="en-US"/>
        </w:rPr>
        <w:t>referendum took place in a politically turbulent time that saw the rise of right-wing populist parties. It was part of an expression of social discontent with the political elite, characterized by great distrust in politicians (Boudewijn &amp; Rood, 2005). The rejection of the European Constitution has put the issues of national identity and sovereignty onto the political agenda indefinitely. This sentiment is still prevalent in society today, also in other Western democracies (Van </w:t>
      </w:r>
      <w:r w:rsidR="0096250E">
        <w:rPr>
          <w:rStyle w:val="spellingerror"/>
          <w:rFonts w:ascii="Calibri" w:hAnsi="Calibri" w:cs="Calibri"/>
          <w:sz w:val="22"/>
          <w:szCs w:val="22"/>
          <w:lang w:val="en-US"/>
        </w:rPr>
        <w:t>Vulpen</w:t>
      </w:r>
      <w:r w:rsidR="0096250E">
        <w:rPr>
          <w:rStyle w:val="normaltextrun"/>
          <w:rFonts w:ascii="Calibri" w:hAnsi="Calibri" w:cs="Calibri"/>
          <w:sz w:val="22"/>
          <w:szCs w:val="22"/>
          <w:lang w:val="en-US"/>
        </w:rPr>
        <w:t> et al., 2016)</w:t>
      </w:r>
      <w:r w:rsidR="0096250E">
        <w:rPr>
          <w:rStyle w:val="eop"/>
          <w:rFonts w:ascii="Calibri" w:hAnsi="Calibri" w:cs="Calibri"/>
          <w:sz w:val="22"/>
          <w:szCs w:val="22"/>
          <w:lang w:val="en-US"/>
        </w:rPr>
        <w:t>.</w:t>
      </w:r>
    </w:p>
    <w:p w14:paraId="2E28DAB4" w14:textId="48CA175C" w:rsidR="0096250E" w:rsidRPr="0096250E" w:rsidRDefault="0096250E" w:rsidP="0096250E">
      <w:pPr>
        <w:pStyle w:val="paragraph"/>
        <w:spacing w:before="0" w:beforeAutospacing="0" w:after="0" w:afterAutospacing="0"/>
        <w:jc w:val="both"/>
        <w:textAlignment w:val="baseline"/>
        <w:rPr>
          <w:rFonts w:ascii="Segoe UI" w:hAnsi="Segoe UI" w:cs="Segoe UI"/>
          <w:sz w:val="18"/>
          <w:szCs w:val="18"/>
          <w:lang w:val="en-US"/>
        </w:rPr>
      </w:pPr>
    </w:p>
    <w:p w14:paraId="705B0753" w14:textId="63F14E3A" w:rsidR="0096250E" w:rsidRPr="00204B22" w:rsidRDefault="0096250E" w:rsidP="00A527B5">
      <w:pPr>
        <w:pStyle w:val="Kop2"/>
        <w:rPr>
          <w:rStyle w:val="eop"/>
          <w:color w:val="auto"/>
          <w:lang w:val="en-US"/>
        </w:rPr>
      </w:pPr>
      <w:bookmarkStart w:id="5" w:name="_Toc48891280"/>
      <w:r w:rsidRPr="00204B22">
        <w:rPr>
          <w:rStyle w:val="normaltextrun"/>
          <w:color w:val="auto"/>
          <w:lang w:val="en-US"/>
        </w:rPr>
        <w:t>1.5 Scientific relevance</w:t>
      </w:r>
      <w:bookmarkEnd w:id="5"/>
      <w:r w:rsidRPr="00204B22">
        <w:rPr>
          <w:rStyle w:val="eop"/>
          <w:color w:val="auto"/>
          <w:lang w:val="en-US"/>
        </w:rPr>
        <w:t> </w:t>
      </w:r>
    </w:p>
    <w:p w14:paraId="3B52E242" w14:textId="700A063F" w:rsidR="00DE25A2" w:rsidRDefault="00DE25A2" w:rsidP="00D5247A">
      <w:pPr>
        <w:jc w:val="both"/>
        <w:rPr>
          <w:lang w:val="en-US"/>
        </w:rPr>
      </w:pPr>
      <w:r>
        <w:rPr>
          <w:lang w:val="en-US"/>
        </w:rPr>
        <w:t xml:space="preserve">This study contributes to </w:t>
      </w:r>
      <w:r w:rsidR="00791A2E">
        <w:rPr>
          <w:lang w:val="en-US"/>
        </w:rPr>
        <w:t xml:space="preserve">the academic work on </w:t>
      </w:r>
      <w:r>
        <w:rPr>
          <w:lang w:val="en-US"/>
        </w:rPr>
        <w:t>Foreign Policy Analysis in general and bureaucratic politics</w:t>
      </w:r>
      <w:r w:rsidR="00791A2E">
        <w:rPr>
          <w:lang w:val="en-US"/>
        </w:rPr>
        <w:t xml:space="preserve"> in specific. </w:t>
      </w:r>
      <w:r w:rsidR="00D5247A">
        <w:rPr>
          <w:lang w:val="en-US"/>
        </w:rPr>
        <w:t xml:space="preserve">Combining Allison’s bureaucratic politics model and organizational process model, it </w:t>
      </w:r>
      <w:r w:rsidR="008715BD">
        <w:rPr>
          <w:lang w:val="en-US"/>
        </w:rPr>
        <w:t xml:space="preserve">reviews the rational pursuit of self-interest within the contextual setting of bureaucratic organizations. This allows to incorporate insights of academic work on cognition and organizational culture to be incorporated in the bureaucratic politics approach. </w:t>
      </w:r>
    </w:p>
    <w:p w14:paraId="27E1C205" w14:textId="098950F3" w:rsidR="00D60490" w:rsidRPr="006250CA" w:rsidRDefault="00F87082" w:rsidP="006250CA">
      <w:pPr>
        <w:jc w:val="both"/>
        <w:rPr>
          <w:lang w:val="en-US"/>
        </w:rPr>
      </w:pPr>
      <w:r>
        <w:rPr>
          <w:lang w:val="en-US"/>
        </w:rPr>
        <w:t>Additionally, the research contributes to academ</w:t>
      </w:r>
      <w:r w:rsidR="00EE2446">
        <w:rPr>
          <w:lang w:val="en-US"/>
        </w:rPr>
        <w:t xml:space="preserve">ic work on European integration and its politicization. </w:t>
      </w:r>
      <w:r w:rsidR="00250B55">
        <w:rPr>
          <w:lang w:val="en-US"/>
        </w:rPr>
        <w:t xml:space="preserve">The rejection of the European Constitutional Treaty by France and the Netherlands </w:t>
      </w:r>
      <w:r w:rsidR="00E72DE8">
        <w:rPr>
          <w:lang w:val="en-US"/>
        </w:rPr>
        <w:t>are</w:t>
      </w:r>
      <w:r w:rsidR="00250B55">
        <w:rPr>
          <w:lang w:val="en-US"/>
        </w:rPr>
        <w:t xml:space="preserve"> often seen as a turning point in European integration, </w:t>
      </w:r>
      <w:r w:rsidR="00FF0DED">
        <w:rPr>
          <w:lang w:val="en-US"/>
        </w:rPr>
        <w:t>with citizens of two founding member-states rejecting a treaty facilitating further integration</w:t>
      </w:r>
      <w:r w:rsidR="00E72DE8">
        <w:rPr>
          <w:lang w:val="en-US"/>
        </w:rPr>
        <w:t xml:space="preserve"> (Hobolt, 2009)</w:t>
      </w:r>
      <w:r w:rsidR="00FF0DED">
        <w:rPr>
          <w:lang w:val="en-US"/>
        </w:rPr>
        <w:t xml:space="preserve">. </w:t>
      </w:r>
      <w:r w:rsidR="00880E24">
        <w:rPr>
          <w:lang w:val="en-US"/>
        </w:rPr>
        <w:t xml:space="preserve">This research investigates the extent to which </w:t>
      </w:r>
      <w:r w:rsidR="00502221">
        <w:rPr>
          <w:lang w:val="en-US"/>
        </w:rPr>
        <w:t xml:space="preserve">accepted norms and procedures within domestic bureaucratic organizations limit the ability of </w:t>
      </w:r>
      <w:r w:rsidR="001B0ACE">
        <w:rPr>
          <w:lang w:val="en-US"/>
        </w:rPr>
        <w:t>political actors and civil service to adequately respond to civilian discontent with the EU.</w:t>
      </w:r>
      <w:r w:rsidR="00BF0EF3">
        <w:rPr>
          <w:lang w:val="en-US"/>
        </w:rPr>
        <w:t xml:space="preserve"> In doing so, it is a valuable contribution to the literature on referendums on European integratio</w:t>
      </w:r>
      <w:r w:rsidR="00CD03CA">
        <w:rPr>
          <w:lang w:val="en-US"/>
        </w:rPr>
        <w:t xml:space="preserve">n. It could therefore also provide useful </w:t>
      </w:r>
      <w:r w:rsidR="00715D87">
        <w:rPr>
          <w:lang w:val="en-US"/>
        </w:rPr>
        <w:t>insights</w:t>
      </w:r>
      <w:r w:rsidR="00CD03CA">
        <w:rPr>
          <w:lang w:val="en-US"/>
        </w:rPr>
        <w:t xml:space="preserve"> for the Brexit-referendum, among others.</w:t>
      </w:r>
    </w:p>
    <w:p w14:paraId="1409F340" w14:textId="73594567" w:rsidR="0096250E" w:rsidRPr="006250CA" w:rsidRDefault="0096250E" w:rsidP="0096250E">
      <w:pPr>
        <w:pStyle w:val="paragraph"/>
        <w:spacing w:before="0" w:beforeAutospacing="0" w:after="0" w:afterAutospacing="0"/>
        <w:jc w:val="both"/>
        <w:textAlignment w:val="baseline"/>
        <w:rPr>
          <w:rStyle w:val="eop"/>
          <w:rFonts w:ascii="Calibri" w:hAnsi="Calibri" w:cs="Calibri"/>
          <w:sz w:val="22"/>
          <w:szCs w:val="22"/>
          <w:lang w:val="en-US"/>
        </w:rPr>
      </w:pPr>
      <w:r w:rsidRPr="006250CA">
        <w:rPr>
          <w:rStyle w:val="normaltextrun"/>
          <w:rFonts w:ascii="Calibri" w:hAnsi="Calibri" w:cs="Calibri"/>
          <w:sz w:val="22"/>
          <w:szCs w:val="22"/>
          <w:lang w:val="en-US"/>
        </w:rPr>
        <w:t xml:space="preserve">Regarding the Dutch referendum, much has been written about the motivations of the electorate to reject the treaty and </w:t>
      </w:r>
      <w:r w:rsidR="0091739F">
        <w:rPr>
          <w:rStyle w:val="normaltextrun"/>
          <w:rFonts w:ascii="Calibri" w:hAnsi="Calibri" w:cs="Calibri"/>
          <w:sz w:val="22"/>
          <w:szCs w:val="22"/>
          <w:lang w:val="en-US"/>
        </w:rPr>
        <w:t>the perceived legitimacy of national EU-policy</w:t>
      </w:r>
      <w:r w:rsidRPr="006250CA">
        <w:rPr>
          <w:rStyle w:val="normaltextrun"/>
          <w:rFonts w:ascii="Calibri" w:hAnsi="Calibri" w:cs="Calibri"/>
          <w:sz w:val="22"/>
          <w:szCs w:val="22"/>
          <w:lang w:val="en-US"/>
        </w:rPr>
        <w:t> (</w:t>
      </w:r>
      <w:r w:rsidR="0091739F">
        <w:rPr>
          <w:rStyle w:val="normaltextrun"/>
          <w:rFonts w:ascii="Calibri" w:hAnsi="Calibri" w:cs="Calibri"/>
          <w:sz w:val="22"/>
          <w:szCs w:val="22"/>
          <w:lang w:val="en-US"/>
        </w:rPr>
        <w:t xml:space="preserve">Aarts &amp; Van der Kolk, 2006; Boudewijn &amp; Rood, 2005; </w:t>
      </w:r>
      <w:r w:rsidRPr="006250CA">
        <w:rPr>
          <w:rStyle w:val="normaltextrun"/>
          <w:rFonts w:ascii="Calibri" w:hAnsi="Calibri" w:cs="Calibri"/>
          <w:sz w:val="22"/>
          <w:szCs w:val="22"/>
          <w:lang w:val="en-US"/>
        </w:rPr>
        <w:t>WRR</w:t>
      </w:r>
      <w:r w:rsidR="00CA59A4">
        <w:rPr>
          <w:rStyle w:val="normaltextrun"/>
          <w:rFonts w:ascii="Calibri" w:hAnsi="Calibri" w:cs="Calibri"/>
          <w:sz w:val="22"/>
          <w:szCs w:val="22"/>
          <w:lang w:val="en-US"/>
        </w:rPr>
        <w:t>, 2007</w:t>
      </w:r>
      <w:r w:rsidRPr="006250CA">
        <w:rPr>
          <w:rStyle w:val="normaltextrun"/>
          <w:rFonts w:ascii="Calibri" w:hAnsi="Calibri" w:cs="Calibri"/>
          <w:sz w:val="22"/>
          <w:szCs w:val="22"/>
          <w:lang w:val="en-US"/>
        </w:rPr>
        <w:t>). While some publications have shone a light on the proceedings of the governmental campaign, there has been no research as to how these decisions came to be (</w:t>
      </w:r>
      <w:r w:rsidRPr="006250CA">
        <w:rPr>
          <w:rStyle w:val="spellingerror"/>
          <w:rFonts w:ascii="Calibri" w:hAnsi="Calibri" w:cs="Calibri"/>
          <w:sz w:val="22"/>
          <w:szCs w:val="22"/>
          <w:lang w:val="en-US"/>
        </w:rPr>
        <w:t>Lucardie</w:t>
      </w:r>
      <w:r w:rsidRPr="006250CA">
        <w:rPr>
          <w:rStyle w:val="normaltextrun"/>
          <w:rFonts w:ascii="Calibri" w:hAnsi="Calibri" w:cs="Calibri"/>
          <w:sz w:val="22"/>
          <w:szCs w:val="22"/>
          <w:lang w:val="en-US"/>
        </w:rPr>
        <w:t>, 2005). </w:t>
      </w:r>
      <w:r w:rsidR="007408CF" w:rsidRPr="006250CA">
        <w:rPr>
          <w:rStyle w:val="eop"/>
          <w:rFonts w:ascii="Calibri" w:hAnsi="Calibri" w:cs="Calibri"/>
          <w:sz w:val="22"/>
          <w:szCs w:val="22"/>
          <w:lang w:val="en-US"/>
        </w:rPr>
        <w:t>Similarly, l</w:t>
      </w:r>
      <w:r w:rsidR="003350CC" w:rsidRPr="006250CA">
        <w:rPr>
          <w:rStyle w:val="eop"/>
          <w:rFonts w:ascii="Calibri" w:hAnsi="Calibri" w:cs="Calibri"/>
          <w:sz w:val="22"/>
          <w:szCs w:val="22"/>
          <w:lang w:val="en-US"/>
        </w:rPr>
        <w:t>iterature on Euroscepticism tends to focus on parties and voter motivations</w:t>
      </w:r>
      <w:r w:rsidR="00BB2A70">
        <w:rPr>
          <w:rStyle w:val="eop"/>
          <w:rFonts w:ascii="Calibri" w:hAnsi="Calibri" w:cs="Calibri"/>
          <w:sz w:val="22"/>
          <w:szCs w:val="22"/>
          <w:lang w:val="en-US"/>
        </w:rPr>
        <w:t xml:space="preserve"> (De Vries, 2018; Guerra &amp; McLaren, 2016)</w:t>
      </w:r>
      <w:r w:rsidR="003350CC" w:rsidRPr="006250CA">
        <w:rPr>
          <w:rStyle w:val="eop"/>
          <w:rFonts w:ascii="Calibri" w:hAnsi="Calibri" w:cs="Calibri"/>
          <w:sz w:val="22"/>
          <w:szCs w:val="22"/>
          <w:lang w:val="en-US"/>
        </w:rPr>
        <w:t>. This researc</w:t>
      </w:r>
      <w:r w:rsidR="009078C3" w:rsidRPr="006250CA">
        <w:rPr>
          <w:rStyle w:val="eop"/>
          <w:rFonts w:ascii="Calibri" w:hAnsi="Calibri" w:cs="Calibri"/>
          <w:sz w:val="22"/>
          <w:szCs w:val="22"/>
          <w:lang w:val="en-US"/>
        </w:rPr>
        <w:t>h contributes to filling the</w:t>
      </w:r>
      <w:r w:rsidR="0020700F" w:rsidRPr="006250CA">
        <w:rPr>
          <w:rStyle w:val="eop"/>
          <w:rFonts w:ascii="Calibri" w:hAnsi="Calibri" w:cs="Calibri"/>
          <w:sz w:val="22"/>
          <w:szCs w:val="22"/>
          <w:lang w:val="en-US"/>
        </w:rPr>
        <w:t xml:space="preserve"> gap in our empirical knowledge, attempting to outline</w:t>
      </w:r>
      <w:r w:rsidR="00DF11B9" w:rsidRPr="006250CA">
        <w:rPr>
          <w:rStyle w:val="eop"/>
          <w:rFonts w:ascii="Calibri" w:hAnsi="Calibri" w:cs="Calibri"/>
          <w:sz w:val="22"/>
          <w:szCs w:val="22"/>
          <w:lang w:val="en-US"/>
        </w:rPr>
        <w:t xml:space="preserve"> the</w:t>
      </w:r>
      <w:r w:rsidR="00131FFD" w:rsidRPr="006250CA">
        <w:rPr>
          <w:rStyle w:val="eop"/>
          <w:rFonts w:ascii="Calibri" w:hAnsi="Calibri" w:cs="Calibri"/>
          <w:sz w:val="22"/>
          <w:szCs w:val="22"/>
          <w:lang w:val="en-US"/>
        </w:rPr>
        <w:t xml:space="preserve"> possible</w:t>
      </w:r>
      <w:r w:rsidR="00DF11B9" w:rsidRPr="006250CA">
        <w:rPr>
          <w:rStyle w:val="eop"/>
          <w:rFonts w:ascii="Calibri" w:hAnsi="Calibri" w:cs="Calibri"/>
          <w:sz w:val="22"/>
          <w:szCs w:val="22"/>
          <w:lang w:val="en-US"/>
        </w:rPr>
        <w:t xml:space="preserve"> role of bureaucratic actors in spurring </w:t>
      </w:r>
      <w:r w:rsidR="00131FFD" w:rsidRPr="006250CA">
        <w:rPr>
          <w:rStyle w:val="eop"/>
          <w:rFonts w:ascii="Calibri" w:hAnsi="Calibri" w:cs="Calibri"/>
          <w:sz w:val="22"/>
          <w:szCs w:val="22"/>
          <w:lang w:val="en-US"/>
        </w:rPr>
        <w:t>civilian discontent with European integration.</w:t>
      </w:r>
    </w:p>
    <w:p w14:paraId="5CC592D9" w14:textId="77777777" w:rsidR="0096250E" w:rsidRPr="0096250E" w:rsidRDefault="0096250E" w:rsidP="0096250E">
      <w:pPr>
        <w:pStyle w:val="paragraph"/>
        <w:spacing w:before="0" w:beforeAutospacing="0" w:after="0" w:afterAutospacing="0"/>
        <w:jc w:val="both"/>
        <w:textAlignment w:val="baseline"/>
        <w:rPr>
          <w:rFonts w:ascii="Segoe UI" w:hAnsi="Segoe UI" w:cs="Segoe UI"/>
          <w:sz w:val="18"/>
          <w:szCs w:val="18"/>
          <w:lang w:val="en-US"/>
        </w:rPr>
      </w:pPr>
    </w:p>
    <w:p w14:paraId="229F7C4E" w14:textId="77777777" w:rsidR="0096250E" w:rsidRPr="00204B22" w:rsidRDefault="0096250E" w:rsidP="00A527B5">
      <w:pPr>
        <w:pStyle w:val="Kop2"/>
        <w:rPr>
          <w:color w:val="auto"/>
          <w:lang w:val="en-US"/>
        </w:rPr>
      </w:pPr>
      <w:bookmarkStart w:id="6" w:name="_Toc48891281"/>
      <w:r w:rsidRPr="00204B22">
        <w:rPr>
          <w:rStyle w:val="normaltextrun"/>
          <w:color w:val="auto"/>
          <w:lang w:val="en-US"/>
        </w:rPr>
        <w:t>1.6 Structure of the thesis</w:t>
      </w:r>
      <w:bookmarkEnd w:id="6"/>
      <w:r w:rsidRPr="00204B22">
        <w:rPr>
          <w:rStyle w:val="eop"/>
          <w:color w:val="auto"/>
          <w:lang w:val="en-US"/>
        </w:rPr>
        <w:t> </w:t>
      </w:r>
    </w:p>
    <w:p w14:paraId="5B707E46" w14:textId="46A5039B" w:rsidR="0096250E" w:rsidRPr="0096250E" w:rsidRDefault="0096250E" w:rsidP="0096250E">
      <w:pPr>
        <w:pStyle w:val="paragraph"/>
        <w:spacing w:before="0" w:beforeAutospacing="0" w:after="0" w:afterAutospacing="0"/>
        <w:jc w:val="both"/>
        <w:textAlignment w:val="baseline"/>
        <w:rPr>
          <w:rFonts w:ascii="Segoe UI" w:hAnsi="Segoe UI" w:cs="Segoe UI"/>
          <w:sz w:val="18"/>
          <w:szCs w:val="18"/>
          <w:lang w:val="en-US"/>
        </w:rPr>
      </w:pPr>
      <w:r>
        <w:rPr>
          <w:rStyle w:val="normaltextrun"/>
          <w:rFonts w:ascii="Calibri" w:hAnsi="Calibri" w:cs="Calibri"/>
          <w:sz w:val="22"/>
          <w:szCs w:val="22"/>
          <w:lang w:val="en-US"/>
        </w:rPr>
        <w:t>In the next chapter, relevant theories of Foreign Policy Analysis regarding bureaucratic politics, cognitive biases</w:t>
      </w:r>
      <w:r w:rsidR="006250CA">
        <w:rPr>
          <w:rStyle w:val="normaltextrun"/>
          <w:rFonts w:ascii="Calibri" w:hAnsi="Calibri" w:cs="Calibri"/>
          <w:sz w:val="22"/>
          <w:szCs w:val="22"/>
          <w:lang w:val="en-US"/>
        </w:rPr>
        <w:t>, organizational culture,</w:t>
      </w:r>
      <w:r>
        <w:rPr>
          <w:rStyle w:val="normaltextrun"/>
          <w:rFonts w:ascii="Calibri" w:hAnsi="Calibri" w:cs="Calibri"/>
          <w:sz w:val="22"/>
          <w:szCs w:val="22"/>
          <w:lang w:val="en-US"/>
        </w:rPr>
        <w:t xml:space="preserve"> and role perceptions are outlined</w:t>
      </w:r>
      <w:r w:rsidR="006250CA">
        <w:rPr>
          <w:rStyle w:val="normaltextrun"/>
          <w:rFonts w:ascii="Calibri" w:hAnsi="Calibri" w:cs="Calibri"/>
          <w:sz w:val="22"/>
          <w:szCs w:val="22"/>
          <w:lang w:val="en-US"/>
        </w:rPr>
        <w:t>. This is</w:t>
      </w:r>
      <w:r>
        <w:rPr>
          <w:rStyle w:val="normaltextrun"/>
          <w:rFonts w:ascii="Calibri" w:hAnsi="Calibri" w:cs="Calibri"/>
          <w:sz w:val="22"/>
          <w:szCs w:val="22"/>
          <w:lang w:val="en-US"/>
        </w:rPr>
        <w:t xml:space="preserve"> followed by the formulation of relating hypotheses.</w:t>
      </w:r>
      <w:r w:rsidR="004C5CFE">
        <w:rPr>
          <w:rStyle w:val="normaltextrun"/>
          <w:rFonts w:ascii="Calibri" w:hAnsi="Calibri" w:cs="Calibri"/>
          <w:sz w:val="22"/>
          <w:szCs w:val="22"/>
          <w:lang w:val="en-US"/>
        </w:rPr>
        <w:t xml:space="preserve"> In chapter three, the key components of the hypotheses are operationalized and the</w:t>
      </w:r>
      <w:r w:rsidR="006D09CF">
        <w:rPr>
          <w:rStyle w:val="normaltextrun"/>
          <w:rFonts w:ascii="Calibri" w:hAnsi="Calibri" w:cs="Calibri"/>
          <w:sz w:val="22"/>
          <w:szCs w:val="22"/>
          <w:lang w:val="en-US"/>
        </w:rPr>
        <w:t xml:space="preserve"> methodological approach is explained. The fourth chapter starts with an overview of the context leading up to the referendum. Subsequently, </w:t>
      </w:r>
      <w:r w:rsidR="008572DB">
        <w:rPr>
          <w:rStyle w:val="normaltextrun"/>
          <w:rFonts w:ascii="Calibri" w:hAnsi="Calibri" w:cs="Calibri"/>
          <w:sz w:val="22"/>
          <w:szCs w:val="22"/>
          <w:lang w:val="en-US"/>
        </w:rPr>
        <w:t>the presence of the bureaucratic elements during the decision-making process is traced</w:t>
      </w:r>
      <w:r w:rsidR="00407874">
        <w:rPr>
          <w:rStyle w:val="normaltextrun"/>
          <w:rFonts w:ascii="Calibri" w:hAnsi="Calibri" w:cs="Calibri"/>
          <w:sz w:val="22"/>
          <w:szCs w:val="22"/>
          <w:lang w:val="en-US"/>
        </w:rPr>
        <w:t xml:space="preserve"> and linked to symptoms of defective decision-making. Chapter </w:t>
      </w:r>
      <w:r w:rsidR="008878CF">
        <w:rPr>
          <w:rStyle w:val="normaltextrun"/>
          <w:rFonts w:ascii="Calibri" w:hAnsi="Calibri" w:cs="Calibri"/>
          <w:sz w:val="22"/>
          <w:szCs w:val="22"/>
          <w:lang w:val="en-US"/>
        </w:rPr>
        <w:t>five</w:t>
      </w:r>
      <w:r w:rsidR="00407874">
        <w:rPr>
          <w:rStyle w:val="normaltextrun"/>
          <w:rFonts w:ascii="Calibri" w:hAnsi="Calibri" w:cs="Calibri"/>
          <w:sz w:val="22"/>
          <w:szCs w:val="22"/>
          <w:lang w:val="en-US"/>
        </w:rPr>
        <w:t xml:space="preserve"> concludes the thesis, reflecting upon the empirical analysis and </w:t>
      </w:r>
      <w:r w:rsidR="00A33F0E">
        <w:rPr>
          <w:rStyle w:val="normaltextrun"/>
          <w:rFonts w:ascii="Calibri" w:hAnsi="Calibri" w:cs="Calibri"/>
          <w:sz w:val="22"/>
          <w:szCs w:val="22"/>
          <w:lang w:val="en-US"/>
        </w:rPr>
        <w:t xml:space="preserve">answering the research question. </w:t>
      </w:r>
    </w:p>
    <w:p w14:paraId="05A91747" w14:textId="77777777" w:rsidR="0096250E" w:rsidRDefault="0096250E" w:rsidP="0096250E">
      <w:pPr>
        <w:rPr>
          <w:lang w:val="en-US"/>
        </w:rPr>
      </w:pPr>
    </w:p>
    <w:p w14:paraId="42EEBC16" w14:textId="77777777" w:rsidR="0096250E" w:rsidRDefault="0096250E">
      <w:pPr>
        <w:rPr>
          <w:lang w:val="en-US"/>
        </w:rPr>
      </w:pPr>
      <w:r>
        <w:rPr>
          <w:lang w:val="en-US"/>
        </w:rPr>
        <w:br w:type="page"/>
      </w:r>
    </w:p>
    <w:p w14:paraId="5BB261CC" w14:textId="77777777" w:rsidR="0096250E" w:rsidRPr="00A81153" w:rsidRDefault="0096250E" w:rsidP="00A81153">
      <w:pPr>
        <w:pStyle w:val="Kop1"/>
        <w:jc w:val="center"/>
        <w:rPr>
          <w:b/>
          <w:bCs/>
          <w:color w:val="auto"/>
          <w:lang w:val="en-US"/>
        </w:rPr>
      </w:pPr>
      <w:bookmarkStart w:id="7" w:name="_Toc48891282"/>
      <w:r w:rsidRPr="00A81153">
        <w:rPr>
          <w:b/>
          <w:bCs/>
          <w:color w:val="auto"/>
          <w:lang w:val="en-US"/>
        </w:rPr>
        <w:t>2. Theoretical framework</w:t>
      </w:r>
      <w:bookmarkEnd w:id="7"/>
    </w:p>
    <w:p w14:paraId="45FE4B67" w14:textId="77777777" w:rsidR="00A81153" w:rsidRDefault="00A81153" w:rsidP="0096250E">
      <w:pPr>
        <w:jc w:val="both"/>
        <w:rPr>
          <w:lang w:val="en-US"/>
        </w:rPr>
      </w:pPr>
    </w:p>
    <w:p w14:paraId="655EA5B9" w14:textId="3B765742" w:rsidR="0096250E" w:rsidRDefault="0096250E" w:rsidP="0096250E">
      <w:pPr>
        <w:jc w:val="both"/>
        <w:rPr>
          <w:lang w:val="en-US"/>
        </w:rPr>
      </w:pPr>
      <w:r>
        <w:rPr>
          <w:lang w:val="en-US"/>
        </w:rPr>
        <w:t>In this chapter, the theoretical underpinnings of the thesis are discussed. Firstly, the traditional model of the rational unitary state is addressed. Subsequently, the research field of foreign policy analysis is introduced, focusing on the bureaucratic politics approach. This approach is introduced by looking at Allison’s conceptual models. Based on Ripley (1995), it is argued that cognition, bureaucratic</w:t>
      </w:r>
      <w:r w:rsidR="003B5128">
        <w:rPr>
          <w:lang w:val="en-US"/>
        </w:rPr>
        <w:t xml:space="preserve"> positions, and organizational </w:t>
      </w:r>
      <w:r>
        <w:rPr>
          <w:lang w:val="en-US"/>
        </w:rPr>
        <w:t>culture need to be incorporated to better capture the structuring effect of both competing interests of self-interested actors as well as the social environment in which they operate.</w:t>
      </w:r>
      <w:r w:rsidR="005E6EE2">
        <w:rPr>
          <w:lang w:val="en-US"/>
        </w:rPr>
        <w:t xml:space="preserve"> The chapter concludes with hypotheses derived from this proposed model.</w:t>
      </w:r>
    </w:p>
    <w:p w14:paraId="7B08A982" w14:textId="77777777" w:rsidR="0096250E" w:rsidRPr="00204B22" w:rsidRDefault="0096250E" w:rsidP="0096250E">
      <w:pPr>
        <w:pStyle w:val="Kop2"/>
        <w:rPr>
          <w:color w:val="auto"/>
          <w:lang w:val="en-US"/>
        </w:rPr>
      </w:pPr>
      <w:bookmarkStart w:id="8" w:name="_Toc48891283"/>
      <w:r w:rsidRPr="00204B22">
        <w:rPr>
          <w:color w:val="auto"/>
          <w:lang w:val="en-US"/>
        </w:rPr>
        <w:t>2.1 The rational actor approach</w:t>
      </w:r>
      <w:bookmarkEnd w:id="8"/>
    </w:p>
    <w:p w14:paraId="5C8BEBB1" w14:textId="2EFFC995" w:rsidR="00FF606F" w:rsidRDefault="00AD3A07" w:rsidP="00FF606F">
      <w:pPr>
        <w:jc w:val="both"/>
        <w:rPr>
          <w:lang w:val="en-US"/>
        </w:rPr>
      </w:pPr>
      <w:r>
        <w:rPr>
          <w:lang w:val="en-US"/>
        </w:rPr>
        <w:t>Traditionally</w:t>
      </w:r>
      <w:r w:rsidR="00FF606F">
        <w:rPr>
          <w:lang w:val="en-US"/>
        </w:rPr>
        <w:t xml:space="preserve">, IR-scholars generally viewed foreign policy as the result of rational decision-making by unitary state-actors motivated to maximize their own interest (Gerner, 1995). Foreign policy decisions were a rational choice, as states evaluated the evaluated the costs and benefits of the full range of alternatives to determine which would ultimately best serve to meet their established objectives given the context (Allison, 1971; Morgenthau, 1985, p. 5). The resultant foreign policy, according to this view, is a collection of consistent value-maximizing rational decisions made by a unitary national government to serve its national interests and ultimately ensure the survival of the nation state given the context of the international sphere. </w:t>
      </w:r>
    </w:p>
    <w:p w14:paraId="7EDDCC2C" w14:textId="2A1BB168" w:rsidR="00FF606F" w:rsidRDefault="00FF606F" w:rsidP="00FF606F">
      <w:pPr>
        <w:jc w:val="both"/>
        <w:rPr>
          <w:lang w:val="en-US"/>
        </w:rPr>
      </w:pPr>
      <w:r>
        <w:rPr>
          <w:lang w:val="en-US"/>
        </w:rPr>
        <w:t xml:space="preserve">This rational choice perspective on foreign policy decision-making is closely related to realism, the dominant theoretical </w:t>
      </w:r>
      <w:r w:rsidR="00E715C2">
        <w:rPr>
          <w:lang w:val="en-US"/>
        </w:rPr>
        <w:t>perspective in International R</w:t>
      </w:r>
      <w:r>
        <w:rPr>
          <w:lang w:val="en-US"/>
        </w:rPr>
        <w:t>elations during the Cold War-period (Allison, 1971; Walt, 1998). Realism assumes that sovereign nations are the sole important actors at the international level. Whereas the control these sovereign states have over outlined territories and people allows them to enforce rules at the domestic level, such an overarching power does not exist at the international level. Due to the anarchic nature of the international sphere, states are left to fend for their own interests and survival at the international level. As power can only be attained at the expense of other states, states often have conflicting interests and thus considerable reason to mistrust each other. Fundamentally, international politics thus revolves around national security concerns. The international sphere is thus effectively a competitive arena in which states act to pursue their own interests to ultimately safeguard their independence and survival.</w:t>
      </w:r>
    </w:p>
    <w:p w14:paraId="36F6A963" w14:textId="5F4D5A8B" w:rsidR="0096250E" w:rsidRDefault="00FF606F" w:rsidP="00715390">
      <w:pPr>
        <w:jc w:val="both"/>
        <w:rPr>
          <w:lang w:val="en-US"/>
        </w:rPr>
      </w:pPr>
      <w:r>
        <w:rPr>
          <w:lang w:val="en-US"/>
        </w:rPr>
        <w:t>Realism sees state interactions at the international level as separate from the domestic sphere, as the anarchic nature of the international sphere calls for politics that substantially differ from domestic politics (Kaarbo, 2015). Foreign policy is effectively depoliticized, as political leaders are met with little domestic constraints as they choose rational policies to optimally serve clearly identifiable objective state interests (Ripley, 1995). Essentially, foreign policy is a means to ensure the survival of the nation state through the accumulation of security and power. In the calculated rational pursuit of state interests, which are power and security, domestic support and perceived legitimacy of foreign policy is of no or relatively li</w:t>
      </w:r>
      <w:r w:rsidR="00715390">
        <w:rPr>
          <w:lang w:val="en-US"/>
        </w:rPr>
        <w:t>ttle importance (Kaarbo, 2015).</w:t>
      </w:r>
    </w:p>
    <w:p w14:paraId="2FCCF9C2" w14:textId="77777777" w:rsidR="00101D34" w:rsidRPr="00204B22" w:rsidRDefault="00101D34" w:rsidP="00101D34">
      <w:pPr>
        <w:pStyle w:val="Kop2"/>
        <w:rPr>
          <w:color w:val="auto"/>
          <w:lang w:val="en-US"/>
        </w:rPr>
      </w:pPr>
      <w:bookmarkStart w:id="9" w:name="_Toc48891284"/>
      <w:r w:rsidRPr="00204B22">
        <w:rPr>
          <w:color w:val="auto"/>
          <w:lang w:val="en-US"/>
        </w:rPr>
        <w:t>2.2 Foreign Policy Analysis: bureaucratic politics approach</w:t>
      </w:r>
      <w:bookmarkEnd w:id="9"/>
    </w:p>
    <w:p w14:paraId="65964331" w14:textId="217EFFB1"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 xml:space="preserve">During the 1950s, there was an increasing realization that the traditional perspective of interest-maximizing unitary states was inadequate in explaining observed state behavior in the changing international context (Gerner, 1995). </w:t>
      </w:r>
      <w:r w:rsidR="00715390">
        <w:rPr>
          <w:rStyle w:val="normaltextrun"/>
          <w:rFonts w:ascii="Calibri" w:hAnsi="Calibri" w:cs="Calibri"/>
          <w:sz w:val="22"/>
          <w:szCs w:val="22"/>
          <w:lang w:val="en-US"/>
        </w:rPr>
        <w:t xml:space="preserve">Observable foreign policy pursued by states was not always rational, and could therefore not be explained by the rational actor approach. </w:t>
      </w:r>
      <w:r>
        <w:rPr>
          <w:rStyle w:val="normaltextrun"/>
          <w:rFonts w:ascii="Calibri" w:hAnsi="Calibri" w:cs="Calibri"/>
          <w:sz w:val="22"/>
          <w:szCs w:val="22"/>
          <w:lang w:val="en-US"/>
        </w:rPr>
        <w:t>Foreign Policy Analysis emerged as an academic subfield of international relations, concerning itself with the impact of domestic processes and actors on foreign policy. Unlike traditional explanations of foreign policy, FPA believes multiple actors shape foreign policy-outcome, turning to micro- and meso-level analysis to explain state behavior at the international level.</w:t>
      </w:r>
      <w:r w:rsidRPr="00101D34">
        <w:rPr>
          <w:rStyle w:val="eop"/>
          <w:rFonts w:ascii="Calibri" w:hAnsi="Calibri" w:cs="Calibri"/>
          <w:sz w:val="22"/>
          <w:szCs w:val="22"/>
          <w:lang w:val="en-US"/>
        </w:rPr>
        <w:t> </w:t>
      </w:r>
    </w:p>
    <w:p w14:paraId="509CA616"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249C7A6D" w14:textId="5732B1B2"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FPA-scholars aimed to solve the inadequacy of the rational actor model by looking at domestic factors to explain state behavior at the international level (Breuning, 2007; Gerner, 1995). One approach taken by FPA-scholars is to focus on the impact of bureaucratic organizations on policy-outcome. Policy-makers rely upon bureaucratic organizations to adequately face their complex tasks. This position allows bureaucratic organizations to shape foreign policy. Decision-making in public administration is therefore characterized by conflicts of interest among decision-makers who represent their organizations. The observable policy is the outcome of this, and might therefore be a suboptimal choice. The realist assumption of a unitary utility-maximizing state is rejected, as FPA scholars see foreign policy as the product of the relations between and within bureaucratic organizations.</w:t>
      </w:r>
      <w:r w:rsidRPr="00101D34">
        <w:rPr>
          <w:rStyle w:val="eop"/>
          <w:rFonts w:ascii="Calibri" w:hAnsi="Calibri" w:cs="Calibri"/>
          <w:sz w:val="22"/>
          <w:szCs w:val="22"/>
          <w:lang w:val="en-US"/>
        </w:rPr>
        <w:t> </w:t>
      </w:r>
    </w:p>
    <w:p w14:paraId="221178AC" w14:textId="77777777" w:rsidR="00101D34" w:rsidRPr="002504F2"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0664A693" w14:textId="4600653C" w:rsidR="00203437" w:rsidRPr="002504F2" w:rsidRDefault="00101D34" w:rsidP="00101D34">
      <w:pPr>
        <w:pStyle w:val="paragraph"/>
        <w:spacing w:before="0" w:beforeAutospacing="0" w:after="0" w:afterAutospacing="0"/>
        <w:jc w:val="both"/>
        <w:textAlignment w:val="baseline"/>
        <w:rPr>
          <w:rStyle w:val="normaltextrun"/>
          <w:rFonts w:ascii="Calibri" w:hAnsi="Calibri" w:cs="Calibri"/>
          <w:sz w:val="22"/>
          <w:szCs w:val="22"/>
          <w:lang w:val="en-US"/>
        </w:rPr>
      </w:pPr>
      <w:r w:rsidRPr="002504F2">
        <w:rPr>
          <w:rStyle w:val="normaltextrun"/>
          <w:rFonts w:ascii="Calibri" w:hAnsi="Calibri" w:cs="Calibri"/>
          <w:sz w:val="22"/>
          <w:szCs w:val="22"/>
          <w:lang w:val="en-US"/>
        </w:rPr>
        <w:t xml:space="preserve">Although FPA-scholars agree that the traditional rational actor approach is insufficient in explaining world politics, there is no consensus regarding the subject of rationality itself. Some FPA-scholars, such as Graham Allison, believe that while states do not necessarily act rationally, the individuals that act on behalf of the state do. </w:t>
      </w:r>
      <w:r w:rsidR="00715390" w:rsidRPr="002504F2">
        <w:rPr>
          <w:rStyle w:val="normaltextrun"/>
          <w:rFonts w:ascii="Calibri" w:hAnsi="Calibri" w:cs="Calibri"/>
          <w:sz w:val="22"/>
          <w:szCs w:val="22"/>
          <w:lang w:val="en-US"/>
        </w:rPr>
        <w:t>D</w:t>
      </w:r>
      <w:r w:rsidR="00203437" w:rsidRPr="002504F2">
        <w:rPr>
          <w:rStyle w:val="normaltextrun"/>
          <w:rFonts w:ascii="Calibri" w:hAnsi="Calibri" w:cs="Calibri"/>
          <w:sz w:val="22"/>
          <w:szCs w:val="22"/>
          <w:lang w:val="en-US"/>
        </w:rPr>
        <w:t>ecision-makers disagree</w:t>
      </w:r>
      <w:r w:rsidR="00715390" w:rsidRPr="002504F2">
        <w:rPr>
          <w:rStyle w:val="normaltextrun"/>
          <w:rFonts w:ascii="Calibri" w:hAnsi="Calibri" w:cs="Calibri"/>
          <w:sz w:val="22"/>
          <w:szCs w:val="22"/>
          <w:lang w:val="en-US"/>
        </w:rPr>
        <w:t xml:space="preserve"> over either the objectives that should be pursued by the state or the </w:t>
      </w:r>
      <w:r w:rsidR="00203437" w:rsidRPr="002504F2">
        <w:rPr>
          <w:rStyle w:val="normaltextrun"/>
          <w:rFonts w:ascii="Calibri" w:hAnsi="Calibri" w:cs="Calibri"/>
          <w:sz w:val="22"/>
          <w:szCs w:val="22"/>
          <w:lang w:val="en-US"/>
        </w:rPr>
        <w:t>ways to achieve agreed-upon objectives</w:t>
      </w:r>
      <w:r w:rsidR="00540EA7" w:rsidRPr="002504F2">
        <w:rPr>
          <w:rStyle w:val="normaltextrun"/>
          <w:rFonts w:ascii="Calibri" w:hAnsi="Calibri" w:cs="Calibri"/>
          <w:sz w:val="22"/>
          <w:szCs w:val="22"/>
          <w:lang w:val="en-US"/>
        </w:rPr>
        <w:t xml:space="preserve"> (Bendor &amp; Hammond, 1992)</w:t>
      </w:r>
      <w:r w:rsidR="00203437" w:rsidRPr="002504F2">
        <w:rPr>
          <w:rStyle w:val="normaltextrun"/>
          <w:rFonts w:ascii="Calibri" w:hAnsi="Calibri" w:cs="Calibri"/>
          <w:sz w:val="22"/>
          <w:szCs w:val="22"/>
          <w:lang w:val="en-US"/>
        </w:rPr>
        <w:t>. Foreign policy</w:t>
      </w:r>
      <w:r w:rsidRPr="002504F2">
        <w:rPr>
          <w:rStyle w:val="normaltextrun"/>
          <w:rFonts w:ascii="Calibri" w:hAnsi="Calibri" w:cs="Calibri"/>
          <w:sz w:val="22"/>
          <w:szCs w:val="22"/>
          <w:lang w:val="en-US"/>
        </w:rPr>
        <w:t xml:space="preserve"> is the result of negotiations among</w:t>
      </w:r>
      <w:r w:rsidR="00203437" w:rsidRPr="002504F2">
        <w:rPr>
          <w:rStyle w:val="normaltextrun"/>
          <w:rFonts w:ascii="Calibri" w:hAnsi="Calibri" w:cs="Calibri"/>
          <w:sz w:val="22"/>
          <w:szCs w:val="22"/>
          <w:lang w:val="en-US"/>
        </w:rPr>
        <w:t xml:space="preserve"> these</w:t>
      </w:r>
      <w:r w:rsidRPr="002504F2">
        <w:rPr>
          <w:rStyle w:val="normaltextrun"/>
          <w:rFonts w:ascii="Calibri" w:hAnsi="Calibri" w:cs="Calibri"/>
          <w:sz w:val="22"/>
          <w:szCs w:val="22"/>
          <w:lang w:val="en-US"/>
        </w:rPr>
        <w:t xml:space="preserve"> actors </w:t>
      </w:r>
      <w:r w:rsidR="00203437" w:rsidRPr="002504F2">
        <w:rPr>
          <w:rStyle w:val="normaltextrun"/>
          <w:rFonts w:ascii="Calibri" w:hAnsi="Calibri" w:cs="Calibri"/>
          <w:sz w:val="22"/>
          <w:szCs w:val="22"/>
          <w:lang w:val="en-US"/>
        </w:rPr>
        <w:t>who rationally represent</w:t>
      </w:r>
      <w:r w:rsidRPr="002504F2">
        <w:rPr>
          <w:rStyle w:val="normaltextrun"/>
          <w:rFonts w:ascii="Calibri" w:hAnsi="Calibri" w:cs="Calibri"/>
          <w:sz w:val="22"/>
          <w:szCs w:val="22"/>
          <w:lang w:val="en-US"/>
        </w:rPr>
        <w:t xml:space="preserve"> the interests of their organizations</w:t>
      </w:r>
      <w:r w:rsidR="00203437" w:rsidRPr="002504F2">
        <w:rPr>
          <w:rStyle w:val="normaltextrun"/>
          <w:rFonts w:ascii="Calibri" w:hAnsi="Calibri" w:cs="Calibri"/>
          <w:sz w:val="22"/>
          <w:szCs w:val="22"/>
          <w:lang w:val="en-US"/>
        </w:rPr>
        <w:t>. The resultant policy can thus itself be non-rational, as</w:t>
      </w:r>
      <w:r w:rsidR="005C4CC9" w:rsidRPr="002504F2">
        <w:rPr>
          <w:rStyle w:val="normaltextrun"/>
          <w:rFonts w:ascii="Calibri" w:hAnsi="Calibri" w:cs="Calibri"/>
          <w:sz w:val="22"/>
          <w:szCs w:val="22"/>
          <w:lang w:val="en-US"/>
        </w:rPr>
        <w:t xml:space="preserve"> individual rational b</w:t>
      </w:r>
      <w:r w:rsidR="00203437" w:rsidRPr="002504F2">
        <w:rPr>
          <w:rStyle w:val="normaltextrun"/>
          <w:rFonts w:ascii="Calibri" w:hAnsi="Calibri" w:cs="Calibri"/>
          <w:sz w:val="22"/>
          <w:szCs w:val="22"/>
          <w:lang w:val="en-US"/>
        </w:rPr>
        <w:t>ehavior leads to a collective non-</w:t>
      </w:r>
      <w:r w:rsidR="005C4CC9" w:rsidRPr="002504F2">
        <w:rPr>
          <w:rStyle w:val="normaltextrun"/>
          <w:rFonts w:ascii="Calibri" w:hAnsi="Calibri" w:cs="Calibri"/>
          <w:sz w:val="22"/>
          <w:szCs w:val="22"/>
          <w:lang w:val="en-US"/>
        </w:rPr>
        <w:t>rational outcome</w:t>
      </w:r>
      <w:r w:rsidRPr="002504F2">
        <w:rPr>
          <w:rStyle w:val="normaltextrun"/>
          <w:rFonts w:ascii="Calibri" w:hAnsi="Calibri" w:cs="Calibri"/>
          <w:sz w:val="22"/>
          <w:szCs w:val="22"/>
          <w:lang w:val="en-US"/>
        </w:rPr>
        <w:t xml:space="preserve">. </w:t>
      </w:r>
    </w:p>
    <w:p w14:paraId="134F267E" w14:textId="78805610" w:rsidR="00101D34" w:rsidRPr="002504F2" w:rsidRDefault="00101D34" w:rsidP="00101D34">
      <w:pPr>
        <w:pStyle w:val="paragraph"/>
        <w:spacing w:before="0" w:beforeAutospacing="0" w:after="0" w:afterAutospacing="0"/>
        <w:jc w:val="both"/>
        <w:textAlignment w:val="baseline"/>
        <w:rPr>
          <w:rFonts w:ascii="Segoe UI" w:hAnsi="Segoe UI" w:cs="Segoe UI"/>
          <w:sz w:val="18"/>
          <w:szCs w:val="18"/>
          <w:lang w:val="en-US"/>
        </w:rPr>
      </w:pPr>
      <w:r w:rsidRPr="002504F2">
        <w:rPr>
          <w:rStyle w:val="normaltextrun"/>
          <w:rFonts w:ascii="Calibri" w:hAnsi="Calibri" w:cs="Calibri"/>
          <w:sz w:val="22"/>
          <w:szCs w:val="22"/>
          <w:lang w:val="en-US"/>
        </w:rPr>
        <w:t>Other FPA-scholars argue that there are cognitive factors at play that shape what is perceived as rational by those involved in decision-making</w:t>
      </w:r>
      <w:r w:rsidR="002504F2" w:rsidRPr="002504F2">
        <w:rPr>
          <w:rStyle w:val="normaltextrun"/>
          <w:rFonts w:ascii="Calibri" w:hAnsi="Calibri" w:cs="Calibri"/>
          <w:sz w:val="22"/>
          <w:szCs w:val="22"/>
          <w:lang w:val="en-US"/>
        </w:rPr>
        <w:t xml:space="preserve"> (Rosati, 1995)</w:t>
      </w:r>
      <w:r w:rsidRPr="002504F2">
        <w:rPr>
          <w:rStyle w:val="normaltextrun"/>
          <w:rFonts w:ascii="Calibri" w:hAnsi="Calibri" w:cs="Calibri"/>
          <w:sz w:val="22"/>
          <w:szCs w:val="22"/>
          <w:lang w:val="en-US"/>
        </w:rPr>
        <w:t xml:space="preserve">. They disagree with the notion of </w:t>
      </w:r>
      <w:r w:rsidR="005C4CC9" w:rsidRPr="002504F2">
        <w:rPr>
          <w:rStyle w:val="normaltextrun"/>
          <w:rFonts w:ascii="Calibri" w:hAnsi="Calibri" w:cs="Calibri"/>
          <w:sz w:val="22"/>
          <w:szCs w:val="22"/>
          <w:lang w:val="en-US"/>
        </w:rPr>
        <w:t xml:space="preserve">perfect </w:t>
      </w:r>
      <w:r w:rsidRPr="002504F2">
        <w:rPr>
          <w:rStyle w:val="normaltextrun"/>
          <w:rFonts w:ascii="Calibri" w:hAnsi="Calibri" w:cs="Calibri"/>
          <w:sz w:val="22"/>
          <w:szCs w:val="22"/>
          <w:lang w:val="en-US"/>
        </w:rPr>
        <w:t xml:space="preserve">individual rationality, arguing that the beliefs and capabilities as well as organizational culture significantly impact what is deemed appropriate or useful by those involved </w:t>
      </w:r>
      <w:r w:rsidR="003B5128" w:rsidRPr="002504F2">
        <w:rPr>
          <w:rStyle w:val="normaltextrun"/>
          <w:rFonts w:ascii="Calibri" w:hAnsi="Calibri" w:cs="Calibri"/>
          <w:sz w:val="22"/>
          <w:szCs w:val="22"/>
          <w:lang w:val="en-US"/>
        </w:rPr>
        <w:t>in the decision-making process.</w:t>
      </w:r>
    </w:p>
    <w:p w14:paraId="5E84789A" w14:textId="77777777" w:rsidR="00101D34" w:rsidRDefault="00101D34" w:rsidP="00101D34">
      <w:pPr>
        <w:rPr>
          <w:lang w:val="en-US"/>
        </w:rPr>
      </w:pPr>
    </w:p>
    <w:p w14:paraId="1B139B11" w14:textId="77777777" w:rsidR="00101D34" w:rsidRDefault="00101D34" w:rsidP="00101D34">
      <w:pPr>
        <w:pStyle w:val="Kop3"/>
        <w:rPr>
          <w:lang w:val="en-US"/>
        </w:rPr>
      </w:pPr>
      <w:bookmarkStart w:id="10" w:name="_Toc48891285"/>
      <w:r w:rsidRPr="00204B22">
        <w:rPr>
          <w:rFonts w:eastAsia="Times New Roman"/>
          <w:color w:val="auto"/>
          <w:u w:val="single"/>
          <w:lang w:val="en-US" w:eastAsia="nl-NL"/>
        </w:rPr>
        <w:t>2.2.1 Allison’s conceptual models: individual rationality</w:t>
      </w:r>
      <w:bookmarkEnd w:id="10"/>
    </w:p>
    <w:p w14:paraId="5A309CF6" w14:textId="00B5DFBB"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One strand of literature on bureaucratic politics emphasizes that irrational behavior of the state in the international arena is the consequence of individual rational behavior of representatives of bureaucratic organizations in decision-making processes. The roots of this train of thought can be traced back to the early 1960s, when mostly scholars from the study group Bureaucracy, Politics and Policy at Harvard started publishing studies on the impact of internal politics on national policy (Jones, 2013). The academic legacy of these studies is summarized by Art (1973, p. 468) as “policy via politics”. Due to political power being distributed over different offices, multiple actors are involved in the decision-making process. These actors, representing diverging views and interests, are all able to impact policy-outcome. As no one has decisive power, representatives negotiate to arrive at a </w:t>
      </w:r>
      <w:r>
        <w:rPr>
          <w:rStyle w:val="contextualspellingandgrammarerror"/>
          <w:rFonts w:ascii="Calibri" w:hAnsi="Calibri" w:cs="Calibri"/>
          <w:sz w:val="22"/>
          <w:szCs w:val="22"/>
          <w:lang w:val="en-US"/>
        </w:rPr>
        <w:t>decisions</w:t>
      </w:r>
      <w:r>
        <w:rPr>
          <w:rStyle w:val="normaltextrun"/>
          <w:rFonts w:ascii="Calibri" w:hAnsi="Calibri" w:cs="Calibri"/>
          <w:sz w:val="22"/>
          <w:szCs w:val="22"/>
          <w:lang w:val="en-US"/>
        </w:rPr>
        <w:t>. The extent to which participants see their interests reflected in policy-outcome depends on both the power provided by their office as well as their personal skill. Following this logic, foreign </w:t>
      </w:r>
      <w:r>
        <w:rPr>
          <w:rStyle w:val="contextualspellingandgrammarerror"/>
          <w:rFonts w:ascii="Calibri" w:hAnsi="Calibri" w:cs="Calibri"/>
          <w:sz w:val="22"/>
          <w:szCs w:val="22"/>
          <w:lang w:val="en-US"/>
        </w:rPr>
        <w:t>policy-making</w:t>
      </w:r>
      <w:r>
        <w:rPr>
          <w:rStyle w:val="normaltextrun"/>
          <w:rFonts w:ascii="Calibri" w:hAnsi="Calibri" w:cs="Calibri"/>
          <w:sz w:val="22"/>
          <w:szCs w:val="22"/>
          <w:lang w:val="en-US"/>
        </w:rPr>
        <w:t> should thus be seen as a search for consensus amongst those with decision-making power.</w:t>
      </w:r>
      <w:r w:rsidRPr="00101D34">
        <w:rPr>
          <w:rStyle w:val="eop"/>
          <w:rFonts w:ascii="Calibri" w:hAnsi="Calibri" w:cs="Calibri"/>
          <w:sz w:val="22"/>
          <w:szCs w:val="22"/>
          <w:lang w:val="en-US"/>
        </w:rPr>
        <w:t> </w:t>
      </w:r>
    </w:p>
    <w:p w14:paraId="160275A4"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7767DA1C" w14:textId="238C038C"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Graham Allison built upon these ideas, responding with his now famous conceptual models of decision-making. Whereas earlier academic efforts were rather descriptive, Allison aimed to offer a more systematic approach to the matter with his seminal work </w:t>
      </w:r>
      <w:r>
        <w:rPr>
          <w:rStyle w:val="normaltextrun"/>
          <w:rFonts w:ascii="Calibri" w:hAnsi="Calibri" w:cs="Calibri"/>
          <w:i/>
          <w:iCs/>
          <w:sz w:val="22"/>
          <w:szCs w:val="22"/>
          <w:lang w:val="en-US"/>
        </w:rPr>
        <w:t>Essence of Decision</w:t>
      </w:r>
      <w:r>
        <w:rPr>
          <w:rStyle w:val="normaltextrun"/>
          <w:rFonts w:ascii="Calibri" w:hAnsi="Calibri" w:cs="Calibri"/>
          <w:sz w:val="22"/>
          <w:szCs w:val="22"/>
          <w:lang w:val="en-US"/>
        </w:rPr>
        <w:t>, in which he analyzed 1962’s Cuban Missile Crisis</w:t>
      </w:r>
      <w:r>
        <w:rPr>
          <w:rStyle w:val="normaltextrun"/>
          <w:rFonts w:ascii="Calibri" w:hAnsi="Calibri" w:cs="Calibri"/>
          <w:i/>
          <w:iCs/>
          <w:sz w:val="22"/>
          <w:szCs w:val="22"/>
          <w:lang w:val="en-US"/>
        </w:rPr>
        <w:t> </w:t>
      </w:r>
      <w:r>
        <w:rPr>
          <w:rStyle w:val="normaltextrun"/>
          <w:rFonts w:ascii="Calibri" w:hAnsi="Calibri" w:cs="Calibri"/>
          <w:sz w:val="22"/>
          <w:szCs w:val="22"/>
          <w:lang w:val="en-US"/>
        </w:rPr>
        <w:t>(</w:t>
      </w:r>
      <w:r w:rsidR="00146BC8">
        <w:rPr>
          <w:rStyle w:val="spellingerror"/>
          <w:rFonts w:ascii="Calibri" w:hAnsi="Calibri" w:cs="Calibri"/>
          <w:sz w:val="22"/>
          <w:szCs w:val="22"/>
          <w:lang w:val="en-US"/>
        </w:rPr>
        <w:t>Allison, 1961; Allison, 1971</w:t>
      </w:r>
      <w:r>
        <w:rPr>
          <w:rStyle w:val="normaltextrun"/>
          <w:rFonts w:ascii="Calibri" w:hAnsi="Calibri" w:cs="Calibri"/>
          <w:sz w:val="22"/>
          <w:szCs w:val="22"/>
          <w:lang w:val="en-US"/>
        </w:rPr>
        <w:t>). Allison’s starting point is the traditional perspective of the state as a rational unitary actor. He captures this in Model I, the rational actor model. Allison argues that this model is overly simplistic and is therefore of limited use in making sense of the situation. He contrasts the rational actor model and its perceived shortcomings to introduce two conceptual models that focus on the impact of domestic actors on the decision-making process: the organizational process model and the bureaucratic politics model.</w:t>
      </w:r>
      <w:r w:rsidRPr="00101D34">
        <w:rPr>
          <w:rStyle w:val="eop"/>
          <w:rFonts w:ascii="Calibri" w:hAnsi="Calibri" w:cs="Calibri"/>
          <w:sz w:val="22"/>
          <w:szCs w:val="22"/>
          <w:lang w:val="en-US"/>
        </w:rPr>
        <w:t> </w:t>
      </w:r>
    </w:p>
    <w:p w14:paraId="66275397" w14:textId="77777777" w:rsidR="00101D34" w:rsidRPr="00101D34" w:rsidRDefault="00101D34" w:rsidP="00101D34">
      <w:pPr>
        <w:pStyle w:val="paragraph"/>
        <w:spacing w:before="0" w:beforeAutospacing="0" w:after="0" w:afterAutospacing="0"/>
        <w:jc w:val="both"/>
        <w:textAlignment w:val="baseline"/>
        <w:rPr>
          <w:rFonts w:ascii="Calibri" w:hAnsi="Calibri" w:cs="Calibri"/>
          <w:sz w:val="22"/>
          <w:szCs w:val="22"/>
          <w:lang w:val="en-US"/>
        </w:rPr>
      </w:pPr>
    </w:p>
    <w:p w14:paraId="0DBEA598" w14:textId="59AD44AD" w:rsidR="00101D34" w:rsidRPr="00204B22" w:rsidRDefault="00101D34" w:rsidP="00101D34">
      <w:pPr>
        <w:pStyle w:val="Kop4"/>
        <w:rPr>
          <w:color w:val="auto"/>
          <w:lang w:val="en-US"/>
        </w:rPr>
      </w:pPr>
      <w:r w:rsidRPr="00204B22">
        <w:rPr>
          <w:color w:val="auto"/>
          <w:lang w:val="en-US"/>
        </w:rPr>
        <w:t xml:space="preserve">The </w:t>
      </w:r>
      <w:r w:rsidR="00440639" w:rsidRPr="00204B22">
        <w:rPr>
          <w:color w:val="auto"/>
          <w:lang w:val="en-US"/>
        </w:rPr>
        <w:t>b</w:t>
      </w:r>
      <w:r w:rsidRPr="00204B22">
        <w:rPr>
          <w:color w:val="auto"/>
          <w:lang w:val="en-US"/>
        </w:rPr>
        <w:t xml:space="preserve">ureaucratic </w:t>
      </w:r>
      <w:r w:rsidR="00440639" w:rsidRPr="00204B22">
        <w:rPr>
          <w:color w:val="auto"/>
          <w:lang w:val="en-US"/>
        </w:rPr>
        <w:t>p</w:t>
      </w:r>
      <w:r w:rsidRPr="00204B22">
        <w:rPr>
          <w:color w:val="auto"/>
          <w:lang w:val="en-US"/>
        </w:rPr>
        <w:t xml:space="preserve">olitics </w:t>
      </w:r>
      <w:r w:rsidR="00440639" w:rsidRPr="00204B22">
        <w:rPr>
          <w:color w:val="auto"/>
          <w:lang w:val="en-US"/>
        </w:rPr>
        <w:t>m</w:t>
      </w:r>
      <w:r w:rsidRPr="00204B22">
        <w:rPr>
          <w:color w:val="auto"/>
          <w:lang w:val="en-US"/>
        </w:rPr>
        <w:t>odel</w:t>
      </w:r>
    </w:p>
    <w:p w14:paraId="65E3749C" w14:textId="3A229734"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 xml:space="preserve">The </w:t>
      </w:r>
      <w:r w:rsidR="00440639">
        <w:rPr>
          <w:rStyle w:val="normaltextrun"/>
          <w:rFonts w:ascii="Calibri" w:hAnsi="Calibri" w:cs="Calibri"/>
          <w:sz w:val="22"/>
          <w:szCs w:val="22"/>
          <w:lang w:val="en-US"/>
        </w:rPr>
        <w:t>b</w:t>
      </w:r>
      <w:r>
        <w:rPr>
          <w:rStyle w:val="normaltextrun"/>
          <w:rFonts w:ascii="Calibri" w:hAnsi="Calibri" w:cs="Calibri"/>
          <w:sz w:val="22"/>
          <w:szCs w:val="22"/>
          <w:lang w:val="en-US"/>
        </w:rPr>
        <w:t xml:space="preserve">ureaucratic </w:t>
      </w:r>
      <w:r w:rsidR="00440639">
        <w:rPr>
          <w:rStyle w:val="normaltextrun"/>
          <w:rFonts w:ascii="Calibri" w:hAnsi="Calibri" w:cs="Calibri"/>
          <w:sz w:val="22"/>
          <w:szCs w:val="22"/>
          <w:lang w:val="en-US"/>
        </w:rPr>
        <w:t>p</w:t>
      </w:r>
      <w:r>
        <w:rPr>
          <w:rStyle w:val="normaltextrun"/>
          <w:rFonts w:ascii="Calibri" w:hAnsi="Calibri" w:cs="Calibri"/>
          <w:sz w:val="22"/>
          <w:szCs w:val="22"/>
          <w:lang w:val="en-US"/>
        </w:rPr>
        <w:t xml:space="preserve">olitics model, Allison’s Model III, has particularly attracted attention over the years. It views foreign policy as the outcome of bargaining among </w:t>
      </w:r>
      <w:r w:rsidR="00AB2143">
        <w:rPr>
          <w:rStyle w:val="normaltextrun"/>
          <w:rFonts w:ascii="Calibri" w:hAnsi="Calibri" w:cs="Calibri"/>
          <w:sz w:val="22"/>
          <w:szCs w:val="22"/>
          <w:lang w:val="en-US"/>
        </w:rPr>
        <w:t xml:space="preserve">representatives of </w:t>
      </w:r>
      <w:r>
        <w:rPr>
          <w:rStyle w:val="normaltextrun"/>
          <w:rFonts w:ascii="Calibri" w:hAnsi="Calibri" w:cs="Calibri"/>
          <w:sz w:val="22"/>
          <w:szCs w:val="22"/>
          <w:lang w:val="en-US"/>
        </w:rPr>
        <w:t xml:space="preserve">governmental organizations with differing, and sometimes conflicting, interests (Allison, 1969; Allison, 1971). Political leaders in cabinet positions are assumed to act in the interest of their own department in negotiations on policy. Similar to the first wave of literature on foreign policy and bureaucracy, the government is thus an arena where different players compete rather than a uniform actor. As no </w:t>
      </w:r>
      <w:r w:rsidR="00CE1514">
        <w:rPr>
          <w:rStyle w:val="normaltextrun"/>
          <w:rFonts w:ascii="Calibri" w:hAnsi="Calibri" w:cs="Calibri"/>
          <w:sz w:val="22"/>
          <w:szCs w:val="22"/>
          <w:lang w:val="en-US"/>
        </w:rPr>
        <w:t>player</w:t>
      </w:r>
      <w:r>
        <w:rPr>
          <w:rStyle w:val="normaltextrun"/>
          <w:rFonts w:ascii="Calibri" w:hAnsi="Calibri" w:cs="Calibri"/>
          <w:sz w:val="22"/>
          <w:szCs w:val="22"/>
          <w:lang w:val="en-US"/>
        </w:rPr>
        <w:t xml:space="preserve"> has absolute power, there is a need for coalition</w:t>
      </w:r>
      <w:r w:rsidR="00F9440D">
        <w:rPr>
          <w:rStyle w:val="normaltextrun"/>
          <w:rFonts w:ascii="Calibri" w:hAnsi="Calibri" w:cs="Calibri"/>
          <w:sz w:val="22"/>
          <w:szCs w:val="22"/>
          <w:lang w:val="en-US"/>
        </w:rPr>
        <w:t>-</w:t>
      </w:r>
      <w:r>
        <w:rPr>
          <w:rStyle w:val="normaltextrun"/>
          <w:rFonts w:ascii="Calibri" w:hAnsi="Calibri" w:cs="Calibri"/>
          <w:sz w:val="22"/>
          <w:szCs w:val="22"/>
          <w:lang w:val="en-US"/>
        </w:rPr>
        <w:t>building and compromising. When these cannot be arrived at, the debate is deadlocked and decision is stalled. Allison diverges from earlier academic work on the bureaucratic impact on foreign policy in his belief that organizational positions are decisive in determining the interests and stance of those involved in the bargaining process of decision-making (Art, 1973). </w:t>
      </w:r>
      <w:r w:rsidRPr="00101D34">
        <w:rPr>
          <w:rStyle w:val="eop"/>
          <w:rFonts w:ascii="Calibri" w:hAnsi="Calibri" w:cs="Calibri"/>
          <w:sz w:val="22"/>
          <w:szCs w:val="22"/>
          <w:lang w:val="en-US"/>
        </w:rPr>
        <w:t> </w:t>
      </w:r>
    </w:p>
    <w:p w14:paraId="61FD6DF2"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526FBE9F" w14:textId="7A4D741E"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Allison’s Model III emphasizes the potential impact that bureaucrats themselves have on foreign policy. Rather than looking at the state as the central actor in foreign policy, the model takes the individual to be the unit of analysis</w:t>
      </w:r>
      <w:r w:rsidR="00707E42">
        <w:rPr>
          <w:rStyle w:val="normaltextrun"/>
          <w:rFonts w:ascii="Calibri" w:hAnsi="Calibri" w:cs="Calibri"/>
          <w:sz w:val="22"/>
          <w:szCs w:val="22"/>
          <w:lang w:val="en-US"/>
        </w:rPr>
        <w:t>. It highlights that bureaucratic</w:t>
      </w:r>
      <w:r>
        <w:rPr>
          <w:rStyle w:val="normaltextrun"/>
          <w:rFonts w:ascii="Calibri" w:hAnsi="Calibri" w:cs="Calibri"/>
          <w:sz w:val="22"/>
          <w:szCs w:val="22"/>
          <w:lang w:val="en-US"/>
        </w:rPr>
        <w:t xml:space="preserve"> officials and deliberative structures condition the outcome and possibilities of decision-making. Officials are assumed to act rationally, trying to maximize their interests during the negotiations (</w:t>
      </w:r>
      <w:r>
        <w:rPr>
          <w:rStyle w:val="spellingerror"/>
          <w:rFonts w:ascii="Calibri" w:hAnsi="Calibri" w:cs="Calibri"/>
          <w:sz w:val="22"/>
          <w:szCs w:val="22"/>
          <w:lang w:val="en-US"/>
        </w:rPr>
        <w:t>Bendor</w:t>
      </w:r>
      <w:r>
        <w:rPr>
          <w:rStyle w:val="normaltextrun"/>
          <w:rFonts w:ascii="Calibri" w:hAnsi="Calibri" w:cs="Calibri"/>
          <w:sz w:val="22"/>
          <w:szCs w:val="22"/>
          <w:lang w:val="en-US"/>
        </w:rPr>
        <w:t> &amp; Hammond, 1992). These interests concern both the national level and the employer organization, as well as personal interests within this organization, such as career advancement. While the behavior of participants is rational at the individual level, the result at the aggregate level is a collective suboptimal outcome.</w:t>
      </w:r>
      <w:r w:rsidRPr="00101D34">
        <w:rPr>
          <w:rStyle w:val="eop"/>
          <w:rFonts w:ascii="Calibri" w:hAnsi="Calibri" w:cs="Calibri"/>
          <w:sz w:val="22"/>
          <w:szCs w:val="22"/>
          <w:lang w:val="en-US"/>
        </w:rPr>
        <w:t> </w:t>
      </w:r>
      <w:r w:rsidR="00AB2143">
        <w:rPr>
          <w:rStyle w:val="eop"/>
          <w:rFonts w:ascii="Calibri" w:hAnsi="Calibri" w:cs="Calibri"/>
          <w:sz w:val="22"/>
          <w:szCs w:val="22"/>
          <w:lang w:val="en-US"/>
        </w:rPr>
        <w:t>Allison’s bureaucratic politics model thus explains non-rational foreign policy as the unintended outcome of negotiations among powerful decision-makers who rationally pursue the interests of their organization.</w:t>
      </w:r>
    </w:p>
    <w:p w14:paraId="23F0AE35" w14:textId="77777777"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p>
    <w:p w14:paraId="6357F5ED" w14:textId="78BF933D" w:rsidR="00101D34" w:rsidRPr="00204B22" w:rsidRDefault="00101D34" w:rsidP="00101D34">
      <w:pPr>
        <w:pStyle w:val="Kop4"/>
        <w:rPr>
          <w:color w:val="auto"/>
          <w:lang w:val="en-US"/>
        </w:rPr>
      </w:pPr>
      <w:r w:rsidRPr="00204B22">
        <w:rPr>
          <w:color w:val="auto"/>
          <w:lang w:val="en-US"/>
        </w:rPr>
        <w:t xml:space="preserve">The </w:t>
      </w:r>
      <w:r w:rsidR="00A60F87" w:rsidRPr="00204B22">
        <w:rPr>
          <w:color w:val="auto"/>
          <w:lang w:val="en-US"/>
        </w:rPr>
        <w:t>o</w:t>
      </w:r>
      <w:r w:rsidRPr="00204B22">
        <w:rPr>
          <w:color w:val="auto"/>
          <w:lang w:val="en-US"/>
        </w:rPr>
        <w:t xml:space="preserve">rganizational </w:t>
      </w:r>
      <w:r w:rsidR="00A60F87" w:rsidRPr="00204B22">
        <w:rPr>
          <w:color w:val="auto"/>
          <w:lang w:val="en-US"/>
        </w:rPr>
        <w:t>p</w:t>
      </w:r>
      <w:r w:rsidRPr="00204B22">
        <w:rPr>
          <w:color w:val="auto"/>
          <w:lang w:val="en-US"/>
        </w:rPr>
        <w:t xml:space="preserve">rocess </w:t>
      </w:r>
      <w:r w:rsidR="00A60F87" w:rsidRPr="00204B22">
        <w:rPr>
          <w:color w:val="auto"/>
          <w:lang w:val="en-US"/>
        </w:rPr>
        <w:t>m</w:t>
      </w:r>
      <w:r w:rsidRPr="00204B22">
        <w:rPr>
          <w:color w:val="auto"/>
          <w:lang w:val="en-US"/>
        </w:rPr>
        <w:t>odel</w:t>
      </w:r>
    </w:p>
    <w:p w14:paraId="40827AA9" w14:textId="437498C4" w:rsidR="00101D34" w:rsidRDefault="00D56510"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Allison’s</w:t>
      </w:r>
      <w:r w:rsidR="008E27EB">
        <w:rPr>
          <w:rStyle w:val="normaltextrun"/>
          <w:rFonts w:ascii="Calibri" w:hAnsi="Calibri" w:cs="Calibri"/>
          <w:sz w:val="22"/>
          <w:szCs w:val="22"/>
          <w:lang w:val="en-US"/>
        </w:rPr>
        <w:t xml:space="preserve"> (1969; 1971)</w:t>
      </w:r>
      <w:r w:rsidR="00AB2143">
        <w:rPr>
          <w:rStyle w:val="normaltextrun"/>
          <w:rFonts w:ascii="Calibri" w:hAnsi="Calibri" w:cs="Calibri"/>
          <w:sz w:val="22"/>
          <w:szCs w:val="22"/>
          <w:lang w:val="en-US"/>
        </w:rPr>
        <w:t xml:space="preserve"> second alternative to the rational actor</w:t>
      </w:r>
      <w:r>
        <w:rPr>
          <w:rStyle w:val="normaltextrun"/>
          <w:rFonts w:ascii="Calibri" w:hAnsi="Calibri" w:cs="Calibri"/>
          <w:sz w:val="22"/>
          <w:szCs w:val="22"/>
          <w:lang w:val="en-US"/>
        </w:rPr>
        <w:t xml:space="preserve"> model is</w:t>
      </w:r>
      <w:r w:rsidR="00AB2143">
        <w:rPr>
          <w:rStyle w:val="normaltextrun"/>
          <w:rFonts w:ascii="Calibri" w:hAnsi="Calibri" w:cs="Calibri"/>
          <w:sz w:val="22"/>
          <w:szCs w:val="22"/>
          <w:lang w:val="en-US"/>
        </w:rPr>
        <w:t xml:space="preserve"> the </w:t>
      </w:r>
      <w:r w:rsidR="00101D34">
        <w:rPr>
          <w:rStyle w:val="normaltextrun"/>
          <w:rFonts w:ascii="Calibri" w:hAnsi="Calibri" w:cs="Calibri"/>
          <w:sz w:val="22"/>
          <w:szCs w:val="22"/>
          <w:lang w:val="en-US"/>
        </w:rPr>
        <w:t>organizational process mod</w:t>
      </w:r>
      <w:r w:rsidR="00707E42">
        <w:rPr>
          <w:rStyle w:val="normaltextrun"/>
          <w:rFonts w:ascii="Calibri" w:hAnsi="Calibri" w:cs="Calibri"/>
          <w:sz w:val="22"/>
          <w:szCs w:val="22"/>
          <w:lang w:val="en-US"/>
        </w:rPr>
        <w:t>el</w:t>
      </w:r>
      <w:r w:rsidR="00101D34">
        <w:rPr>
          <w:rStyle w:val="normaltextrun"/>
          <w:rFonts w:ascii="Calibri" w:hAnsi="Calibri" w:cs="Calibri"/>
          <w:sz w:val="22"/>
          <w:szCs w:val="22"/>
          <w:lang w:val="en-US"/>
        </w:rPr>
        <w:t xml:space="preserve">. According to this model, governments consist of different organizations with different scopes and competences. Allison assumes that bureaucratic organizations will set out to develop standard operating procedures </w:t>
      </w:r>
      <w:r w:rsidR="00000D7A">
        <w:rPr>
          <w:rStyle w:val="normaltextrun"/>
          <w:rFonts w:ascii="Calibri" w:hAnsi="Calibri" w:cs="Calibri"/>
          <w:sz w:val="22"/>
          <w:szCs w:val="22"/>
          <w:lang w:val="en-US"/>
        </w:rPr>
        <w:t>[</w:t>
      </w:r>
      <w:r w:rsidR="00101D34">
        <w:rPr>
          <w:rStyle w:val="normaltextrun"/>
          <w:rFonts w:ascii="Calibri" w:hAnsi="Calibri" w:cs="Calibri"/>
          <w:sz w:val="22"/>
          <w:szCs w:val="22"/>
          <w:lang w:val="en-US"/>
        </w:rPr>
        <w:t>SOPs</w:t>
      </w:r>
      <w:r w:rsidR="00000D7A">
        <w:rPr>
          <w:rStyle w:val="normaltextrun"/>
          <w:rFonts w:ascii="Calibri" w:hAnsi="Calibri" w:cs="Calibri"/>
          <w:sz w:val="22"/>
          <w:szCs w:val="22"/>
          <w:lang w:val="en-US"/>
        </w:rPr>
        <w:t>]</w:t>
      </w:r>
      <w:r w:rsidR="00101D34">
        <w:rPr>
          <w:rStyle w:val="normaltextrun"/>
          <w:rFonts w:ascii="Calibri" w:hAnsi="Calibri" w:cs="Calibri"/>
          <w:sz w:val="22"/>
          <w:szCs w:val="22"/>
          <w:lang w:val="en-US"/>
        </w:rPr>
        <w:t xml:space="preserve"> to perform their complex formally assigned tasks in a competitive environment. Each organization thus develops </w:t>
      </w:r>
      <w:r w:rsidR="00707E42">
        <w:rPr>
          <w:rStyle w:val="normaltextrun"/>
          <w:rFonts w:ascii="Calibri" w:hAnsi="Calibri" w:cs="Calibri"/>
          <w:sz w:val="22"/>
          <w:szCs w:val="22"/>
          <w:lang w:val="en-US"/>
        </w:rPr>
        <w:t>its</w:t>
      </w:r>
      <w:r w:rsidR="00101D34">
        <w:rPr>
          <w:rStyle w:val="normaltextrun"/>
          <w:rFonts w:ascii="Calibri" w:hAnsi="Calibri" w:cs="Calibri"/>
          <w:sz w:val="22"/>
          <w:szCs w:val="22"/>
          <w:lang w:val="en-US"/>
        </w:rPr>
        <w:t xml:space="preserve"> own rules and approaches to efficiently tackle the challenges they are presented with. Foreign policy is assumed to be the product of the standard operating procedures adopted by the organizations who possess authority and power resources concerning the topic. Standard operating procedures structure the way in which information is gathered, which alternatives are proposed and how decisions are made. </w:t>
      </w:r>
      <w:r w:rsidR="00101D34">
        <w:rPr>
          <w:rStyle w:val="advancedproofingissue"/>
          <w:rFonts w:ascii="Calibri" w:hAnsi="Calibri" w:cs="Calibri"/>
          <w:sz w:val="22"/>
          <w:szCs w:val="22"/>
          <w:lang w:val="en-US"/>
        </w:rPr>
        <w:t>As a consequence</w:t>
      </w:r>
      <w:r w:rsidR="00101D34">
        <w:rPr>
          <w:rStyle w:val="normaltextrun"/>
          <w:rFonts w:ascii="Calibri" w:hAnsi="Calibri" w:cs="Calibri"/>
          <w:sz w:val="22"/>
          <w:szCs w:val="22"/>
          <w:lang w:val="en-US"/>
        </w:rPr>
        <w:t xml:space="preserve">, foreign policy is not so much a conscious decision made by government executives as it is the output of set paths of action. Foreign policy can therefore not be studied as the behavior of a rational unitary government, it is rather the outcome of standard </w:t>
      </w:r>
      <w:r w:rsidR="00AB2143">
        <w:rPr>
          <w:rStyle w:val="normaltextrun"/>
          <w:rFonts w:ascii="Calibri" w:hAnsi="Calibri" w:cs="Calibri"/>
          <w:sz w:val="22"/>
          <w:szCs w:val="22"/>
          <w:lang w:val="en-US"/>
        </w:rPr>
        <w:t xml:space="preserve">organizational </w:t>
      </w:r>
      <w:r w:rsidR="00101D34">
        <w:rPr>
          <w:rStyle w:val="normaltextrun"/>
          <w:rFonts w:ascii="Calibri" w:hAnsi="Calibri" w:cs="Calibri"/>
          <w:sz w:val="22"/>
          <w:szCs w:val="22"/>
          <w:lang w:val="en-US"/>
        </w:rPr>
        <w:t>procedures that prescribe certain actions. The organization thus becomes the central unit of analysis.</w:t>
      </w:r>
      <w:r w:rsidR="00101D34" w:rsidRPr="00101D34">
        <w:rPr>
          <w:rStyle w:val="eop"/>
          <w:rFonts w:ascii="Calibri" w:hAnsi="Calibri" w:cs="Calibri"/>
          <w:sz w:val="22"/>
          <w:szCs w:val="22"/>
          <w:lang w:val="en-US"/>
        </w:rPr>
        <w:t> </w:t>
      </w:r>
    </w:p>
    <w:p w14:paraId="68A87F02"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231D52DC" w14:textId="3E29E26F"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Allison believes that these procedures limit the alternatives considered by policy-makers (</w:t>
      </w:r>
      <w:r>
        <w:rPr>
          <w:rStyle w:val="spellingerror"/>
          <w:rFonts w:ascii="Calibri" w:hAnsi="Calibri" w:cs="Calibri"/>
          <w:sz w:val="22"/>
          <w:szCs w:val="22"/>
          <w:lang w:val="en-US"/>
        </w:rPr>
        <w:t>Bendor</w:t>
      </w:r>
      <w:r>
        <w:rPr>
          <w:rStyle w:val="normaltextrun"/>
          <w:rFonts w:ascii="Calibri" w:hAnsi="Calibri" w:cs="Calibri"/>
          <w:sz w:val="22"/>
          <w:szCs w:val="22"/>
          <w:lang w:val="en-US"/>
        </w:rPr>
        <w:t> &amp; Hammond, 1992). The standard operating procedures make the behavior of institutions predictable, but potentially lead to over-simplistic solutions. Model II assumes that the rationality of actors involved in decision-making is bound: the information available to them is incomplete, and organizational pre-text causes narrow-m</w:t>
      </w:r>
      <w:r w:rsidR="00707E42">
        <w:rPr>
          <w:rStyle w:val="normaltextrun"/>
          <w:rFonts w:ascii="Calibri" w:hAnsi="Calibri" w:cs="Calibri"/>
          <w:sz w:val="22"/>
          <w:szCs w:val="22"/>
          <w:lang w:val="en-US"/>
        </w:rPr>
        <w:t>indedness (Allison, 1969</w:t>
      </w:r>
      <w:r>
        <w:rPr>
          <w:rStyle w:val="normaltextrun"/>
          <w:rFonts w:ascii="Calibri" w:hAnsi="Calibri" w:cs="Calibri"/>
          <w:sz w:val="22"/>
          <w:szCs w:val="22"/>
          <w:lang w:val="en-US"/>
        </w:rPr>
        <w:t>). Those working for the organizations share certain perceptions, and are sha</w:t>
      </w:r>
      <w:r w:rsidR="00C91BF1">
        <w:rPr>
          <w:rStyle w:val="normaltextrun"/>
          <w:rFonts w:ascii="Calibri" w:hAnsi="Calibri" w:cs="Calibri"/>
          <w:sz w:val="22"/>
          <w:szCs w:val="22"/>
          <w:lang w:val="en-US"/>
        </w:rPr>
        <w:t>ped by</w:t>
      </w:r>
      <w:r>
        <w:rPr>
          <w:rStyle w:val="normaltextrun"/>
          <w:rFonts w:ascii="Calibri" w:hAnsi="Calibri" w:cs="Calibri"/>
          <w:sz w:val="22"/>
          <w:szCs w:val="22"/>
          <w:lang w:val="en-US"/>
        </w:rPr>
        <w:t xml:space="preserve"> the competitive hierarchical system of their organization. Model II is particularly concerned with how the considered options are influenced by organizational rules and habits, not as much with the actual decision itself (Welch, 1992). </w:t>
      </w:r>
      <w:r w:rsidRPr="00101D34">
        <w:rPr>
          <w:rStyle w:val="eop"/>
          <w:rFonts w:ascii="Calibri" w:hAnsi="Calibri" w:cs="Calibri"/>
          <w:sz w:val="22"/>
          <w:szCs w:val="22"/>
          <w:lang w:val="en-US"/>
        </w:rPr>
        <w:t> </w:t>
      </w:r>
      <w:r w:rsidR="00AB2143" w:rsidRPr="0075264C">
        <w:rPr>
          <w:rStyle w:val="eop"/>
          <w:rFonts w:ascii="Calibri" w:hAnsi="Calibri" w:cs="Calibri"/>
          <w:sz w:val="22"/>
          <w:szCs w:val="22"/>
          <w:lang w:val="en-US"/>
        </w:rPr>
        <w:t xml:space="preserve">Model II thus explains non-rational policy as the </w:t>
      </w:r>
      <w:r w:rsidR="0075264C" w:rsidRPr="0075264C">
        <w:rPr>
          <w:rStyle w:val="eop"/>
          <w:rFonts w:ascii="Calibri" w:hAnsi="Calibri" w:cs="Calibri"/>
          <w:sz w:val="22"/>
          <w:szCs w:val="22"/>
          <w:lang w:val="en-US"/>
        </w:rPr>
        <w:t>result of organizational procedures that pr</w:t>
      </w:r>
      <w:r w:rsidR="007729E6">
        <w:rPr>
          <w:rStyle w:val="eop"/>
          <w:rFonts w:ascii="Calibri" w:hAnsi="Calibri" w:cs="Calibri"/>
          <w:sz w:val="22"/>
          <w:szCs w:val="22"/>
          <w:lang w:val="en-US"/>
        </w:rPr>
        <w:t>e</w:t>
      </w:r>
      <w:r w:rsidR="0075264C" w:rsidRPr="0075264C">
        <w:rPr>
          <w:rStyle w:val="eop"/>
          <w:rFonts w:ascii="Calibri" w:hAnsi="Calibri" w:cs="Calibri"/>
          <w:sz w:val="22"/>
          <w:szCs w:val="22"/>
          <w:lang w:val="en-US"/>
        </w:rPr>
        <w:t xml:space="preserve">scribe certain </w:t>
      </w:r>
      <w:r w:rsidR="0075264C">
        <w:rPr>
          <w:rStyle w:val="eop"/>
          <w:rFonts w:ascii="Calibri" w:hAnsi="Calibri" w:cs="Calibri"/>
          <w:sz w:val="22"/>
          <w:szCs w:val="22"/>
          <w:lang w:val="en-US"/>
        </w:rPr>
        <w:t>paths of action</w:t>
      </w:r>
      <w:r w:rsidR="0075264C" w:rsidRPr="0075264C">
        <w:rPr>
          <w:rStyle w:val="eop"/>
          <w:rFonts w:ascii="Calibri" w:hAnsi="Calibri" w:cs="Calibri"/>
          <w:sz w:val="22"/>
          <w:szCs w:val="22"/>
          <w:lang w:val="en-US"/>
        </w:rPr>
        <w:t>, even when these are not rational in the pursuit of established objectives.</w:t>
      </w:r>
    </w:p>
    <w:p w14:paraId="37008150"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296DA72A" w14:textId="1C6A6525"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Because of the special attention paid to perceptions in the model, one could say it contains elements of constructivism </w:t>
      </w:r>
      <w:r>
        <w:rPr>
          <w:rStyle w:val="spellingerror"/>
          <w:rFonts w:ascii="Calibri" w:hAnsi="Calibri" w:cs="Calibri"/>
          <w:i/>
          <w:iCs/>
          <w:sz w:val="22"/>
          <w:szCs w:val="22"/>
          <w:lang w:val="en-US"/>
        </w:rPr>
        <w:t>avant</w:t>
      </w:r>
      <w:r>
        <w:rPr>
          <w:rStyle w:val="normaltextrun"/>
          <w:rFonts w:ascii="Calibri" w:hAnsi="Calibri" w:cs="Calibri"/>
          <w:i/>
          <w:iCs/>
          <w:sz w:val="22"/>
          <w:szCs w:val="22"/>
          <w:lang w:val="en-US"/>
        </w:rPr>
        <w:t>-la-</w:t>
      </w:r>
      <w:r>
        <w:rPr>
          <w:rStyle w:val="spellingerror"/>
          <w:rFonts w:ascii="Calibri" w:hAnsi="Calibri" w:cs="Calibri"/>
          <w:i/>
          <w:iCs/>
          <w:sz w:val="22"/>
          <w:szCs w:val="22"/>
          <w:lang w:val="en-US"/>
        </w:rPr>
        <w:t>lettre</w:t>
      </w:r>
      <w:r>
        <w:rPr>
          <w:rStyle w:val="normaltextrun"/>
          <w:rFonts w:ascii="Calibri" w:hAnsi="Calibri" w:cs="Calibri"/>
          <w:sz w:val="22"/>
          <w:szCs w:val="22"/>
          <w:lang w:val="en-US"/>
        </w:rPr>
        <w:t>. In his 1999 rendition of </w:t>
      </w:r>
      <w:r>
        <w:rPr>
          <w:rStyle w:val="normaltextrun"/>
          <w:rFonts w:ascii="Calibri" w:hAnsi="Calibri" w:cs="Calibri"/>
          <w:i/>
          <w:iCs/>
          <w:sz w:val="22"/>
          <w:szCs w:val="22"/>
          <w:lang w:val="en-US"/>
        </w:rPr>
        <w:t>Essence of Decision,</w:t>
      </w:r>
      <w:r>
        <w:rPr>
          <w:rStyle w:val="normaltextrun"/>
          <w:rFonts w:ascii="Calibri" w:hAnsi="Calibri" w:cs="Calibri"/>
          <w:sz w:val="22"/>
          <w:szCs w:val="22"/>
          <w:lang w:val="en-US"/>
        </w:rPr>
        <w:t> Allison distinguishes an efficiency paradigm and a culture paradigm regarding the organizational process model</w:t>
      </w:r>
      <w:r w:rsidR="004F356D">
        <w:rPr>
          <w:rStyle w:val="normaltextrun"/>
          <w:rFonts w:ascii="Calibri" w:hAnsi="Calibri" w:cs="Calibri"/>
          <w:sz w:val="22"/>
          <w:szCs w:val="22"/>
          <w:lang w:val="en-US"/>
        </w:rPr>
        <w:t xml:space="preserve"> (Allison &amp; Zwlokiw, 1999)</w:t>
      </w:r>
      <w:r>
        <w:rPr>
          <w:rStyle w:val="normaltextrun"/>
          <w:rFonts w:ascii="Calibri" w:hAnsi="Calibri" w:cs="Calibri"/>
          <w:sz w:val="22"/>
          <w:szCs w:val="22"/>
          <w:lang w:val="en-US"/>
        </w:rPr>
        <w:t>. The latter pays special attention to the impact of organizational culture, arguing that the beliefs members hold regarding their organization are reflected in rules and passed on</w:t>
      </w:r>
      <w:r w:rsidR="002B72DB">
        <w:rPr>
          <w:rStyle w:val="normaltextrun"/>
          <w:rFonts w:ascii="Calibri" w:hAnsi="Calibri" w:cs="Calibri"/>
          <w:sz w:val="22"/>
          <w:szCs w:val="22"/>
          <w:lang w:val="en-US"/>
        </w:rPr>
        <w:t xml:space="preserve"> </w:t>
      </w:r>
      <w:r>
        <w:rPr>
          <w:rStyle w:val="normaltextrun"/>
          <w:rFonts w:ascii="Calibri" w:hAnsi="Calibri" w:cs="Calibri"/>
          <w:sz w:val="22"/>
          <w:szCs w:val="22"/>
          <w:lang w:val="en-US"/>
        </w:rPr>
        <w:t>to newcomers. Those who work for the organization share ideas on what its mission and capabilities should be. The decision for policy-alternatives is made based on internal rules and habits. Policy is</w:t>
      </w:r>
      <w:r w:rsidR="00707E42">
        <w:rPr>
          <w:rStyle w:val="normaltextrun"/>
          <w:rFonts w:ascii="Calibri" w:hAnsi="Calibri" w:cs="Calibri"/>
          <w:sz w:val="22"/>
          <w:szCs w:val="22"/>
          <w:lang w:val="en-US"/>
        </w:rPr>
        <w:t xml:space="preserve"> thus</w:t>
      </w:r>
      <w:r>
        <w:rPr>
          <w:rStyle w:val="normaltextrun"/>
          <w:rFonts w:ascii="Calibri" w:hAnsi="Calibri" w:cs="Calibri"/>
          <w:sz w:val="22"/>
          <w:szCs w:val="22"/>
          <w:lang w:val="en-US"/>
        </w:rPr>
        <w:t xml:space="preserve"> chosen based on a logic of appropriateness: it is selected because it is deemed appropriate by members of an organization and their evaluation of the situation based on previous experiences and existing procedures (March &amp; Olsen, 2008). Because of this, decision-making is rooted in the organization’s culture and the self-identification of employees within it. </w:t>
      </w:r>
      <w:r w:rsidRPr="00101D34">
        <w:rPr>
          <w:rStyle w:val="eop"/>
          <w:rFonts w:ascii="Calibri" w:hAnsi="Calibri" w:cs="Calibri"/>
          <w:sz w:val="22"/>
          <w:szCs w:val="22"/>
          <w:lang w:val="en-US"/>
        </w:rPr>
        <w:t> </w:t>
      </w:r>
    </w:p>
    <w:p w14:paraId="6EB2CC93"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5C5F06D5" w14:textId="49111B50"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Although Allison seems to recognize the role of individuals in maintaining and reproducing the organizational culture, the central unit of analysis of the organizational process model is still the overarching organization. It also assumes that organizational culture is widely shared within large organizations, producing similar goals for all individual members. Conflicting interests, for example among departments within the organizations or among colleagues, are not considered. Additionally, Allison believes that that organizational culture is mostly reflective of non-ideational conceptions concerning the technical mission and capabilities of the organization. According to Allison</w:t>
      </w:r>
      <w:r w:rsidR="0071709C">
        <w:rPr>
          <w:rStyle w:val="normaltextrun"/>
          <w:rFonts w:ascii="Calibri" w:hAnsi="Calibri" w:cs="Calibri"/>
          <w:sz w:val="22"/>
          <w:szCs w:val="22"/>
          <w:lang w:val="en-US"/>
        </w:rPr>
        <w:t>,</w:t>
      </w:r>
      <w:r w:rsidR="00402AD6">
        <w:rPr>
          <w:rStyle w:val="normaltextrun"/>
          <w:rFonts w:ascii="Calibri" w:hAnsi="Calibri" w:cs="Calibri"/>
          <w:sz w:val="22"/>
          <w:szCs w:val="22"/>
          <w:lang w:val="en-US"/>
        </w:rPr>
        <w:t xml:space="preserve"> </w:t>
      </w:r>
      <w:r>
        <w:rPr>
          <w:rStyle w:val="normaltextrun"/>
          <w:rFonts w:ascii="Calibri" w:hAnsi="Calibri" w:cs="Calibri"/>
          <w:sz w:val="22"/>
          <w:szCs w:val="22"/>
          <w:lang w:val="en-US"/>
        </w:rPr>
        <w:t>officials act upon their conception of what the “organizational essence” should be</w:t>
      </w:r>
      <w:r w:rsidR="0071709C">
        <w:rPr>
          <w:rStyle w:val="normaltextrun"/>
          <w:rFonts w:ascii="Calibri" w:hAnsi="Calibri" w:cs="Calibri"/>
          <w:sz w:val="22"/>
          <w:szCs w:val="22"/>
          <w:lang w:val="en-US"/>
        </w:rPr>
        <w:t xml:space="preserve"> (Allison &amp; Zelikow, 1999, p. 167)</w:t>
      </w:r>
      <w:r>
        <w:rPr>
          <w:rStyle w:val="normaltextrun"/>
          <w:rFonts w:ascii="Calibri" w:hAnsi="Calibri" w:cs="Calibri"/>
          <w:sz w:val="22"/>
          <w:szCs w:val="22"/>
          <w:lang w:val="en-US"/>
        </w:rPr>
        <w:t>. </w:t>
      </w:r>
      <w:r w:rsidRPr="00101D34">
        <w:rPr>
          <w:rStyle w:val="eop"/>
          <w:rFonts w:ascii="Calibri" w:hAnsi="Calibri" w:cs="Calibri"/>
          <w:sz w:val="22"/>
          <w:szCs w:val="22"/>
          <w:lang w:val="en-US"/>
        </w:rPr>
        <w:t> </w:t>
      </w:r>
    </w:p>
    <w:p w14:paraId="4495F4B7" w14:textId="77777777"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p>
    <w:p w14:paraId="47D9FA6E" w14:textId="77777777" w:rsidR="00101D34" w:rsidRPr="00204B22" w:rsidRDefault="00101D34" w:rsidP="00101D34">
      <w:pPr>
        <w:pStyle w:val="Kop4"/>
        <w:rPr>
          <w:color w:val="auto"/>
          <w:lang w:val="en-US"/>
        </w:rPr>
      </w:pPr>
      <w:r w:rsidRPr="00204B22">
        <w:rPr>
          <w:color w:val="auto"/>
          <w:lang w:val="en-US"/>
        </w:rPr>
        <w:t>Critique on Allison’s models</w:t>
      </w:r>
    </w:p>
    <w:p w14:paraId="106921A9" w14:textId="09BA9CE5"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Allison’s conceptual models have become a textbook staple. Yet already in the 1970s, the models were met with considerable scholarly criticism. The nature of this critique greatly varies. Firstly, there is critique based on the empirical accounts Allison puts forward. Some scholars focus on Allison’s case study on the Cuban missile crisis, arguing that the evidence he presents is unconvincing or incorrect (e.g. Ball, 1974; Caldwell, 1978). Similarly, some scholars disagree with Allison’s portrayal of the American political system (e.g. Art, 1973; Krasner, 1972). Secondly, Allison has been criticized from a normative perspective for divorcing political leaders from the responsibility of policy-outcome (</w:t>
      </w:r>
      <w:r w:rsidR="00402AD6">
        <w:rPr>
          <w:rStyle w:val="normaltextrun"/>
          <w:rFonts w:ascii="Calibri" w:hAnsi="Calibri" w:cs="Calibri"/>
          <w:sz w:val="22"/>
          <w:szCs w:val="22"/>
          <w:lang w:val="en-US"/>
        </w:rPr>
        <w:t xml:space="preserve">e.g. </w:t>
      </w:r>
      <w:r>
        <w:rPr>
          <w:rStyle w:val="normaltextrun"/>
          <w:rFonts w:ascii="Calibri" w:hAnsi="Calibri" w:cs="Calibri"/>
          <w:sz w:val="22"/>
          <w:szCs w:val="22"/>
          <w:lang w:val="en-US"/>
        </w:rPr>
        <w:t>Steel, 1972).  Thirdly, scholars have voiced their critique on epistemological and methodological aspects of the model (e.g. </w:t>
      </w:r>
      <w:r>
        <w:rPr>
          <w:rStyle w:val="spellingerror"/>
          <w:rFonts w:ascii="Calibri" w:hAnsi="Calibri" w:cs="Calibri"/>
          <w:sz w:val="22"/>
          <w:szCs w:val="22"/>
          <w:lang w:val="en-US"/>
        </w:rPr>
        <w:t>Bendor</w:t>
      </w:r>
      <w:r>
        <w:rPr>
          <w:rStyle w:val="normaltextrun"/>
          <w:rFonts w:ascii="Calibri" w:hAnsi="Calibri" w:cs="Calibri"/>
          <w:sz w:val="22"/>
          <w:szCs w:val="22"/>
          <w:lang w:val="en-US"/>
        </w:rPr>
        <w:t> &amp; Hammond, 1992; Smith</w:t>
      </w:r>
      <w:r w:rsidR="00402AD6">
        <w:rPr>
          <w:rStyle w:val="normaltextrun"/>
          <w:rFonts w:ascii="Calibri" w:hAnsi="Calibri" w:cs="Calibri"/>
          <w:sz w:val="22"/>
          <w:szCs w:val="22"/>
          <w:lang w:val="en-US"/>
        </w:rPr>
        <w:t>, 1980</w:t>
      </w:r>
      <w:r>
        <w:rPr>
          <w:rStyle w:val="normaltextrun"/>
          <w:rFonts w:ascii="Calibri" w:hAnsi="Calibri" w:cs="Calibri"/>
          <w:sz w:val="22"/>
          <w:szCs w:val="22"/>
          <w:lang w:val="en-US"/>
        </w:rPr>
        <w:t>; Welch, 1992). Given the scope of this research, it is particularly the latter type of critique that is of interest here.</w:t>
      </w:r>
      <w:r w:rsidRPr="00101D34">
        <w:rPr>
          <w:rStyle w:val="eop"/>
          <w:rFonts w:ascii="Calibri" w:hAnsi="Calibri" w:cs="Calibri"/>
          <w:sz w:val="22"/>
          <w:szCs w:val="22"/>
          <w:lang w:val="en-US"/>
        </w:rPr>
        <w:t> </w:t>
      </w:r>
    </w:p>
    <w:p w14:paraId="2C3CFFC0"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3B2C3ACC" w14:textId="261B9C3A" w:rsidR="00101D34" w:rsidRDefault="005C4CC9"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Firstly,</w:t>
      </w:r>
      <w:r w:rsidR="00101D34">
        <w:rPr>
          <w:rStyle w:val="normaltextrun"/>
          <w:rFonts w:ascii="Calibri" w:hAnsi="Calibri" w:cs="Calibri"/>
          <w:sz w:val="22"/>
          <w:szCs w:val="22"/>
          <w:lang w:val="en-US"/>
        </w:rPr>
        <w:t xml:space="preserve"> Allison is accused of too quickly discarding the rational actor approach. Allison starts with outlining the rational actor model, subsequently contrasting his models on the domestic impact on foreign policy with the traditional perspective of the interest-maximizing unitary state. Models II and III are presented to be an improvement on the rational actor model. However, Allison’s critics feel that he does not do the literature on rational choice and game theory justice (</w:t>
      </w:r>
      <w:r w:rsidR="00101D34">
        <w:rPr>
          <w:rStyle w:val="spellingerror"/>
          <w:rFonts w:ascii="Calibri" w:hAnsi="Calibri" w:cs="Calibri"/>
          <w:sz w:val="22"/>
          <w:szCs w:val="22"/>
          <w:lang w:val="en-US"/>
        </w:rPr>
        <w:t>Bendor</w:t>
      </w:r>
      <w:r w:rsidR="00101D34">
        <w:rPr>
          <w:rStyle w:val="normaltextrun"/>
          <w:rFonts w:ascii="Calibri" w:hAnsi="Calibri" w:cs="Calibri"/>
          <w:sz w:val="22"/>
          <w:szCs w:val="22"/>
          <w:lang w:val="en-US"/>
        </w:rPr>
        <w:t> </w:t>
      </w:r>
      <w:r w:rsidR="00402AD6">
        <w:rPr>
          <w:rStyle w:val="normaltextrun"/>
          <w:rFonts w:ascii="Calibri" w:hAnsi="Calibri" w:cs="Calibri"/>
          <w:sz w:val="22"/>
          <w:szCs w:val="22"/>
          <w:lang w:val="en-US"/>
        </w:rPr>
        <w:t>&amp; Hammond, 1992; Freedman, 1976;</w:t>
      </w:r>
      <w:r w:rsidR="00101D34">
        <w:rPr>
          <w:rStyle w:val="normaltextrun"/>
          <w:rFonts w:ascii="Calibri" w:hAnsi="Calibri" w:cs="Calibri"/>
          <w:sz w:val="22"/>
          <w:szCs w:val="22"/>
          <w:lang w:val="en-US"/>
        </w:rPr>
        <w:t> </w:t>
      </w:r>
      <w:r w:rsidR="00101D34">
        <w:rPr>
          <w:rStyle w:val="spellingerror"/>
          <w:rFonts w:ascii="Calibri" w:hAnsi="Calibri" w:cs="Calibri"/>
          <w:sz w:val="22"/>
          <w:szCs w:val="22"/>
          <w:lang w:val="en-US"/>
        </w:rPr>
        <w:t>Holsti</w:t>
      </w:r>
      <w:r w:rsidR="00402AD6">
        <w:rPr>
          <w:rStyle w:val="normaltextrun"/>
          <w:rFonts w:ascii="Calibri" w:hAnsi="Calibri" w:cs="Calibri"/>
          <w:sz w:val="22"/>
          <w:szCs w:val="22"/>
          <w:lang w:val="en-US"/>
        </w:rPr>
        <w:t>, 1972;</w:t>
      </w:r>
      <w:r w:rsidR="00101D34">
        <w:rPr>
          <w:rStyle w:val="normaltextrun"/>
          <w:rFonts w:ascii="Calibri" w:hAnsi="Calibri" w:cs="Calibri"/>
          <w:sz w:val="22"/>
          <w:szCs w:val="22"/>
          <w:lang w:val="en-US"/>
        </w:rPr>
        <w:t xml:space="preserve"> Smith</w:t>
      </w:r>
      <w:r w:rsidR="00402AD6">
        <w:rPr>
          <w:rStyle w:val="normaltextrun"/>
          <w:rFonts w:ascii="Calibri" w:hAnsi="Calibri" w:cs="Calibri"/>
          <w:sz w:val="22"/>
          <w:szCs w:val="22"/>
          <w:lang w:val="en-US"/>
        </w:rPr>
        <w:t>,</w:t>
      </w:r>
      <w:r w:rsidR="00101D34">
        <w:rPr>
          <w:rStyle w:val="normaltextrun"/>
          <w:rFonts w:ascii="Calibri" w:hAnsi="Calibri" w:cs="Calibri"/>
          <w:sz w:val="22"/>
          <w:szCs w:val="22"/>
          <w:lang w:val="en-US"/>
        </w:rPr>
        <w:t xml:space="preserve"> 1980).  He is accused of creating somewhat of a ‘strawman’. Notably, the realist notions of strategic interaction between states and the uncertainty about other states’ capabilities and actions are disregarded in Allison’s representation of the perfect rationality of states in Model I.</w:t>
      </w:r>
      <w:r w:rsidR="00101D34" w:rsidRPr="00101D34">
        <w:rPr>
          <w:rStyle w:val="eop"/>
          <w:rFonts w:ascii="Calibri" w:hAnsi="Calibri" w:cs="Calibri"/>
          <w:sz w:val="22"/>
          <w:szCs w:val="22"/>
          <w:lang w:val="en-US"/>
        </w:rPr>
        <w:t> </w:t>
      </w:r>
    </w:p>
    <w:p w14:paraId="2AD879FB"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4DCC4BCE" w14:textId="55A0D4DE"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Secondly, the supposedly superior conceptual models Allison proposed have been met with considerable critique as well.  From a methodological perspective, the distinction between Models II and III remain rather unclear (</w:t>
      </w:r>
      <w:r>
        <w:rPr>
          <w:rStyle w:val="spellingerror"/>
          <w:rFonts w:ascii="Calibri" w:hAnsi="Calibri" w:cs="Calibri"/>
          <w:sz w:val="22"/>
          <w:szCs w:val="22"/>
          <w:lang w:val="en-US"/>
        </w:rPr>
        <w:t>Bendor</w:t>
      </w:r>
      <w:r>
        <w:rPr>
          <w:rStyle w:val="normaltextrun"/>
          <w:rFonts w:ascii="Calibri" w:hAnsi="Calibri" w:cs="Calibri"/>
          <w:sz w:val="22"/>
          <w:szCs w:val="22"/>
          <w:lang w:val="en-US"/>
        </w:rPr>
        <w:t> &amp; Hammond, 1992; Smith 1980). They share similar qualities and are not mutually exclusive. According to </w:t>
      </w:r>
      <w:r>
        <w:rPr>
          <w:rStyle w:val="spellingerror"/>
          <w:rFonts w:ascii="Calibri" w:hAnsi="Calibri" w:cs="Calibri"/>
          <w:sz w:val="22"/>
          <w:szCs w:val="22"/>
          <w:lang w:val="en-US"/>
        </w:rPr>
        <w:t>Bendor</w:t>
      </w:r>
      <w:r>
        <w:rPr>
          <w:rStyle w:val="normaltextrun"/>
          <w:rFonts w:ascii="Calibri" w:hAnsi="Calibri" w:cs="Calibri"/>
          <w:sz w:val="22"/>
          <w:szCs w:val="22"/>
          <w:lang w:val="en-US"/>
        </w:rPr>
        <w:t> &amp; Hammond (1992), it is unclear whether Allison assumes policy-makers in Model III to possess perfect or bounded rationality. This could mean that Model II and III both look at actors</w:t>
      </w:r>
      <w:r w:rsidR="00B92302">
        <w:rPr>
          <w:rStyle w:val="normaltextrun"/>
          <w:rFonts w:ascii="Calibri" w:hAnsi="Calibri" w:cs="Calibri"/>
          <w:sz w:val="22"/>
          <w:szCs w:val="22"/>
          <w:lang w:val="en-US"/>
        </w:rPr>
        <w:t xml:space="preserve"> embedded in organizations</w:t>
      </w:r>
      <w:r>
        <w:rPr>
          <w:rStyle w:val="normaltextrun"/>
          <w:rFonts w:ascii="Calibri" w:hAnsi="Calibri" w:cs="Calibri"/>
          <w:sz w:val="22"/>
          <w:szCs w:val="22"/>
          <w:lang w:val="en-US"/>
        </w:rPr>
        <w:t xml:space="preserve"> with conflicting interest and bound rationality. Allison himself has contributed to this confusion by merging the two into a “bureaucratic politics paradigm” in his later work (e.g. Allison &amp; Halperin, 1972).</w:t>
      </w:r>
      <w:r w:rsidRPr="00101D34">
        <w:rPr>
          <w:rStyle w:val="eop"/>
          <w:rFonts w:ascii="Calibri" w:hAnsi="Calibri" w:cs="Calibri"/>
          <w:sz w:val="22"/>
          <w:szCs w:val="22"/>
          <w:lang w:val="en-US"/>
        </w:rPr>
        <w:t> </w:t>
      </w:r>
    </w:p>
    <w:p w14:paraId="3184EB76"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5349EE99" w14:textId="444E7B7F"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Additionally, Model III is accused of being too complex to be applied systematically (</w:t>
      </w:r>
      <w:r>
        <w:rPr>
          <w:rStyle w:val="spellingerror"/>
          <w:rFonts w:ascii="Calibri" w:hAnsi="Calibri" w:cs="Calibri"/>
          <w:sz w:val="22"/>
          <w:szCs w:val="22"/>
          <w:lang w:val="en-US"/>
        </w:rPr>
        <w:t>Bendor</w:t>
      </w:r>
      <w:r>
        <w:rPr>
          <w:rStyle w:val="normaltextrun"/>
          <w:rFonts w:ascii="Calibri" w:hAnsi="Calibri" w:cs="Calibri"/>
          <w:sz w:val="22"/>
          <w:szCs w:val="22"/>
          <w:lang w:val="en-US"/>
        </w:rPr>
        <w:t> &amp; Hammond,</w:t>
      </w:r>
      <w:r w:rsidR="00B10156">
        <w:rPr>
          <w:rStyle w:val="normaltextrun"/>
          <w:rFonts w:ascii="Calibri" w:hAnsi="Calibri" w:cs="Calibri"/>
          <w:sz w:val="22"/>
          <w:szCs w:val="22"/>
          <w:lang w:val="en-US"/>
        </w:rPr>
        <w:t xml:space="preserve"> 1992;</w:t>
      </w:r>
      <w:r>
        <w:rPr>
          <w:rStyle w:val="normaltextrun"/>
          <w:rFonts w:ascii="Calibri" w:hAnsi="Calibri" w:cs="Calibri"/>
          <w:sz w:val="22"/>
          <w:szCs w:val="22"/>
          <w:lang w:val="en-US"/>
        </w:rPr>
        <w:t> </w:t>
      </w:r>
      <w:r>
        <w:rPr>
          <w:rStyle w:val="spellingerror"/>
          <w:rFonts w:ascii="Calibri" w:hAnsi="Calibri" w:cs="Calibri"/>
          <w:sz w:val="22"/>
          <w:szCs w:val="22"/>
          <w:lang w:val="en-US"/>
        </w:rPr>
        <w:t>Holsti</w:t>
      </w:r>
      <w:r>
        <w:rPr>
          <w:rStyle w:val="normaltextrun"/>
          <w:rFonts w:ascii="Calibri" w:hAnsi="Calibri" w:cs="Calibri"/>
          <w:sz w:val="22"/>
          <w:szCs w:val="22"/>
          <w:lang w:val="en-US"/>
        </w:rPr>
        <w:t xml:space="preserve">, 1972). Critics argue that too many variables have been included to account for all sorts of politically relevant actors (Jones, 2010). Yet despite the model’s perceived extensiveness, the variables and their underlying relationships remain vague (Art, 1973; Ball, 1974). Bobrow (in Smith, 1980, pp. 35-6) argues that the models Allison presents should be seen as analogies rather than models: they are not helpful in deriving testable hypotheses and are therefore ultimately not falsifiable. Similarly, Welch (1992) believes that Allison’s models are metatheoretical, which means that they themselves have no explanatory power. The models cannot be tested empirically </w:t>
      </w:r>
      <w:r w:rsidR="00633308">
        <w:rPr>
          <w:rStyle w:val="normaltextrun"/>
          <w:rFonts w:ascii="Calibri" w:hAnsi="Calibri" w:cs="Calibri"/>
          <w:sz w:val="22"/>
          <w:szCs w:val="22"/>
          <w:lang w:val="en-US"/>
        </w:rPr>
        <w:t>themselves</w:t>
      </w:r>
      <w:r>
        <w:rPr>
          <w:rStyle w:val="normaltextrun"/>
          <w:rFonts w:ascii="Calibri" w:hAnsi="Calibri" w:cs="Calibri"/>
          <w:sz w:val="22"/>
          <w:szCs w:val="22"/>
          <w:lang w:val="en-US"/>
        </w:rPr>
        <w:t xml:space="preserve">, but the theories arrived from </w:t>
      </w:r>
      <w:r w:rsidR="00633308">
        <w:rPr>
          <w:rStyle w:val="normaltextrun"/>
          <w:rFonts w:ascii="Calibri" w:hAnsi="Calibri" w:cs="Calibri"/>
          <w:sz w:val="22"/>
          <w:szCs w:val="22"/>
          <w:lang w:val="en-US"/>
        </w:rPr>
        <w:t>them</w:t>
      </w:r>
      <w:r>
        <w:rPr>
          <w:rStyle w:val="normaltextrun"/>
          <w:rFonts w:ascii="Calibri" w:hAnsi="Calibri" w:cs="Calibri"/>
          <w:sz w:val="22"/>
          <w:szCs w:val="22"/>
          <w:lang w:val="en-US"/>
        </w:rPr>
        <w:t xml:space="preserve"> can be. According to Welch (1998), a lack of systematic analysis of these empirical expectations based on a coherent theoretical framework has led to limited success of the bureaucratic politics model.  </w:t>
      </w:r>
      <w:r w:rsidRPr="00101D34">
        <w:rPr>
          <w:rStyle w:val="eop"/>
          <w:rFonts w:ascii="Calibri" w:hAnsi="Calibri" w:cs="Calibri"/>
          <w:sz w:val="22"/>
          <w:szCs w:val="22"/>
          <w:lang w:val="en-US"/>
        </w:rPr>
        <w:t> </w:t>
      </w:r>
    </w:p>
    <w:p w14:paraId="56535087"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554528ED" w14:textId="77777777"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Scholars have also expressed concerns regarding the data-collection to test the models. Firstly, testing hypotheses derived from the model requires a substantive amount of data (Caldwell, 1978). Accessing the required documents to conduct an analysis on bureaucratic decision-making can be difficult. It is often hard to accumulate sufficient data that is of the desirable quality. Secondly, support for the model might lead a researcher to find proof in data that is not actually there (Ball, 1974; Smith, 1980). There is a risk that the researcher projects the model on the data, rather than testing the theories derived from it with said data.</w:t>
      </w:r>
      <w:r w:rsidRPr="00101D34">
        <w:rPr>
          <w:rStyle w:val="eop"/>
          <w:rFonts w:ascii="Calibri" w:hAnsi="Calibri" w:cs="Calibri"/>
          <w:sz w:val="22"/>
          <w:szCs w:val="22"/>
          <w:lang w:val="en-US"/>
        </w:rPr>
        <w:t> </w:t>
      </w:r>
    </w:p>
    <w:p w14:paraId="593FFCCA"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06D1B26B" w14:textId="7F99D19A"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The generalizability of the models Allison presents is called into question as well. The focus on American bureaucracy and foreign policy has been a recurring critique on research on bureaucratic politics in general. This focus on the US has left decision-making elsewhere relatively under-researched (Jones, 2010; Smith, 1980; Stern &amp; Verbeek, 1998). Despite focusing on American organizational structures and political actors in </w:t>
      </w:r>
      <w:r>
        <w:rPr>
          <w:rStyle w:val="normaltextrun"/>
          <w:rFonts w:ascii="Calibri" w:hAnsi="Calibri" w:cs="Calibri"/>
          <w:i/>
          <w:iCs/>
          <w:sz w:val="22"/>
          <w:szCs w:val="22"/>
          <w:lang w:val="en-US"/>
        </w:rPr>
        <w:t>Essence of Decision</w:t>
      </w:r>
      <w:r>
        <w:rPr>
          <w:rStyle w:val="normaltextrun"/>
          <w:rFonts w:ascii="Calibri" w:hAnsi="Calibri" w:cs="Calibri"/>
          <w:sz w:val="22"/>
          <w:szCs w:val="22"/>
          <w:lang w:val="en-US"/>
        </w:rPr>
        <w:t xml:space="preserve">, Allison himself did intend for the conceptual models to be used in analysis other states. He believes the models should be seen as a “paradigm” relevant </w:t>
      </w:r>
      <w:r w:rsidR="00E22B33">
        <w:rPr>
          <w:rStyle w:val="normaltextrun"/>
          <w:rFonts w:ascii="Calibri" w:hAnsi="Calibri" w:cs="Calibri"/>
          <w:sz w:val="22"/>
          <w:szCs w:val="22"/>
          <w:lang w:val="en-US"/>
        </w:rPr>
        <w:t xml:space="preserve">to </w:t>
      </w:r>
      <w:r>
        <w:rPr>
          <w:rStyle w:val="normaltextrun"/>
          <w:rFonts w:ascii="Calibri" w:hAnsi="Calibri" w:cs="Calibri"/>
          <w:sz w:val="22"/>
          <w:szCs w:val="22"/>
          <w:lang w:val="en-US"/>
        </w:rPr>
        <w:t>all states (Smith, 1980).</w:t>
      </w:r>
      <w:r w:rsidRPr="00101D34">
        <w:rPr>
          <w:rStyle w:val="eop"/>
          <w:rFonts w:ascii="Calibri" w:hAnsi="Calibri" w:cs="Calibri"/>
          <w:sz w:val="22"/>
          <w:szCs w:val="22"/>
          <w:lang w:val="en-US"/>
        </w:rPr>
        <w:t> </w:t>
      </w:r>
    </w:p>
    <w:p w14:paraId="35B66EF7"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32CBC722" w14:textId="13BDC1F8" w:rsidR="00101D34" w:rsidRPr="00CE6301" w:rsidRDefault="00101D34" w:rsidP="00101D34">
      <w:pPr>
        <w:pStyle w:val="paragraph"/>
        <w:spacing w:before="0" w:beforeAutospacing="0" w:after="0" w:afterAutospacing="0"/>
        <w:jc w:val="both"/>
        <w:textAlignment w:val="baseline"/>
        <w:rPr>
          <w:rFonts w:ascii="Segoe UI" w:hAnsi="Segoe UI" w:cs="Segoe UI"/>
          <w:sz w:val="18"/>
          <w:szCs w:val="18"/>
          <w:lang w:val="en-US"/>
        </w:rPr>
      </w:pPr>
      <w:r w:rsidRPr="00CE6301">
        <w:rPr>
          <w:rStyle w:val="normaltextrun"/>
          <w:rFonts w:ascii="Calibri" w:hAnsi="Calibri" w:cs="Calibri"/>
          <w:sz w:val="22"/>
          <w:szCs w:val="22"/>
          <w:lang w:val="en-US"/>
        </w:rPr>
        <w:t>Despite these shortcomings, Allison’s conceptual </w:t>
      </w:r>
      <w:r w:rsidR="00D2468D">
        <w:rPr>
          <w:rStyle w:val="normaltextrun"/>
          <w:rFonts w:ascii="Calibri" w:hAnsi="Calibri" w:cs="Calibri"/>
          <w:sz w:val="22"/>
          <w:szCs w:val="22"/>
          <w:lang w:val="en-US"/>
        </w:rPr>
        <w:t>M</w:t>
      </w:r>
      <w:r w:rsidRPr="00CE6301">
        <w:rPr>
          <w:rStyle w:val="normaltextrun"/>
          <w:rFonts w:ascii="Calibri" w:hAnsi="Calibri" w:cs="Calibri"/>
          <w:sz w:val="22"/>
          <w:szCs w:val="22"/>
          <w:lang w:val="en-US"/>
        </w:rPr>
        <w:t>odels II and III are still considered to be worth consideration by scholars (</w:t>
      </w:r>
      <w:r w:rsidRPr="00CE6301">
        <w:rPr>
          <w:rStyle w:val="spellingerror"/>
          <w:rFonts w:ascii="Calibri" w:hAnsi="Calibri" w:cs="Calibri"/>
          <w:sz w:val="22"/>
          <w:szCs w:val="22"/>
          <w:lang w:val="en-US"/>
        </w:rPr>
        <w:t>Holsti</w:t>
      </w:r>
      <w:r w:rsidRPr="00CE6301">
        <w:rPr>
          <w:rStyle w:val="normaltextrun"/>
          <w:rFonts w:ascii="Calibri" w:hAnsi="Calibri" w:cs="Calibri"/>
          <w:sz w:val="22"/>
          <w:szCs w:val="22"/>
          <w:lang w:val="en-US"/>
        </w:rPr>
        <w:t>, 1972; Jones, 2010; Welch, 1992). While the models itself are rendered outdated by some, Allison has successfully urged scholars to open up the black box of the state. He has put bureaucratic politics on the agenda, both in the field of foreign policy analysis as well as in other disciplines (</w:t>
      </w:r>
      <w:r w:rsidRPr="00CE6301">
        <w:rPr>
          <w:rStyle w:val="spellingerror"/>
          <w:rFonts w:ascii="Calibri" w:hAnsi="Calibri" w:cs="Calibri"/>
          <w:sz w:val="22"/>
          <w:szCs w:val="22"/>
          <w:lang w:val="en-US"/>
        </w:rPr>
        <w:t>Vanhoonacker</w:t>
      </w:r>
      <w:r w:rsidRPr="00CE6301">
        <w:rPr>
          <w:rStyle w:val="normaltextrun"/>
          <w:rFonts w:ascii="Calibri" w:hAnsi="Calibri" w:cs="Calibri"/>
          <w:sz w:val="22"/>
          <w:szCs w:val="22"/>
          <w:lang w:val="en-US"/>
        </w:rPr>
        <w:t> &amp; Wangen, 2015).</w:t>
      </w:r>
      <w:r w:rsidRPr="00CE6301">
        <w:rPr>
          <w:rStyle w:val="eop"/>
          <w:rFonts w:ascii="Calibri" w:hAnsi="Calibri" w:cs="Calibri"/>
          <w:sz w:val="22"/>
          <w:szCs w:val="22"/>
          <w:lang w:val="en-US"/>
        </w:rPr>
        <w:t> </w:t>
      </w:r>
    </w:p>
    <w:p w14:paraId="4EA32F2E" w14:textId="77777777" w:rsidR="00101D34" w:rsidRDefault="00101D34" w:rsidP="00101D34">
      <w:pPr>
        <w:rPr>
          <w:lang w:val="en-US"/>
        </w:rPr>
      </w:pPr>
    </w:p>
    <w:p w14:paraId="6555CAA8" w14:textId="77777777" w:rsidR="00101D34" w:rsidRPr="00204B22" w:rsidRDefault="00101D34" w:rsidP="00101D34">
      <w:pPr>
        <w:pStyle w:val="Kop3"/>
        <w:rPr>
          <w:rFonts w:eastAsia="Times New Roman"/>
          <w:color w:val="auto"/>
          <w:u w:val="single"/>
          <w:lang w:val="en-US" w:eastAsia="nl-NL"/>
        </w:rPr>
      </w:pPr>
      <w:bookmarkStart w:id="11" w:name="_Toc48891286"/>
      <w:r w:rsidRPr="00204B22">
        <w:rPr>
          <w:rFonts w:eastAsia="Times New Roman"/>
          <w:color w:val="auto"/>
          <w:u w:val="single"/>
          <w:lang w:val="en-US" w:eastAsia="nl-NL"/>
        </w:rPr>
        <w:t>2.2.2 Constraints to individual rationality</w:t>
      </w:r>
      <w:bookmarkEnd w:id="11"/>
    </w:p>
    <w:p w14:paraId="274C6BCB" w14:textId="7A7CB16C" w:rsidR="00101D34" w:rsidRDefault="00101D34" w:rsidP="00101D34">
      <w:pPr>
        <w:jc w:val="both"/>
        <w:rPr>
          <w:rStyle w:val="eop"/>
          <w:rFonts w:ascii="Calibri" w:hAnsi="Calibri" w:cs="Calibri"/>
          <w:color w:val="000000"/>
          <w:shd w:val="clear" w:color="auto" w:fill="FFFFFF"/>
          <w:lang w:val="en-US"/>
        </w:rPr>
      </w:pPr>
      <w:r>
        <w:rPr>
          <w:rStyle w:val="normaltextrun"/>
          <w:rFonts w:ascii="Calibri" w:hAnsi="Calibri" w:cs="Calibri"/>
          <w:color w:val="000000"/>
          <w:shd w:val="clear" w:color="auto" w:fill="FFFFFF"/>
          <w:lang w:val="en-US"/>
        </w:rPr>
        <w:t>The traditional</w:t>
      </w:r>
      <w:r w:rsidR="00FF606F">
        <w:rPr>
          <w:rStyle w:val="normaltextrun"/>
          <w:rFonts w:ascii="Calibri" w:hAnsi="Calibri" w:cs="Calibri"/>
          <w:color w:val="000000"/>
          <w:shd w:val="clear" w:color="auto" w:fill="FFFFFF"/>
          <w:lang w:val="en-US"/>
        </w:rPr>
        <w:t xml:space="preserve"> rational actor</w:t>
      </w:r>
      <w:r>
        <w:rPr>
          <w:rStyle w:val="normaltextrun"/>
          <w:rFonts w:ascii="Calibri" w:hAnsi="Calibri" w:cs="Calibri"/>
          <w:color w:val="000000"/>
          <w:shd w:val="clear" w:color="auto" w:fill="FFFFFF"/>
          <w:lang w:val="en-US"/>
        </w:rPr>
        <w:t xml:space="preserve"> approach to foreign policy</w:t>
      </w:r>
      <w:r w:rsidR="00CE6301">
        <w:rPr>
          <w:rStyle w:val="normaltextrun"/>
          <w:rFonts w:ascii="Calibri" w:hAnsi="Calibri" w:cs="Calibri"/>
          <w:color w:val="000000"/>
          <w:shd w:val="clear" w:color="auto" w:fill="FFFFFF"/>
          <w:lang w:val="en-US"/>
        </w:rPr>
        <w:t>-</w:t>
      </w:r>
      <w:r>
        <w:rPr>
          <w:rStyle w:val="normaltextrun"/>
          <w:rFonts w:ascii="Calibri" w:hAnsi="Calibri" w:cs="Calibri"/>
          <w:color w:val="000000"/>
          <w:shd w:val="clear" w:color="auto" w:fill="FFFFFF"/>
          <w:lang w:val="en-US"/>
        </w:rPr>
        <w:t xml:space="preserve">making assumed </w:t>
      </w:r>
      <w:r w:rsidR="00FF606F">
        <w:rPr>
          <w:rStyle w:val="normaltextrun"/>
          <w:rFonts w:ascii="Calibri" w:hAnsi="Calibri" w:cs="Calibri"/>
          <w:color w:val="000000"/>
          <w:shd w:val="clear" w:color="auto" w:fill="FFFFFF"/>
          <w:lang w:val="en-US"/>
        </w:rPr>
        <w:t>consistent utility-maximizing behavior</w:t>
      </w:r>
      <w:r>
        <w:rPr>
          <w:rStyle w:val="normaltextrun"/>
          <w:rFonts w:ascii="Calibri" w:hAnsi="Calibri" w:cs="Calibri"/>
          <w:color w:val="000000"/>
          <w:shd w:val="clear" w:color="auto" w:fill="FFFFFF"/>
          <w:lang w:val="en-US"/>
        </w:rPr>
        <w:t xml:space="preserve"> of the unitary state. While Allison rejected the idea of the unitary state portraying rational behavior at the international level, he did adhere to the idea that the decision-makers composing the state act rationally. Other FPA-scholars have contested this notion of the rational decision</w:t>
      </w:r>
      <w:r w:rsidR="00633308">
        <w:rPr>
          <w:rStyle w:val="normaltextrun"/>
          <w:rFonts w:ascii="Calibri" w:hAnsi="Calibri" w:cs="Calibri"/>
          <w:color w:val="000000"/>
          <w:shd w:val="clear" w:color="auto" w:fill="FFFFFF"/>
          <w:lang w:val="en-US"/>
        </w:rPr>
        <w:t>-</w:t>
      </w:r>
      <w:r>
        <w:rPr>
          <w:rStyle w:val="normaltextrun"/>
          <w:rFonts w:ascii="Calibri" w:hAnsi="Calibri" w:cs="Calibri"/>
          <w:color w:val="000000"/>
          <w:shd w:val="clear" w:color="auto" w:fill="FFFFFF"/>
          <w:lang w:val="en-US"/>
        </w:rPr>
        <w:t>maker, arguing that there are cognitive factors that greatly influence what is considered rational or appropriate by those involved in the decision-making process. Whereas the rational actor approach assumes that individuals are highly adaptive to changes in their external circumstances, research on cognition suggests that individuals are more resistant to change (Rosati, 1995). Their existing beliefs and attitudes are believed to greatly impact the way in which information is processed. Following this logic, policy-makers themselves and their believes become the central unit of analysis.</w:t>
      </w:r>
      <w:r w:rsidRPr="00101D34">
        <w:rPr>
          <w:rStyle w:val="eop"/>
          <w:rFonts w:ascii="Calibri" w:hAnsi="Calibri" w:cs="Calibri"/>
          <w:color w:val="000000"/>
          <w:shd w:val="clear" w:color="auto" w:fill="FFFFFF"/>
          <w:lang w:val="en-US"/>
        </w:rPr>
        <w:t> </w:t>
      </w:r>
      <w:r>
        <w:rPr>
          <w:rStyle w:val="eop"/>
          <w:rFonts w:ascii="Calibri" w:hAnsi="Calibri" w:cs="Calibri"/>
          <w:color w:val="000000"/>
          <w:shd w:val="clear" w:color="auto" w:fill="FFFFFF"/>
          <w:lang w:val="en-US"/>
        </w:rPr>
        <w:t>In this section, various constraints to individual rationality are discussed.</w:t>
      </w:r>
    </w:p>
    <w:p w14:paraId="39D01FA4" w14:textId="77777777" w:rsidR="00101D34" w:rsidRPr="00204B22" w:rsidRDefault="00101D34" w:rsidP="00101D34">
      <w:pPr>
        <w:pStyle w:val="Kop4"/>
        <w:rPr>
          <w:color w:val="auto"/>
          <w:lang w:val="en-US"/>
        </w:rPr>
      </w:pPr>
      <w:r w:rsidRPr="00204B22">
        <w:rPr>
          <w:color w:val="auto"/>
          <w:lang w:val="en-US"/>
        </w:rPr>
        <w:t>Perceptions</w:t>
      </w:r>
    </w:p>
    <w:p w14:paraId="005AA8B4" w14:textId="77777777"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One of the first works to recognize the importance of cognition and ideas in shaping foreign policy was </w:t>
      </w:r>
      <w:r>
        <w:rPr>
          <w:rStyle w:val="normaltextrun"/>
          <w:rFonts w:ascii="Calibri" w:hAnsi="Calibri" w:cs="Calibri"/>
          <w:i/>
          <w:iCs/>
          <w:sz w:val="22"/>
          <w:szCs w:val="22"/>
          <w:lang w:val="en-US"/>
        </w:rPr>
        <w:t>Foreign Policy Decision-Making</w:t>
      </w:r>
      <w:r>
        <w:rPr>
          <w:rStyle w:val="normaltextrun"/>
          <w:rFonts w:ascii="Calibri" w:hAnsi="Calibri" w:cs="Calibri"/>
          <w:sz w:val="22"/>
          <w:szCs w:val="22"/>
          <w:lang w:val="en-US"/>
        </w:rPr>
        <w:t> by Snyder, Bruck &amp; </w:t>
      </w:r>
      <w:r>
        <w:rPr>
          <w:rStyle w:val="spellingerror"/>
          <w:rFonts w:ascii="Calibri" w:hAnsi="Calibri" w:cs="Calibri"/>
          <w:sz w:val="22"/>
          <w:szCs w:val="22"/>
          <w:lang w:val="en-US"/>
        </w:rPr>
        <w:t>Sapin</w:t>
      </w:r>
      <w:r>
        <w:rPr>
          <w:rStyle w:val="normaltextrun"/>
          <w:rFonts w:ascii="Calibri" w:hAnsi="Calibri" w:cs="Calibri"/>
          <w:sz w:val="22"/>
          <w:szCs w:val="22"/>
          <w:lang w:val="en-US"/>
        </w:rPr>
        <w:t> (1962). As early contributors to FPA-literature, the authors paid special attention to decision-making as an approach to explain world politics. According to Snyder et al., action at the international level is the result of actors defining the issue they are confronted with and determining their own relation to the issue. Action itself is thus the consequence of the actor interpreting and defining the situation, relating it to their own goals and resources. Decision-makers can therefore be considered key players, as they filter the information they are presented with. Their respective conception of what is relevant, desirable, attainable, and fitting is decisive in foreign policy decision-making. </w:t>
      </w:r>
      <w:r w:rsidRPr="00101D34">
        <w:rPr>
          <w:rStyle w:val="eop"/>
          <w:rFonts w:ascii="Calibri" w:hAnsi="Calibri" w:cs="Calibri"/>
          <w:sz w:val="22"/>
          <w:szCs w:val="22"/>
          <w:lang w:val="en-US"/>
        </w:rPr>
        <w:t> </w:t>
      </w:r>
    </w:p>
    <w:p w14:paraId="3106B7DD"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69C87525" w14:textId="51CD03FA" w:rsidR="00101D34" w:rsidRDefault="00101D34" w:rsidP="00101D34">
      <w:pPr>
        <w:pStyle w:val="paragraph"/>
        <w:spacing w:before="0" w:beforeAutospacing="0" w:after="0" w:afterAutospacing="0"/>
        <w:jc w:val="both"/>
        <w:textAlignment w:val="baseline"/>
        <w:rPr>
          <w:rStyle w:val="normaltextrun"/>
          <w:rFonts w:ascii="Calibri" w:hAnsi="Calibri" w:cs="Calibri"/>
          <w:sz w:val="22"/>
          <w:szCs w:val="22"/>
          <w:lang w:val="en-US"/>
        </w:rPr>
      </w:pPr>
      <w:r>
        <w:rPr>
          <w:rStyle w:val="normaltextrun"/>
          <w:rFonts w:ascii="Calibri" w:hAnsi="Calibri" w:cs="Calibri"/>
          <w:sz w:val="22"/>
          <w:szCs w:val="22"/>
          <w:lang w:val="en-US"/>
        </w:rPr>
        <w:t>Jervis (1968; 1976) also acknowledged the key role of interpretation by policy-makers. In his 1976 classic </w:t>
      </w:r>
      <w:r>
        <w:rPr>
          <w:rStyle w:val="normaltextrun"/>
          <w:rFonts w:ascii="Calibri" w:hAnsi="Calibri" w:cs="Calibri"/>
          <w:i/>
          <w:iCs/>
          <w:sz w:val="22"/>
          <w:szCs w:val="22"/>
          <w:lang w:val="en-US"/>
        </w:rPr>
        <w:t>Perception and Misperception in International Politics</w:t>
      </w:r>
      <w:r w:rsidR="008058C9">
        <w:rPr>
          <w:rStyle w:val="normaltextrun"/>
          <w:rFonts w:ascii="Calibri" w:hAnsi="Calibri" w:cs="Calibri"/>
          <w:sz w:val="22"/>
          <w:szCs w:val="22"/>
          <w:lang w:val="en-US"/>
        </w:rPr>
        <w:t>,</w:t>
      </w:r>
      <w:r>
        <w:rPr>
          <w:rStyle w:val="normaltextrun"/>
          <w:rFonts w:ascii="Calibri" w:hAnsi="Calibri" w:cs="Calibri"/>
          <w:sz w:val="22"/>
          <w:szCs w:val="22"/>
          <w:lang w:val="en-US"/>
        </w:rPr>
        <w:t> Jervis contests the rational actor approach, arguing that decision-makers regularly misinterpret the aims and actions of other states. He argues that decision-makers base their definition of the situation based on past experiences and a set of internalized beliefs. Psychological factors drive decision-makers to look for cognitive consistency: not only are pre-existing beliefs projected on new information, knowledge that might upset the coherence among these beliefs is avoided or inadequately processed. The desire for new information to fit the beliefs and subsequent policy alternatives already supported by the decision-makers causes them to misinterpret the situation. In his work, Jervis identifies a variety of factors increasing the likelihood of misperception, as well as common misperceptions made by states. </w:t>
      </w:r>
    </w:p>
    <w:p w14:paraId="518E23CC" w14:textId="77777777" w:rsidR="00FF606F" w:rsidRDefault="00FF606F" w:rsidP="00FF606F">
      <w:pPr>
        <w:pStyle w:val="paragraph"/>
        <w:spacing w:before="0" w:beforeAutospacing="0" w:after="0" w:afterAutospacing="0"/>
        <w:jc w:val="both"/>
        <w:textAlignment w:val="baseline"/>
        <w:rPr>
          <w:rStyle w:val="normaltextrun"/>
          <w:rFonts w:ascii="Calibri" w:hAnsi="Calibri" w:cs="Calibri"/>
          <w:sz w:val="22"/>
          <w:szCs w:val="22"/>
          <w:lang w:val="en-US"/>
        </w:rPr>
      </w:pPr>
    </w:p>
    <w:p w14:paraId="411E5F7E" w14:textId="16F03A61" w:rsidR="00FF606F" w:rsidRDefault="00FF606F" w:rsidP="00101D34">
      <w:pPr>
        <w:pStyle w:val="paragraph"/>
        <w:spacing w:before="0" w:beforeAutospacing="0" w:after="0" w:afterAutospacing="0"/>
        <w:jc w:val="both"/>
        <w:textAlignment w:val="baseline"/>
        <w:rPr>
          <w:rStyle w:val="normaltextrun"/>
          <w:rFonts w:ascii="Calibri" w:hAnsi="Calibri" w:cs="Calibri"/>
          <w:sz w:val="22"/>
          <w:szCs w:val="22"/>
          <w:lang w:val="en-US"/>
        </w:rPr>
      </w:pPr>
      <w:r>
        <w:rPr>
          <w:rStyle w:val="normaltextrun"/>
          <w:rFonts w:ascii="Calibri" w:hAnsi="Calibri" w:cs="Calibri"/>
          <w:sz w:val="22"/>
          <w:szCs w:val="22"/>
          <w:lang w:val="en-US"/>
        </w:rPr>
        <w:t>While Jervis’s emphasis on ideas and perceptions may indicate some constructivist notions, Jervis himself argues that there is an objective truth against which misperceptions made by policy-makers can be tested. FPA contests the realist notion of the rational unitary state as the sole actor of importance. However, much of the academic literature on FPA was aimed to serve as a correction to realism: pointing out the anomalies in the paradigm rather than proposing a wholesale replacement (Houghton, 2007). </w:t>
      </w:r>
    </w:p>
    <w:p w14:paraId="37D6C418" w14:textId="2CACA251" w:rsidR="00445C9C" w:rsidRPr="00402AD6" w:rsidRDefault="00101D34" w:rsidP="00101D34">
      <w:pPr>
        <w:pStyle w:val="paragraph"/>
        <w:spacing w:before="0" w:beforeAutospacing="0" w:after="0" w:afterAutospacing="0"/>
        <w:jc w:val="both"/>
        <w:textAlignment w:val="baseline"/>
        <w:rPr>
          <w:rStyle w:val="normaltextrun"/>
          <w:rFonts w:ascii="Segoe UI" w:hAnsi="Segoe UI" w:cs="Segoe UI"/>
          <w:sz w:val="18"/>
          <w:szCs w:val="18"/>
          <w:lang w:val="en-US"/>
        </w:rPr>
      </w:pPr>
      <w:r w:rsidRPr="00101D34">
        <w:rPr>
          <w:rStyle w:val="eop"/>
          <w:rFonts w:ascii="Calibri" w:hAnsi="Calibri" w:cs="Calibri"/>
          <w:sz w:val="22"/>
          <w:szCs w:val="22"/>
          <w:lang w:val="en-US"/>
        </w:rPr>
        <w:t> </w:t>
      </w:r>
    </w:p>
    <w:p w14:paraId="65DD77F7" w14:textId="77777777" w:rsidR="00FF606F" w:rsidRDefault="00101D34" w:rsidP="00101D34">
      <w:pPr>
        <w:pStyle w:val="paragraph"/>
        <w:spacing w:before="0" w:beforeAutospacing="0" w:after="0" w:afterAutospacing="0"/>
        <w:jc w:val="both"/>
        <w:textAlignment w:val="baseline"/>
        <w:rPr>
          <w:rStyle w:val="normaltextrun"/>
          <w:rFonts w:ascii="Calibri" w:hAnsi="Calibri" w:cs="Calibri"/>
          <w:sz w:val="22"/>
          <w:szCs w:val="22"/>
          <w:lang w:val="en-US"/>
        </w:rPr>
      </w:pPr>
      <w:r>
        <w:rPr>
          <w:rStyle w:val="normaltextrun"/>
          <w:rFonts w:ascii="Calibri" w:hAnsi="Calibri" w:cs="Calibri"/>
          <w:sz w:val="22"/>
          <w:szCs w:val="22"/>
          <w:lang w:val="en-US"/>
        </w:rPr>
        <w:t xml:space="preserve">Some scholars have argued that the emphasis on the </w:t>
      </w:r>
      <w:r w:rsidR="00FF606F">
        <w:rPr>
          <w:rStyle w:val="normaltextrun"/>
          <w:rFonts w:ascii="Calibri" w:hAnsi="Calibri" w:cs="Calibri"/>
          <w:sz w:val="22"/>
          <w:szCs w:val="22"/>
          <w:lang w:val="en-US"/>
        </w:rPr>
        <w:t>important</w:t>
      </w:r>
      <w:r>
        <w:rPr>
          <w:rStyle w:val="normaltextrun"/>
          <w:rFonts w:ascii="Calibri" w:hAnsi="Calibri" w:cs="Calibri"/>
          <w:sz w:val="22"/>
          <w:szCs w:val="22"/>
          <w:lang w:val="en-US"/>
        </w:rPr>
        <w:t xml:space="preserve"> role of ideas in FPA literature on cognition proves fertile ground for a constructivist approach to FPA. After all, policymakers could be said to construct the realities in which they operate. One example of this approach is Jutta </w:t>
      </w:r>
      <w:r>
        <w:rPr>
          <w:rStyle w:val="spellingerror"/>
          <w:rFonts w:ascii="Calibri" w:hAnsi="Calibri" w:cs="Calibri"/>
          <w:sz w:val="22"/>
          <w:szCs w:val="22"/>
          <w:lang w:val="en-US"/>
        </w:rPr>
        <w:t>Weldes</w:t>
      </w:r>
      <w:r>
        <w:rPr>
          <w:rStyle w:val="normaltextrun"/>
          <w:rFonts w:ascii="Calibri" w:hAnsi="Calibri" w:cs="Calibri"/>
          <w:sz w:val="22"/>
          <w:szCs w:val="22"/>
          <w:lang w:val="en-US"/>
        </w:rPr>
        <w:t>’ critical constructivist account of Allison’s bureaucratic politics model. </w:t>
      </w:r>
      <w:r>
        <w:rPr>
          <w:rStyle w:val="spellingerror"/>
          <w:rFonts w:ascii="Calibri" w:hAnsi="Calibri" w:cs="Calibri"/>
          <w:sz w:val="22"/>
          <w:szCs w:val="22"/>
          <w:lang w:val="en-US"/>
        </w:rPr>
        <w:t>Weldes</w:t>
      </w:r>
      <w:r>
        <w:rPr>
          <w:rStyle w:val="normaltextrun"/>
          <w:rFonts w:ascii="Calibri" w:hAnsi="Calibri" w:cs="Calibri"/>
          <w:sz w:val="22"/>
          <w:szCs w:val="22"/>
          <w:lang w:val="en-US"/>
        </w:rPr>
        <w:t> (1998) emphasizes the constructed intersubjective nature of interests, the assumed driving force behind actors‘ behavior in the process of negotiation among decision-makers. Events are captured and made sense of by these decision-makers through</w:t>
      </w:r>
      <w:r w:rsidR="00F4216C">
        <w:rPr>
          <w:rStyle w:val="normaltextrun"/>
          <w:rFonts w:ascii="Calibri" w:hAnsi="Calibri" w:cs="Calibri"/>
          <w:sz w:val="22"/>
          <w:szCs w:val="22"/>
          <w:lang w:val="en-US"/>
        </w:rPr>
        <w:t xml:space="preserve"> </w:t>
      </w:r>
      <w:r>
        <w:rPr>
          <w:rStyle w:val="normaltextrun"/>
          <w:rFonts w:ascii="Calibri" w:hAnsi="Calibri" w:cs="Calibri"/>
          <w:sz w:val="22"/>
          <w:szCs w:val="22"/>
          <w:lang w:val="en-US"/>
        </w:rPr>
        <w:t>representational practices, that are discursively produced and maintained. Interests are the products of interpretation, as actors determine what is a desirable and fitting based on what they assume the instigating events to be. </w:t>
      </w:r>
    </w:p>
    <w:p w14:paraId="437F09B8" w14:textId="5F15E420" w:rsidR="00101D34" w:rsidRDefault="00101D34" w:rsidP="00101D34">
      <w:pPr>
        <w:pStyle w:val="paragraph"/>
        <w:spacing w:before="0" w:beforeAutospacing="0" w:after="0" w:afterAutospacing="0"/>
        <w:jc w:val="both"/>
        <w:textAlignment w:val="baseline"/>
        <w:rPr>
          <w:rStyle w:val="normaltextrun"/>
          <w:rFonts w:ascii="Calibri" w:hAnsi="Calibri" w:cs="Calibri"/>
          <w:sz w:val="22"/>
          <w:szCs w:val="22"/>
          <w:lang w:val="en-US"/>
        </w:rPr>
      </w:pPr>
      <w:r>
        <w:rPr>
          <w:rStyle w:val="normaltextrun"/>
          <w:rFonts w:ascii="Calibri" w:hAnsi="Calibri" w:cs="Calibri"/>
          <w:sz w:val="22"/>
          <w:szCs w:val="22"/>
          <w:lang w:val="en-US"/>
        </w:rPr>
        <w:t>As a critical constructivist, </w:t>
      </w:r>
      <w:r>
        <w:rPr>
          <w:rStyle w:val="spellingerror"/>
          <w:rFonts w:ascii="Calibri" w:hAnsi="Calibri" w:cs="Calibri"/>
          <w:sz w:val="22"/>
          <w:szCs w:val="22"/>
          <w:lang w:val="en-US"/>
        </w:rPr>
        <w:t>Weldes</w:t>
      </w:r>
      <w:r>
        <w:rPr>
          <w:rStyle w:val="normaltextrun"/>
          <w:rFonts w:ascii="Calibri" w:hAnsi="Calibri" w:cs="Calibri"/>
          <w:sz w:val="22"/>
          <w:szCs w:val="22"/>
          <w:lang w:val="en-US"/>
        </w:rPr>
        <w:t> points out that the dominant representational framework is itself already a manifestation of power relations. In the negotiation process, policy-makers aim to invoke their respective power to best represent their interest. This power is provided to them in the form of among other things prestige, information, and bureaucratic position. </w:t>
      </w:r>
    </w:p>
    <w:p w14:paraId="7BA49F19" w14:textId="77777777" w:rsidR="00101D34" w:rsidRDefault="00101D34" w:rsidP="00101D34">
      <w:pPr>
        <w:pStyle w:val="paragraph"/>
        <w:spacing w:before="0" w:beforeAutospacing="0" w:after="0" w:afterAutospacing="0"/>
        <w:jc w:val="both"/>
        <w:textAlignment w:val="baseline"/>
        <w:rPr>
          <w:rStyle w:val="normaltextrun"/>
          <w:rFonts w:ascii="Calibri" w:hAnsi="Calibri" w:cs="Calibri"/>
          <w:sz w:val="22"/>
          <w:szCs w:val="22"/>
          <w:lang w:val="en-US"/>
        </w:rPr>
      </w:pPr>
    </w:p>
    <w:p w14:paraId="75787851" w14:textId="77777777"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spellingerror"/>
          <w:rFonts w:ascii="Calibri" w:hAnsi="Calibri" w:cs="Calibri"/>
          <w:sz w:val="22"/>
          <w:szCs w:val="22"/>
          <w:lang w:val="en-US"/>
        </w:rPr>
        <w:t>Weldes</w:t>
      </w:r>
      <w:r>
        <w:rPr>
          <w:rStyle w:val="normaltextrun"/>
          <w:rFonts w:ascii="Calibri" w:hAnsi="Calibri" w:cs="Calibri"/>
          <w:sz w:val="22"/>
          <w:szCs w:val="22"/>
          <w:lang w:val="en-US"/>
        </w:rPr>
        <w:t> diverges from the rationalist approach of Allison’s model, arguing that rationality is not a matter of choosing between a given selection of alternatives based on outlined pre-existing interests. Instead, she argues that rationality itself is a process that attributes meaning to events, policy alternatives, and interests. Contrary to Allison, </w:t>
      </w:r>
      <w:r>
        <w:rPr>
          <w:rStyle w:val="spellingerror"/>
          <w:rFonts w:ascii="Calibri" w:hAnsi="Calibri" w:cs="Calibri"/>
          <w:sz w:val="22"/>
          <w:szCs w:val="22"/>
          <w:lang w:val="en-US"/>
        </w:rPr>
        <w:t>Weldes</w:t>
      </w:r>
      <w:r>
        <w:rPr>
          <w:rStyle w:val="normaltextrun"/>
          <w:rFonts w:ascii="Calibri" w:hAnsi="Calibri" w:cs="Calibri"/>
          <w:sz w:val="22"/>
          <w:szCs w:val="22"/>
          <w:lang w:val="en-US"/>
        </w:rPr>
        <w:t> is not so much interested in the resultant policy as she is in modes of reasoning and the representations that are awarded a voice and sense of legitimacy during policy negotiations.</w:t>
      </w:r>
      <w:r w:rsidRPr="00101D34">
        <w:rPr>
          <w:rStyle w:val="eop"/>
          <w:rFonts w:ascii="Calibri" w:hAnsi="Calibri" w:cs="Calibri"/>
          <w:sz w:val="22"/>
          <w:szCs w:val="22"/>
          <w:lang w:val="en-US"/>
        </w:rPr>
        <w:t> </w:t>
      </w:r>
    </w:p>
    <w:p w14:paraId="29ACAD8B"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608A798C" w14:textId="77777777" w:rsidR="00101D34" w:rsidRPr="00204B22" w:rsidRDefault="00101D34" w:rsidP="00101D34">
      <w:pPr>
        <w:pStyle w:val="Kop4"/>
        <w:rPr>
          <w:color w:val="auto"/>
          <w:lang w:val="en-US"/>
        </w:rPr>
      </w:pPr>
      <w:r w:rsidRPr="00204B22">
        <w:rPr>
          <w:color w:val="auto"/>
          <w:lang w:val="en-US"/>
        </w:rPr>
        <w:t>Bureaucratic roles and role conception</w:t>
      </w:r>
    </w:p>
    <w:p w14:paraId="3B65D7B6" w14:textId="02E659E6"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 xml:space="preserve">Not only beliefs are thought to structure foreign policy decision-making processes, role conceptions </w:t>
      </w:r>
      <w:r w:rsidR="006611F6">
        <w:rPr>
          <w:rStyle w:val="normaltextrun"/>
          <w:rFonts w:ascii="Calibri" w:hAnsi="Calibri" w:cs="Calibri"/>
          <w:sz w:val="22"/>
          <w:szCs w:val="22"/>
          <w:lang w:val="en-US"/>
        </w:rPr>
        <w:t>are</w:t>
      </w:r>
      <w:r>
        <w:rPr>
          <w:rStyle w:val="normaltextrun"/>
          <w:rFonts w:ascii="Calibri" w:hAnsi="Calibri" w:cs="Calibri"/>
          <w:sz w:val="22"/>
          <w:szCs w:val="22"/>
          <w:lang w:val="en-US"/>
        </w:rPr>
        <w:t xml:space="preserve"> thought to have considerable impact as well. Scholars have paid attention to both bureaucratic role conceptions as well as national role conceptions expressed by decision-makers (Cant</w:t>
      </w:r>
      <w:r w:rsidR="00FA3BF9">
        <w:rPr>
          <w:rStyle w:val="normaltextrun"/>
          <w:rFonts w:ascii="Calibri" w:hAnsi="Calibri" w:cs="Calibri"/>
          <w:sz w:val="22"/>
          <w:szCs w:val="22"/>
          <w:lang w:val="en-US"/>
        </w:rPr>
        <w:t>i</w:t>
      </w:r>
      <w:r>
        <w:rPr>
          <w:rStyle w:val="normaltextrun"/>
          <w:rFonts w:ascii="Calibri" w:hAnsi="Calibri" w:cs="Calibri"/>
          <w:sz w:val="22"/>
          <w:szCs w:val="22"/>
          <w:lang w:val="en-US"/>
        </w:rPr>
        <w:t>r &amp; </w:t>
      </w:r>
      <w:r>
        <w:rPr>
          <w:rStyle w:val="spellingerror"/>
          <w:rFonts w:ascii="Calibri" w:hAnsi="Calibri" w:cs="Calibri"/>
          <w:sz w:val="22"/>
          <w:szCs w:val="22"/>
          <w:lang w:val="en-US"/>
        </w:rPr>
        <w:t>Kaarbo</w:t>
      </w:r>
      <w:r w:rsidR="003B5128">
        <w:rPr>
          <w:rStyle w:val="normaltextrun"/>
          <w:rFonts w:ascii="Calibri" w:hAnsi="Calibri" w:cs="Calibri"/>
          <w:sz w:val="22"/>
          <w:szCs w:val="22"/>
          <w:lang w:val="en-US"/>
        </w:rPr>
        <w:t>, 2012).</w:t>
      </w:r>
      <w:r>
        <w:rPr>
          <w:rStyle w:val="normaltextrun"/>
          <w:rFonts w:ascii="Calibri" w:hAnsi="Calibri" w:cs="Calibri"/>
          <w:sz w:val="22"/>
          <w:szCs w:val="22"/>
          <w:lang w:val="en-US"/>
        </w:rPr>
        <w:t> Unlike Allison’s account of position, roles are thought to exceed their formal description: the expectations of others as well as the personality of the actor play an important role in how the role is fulfilled (Hollis &amp; Smith, 1986).</w:t>
      </w:r>
      <w:r w:rsidRPr="00101D34">
        <w:rPr>
          <w:rStyle w:val="eop"/>
          <w:rFonts w:ascii="Calibri" w:hAnsi="Calibri" w:cs="Calibri"/>
          <w:sz w:val="22"/>
          <w:szCs w:val="22"/>
          <w:lang w:val="en-US"/>
        </w:rPr>
        <w:t> </w:t>
      </w:r>
    </w:p>
    <w:p w14:paraId="4D113184"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27A56AF9"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r>
        <w:rPr>
          <w:rStyle w:val="spellingerror"/>
          <w:rFonts w:ascii="Calibri" w:hAnsi="Calibri" w:cs="Calibri"/>
          <w:sz w:val="22"/>
          <w:szCs w:val="22"/>
          <w:lang w:val="en-US"/>
        </w:rPr>
        <w:t>Holsti</w:t>
      </w:r>
      <w:r>
        <w:rPr>
          <w:rStyle w:val="normaltextrun"/>
          <w:rFonts w:ascii="Calibri" w:hAnsi="Calibri" w:cs="Calibri"/>
          <w:sz w:val="22"/>
          <w:szCs w:val="22"/>
          <w:lang w:val="en-US"/>
        </w:rPr>
        <w:t> (1970) argues that recurring patterns of actions can be distinguished in the behavior of states across the globe, independent of state-specific characteristics such as political structure and culture. He attributes this to the national role conceptions held by political leaders: the perception of policy-makers on what decisions and actions are suitable for their state, and the role their state should have within the international system. </w:t>
      </w:r>
      <w:r>
        <w:rPr>
          <w:rStyle w:val="spellingerror"/>
          <w:rFonts w:ascii="Calibri" w:hAnsi="Calibri" w:cs="Calibri"/>
          <w:sz w:val="22"/>
          <w:szCs w:val="22"/>
          <w:lang w:val="en-US"/>
        </w:rPr>
        <w:t>Holsti</w:t>
      </w:r>
      <w:r>
        <w:rPr>
          <w:rStyle w:val="normaltextrun"/>
          <w:rFonts w:ascii="Calibri" w:hAnsi="Calibri" w:cs="Calibri"/>
          <w:sz w:val="22"/>
          <w:szCs w:val="22"/>
          <w:lang w:val="en-US"/>
        </w:rPr>
        <w:t> distinguishes seventeen main roles expressed by government leaders across the globe, showing that structural factors alone cannot explain foreign policy behavior.</w:t>
      </w:r>
      <w:r w:rsidRPr="00101D34">
        <w:rPr>
          <w:rStyle w:val="eop"/>
          <w:rFonts w:ascii="Calibri" w:hAnsi="Calibri" w:cs="Calibri"/>
          <w:sz w:val="22"/>
          <w:szCs w:val="22"/>
          <w:lang w:val="en-US"/>
        </w:rPr>
        <w:t> </w:t>
      </w:r>
    </w:p>
    <w:p w14:paraId="10059A04" w14:textId="77777777" w:rsidR="00101D34" w:rsidRDefault="00101D34" w:rsidP="00101D34">
      <w:pPr>
        <w:pStyle w:val="paragraph"/>
        <w:spacing w:before="0" w:beforeAutospacing="0" w:after="0" w:afterAutospacing="0"/>
        <w:jc w:val="both"/>
        <w:textAlignment w:val="baseline"/>
        <w:rPr>
          <w:rStyle w:val="normaltextrun"/>
          <w:rFonts w:ascii="Calibri" w:hAnsi="Calibri" w:cs="Calibri"/>
          <w:sz w:val="22"/>
          <w:szCs w:val="22"/>
          <w:lang w:val="en-US"/>
        </w:rPr>
      </w:pPr>
    </w:p>
    <w:p w14:paraId="41F250D6" w14:textId="232CA782" w:rsidR="00101D34" w:rsidRDefault="00101D34" w:rsidP="00101D34">
      <w:pPr>
        <w:pStyle w:val="paragraph"/>
        <w:spacing w:before="0" w:beforeAutospacing="0" w:after="0" w:afterAutospacing="0"/>
        <w:jc w:val="both"/>
        <w:textAlignment w:val="baseline"/>
        <w:rPr>
          <w:rStyle w:val="normaltextrun"/>
          <w:rFonts w:ascii="Calibri" w:hAnsi="Calibri" w:cs="Calibri"/>
          <w:sz w:val="22"/>
          <w:szCs w:val="22"/>
          <w:lang w:val="en-US"/>
        </w:rPr>
      </w:pPr>
      <w:r>
        <w:rPr>
          <w:rStyle w:val="normaltextrun"/>
          <w:rFonts w:ascii="Calibri" w:hAnsi="Calibri" w:cs="Calibri"/>
          <w:sz w:val="22"/>
          <w:szCs w:val="22"/>
          <w:lang w:val="en-US"/>
        </w:rPr>
        <w:t>In an effort to connect the academic work on role theory with FPA, </w:t>
      </w:r>
      <w:r>
        <w:rPr>
          <w:rStyle w:val="spellingerror"/>
          <w:rFonts w:ascii="Calibri" w:hAnsi="Calibri" w:cs="Calibri"/>
          <w:sz w:val="22"/>
          <w:szCs w:val="22"/>
          <w:lang w:val="en-US"/>
        </w:rPr>
        <w:t>Cantir</w:t>
      </w:r>
      <w:r>
        <w:rPr>
          <w:rStyle w:val="normaltextrun"/>
          <w:rFonts w:ascii="Calibri" w:hAnsi="Calibri" w:cs="Calibri"/>
          <w:sz w:val="22"/>
          <w:szCs w:val="22"/>
          <w:lang w:val="en-US"/>
        </w:rPr>
        <w:t> &amp; </w:t>
      </w:r>
      <w:r>
        <w:rPr>
          <w:rStyle w:val="spellingerror"/>
          <w:rFonts w:ascii="Calibri" w:hAnsi="Calibri" w:cs="Calibri"/>
          <w:sz w:val="22"/>
          <w:szCs w:val="22"/>
          <w:lang w:val="en-US"/>
        </w:rPr>
        <w:t>Kaarbo</w:t>
      </w:r>
      <w:r>
        <w:rPr>
          <w:rStyle w:val="normaltextrun"/>
          <w:rFonts w:ascii="Calibri" w:hAnsi="Calibri" w:cs="Calibri"/>
          <w:sz w:val="22"/>
          <w:szCs w:val="22"/>
          <w:lang w:val="en-US"/>
        </w:rPr>
        <w:t> (2012) focus on role contestation. They argue that role theory often puts foreign policy elite in a black box: scholars often disregard conflicting role conceptions among the policy-making elites by focusing on foreign policy-outcome only. FPA, however, has concerned itself with conflicting preferences in the decision-making process. </w:t>
      </w:r>
      <w:r>
        <w:rPr>
          <w:rStyle w:val="spellingerror"/>
          <w:rFonts w:ascii="Calibri" w:hAnsi="Calibri" w:cs="Calibri"/>
          <w:sz w:val="22"/>
          <w:szCs w:val="22"/>
          <w:lang w:val="en-US"/>
        </w:rPr>
        <w:t>Cantir</w:t>
      </w:r>
      <w:r>
        <w:rPr>
          <w:rStyle w:val="normaltextrun"/>
          <w:rFonts w:ascii="Calibri" w:hAnsi="Calibri" w:cs="Calibri"/>
          <w:sz w:val="22"/>
          <w:szCs w:val="22"/>
          <w:lang w:val="en-US"/>
        </w:rPr>
        <w:t> &amp; </w:t>
      </w:r>
      <w:r>
        <w:rPr>
          <w:rStyle w:val="spellingerror"/>
          <w:rFonts w:ascii="Calibri" w:hAnsi="Calibri" w:cs="Calibri"/>
          <w:sz w:val="22"/>
          <w:szCs w:val="22"/>
          <w:lang w:val="en-US"/>
        </w:rPr>
        <w:t>Kaabo</w:t>
      </w:r>
      <w:r>
        <w:rPr>
          <w:rStyle w:val="normaltextrun"/>
          <w:rFonts w:ascii="Calibri" w:hAnsi="Calibri" w:cs="Calibri"/>
          <w:sz w:val="22"/>
          <w:szCs w:val="22"/>
          <w:lang w:val="en-US"/>
        </w:rPr>
        <w:t> propose</w:t>
      </w:r>
      <w:r w:rsidR="00FF606F">
        <w:rPr>
          <w:rStyle w:val="normaltextrun"/>
          <w:rFonts w:ascii="Calibri" w:hAnsi="Calibri" w:cs="Calibri"/>
          <w:sz w:val="22"/>
          <w:szCs w:val="22"/>
          <w:lang w:val="en-US"/>
        </w:rPr>
        <w:t xml:space="preserve"> that</w:t>
      </w:r>
      <w:r>
        <w:rPr>
          <w:rStyle w:val="normaltextrun"/>
          <w:rFonts w:ascii="Calibri" w:hAnsi="Calibri" w:cs="Calibri"/>
          <w:sz w:val="22"/>
          <w:szCs w:val="22"/>
          <w:lang w:val="en-US"/>
        </w:rPr>
        <w:t xml:space="preserve"> national role conceptions</w:t>
      </w:r>
      <w:r w:rsidR="00FF606F">
        <w:rPr>
          <w:rStyle w:val="normaltextrun"/>
          <w:rFonts w:ascii="Calibri" w:hAnsi="Calibri" w:cs="Calibri"/>
          <w:sz w:val="22"/>
          <w:szCs w:val="22"/>
          <w:lang w:val="en-US"/>
        </w:rPr>
        <w:t xml:space="preserve"> can serve</w:t>
      </w:r>
      <w:r>
        <w:rPr>
          <w:rStyle w:val="normaltextrun"/>
          <w:rFonts w:ascii="Calibri" w:hAnsi="Calibri" w:cs="Calibri"/>
          <w:sz w:val="22"/>
          <w:szCs w:val="22"/>
          <w:lang w:val="en-US"/>
        </w:rPr>
        <w:t xml:space="preserve"> as a source of conflict among policy-makers in bureaucratic settings, suggesting that conceptions might differ along the lines of the bureaucratic organizations. According to the authors, including role theory would allow FPA-scholars to better incorporate the cognitive and cultural constraints that may shape the interests of decision-making agents.</w:t>
      </w:r>
    </w:p>
    <w:p w14:paraId="0814033A" w14:textId="77777777" w:rsidR="00101D34" w:rsidRDefault="00101D34" w:rsidP="00101D34">
      <w:pPr>
        <w:pStyle w:val="paragraph"/>
        <w:spacing w:before="0" w:beforeAutospacing="0" w:after="0" w:afterAutospacing="0"/>
        <w:jc w:val="both"/>
        <w:textAlignment w:val="baseline"/>
        <w:rPr>
          <w:rStyle w:val="normaltextrun"/>
          <w:rFonts w:ascii="Calibri" w:hAnsi="Calibri" w:cs="Calibri"/>
          <w:sz w:val="22"/>
          <w:szCs w:val="22"/>
          <w:lang w:val="en-US"/>
        </w:rPr>
      </w:pPr>
    </w:p>
    <w:p w14:paraId="02CC879D" w14:textId="7D5CF792"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Although national role conceptions are not included in Allison’s models, his bureaucratic politics model does recognize the importance of bureaucratic positions: he argues that the offices that participants in the negotiation process hold are decisive in determining their interests and preferred policy option. This assumption is often linked to Miles’ law: “where you stand depends on where you sit” (Jones, 2010; Miles, 1978, p. 399). Allison’s notion of bureaucratic roles received considerable criticism, with Krasner (1972) stating that</w:t>
      </w:r>
      <w:r w:rsidR="00DB3971">
        <w:rPr>
          <w:rStyle w:val="normaltextrun"/>
          <w:rFonts w:ascii="Calibri" w:hAnsi="Calibri" w:cs="Calibri"/>
          <w:sz w:val="22"/>
          <w:szCs w:val="22"/>
          <w:lang w:val="en-US"/>
        </w:rPr>
        <w:t xml:space="preserve"> some involved in decision-making</w:t>
      </w:r>
      <w:r>
        <w:rPr>
          <w:rStyle w:val="normaltextrun"/>
          <w:rFonts w:ascii="Calibri" w:hAnsi="Calibri" w:cs="Calibri"/>
          <w:sz w:val="22"/>
          <w:szCs w:val="22"/>
          <w:lang w:val="en-US"/>
        </w:rPr>
        <w:t xml:space="preserve"> do not hold positions within bureaucratic organizations and therefore do not sit anywhere.</w:t>
      </w:r>
      <w:r w:rsidRPr="00101D34">
        <w:rPr>
          <w:rStyle w:val="eop"/>
          <w:rFonts w:ascii="Calibri" w:hAnsi="Calibri" w:cs="Calibri"/>
          <w:sz w:val="22"/>
          <w:szCs w:val="22"/>
          <w:lang w:val="en-US"/>
        </w:rPr>
        <w:t> </w:t>
      </w:r>
    </w:p>
    <w:p w14:paraId="7B7B46B5"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43548232" w14:textId="2BCE5360"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Hollis &amp; Smith (1986) also contest Allison’s notion of positions determining preferences, arguing that this account is too focused on structure. They believe that judgement and reasoning of those fulfilling the position considerably shape their preferences and actions. In an account of the decision-making surrounding the rescue-mission of Americans held hostage at the US Embassy in Teheran, the authors argue that bureaucrats are not mere puppets, but act on reasoned judgement based on rooted beliefs and normative accounts of what is appropriate behavior for them and their organization</w:t>
      </w:r>
      <w:r w:rsidR="00242BBD">
        <w:rPr>
          <w:rStyle w:val="normaltextrun"/>
          <w:rFonts w:ascii="Calibri" w:hAnsi="Calibri" w:cs="Calibri"/>
          <w:sz w:val="22"/>
          <w:szCs w:val="22"/>
          <w:lang w:val="en-US"/>
        </w:rPr>
        <w:t>.</w:t>
      </w:r>
      <w:r>
        <w:rPr>
          <w:rStyle w:val="normaltextrun"/>
          <w:rFonts w:ascii="Calibri" w:hAnsi="Calibri" w:cs="Calibri"/>
          <w:sz w:val="22"/>
          <w:szCs w:val="22"/>
          <w:lang w:val="en-US"/>
        </w:rPr>
        <w:t> According to Hollis and Smith, roles pr</w:t>
      </w:r>
      <w:r w:rsidR="007729E6">
        <w:rPr>
          <w:rStyle w:val="normaltextrun"/>
          <w:rFonts w:ascii="Calibri" w:hAnsi="Calibri" w:cs="Calibri"/>
          <w:sz w:val="22"/>
          <w:szCs w:val="22"/>
          <w:lang w:val="en-US"/>
        </w:rPr>
        <w:t>e</w:t>
      </w:r>
      <w:r>
        <w:rPr>
          <w:rStyle w:val="normaltextrun"/>
          <w:rFonts w:ascii="Calibri" w:hAnsi="Calibri" w:cs="Calibri"/>
          <w:sz w:val="22"/>
          <w:szCs w:val="22"/>
          <w:lang w:val="en-US"/>
        </w:rPr>
        <w:t>scribe formal positions with recognized power, as well as normative expectations of counterparts on how these positions should be fulfilled. The former endows the actor with authority, while particularly the latter puts limitations in place. Both, however, exist in the actor’s relation to others, making roles an essential facilitator of dialogues among decision-makers with differing interests. </w:t>
      </w:r>
      <w:r w:rsidRPr="00101D34">
        <w:rPr>
          <w:rStyle w:val="eop"/>
          <w:rFonts w:ascii="Calibri" w:hAnsi="Calibri" w:cs="Calibri"/>
          <w:sz w:val="22"/>
          <w:szCs w:val="22"/>
          <w:lang w:val="en-US"/>
        </w:rPr>
        <w:t> </w:t>
      </w:r>
    </w:p>
    <w:p w14:paraId="1C138D0F"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35174A92" w14:textId="52CA15EB"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In fulfilling their roles, actors continuously need to make sense of events and determine priorities. Hollis and Smith </w:t>
      </w:r>
      <w:r w:rsidR="00B01BE0">
        <w:rPr>
          <w:rStyle w:val="normaltextrun"/>
          <w:rFonts w:ascii="Calibri" w:hAnsi="Calibri" w:cs="Calibri"/>
          <w:sz w:val="22"/>
          <w:szCs w:val="22"/>
          <w:lang w:val="en-US"/>
        </w:rPr>
        <w:t>state</w:t>
      </w:r>
      <w:r>
        <w:rPr>
          <w:rStyle w:val="normaltextrun"/>
          <w:rFonts w:ascii="Calibri" w:hAnsi="Calibri" w:cs="Calibri"/>
          <w:sz w:val="22"/>
          <w:szCs w:val="22"/>
          <w:lang w:val="en-US"/>
        </w:rPr>
        <w:t xml:space="preserve"> that personal beliefs and adhered norms within the organizational context play a considerable role in shaping the preferences of decision-makers. They convincingly argue that </w:t>
      </w:r>
      <w:r w:rsidR="00D50725">
        <w:rPr>
          <w:rStyle w:val="normaltextrun"/>
          <w:rFonts w:ascii="Calibri" w:hAnsi="Calibri" w:cs="Calibri"/>
          <w:sz w:val="22"/>
          <w:szCs w:val="22"/>
          <w:lang w:val="en-US"/>
        </w:rPr>
        <w:t>Allison’s</w:t>
      </w:r>
      <w:r>
        <w:rPr>
          <w:rStyle w:val="normaltextrun"/>
          <w:rFonts w:ascii="Calibri" w:hAnsi="Calibri" w:cs="Calibri"/>
          <w:sz w:val="22"/>
          <w:szCs w:val="22"/>
          <w:lang w:val="en-US"/>
        </w:rPr>
        <w:t xml:space="preserve"> bureaucratic politics model is able to grasp the structural notion of conflicting views among office holders with power, but that it fails to capture the ways in which personal capabilities and beliefs as well as organizational norms shape the preferences pursued during negotiations.</w:t>
      </w:r>
      <w:r w:rsidRPr="00101D34">
        <w:rPr>
          <w:rStyle w:val="eop"/>
          <w:rFonts w:ascii="Calibri" w:hAnsi="Calibri" w:cs="Calibri"/>
          <w:sz w:val="22"/>
          <w:szCs w:val="22"/>
          <w:lang w:val="en-US"/>
        </w:rPr>
        <w:t> </w:t>
      </w:r>
    </w:p>
    <w:p w14:paraId="59949FE0" w14:textId="77777777"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p>
    <w:p w14:paraId="35C6303D" w14:textId="77777777" w:rsidR="00101D34" w:rsidRPr="00204B22" w:rsidRDefault="00101D34" w:rsidP="00101D34">
      <w:pPr>
        <w:pStyle w:val="Kop4"/>
        <w:rPr>
          <w:color w:val="auto"/>
          <w:lang w:val="en-US"/>
        </w:rPr>
      </w:pPr>
      <w:r w:rsidRPr="00204B22">
        <w:rPr>
          <w:color w:val="auto"/>
          <w:lang w:val="en-US"/>
        </w:rPr>
        <w:t>Organizational culture</w:t>
      </w:r>
    </w:p>
    <w:p w14:paraId="0F35622A" w14:textId="51028219"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Hollis &amp; Smith</w:t>
      </w:r>
      <w:r w:rsidR="00935761">
        <w:rPr>
          <w:rStyle w:val="normaltextrun"/>
          <w:rFonts w:ascii="Calibri" w:hAnsi="Calibri" w:cs="Calibri"/>
          <w:sz w:val="22"/>
          <w:szCs w:val="22"/>
          <w:lang w:val="en-US"/>
        </w:rPr>
        <w:t xml:space="preserve"> (1986)</w:t>
      </w:r>
      <w:r>
        <w:rPr>
          <w:rStyle w:val="normaltextrun"/>
          <w:rFonts w:ascii="Calibri" w:hAnsi="Calibri" w:cs="Calibri"/>
          <w:sz w:val="22"/>
          <w:szCs w:val="22"/>
          <w:lang w:val="en-US"/>
        </w:rPr>
        <w:t xml:space="preserve"> emphasize that there is a normative aspect to bureaucratic roles: it is not only the formal description of the role that determines how actors fulfill it, the expectations of those involved with the agency they work for impact it as well. Norms offer a shared frame of reference within organizations of what is acceptable and suited behavior. Scholars on organizational culture argue that there is a sense of shared knowledge within organizations</w:t>
      </w:r>
      <w:r w:rsidR="00DB3971">
        <w:rPr>
          <w:rStyle w:val="normaltextrun"/>
          <w:rFonts w:ascii="Calibri" w:hAnsi="Calibri" w:cs="Calibri"/>
          <w:sz w:val="22"/>
          <w:szCs w:val="22"/>
          <w:lang w:val="en-US"/>
        </w:rPr>
        <w:t>: within this specific context, there is a widely agreed</w:t>
      </w:r>
      <w:r w:rsidR="00935761">
        <w:rPr>
          <w:rStyle w:val="normaltextrun"/>
          <w:rFonts w:ascii="Calibri" w:hAnsi="Calibri" w:cs="Calibri"/>
          <w:sz w:val="22"/>
          <w:szCs w:val="22"/>
          <w:lang w:val="en-US"/>
        </w:rPr>
        <w:t>-</w:t>
      </w:r>
      <w:r w:rsidR="00DB3971">
        <w:rPr>
          <w:rStyle w:val="normaltextrun"/>
          <w:rFonts w:ascii="Calibri" w:hAnsi="Calibri" w:cs="Calibri"/>
          <w:sz w:val="22"/>
          <w:szCs w:val="22"/>
          <w:lang w:val="en-US"/>
        </w:rPr>
        <w:t xml:space="preserve">upon understanding on which ideas and actions are </w:t>
      </w:r>
      <w:r w:rsidR="004445C5">
        <w:rPr>
          <w:rStyle w:val="normaltextrun"/>
          <w:rFonts w:ascii="Calibri" w:hAnsi="Calibri" w:cs="Calibri"/>
          <w:sz w:val="22"/>
          <w:szCs w:val="22"/>
          <w:lang w:val="en-US"/>
        </w:rPr>
        <w:t>r</w:t>
      </w:r>
      <w:r w:rsidR="00DB3971">
        <w:rPr>
          <w:rStyle w:val="normaltextrun"/>
          <w:rFonts w:ascii="Calibri" w:hAnsi="Calibri" w:cs="Calibri"/>
          <w:sz w:val="22"/>
          <w:szCs w:val="22"/>
          <w:lang w:val="en-US"/>
        </w:rPr>
        <w:t>ight</w:t>
      </w:r>
      <w:r>
        <w:rPr>
          <w:rStyle w:val="normaltextrun"/>
          <w:rFonts w:ascii="Calibri" w:hAnsi="Calibri" w:cs="Calibri"/>
          <w:sz w:val="22"/>
          <w:szCs w:val="22"/>
          <w:lang w:val="en-US"/>
        </w:rPr>
        <w:t xml:space="preserve"> (Gerner, 1995; Hofstede et al., 1990; Ott, 1989). This organizational culture allows employees to understand and anticipate their environment and each other. </w:t>
      </w:r>
      <w:r w:rsidR="00DB3971">
        <w:rPr>
          <w:rStyle w:val="normaltextrun"/>
          <w:rFonts w:ascii="Calibri" w:hAnsi="Calibri" w:cs="Calibri"/>
          <w:sz w:val="22"/>
          <w:szCs w:val="22"/>
          <w:lang w:val="en-US"/>
        </w:rPr>
        <w:t>I</w:t>
      </w:r>
      <w:r>
        <w:rPr>
          <w:rStyle w:val="normaltextrun"/>
          <w:rFonts w:ascii="Calibri" w:hAnsi="Calibri" w:cs="Calibri"/>
          <w:sz w:val="22"/>
          <w:szCs w:val="22"/>
          <w:lang w:val="en-US"/>
        </w:rPr>
        <w:t>t also has material consequences, as it determines which ideas and competences are</w:t>
      </w:r>
      <w:r w:rsidR="00AE1009">
        <w:rPr>
          <w:rStyle w:val="normaltextrun"/>
          <w:rFonts w:ascii="Calibri" w:hAnsi="Calibri" w:cs="Calibri"/>
          <w:sz w:val="22"/>
          <w:szCs w:val="22"/>
          <w:lang w:val="en-US"/>
        </w:rPr>
        <w:t xml:space="preserve"> deemed</w:t>
      </w:r>
      <w:r>
        <w:rPr>
          <w:rStyle w:val="normaltextrun"/>
          <w:rFonts w:ascii="Calibri" w:hAnsi="Calibri" w:cs="Calibri"/>
          <w:sz w:val="22"/>
          <w:szCs w:val="22"/>
          <w:lang w:val="en-US"/>
        </w:rPr>
        <w:t xml:space="preserve"> worthy of resources. Organizational culture is </w:t>
      </w:r>
      <w:r w:rsidR="00D50725">
        <w:rPr>
          <w:rStyle w:val="normaltextrun"/>
          <w:rFonts w:ascii="Calibri" w:hAnsi="Calibri" w:cs="Calibri"/>
          <w:sz w:val="22"/>
          <w:szCs w:val="22"/>
          <w:lang w:val="en-US"/>
        </w:rPr>
        <w:t xml:space="preserve">thus </w:t>
      </w:r>
      <w:r>
        <w:rPr>
          <w:rStyle w:val="normaltextrun"/>
          <w:rFonts w:ascii="Calibri" w:hAnsi="Calibri" w:cs="Calibri"/>
          <w:sz w:val="22"/>
          <w:szCs w:val="22"/>
          <w:lang w:val="en-US"/>
        </w:rPr>
        <w:t xml:space="preserve">thought to have considerable effect on the priorities, capabilities, and behavior of </w:t>
      </w:r>
      <w:r w:rsidR="00F736EE">
        <w:rPr>
          <w:rStyle w:val="normaltextrun"/>
          <w:rFonts w:ascii="Calibri" w:hAnsi="Calibri" w:cs="Calibri"/>
          <w:sz w:val="22"/>
          <w:szCs w:val="22"/>
          <w:lang w:val="en-US"/>
        </w:rPr>
        <w:t xml:space="preserve">actors and </w:t>
      </w:r>
      <w:r>
        <w:rPr>
          <w:rStyle w:val="normaltextrun"/>
          <w:rFonts w:ascii="Calibri" w:hAnsi="Calibri" w:cs="Calibri"/>
          <w:sz w:val="22"/>
          <w:szCs w:val="22"/>
          <w:lang w:val="en-US"/>
        </w:rPr>
        <w:t>agencies. </w:t>
      </w:r>
      <w:r w:rsidRPr="00101D34">
        <w:rPr>
          <w:rStyle w:val="eop"/>
          <w:rFonts w:ascii="Calibri" w:hAnsi="Calibri" w:cs="Calibri"/>
          <w:sz w:val="22"/>
          <w:szCs w:val="22"/>
          <w:lang w:val="en-US"/>
        </w:rPr>
        <w:t> </w:t>
      </w:r>
    </w:p>
    <w:p w14:paraId="0E039C1C"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3B889026" w14:textId="0C837684"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The notion of organization</w:t>
      </w:r>
      <w:r w:rsidR="008C1433">
        <w:rPr>
          <w:rStyle w:val="normaltextrun"/>
          <w:rFonts w:ascii="Calibri" w:hAnsi="Calibri" w:cs="Calibri"/>
          <w:sz w:val="22"/>
          <w:szCs w:val="22"/>
          <w:lang w:val="en-US"/>
        </w:rPr>
        <w:t>al</w:t>
      </w:r>
      <w:r>
        <w:rPr>
          <w:rStyle w:val="normaltextrun"/>
          <w:rFonts w:ascii="Calibri" w:hAnsi="Calibri" w:cs="Calibri"/>
          <w:sz w:val="22"/>
          <w:szCs w:val="22"/>
          <w:lang w:val="en-US"/>
        </w:rPr>
        <w:t xml:space="preserve"> culture suggests that the behavior of bureaucrats in large organizations is predictable to a certain extent. Many meanings have been attributed to the concept of organizational culture (Schein, 1990). In its broadest sense it entails a shared understanding of how things are done in the organizations. A variety of values, assumptions and artefacts make up the rules of the game (Gerner, 1995; Schein, 1990). Organizational culture is intersubjectively produced and is continuously reproduced. </w:t>
      </w:r>
      <w:r w:rsidR="00D50725">
        <w:rPr>
          <w:rStyle w:val="normaltextrun"/>
          <w:rFonts w:ascii="Calibri" w:hAnsi="Calibri" w:cs="Calibri"/>
          <w:sz w:val="22"/>
          <w:szCs w:val="22"/>
          <w:lang w:val="en-US"/>
        </w:rPr>
        <w:t>Bureaucrats</w:t>
      </w:r>
      <w:r>
        <w:rPr>
          <w:rStyle w:val="normaltextrun"/>
          <w:rFonts w:ascii="Calibri" w:hAnsi="Calibri" w:cs="Calibri"/>
          <w:sz w:val="22"/>
          <w:szCs w:val="22"/>
          <w:lang w:val="en-US"/>
        </w:rPr>
        <w:t xml:space="preserve"> are selected </w:t>
      </w:r>
      <w:r w:rsidR="00D50725">
        <w:rPr>
          <w:rStyle w:val="normaltextrun"/>
          <w:rFonts w:ascii="Calibri" w:hAnsi="Calibri" w:cs="Calibri"/>
          <w:sz w:val="22"/>
          <w:szCs w:val="22"/>
          <w:lang w:val="en-US"/>
        </w:rPr>
        <w:t xml:space="preserve">by their peers </w:t>
      </w:r>
      <w:r>
        <w:rPr>
          <w:rStyle w:val="normaltextrun"/>
          <w:rFonts w:ascii="Calibri" w:hAnsi="Calibri" w:cs="Calibri"/>
          <w:sz w:val="22"/>
          <w:szCs w:val="22"/>
          <w:lang w:val="en-US"/>
        </w:rPr>
        <w:t>based on their perceived ability to fit in the existing culture</w:t>
      </w:r>
      <w:r w:rsidR="00D50725">
        <w:rPr>
          <w:rStyle w:val="normaltextrun"/>
          <w:rFonts w:ascii="Calibri" w:hAnsi="Calibri" w:cs="Calibri"/>
          <w:sz w:val="22"/>
          <w:szCs w:val="22"/>
          <w:lang w:val="en-US"/>
        </w:rPr>
        <w:t>. Afterwards</w:t>
      </w:r>
      <w:r>
        <w:rPr>
          <w:rStyle w:val="normaltextrun"/>
          <w:rFonts w:ascii="Calibri" w:hAnsi="Calibri" w:cs="Calibri"/>
          <w:sz w:val="22"/>
          <w:szCs w:val="22"/>
          <w:lang w:val="en-US"/>
        </w:rPr>
        <w:t xml:space="preserve">, both socialization and the need to adhere to the norms to advance their career stimulate </w:t>
      </w:r>
      <w:r w:rsidR="00D50725">
        <w:rPr>
          <w:rStyle w:val="normaltextrun"/>
          <w:rFonts w:ascii="Calibri" w:hAnsi="Calibri" w:cs="Calibri"/>
          <w:sz w:val="22"/>
          <w:szCs w:val="22"/>
          <w:lang w:val="en-US"/>
        </w:rPr>
        <w:t>bureaucratic actors</w:t>
      </w:r>
      <w:r>
        <w:rPr>
          <w:rStyle w:val="normaltextrun"/>
          <w:rFonts w:ascii="Calibri" w:hAnsi="Calibri" w:cs="Calibri"/>
          <w:sz w:val="22"/>
          <w:szCs w:val="22"/>
          <w:lang w:val="en-US"/>
        </w:rPr>
        <w:t xml:space="preserve"> to adhere to the existing cultural norms and practices (Ten Berge &amp; Oteman, 2016).</w:t>
      </w:r>
      <w:r w:rsidRPr="00101D34">
        <w:rPr>
          <w:rStyle w:val="eop"/>
          <w:rFonts w:ascii="Calibri" w:hAnsi="Calibri" w:cs="Calibri"/>
          <w:sz w:val="22"/>
          <w:szCs w:val="22"/>
          <w:lang w:val="en-US"/>
        </w:rPr>
        <w:t> </w:t>
      </w:r>
    </w:p>
    <w:p w14:paraId="010EE191"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32F03066" w14:textId="60FE429E"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In his</w:t>
      </w:r>
      <w:r w:rsidR="00F62A97">
        <w:rPr>
          <w:rStyle w:val="normaltextrun"/>
          <w:rFonts w:ascii="Calibri" w:hAnsi="Calibri" w:cs="Calibri"/>
          <w:sz w:val="22"/>
          <w:szCs w:val="22"/>
          <w:lang w:val="en-US"/>
        </w:rPr>
        <w:t xml:space="preserve"> revised</w:t>
      </w:r>
      <w:r>
        <w:rPr>
          <w:rStyle w:val="normaltextrun"/>
          <w:rFonts w:ascii="Calibri" w:hAnsi="Calibri" w:cs="Calibri"/>
          <w:sz w:val="22"/>
          <w:szCs w:val="22"/>
          <w:lang w:val="en-US"/>
        </w:rPr>
        <w:t xml:space="preserve"> Model II, Allison aims to incorporate organizational culture</w:t>
      </w:r>
      <w:r w:rsidR="0071709C">
        <w:rPr>
          <w:rStyle w:val="normaltextrun"/>
          <w:rFonts w:ascii="Calibri" w:hAnsi="Calibri" w:cs="Calibri"/>
          <w:sz w:val="22"/>
          <w:szCs w:val="22"/>
          <w:lang w:val="en-US"/>
        </w:rPr>
        <w:t xml:space="preserve"> (Allison &amp; Zelikow, 1999)</w:t>
      </w:r>
      <w:r>
        <w:rPr>
          <w:rStyle w:val="normaltextrun"/>
          <w:rFonts w:ascii="Calibri" w:hAnsi="Calibri" w:cs="Calibri"/>
          <w:sz w:val="22"/>
          <w:szCs w:val="22"/>
          <w:lang w:val="en-US"/>
        </w:rPr>
        <w:t xml:space="preserve">. He notes that the judgement </w:t>
      </w:r>
      <w:r w:rsidR="00D50725">
        <w:rPr>
          <w:rStyle w:val="normaltextrun"/>
          <w:rFonts w:ascii="Calibri" w:hAnsi="Calibri" w:cs="Calibri"/>
          <w:sz w:val="22"/>
          <w:szCs w:val="22"/>
          <w:lang w:val="en-US"/>
        </w:rPr>
        <w:t>of</w:t>
      </w:r>
      <w:r>
        <w:rPr>
          <w:rStyle w:val="normaltextrun"/>
          <w:rFonts w:ascii="Calibri" w:hAnsi="Calibri" w:cs="Calibri"/>
          <w:sz w:val="22"/>
          <w:szCs w:val="22"/>
          <w:lang w:val="en-US"/>
        </w:rPr>
        <w:t xml:space="preserve"> the appropriateness of certain policy alternatives is impacted by the norms and routines in place at the organizations. The generation and consideration of policy alternatives is shaped by the members’ understanding of their organizational mission and capabilities. Allison acknowledges that this organizational culture is intersubjective: it is upheld by members of the organization, who pass it on to new generations. However, Allison’s Model II subsequently focuses on the organization as the central unit of analysis. Because of this, the impact of bureaucratic roles and the intersubjective bargain over who impacts organizational culture is not captured. Focusing on the organization as the unit of analysis does not allow </w:t>
      </w:r>
      <w:r w:rsidR="00FD3550">
        <w:rPr>
          <w:rStyle w:val="normaltextrun"/>
          <w:rFonts w:ascii="Calibri" w:hAnsi="Calibri" w:cs="Calibri"/>
          <w:sz w:val="22"/>
          <w:szCs w:val="22"/>
          <w:lang w:val="en-US"/>
        </w:rPr>
        <w:t>for</w:t>
      </w:r>
      <w:r>
        <w:rPr>
          <w:rStyle w:val="normaltextrun"/>
          <w:rFonts w:ascii="Calibri" w:hAnsi="Calibri" w:cs="Calibri"/>
          <w:sz w:val="22"/>
          <w:szCs w:val="22"/>
          <w:lang w:val="en-US"/>
        </w:rPr>
        <w:t xml:space="preserve"> the </w:t>
      </w:r>
      <w:r w:rsidR="00FD3550">
        <w:rPr>
          <w:rStyle w:val="normaltextrun"/>
          <w:rFonts w:ascii="Calibri" w:hAnsi="Calibri" w:cs="Calibri"/>
          <w:sz w:val="22"/>
          <w:szCs w:val="22"/>
          <w:lang w:val="en-US"/>
        </w:rPr>
        <w:t>inclusion of</w:t>
      </w:r>
      <w:r>
        <w:rPr>
          <w:rStyle w:val="normaltextrun"/>
          <w:rFonts w:ascii="Calibri" w:hAnsi="Calibri" w:cs="Calibri"/>
          <w:sz w:val="22"/>
          <w:szCs w:val="22"/>
          <w:lang w:val="en-US"/>
        </w:rPr>
        <w:t xml:space="preserve"> self-interested behavior </w:t>
      </w:r>
      <w:r w:rsidR="00FD3550">
        <w:rPr>
          <w:rStyle w:val="normaltextrun"/>
          <w:rFonts w:ascii="Calibri" w:hAnsi="Calibri" w:cs="Calibri"/>
          <w:sz w:val="22"/>
          <w:szCs w:val="22"/>
          <w:lang w:val="en-US"/>
        </w:rPr>
        <w:t>portrayed by</w:t>
      </w:r>
      <w:r>
        <w:rPr>
          <w:rStyle w:val="normaltextrun"/>
          <w:rFonts w:ascii="Calibri" w:hAnsi="Calibri" w:cs="Calibri"/>
          <w:sz w:val="22"/>
          <w:szCs w:val="22"/>
          <w:lang w:val="en-US"/>
        </w:rPr>
        <w:t xml:space="preserve"> sub-units and career-oriented members who compete over positions and resources within the organization. Additionally, </w:t>
      </w:r>
      <w:r w:rsidR="00855334">
        <w:rPr>
          <w:rStyle w:val="normaltextrun"/>
          <w:rFonts w:ascii="Calibri" w:hAnsi="Calibri" w:cs="Calibri"/>
          <w:sz w:val="22"/>
          <w:szCs w:val="22"/>
          <w:lang w:val="en-US"/>
        </w:rPr>
        <w:t xml:space="preserve">it </w:t>
      </w:r>
      <w:r>
        <w:rPr>
          <w:rStyle w:val="normaltextrun"/>
          <w:rFonts w:ascii="Calibri" w:hAnsi="Calibri" w:cs="Calibri"/>
          <w:sz w:val="22"/>
          <w:szCs w:val="22"/>
          <w:lang w:val="en-US"/>
        </w:rPr>
        <w:t>does not acknowledge that the beliefs reflective of organizational culture might be ideational, rather than solely concerning technical organizational matters.</w:t>
      </w:r>
      <w:r w:rsidRPr="00101D34">
        <w:rPr>
          <w:rStyle w:val="eop"/>
          <w:rFonts w:ascii="Calibri" w:hAnsi="Calibri" w:cs="Calibri"/>
          <w:sz w:val="22"/>
          <w:szCs w:val="22"/>
          <w:lang w:val="en-US"/>
        </w:rPr>
        <w:t> </w:t>
      </w:r>
    </w:p>
    <w:p w14:paraId="437D7FCA"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409C3958" w14:textId="2027C41A"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Allison’s bureaucratic politics model does focus on the individual as the central unit of analysis, arguing that individuals with different interests pr</w:t>
      </w:r>
      <w:r w:rsidR="007729E6">
        <w:rPr>
          <w:rStyle w:val="normaltextrun"/>
          <w:rFonts w:ascii="Calibri" w:hAnsi="Calibri" w:cs="Calibri"/>
          <w:sz w:val="22"/>
          <w:szCs w:val="22"/>
          <w:lang w:val="en-US"/>
        </w:rPr>
        <w:t>e</w:t>
      </w:r>
      <w:r>
        <w:rPr>
          <w:rStyle w:val="normaltextrun"/>
          <w:rFonts w:ascii="Calibri" w:hAnsi="Calibri" w:cs="Calibri"/>
          <w:sz w:val="22"/>
          <w:szCs w:val="22"/>
          <w:lang w:val="en-US"/>
        </w:rPr>
        <w:t xml:space="preserve">scribed by their bureaucratic positions are engaged in </w:t>
      </w:r>
      <w:r w:rsidR="00D50725">
        <w:rPr>
          <w:rStyle w:val="normaltextrun"/>
          <w:rFonts w:ascii="Calibri" w:hAnsi="Calibri" w:cs="Calibri"/>
          <w:sz w:val="22"/>
          <w:szCs w:val="22"/>
          <w:lang w:val="en-US"/>
        </w:rPr>
        <w:t>bargaining games</w:t>
      </w:r>
      <w:r>
        <w:rPr>
          <w:rStyle w:val="normaltextrun"/>
          <w:rFonts w:ascii="Calibri" w:hAnsi="Calibri" w:cs="Calibri"/>
          <w:sz w:val="22"/>
          <w:szCs w:val="22"/>
          <w:lang w:val="en-US"/>
        </w:rPr>
        <w:t xml:space="preserve"> to shape policy-outcome in their favor</w:t>
      </w:r>
      <w:r w:rsidR="006377CE">
        <w:rPr>
          <w:rStyle w:val="normaltextrun"/>
          <w:rFonts w:ascii="Calibri" w:hAnsi="Calibri" w:cs="Calibri"/>
          <w:sz w:val="22"/>
          <w:szCs w:val="22"/>
          <w:lang w:val="en-US"/>
        </w:rPr>
        <w:t xml:space="preserve"> (Allison, 1969; Allison, 1971)</w:t>
      </w:r>
      <w:r>
        <w:rPr>
          <w:rStyle w:val="normaltextrun"/>
          <w:rFonts w:ascii="Calibri" w:hAnsi="Calibri" w:cs="Calibri"/>
          <w:sz w:val="22"/>
          <w:szCs w:val="22"/>
          <w:lang w:val="en-US"/>
        </w:rPr>
        <w:t xml:space="preserve">. However, the bureaucratic politics model assumes that organizational structure, that is the positions of the participants, determine </w:t>
      </w:r>
      <w:r w:rsidR="00FD3550">
        <w:rPr>
          <w:rStyle w:val="normaltextrun"/>
          <w:rFonts w:ascii="Calibri" w:hAnsi="Calibri" w:cs="Calibri"/>
          <w:sz w:val="22"/>
          <w:szCs w:val="22"/>
          <w:lang w:val="en-US"/>
        </w:rPr>
        <w:t>the preferences</w:t>
      </w:r>
      <w:r>
        <w:rPr>
          <w:rStyle w:val="normaltextrun"/>
          <w:rFonts w:ascii="Calibri" w:hAnsi="Calibri" w:cs="Calibri"/>
          <w:sz w:val="22"/>
          <w:szCs w:val="22"/>
          <w:lang w:val="en-US"/>
        </w:rPr>
        <w:t xml:space="preserve"> and therefore the behavior of organizations (Legro, 1997). </w:t>
      </w:r>
      <w:r w:rsidR="00D50725">
        <w:rPr>
          <w:rStyle w:val="normaltextrun"/>
          <w:rFonts w:ascii="Calibri" w:hAnsi="Calibri" w:cs="Calibri"/>
          <w:sz w:val="22"/>
          <w:szCs w:val="22"/>
          <w:lang w:val="en-US"/>
        </w:rPr>
        <w:t xml:space="preserve">All organizations are expected to advocate policies that provide opportunities for them to be involved. </w:t>
      </w:r>
      <w:r w:rsidR="00D50725">
        <w:rPr>
          <w:rStyle w:val="contextualspellingandgrammarerror"/>
          <w:rFonts w:ascii="Calibri" w:hAnsi="Calibri" w:cs="Calibri"/>
          <w:sz w:val="22"/>
          <w:szCs w:val="22"/>
          <w:lang w:val="en-US"/>
        </w:rPr>
        <w:t>Likewise, s</w:t>
      </w:r>
      <w:r>
        <w:rPr>
          <w:rStyle w:val="contextualspellingandgrammarerror"/>
          <w:rFonts w:ascii="Calibri" w:hAnsi="Calibri" w:cs="Calibri"/>
          <w:sz w:val="22"/>
          <w:szCs w:val="22"/>
          <w:lang w:val="en-US"/>
        </w:rPr>
        <w:t>imilarly</w:t>
      </w:r>
      <w:r>
        <w:rPr>
          <w:rStyle w:val="normaltextrun"/>
          <w:rFonts w:ascii="Calibri" w:hAnsi="Calibri" w:cs="Calibri"/>
          <w:sz w:val="22"/>
          <w:szCs w:val="22"/>
          <w:lang w:val="en-US"/>
        </w:rPr>
        <w:t xml:space="preserve"> structured departments would be expected to portray similar behavior. The organizational culture approach argues that </w:t>
      </w:r>
      <w:r w:rsidR="00832B89">
        <w:rPr>
          <w:rStyle w:val="normaltextrun"/>
          <w:rFonts w:ascii="Calibri" w:hAnsi="Calibri" w:cs="Calibri"/>
          <w:sz w:val="22"/>
          <w:szCs w:val="22"/>
          <w:lang w:val="en-US"/>
        </w:rPr>
        <w:t xml:space="preserve">formal </w:t>
      </w:r>
      <w:r>
        <w:rPr>
          <w:rStyle w:val="normaltextrun"/>
          <w:rFonts w:ascii="Calibri" w:hAnsi="Calibri" w:cs="Calibri"/>
          <w:sz w:val="22"/>
          <w:szCs w:val="22"/>
          <w:lang w:val="en-US"/>
        </w:rPr>
        <w:t xml:space="preserve">organizational </w:t>
      </w:r>
      <w:r w:rsidR="00860219">
        <w:rPr>
          <w:rStyle w:val="normaltextrun"/>
          <w:rFonts w:ascii="Calibri" w:hAnsi="Calibri" w:cs="Calibri"/>
          <w:sz w:val="22"/>
          <w:szCs w:val="22"/>
          <w:lang w:val="en-US"/>
        </w:rPr>
        <w:t>structure</w:t>
      </w:r>
      <w:r>
        <w:rPr>
          <w:rStyle w:val="normaltextrun"/>
          <w:rFonts w:ascii="Calibri" w:hAnsi="Calibri" w:cs="Calibri"/>
          <w:sz w:val="22"/>
          <w:szCs w:val="22"/>
          <w:lang w:val="en-US"/>
        </w:rPr>
        <w:t xml:space="preserve"> </w:t>
      </w:r>
      <w:r w:rsidR="00D50725">
        <w:rPr>
          <w:rStyle w:val="normaltextrun"/>
          <w:rFonts w:ascii="Calibri" w:hAnsi="Calibri" w:cs="Calibri"/>
          <w:sz w:val="22"/>
          <w:szCs w:val="22"/>
          <w:lang w:val="en-US"/>
        </w:rPr>
        <w:t>does</w:t>
      </w:r>
      <w:r>
        <w:rPr>
          <w:rStyle w:val="normaltextrun"/>
          <w:rFonts w:ascii="Calibri" w:hAnsi="Calibri" w:cs="Calibri"/>
          <w:sz w:val="22"/>
          <w:szCs w:val="22"/>
          <w:lang w:val="en-US"/>
        </w:rPr>
        <w:t xml:space="preserve"> not </w:t>
      </w:r>
      <w:r w:rsidR="00D50725">
        <w:rPr>
          <w:rStyle w:val="normaltextrun"/>
          <w:rFonts w:ascii="Calibri" w:hAnsi="Calibri" w:cs="Calibri"/>
          <w:sz w:val="22"/>
          <w:szCs w:val="22"/>
          <w:lang w:val="en-US"/>
        </w:rPr>
        <w:t>exclusively determine policy preferences,</w:t>
      </w:r>
      <w:r>
        <w:rPr>
          <w:rStyle w:val="normaltextrun"/>
          <w:rFonts w:ascii="Calibri" w:hAnsi="Calibri" w:cs="Calibri"/>
          <w:sz w:val="22"/>
          <w:szCs w:val="22"/>
          <w:lang w:val="en-US"/>
        </w:rPr>
        <w:t xml:space="preserve"> and that the agency’s dominant beliefs and ideas may cause </w:t>
      </w:r>
      <w:r>
        <w:rPr>
          <w:rStyle w:val="contextualspellingandgrammarerror"/>
          <w:rFonts w:ascii="Calibri" w:hAnsi="Calibri" w:cs="Calibri"/>
          <w:sz w:val="22"/>
          <w:szCs w:val="22"/>
          <w:lang w:val="en-US"/>
        </w:rPr>
        <w:t>considerable deviations</w:t>
      </w:r>
      <w:r>
        <w:rPr>
          <w:rStyle w:val="normaltextrun"/>
          <w:rFonts w:ascii="Calibri" w:hAnsi="Calibri" w:cs="Calibri"/>
          <w:sz w:val="22"/>
          <w:szCs w:val="22"/>
          <w:lang w:val="en-US"/>
        </w:rPr>
        <w:t> among structurally alike organizations. Solely structural approaches are unable to capture the impact of culture, thus falling short in explaining the role of organizational identities, practices, and priorities in determining policy-outcome.</w:t>
      </w:r>
      <w:r w:rsidRPr="00101D34">
        <w:rPr>
          <w:rStyle w:val="eop"/>
          <w:rFonts w:ascii="Calibri" w:hAnsi="Calibri" w:cs="Calibri"/>
          <w:sz w:val="22"/>
          <w:szCs w:val="22"/>
          <w:lang w:val="en-US"/>
        </w:rPr>
        <w:t> </w:t>
      </w:r>
    </w:p>
    <w:p w14:paraId="4450B5BE"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67590C84" w14:textId="77777777" w:rsidR="00101D34" w:rsidRDefault="00101D34" w:rsidP="00101D34">
      <w:pPr>
        <w:pStyle w:val="paragraph"/>
        <w:spacing w:before="0" w:beforeAutospacing="0" w:after="0" w:afterAutospacing="0"/>
        <w:jc w:val="both"/>
        <w:textAlignment w:val="baseline"/>
        <w:rPr>
          <w:rStyle w:val="eop"/>
          <w:rFonts w:ascii="Calibri" w:hAnsi="Calibri" w:cs="Calibri"/>
          <w:sz w:val="22"/>
          <w:szCs w:val="22"/>
          <w:lang w:val="en-US"/>
        </w:rPr>
      </w:pPr>
      <w:r>
        <w:rPr>
          <w:rStyle w:val="normaltextrun"/>
          <w:rFonts w:ascii="Calibri" w:hAnsi="Calibri" w:cs="Calibri"/>
          <w:sz w:val="22"/>
          <w:szCs w:val="22"/>
          <w:lang w:val="en-US"/>
        </w:rPr>
        <w:t>According to Allison’s bureaucratic politics model, the bargaining game among powerful bureaucratic representatives is an ongoing struggle for sufficient clout to see their interests represented. Allison argues that the rules of the game are determined by both formal and informal rules, citing culture as one of its sources. Organizational culture determines how actors interact, how information is processed, and what actors consider to be appropriate paths of action. Whereas Allison argues that bargaining based on individual rationality is what causes collective suboptimal policy outcomes, this alternative approach suggests that organizational culture leads to specific notions of rational or appropriate policy decisions. The internal rules of the game impact the cost-benefit analysis to such an extent that organizational culture determines which practices and action paths are preferable.</w:t>
      </w:r>
      <w:r w:rsidRPr="00101D34">
        <w:rPr>
          <w:rStyle w:val="eop"/>
          <w:rFonts w:ascii="Calibri" w:hAnsi="Calibri" w:cs="Calibri"/>
          <w:sz w:val="22"/>
          <w:szCs w:val="22"/>
          <w:lang w:val="en-US"/>
        </w:rPr>
        <w:t> </w:t>
      </w:r>
    </w:p>
    <w:p w14:paraId="5E4223A1" w14:textId="77777777" w:rsidR="0037038F" w:rsidRDefault="0037038F" w:rsidP="00101D34">
      <w:pPr>
        <w:pStyle w:val="paragraph"/>
        <w:spacing w:before="0" w:beforeAutospacing="0" w:after="0" w:afterAutospacing="0"/>
        <w:jc w:val="both"/>
        <w:textAlignment w:val="baseline"/>
        <w:rPr>
          <w:rStyle w:val="eop"/>
          <w:rFonts w:ascii="Calibri" w:hAnsi="Calibri" w:cs="Calibri"/>
          <w:sz w:val="22"/>
          <w:szCs w:val="22"/>
          <w:lang w:val="en-US"/>
        </w:rPr>
      </w:pPr>
    </w:p>
    <w:p w14:paraId="2A5DC51C" w14:textId="6F342406" w:rsidR="0037038F" w:rsidRPr="00204B22" w:rsidRDefault="0037038F" w:rsidP="0037038F">
      <w:pPr>
        <w:pStyle w:val="Kop3"/>
        <w:rPr>
          <w:rFonts w:eastAsia="Times New Roman"/>
          <w:color w:val="auto"/>
          <w:u w:val="single"/>
          <w:lang w:val="en-US" w:eastAsia="nl-NL"/>
        </w:rPr>
      </w:pPr>
      <w:bookmarkStart w:id="12" w:name="_Toc48891287"/>
      <w:r w:rsidRPr="00204B22">
        <w:rPr>
          <w:rFonts w:eastAsia="Times New Roman"/>
          <w:color w:val="auto"/>
          <w:u w:val="single"/>
          <w:lang w:val="en-US" w:eastAsia="nl-NL"/>
        </w:rPr>
        <w:t>2.2.3 Toward a combined approach</w:t>
      </w:r>
      <w:bookmarkEnd w:id="12"/>
    </w:p>
    <w:p w14:paraId="6A5F930B" w14:textId="05A8504D" w:rsidR="0037038F" w:rsidRDefault="0037038F" w:rsidP="0037038F">
      <w:pPr>
        <w:jc w:val="both"/>
        <w:rPr>
          <w:lang w:val="en-US"/>
        </w:rPr>
      </w:pPr>
      <w:r>
        <w:rPr>
          <w:lang w:val="en-US"/>
        </w:rPr>
        <w:t xml:space="preserve">Allison’s conceptual models are an improvement to the rational actor approach, as they allow to open up the “black box” of the state and </w:t>
      </w:r>
      <w:r w:rsidR="00950783">
        <w:rPr>
          <w:lang w:val="en-US"/>
        </w:rPr>
        <w:t>can</w:t>
      </w:r>
      <w:r>
        <w:rPr>
          <w:lang w:val="en-US"/>
        </w:rPr>
        <w:t xml:space="preserve"> account for irrational policy behavior. However, both models have considerable shortcomings. Both are unable to capture the ways in which cognition and culture structure the behavior of individual members of organizations. The organizational process model is able to capture the importance of organizational norms and processes structuring the rationality of the members of an organization. Yet by looking at the organization as the unit of analysis, it fails to recognize bargaining and power games within organizations. The bureaucratic politics model looks at the individual as the unit of analysis, and is able to re</w:t>
      </w:r>
      <w:r w:rsidR="003B5128">
        <w:rPr>
          <w:lang w:val="en-US"/>
        </w:rPr>
        <w:t>cognize differing interests and</w:t>
      </w:r>
      <w:r w:rsidR="00F23035">
        <w:rPr>
          <w:lang w:val="en-US"/>
        </w:rPr>
        <w:t xml:space="preserve"> the </w:t>
      </w:r>
      <w:r>
        <w:rPr>
          <w:lang w:val="en-US"/>
        </w:rPr>
        <w:t>bargaining resulting from it. However, the model fails to include the structuring effect of institutionalized processes and norms on individual preferences.</w:t>
      </w:r>
    </w:p>
    <w:p w14:paraId="6F98FEF6" w14:textId="2653C8B5" w:rsidR="0023318C" w:rsidRDefault="00483039" w:rsidP="0037038F">
      <w:pPr>
        <w:jc w:val="both"/>
        <w:rPr>
          <w:lang w:val="en-US"/>
        </w:rPr>
      </w:pPr>
      <w:r>
        <w:rPr>
          <w:lang w:val="en-US"/>
        </w:rPr>
        <w:t xml:space="preserve">Ripley (1995) has attempted to include culture and cognition into the bureaucratic politics model. He argues that role conceptions, procedural scripts, and organizational culture matter in structuring the bargaining process among bureaucratic representatives. </w:t>
      </w:r>
      <w:r w:rsidR="0023318C">
        <w:rPr>
          <w:lang w:val="en-US"/>
        </w:rPr>
        <w:t xml:space="preserve">Ripley’s </w:t>
      </w:r>
      <w:r w:rsidR="003B2106">
        <w:rPr>
          <w:lang w:val="en-US"/>
        </w:rPr>
        <w:t>approach</w:t>
      </w:r>
      <w:r w:rsidR="0023318C">
        <w:rPr>
          <w:lang w:val="en-US"/>
        </w:rPr>
        <w:t xml:space="preserve"> </w:t>
      </w:r>
      <w:r w:rsidR="00DA4846">
        <w:rPr>
          <w:lang w:val="en-US"/>
        </w:rPr>
        <w:t>can</w:t>
      </w:r>
      <w:r w:rsidR="0023318C">
        <w:rPr>
          <w:lang w:val="en-US"/>
        </w:rPr>
        <w:t xml:space="preserve"> be considered a combination of the bureaucratic politics model and an ideational version of the cultural approach to the organizational process model. He starts from the bureaucratic politics model, in which the individual is the unit of analysis and policy is the outcome of bargaining among powerful individuals with diverging interests. However, Ripley also recognizes the importance of set procedures and organizational culture, as does Allison’s Model II. In doing so, Ripley is able to </w:t>
      </w:r>
      <w:r w:rsidR="00AE7DBA">
        <w:rPr>
          <w:lang w:val="en-US"/>
        </w:rPr>
        <w:t xml:space="preserve">situate bargaining individuals with diverging organizational and personal interests within the structuring social context of their department and </w:t>
      </w:r>
      <w:r w:rsidR="00F23035">
        <w:rPr>
          <w:lang w:val="en-US"/>
        </w:rPr>
        <w:t>organization</w:t>
      </w:r>
      <w:r w:rsidR="00AE7DBA">
        <w:rPr>
          <w:lang w:val="en-US"/>
        </w:rPr>
        <w:t>. Ripley’s approach in combining structure and process also allows to incorporate the effects individual qualities of participants as well as their social cognition on policy-outcome.</w:t>
      </w:r>
    </w:p>
    <w:p w14:paraId="5B7A07C5" w14:textId="77777777" w:rsidR="007112FB" w:rsidRPr="00204B22" w:rsidRDefault="007112FB" w:rsidP="007112FB">
      <w:pPr>
        <w:pStyle w:val="Kop4"/>
        <w:rPr>
          <w:color w:val="auto"/>
          <w:lang w:val="en-US"/>
        </w:rPr>
      </w:pPr>
      <w:r w:rsidRPr="00204B22">
        <w:rPr>
          <w:color w:val="auto"/>
          <w:lang w:val="en-US"/>
        </w:rPr>
        <w:t>Bureaucratic roles</w:t>
      </w:r>
    </w:p>
    <w:p w14:paraId="7388F9B0" w14:textId="7712577D" w:rsidR="0037038F" w:rsidRDefault="00AE7DBA" w:rsidP="0037038F">
      <w:pPr>
        <w:jc w:val="both"/>
        <w:rPr>
          <w:lang w:val="en-US"/>
        </w:rPr>
      </w:pPr>
      <w:r>
        <w:rPr>
          <w:lang w:val="en-US"/>
        </w:rPr>
        <w:t xml:space="preserve">Ripley identifies </w:t>
      </w:r>
      <w:r w:rsidR="00F23035">
        <w:rPr>
          <w:lang w:val="en-US"/>
        </w:rPr>
        <w:t>several</w:t>
      </w:r>
      <w:r>
        <w:rPr>
          <w:lang w:val="en-US"/>
        </w:rPr>
        <w:t xml:space="preserve"> ways in which bureaucracy structures the decision-making process. </w:t>
      </w:r>
      <w:r w:rsidR="00F23035">
        <w:rPr>
          <w:lang w:val="en-US"/>
        </w:rPr>
        <w:t>Similar to Hollis &amp; Smith (1986), he argues that</w:t>
      </w:r>
      <w:r w:rsidR="00483039">
        <w:rPr>
          <w:lang w:val="en-US"/>
        </w:rPr>
        <w:t xml:space="preserve"> bureaucratic roles are both formal and informal sources of power. They determine the responsibilities that individuals perceive themselves to have, as well as those others attribute to them. While Ripley agrees with Allison that offices and positions have an impact on positions, he argues that bureaucrats are not only driven by organizational interests. Both role conceptions as well as self-interested motives of career advancement shape the ways in which actors fulfill bureaucratic roles. Actors are </w:t>
      </w:r>
      <w:r w:rsidR="00F23035">
        <w:rPr>
          <w:lang w:val="en-US"/>
        </w:rPr>
        <w:t>rationally</w:t>
      </w:r>
      <w:r w:rsidR="00483039">
        <w:rPr>
          <w:lang w:val="en-US"/>
        </w:rPr>
        <w:t xml:space="preserve"> motivated by self-interest to ensure their survival, both through representation of their organizational aims as well as their own objectives.</w:t>
      </w:r>
      <w:r w:rsidR="009F1213">
        <w:rPr>
          <w:lang w:val="en-US"/>
        </w:rPr>
        <w:t xml:space="preserve"> </w:t>
      </w:r>
    </w:p>
    <w:p w14:paraId="3F268DA8" w14:textId="09C34C5E" w:rsidR="00B02BAD" w:rsidRDefault="009F1213" w:rsidP="0037038F">
      <w:pPr>
        <w:jc w:val="both"/>
        <w:rPr>
          <w:lang w:val="en-US"/>
        </w:rPr>
      </w:pPr>
      <w:r>
        <w:rPr>
          <w:lang w:val="en-US"/>
        </w:rPr>
        <w:t xml:space="preserve">Following this logic, bureaucrats are endowed with power by their peers. </w:t>
      </w:r>
      <w:r w:rsidR="00574FBB">
        <w:rPr>
          <w:lang w:val="en-US"/>
        </w:rPr>
        <w:t xml:space="preserve">Bureaucratic roles are inherently social, as they are the resultant of the interaction between the individual and the group in which they reside. </w:t>
      </w:r>
      <w:r>
        <w:rPr>
          <w:lang w:val="en-US"/>
        </w:rPr>
        <w:t xml:space="preserve">It is within the social context of their organization that </w:t>
      </w:r>
      <w:r w:rsidR="00137381">
        <w:rPr>
          <w:lang w:val="en-US"/>
        </w:rPr>
        <w:t>bureaucrats</w:t>
      </w:r>
      <w:r>
        <w:rPr>
          <w:lang w:val="en-US"/>
        </w:rPr>
        <w:t xml:space="preserve"> hold their position</w:t>
      </w:r>
      <w:r w:rsidR="002F2A5B">
        <w:rPr>
          <w:lang w:val="en-US"/>
        </w:rPr>
        <w:t xml:space="preserve">. </w:t>
      </w:r>
      <w:r>
        <w:rPr>
          <w:lang w:val="en-US"/>
        </w:rPr>
        <w:t>While some parts of their role are formalized in their job description, personal capabilities and good relations with their peers serve to enhance the bureaucrat</w:t>
      </w:r>
      <w:r w:rsidR="009E4DF6">
        <w:rPr>
          <w:lang w:val="en-US"/>
        </w:rPr>
        <w:t>’</w:t>
      </w:r>
      <w:r>
        <w:rPr>
          <w:lang w:val="en-US"/>
        </w:rPr>
        <w:t xml:space="preserve">s power. Honoring and upholding the social context is thus a way of maintaining </w:t>
      </w:r>
      <w:r w:rsidR="006377CE">
        <w:rPr>
          <w:lang w:val="en-US"/>
        </w:rPr>
        <w:t>power and to potentially increase it</w:t>
      </w:r>
      <w:r>
        <w:rPr>
          <w:lang w:val="en-US"/>
        </w:rPr>
        <w:t xml:space="preserve">. There is an incentive to be associated with success, as this increases informal power. Similarly, there is an incentive to stay away from failure, as its detrimental effects on credibility and power contest the bureaucrat’s personal objectives. </w:t>
      </w:r>
      <w:r w:rsidR="0014049F">
        <w:rPr>
          <w:lang w:val="en-US"/>
        </w:rPr>
        <w:t>Assuming th</w:t>
      </w:r>
      <w:r w:rsidR="002F2A5B">
        <w:rPr>
          <w:lang w:val="en-US"/>
        </w:rPr>
        <w:t xml:space="preserve">at bureaucratic actors act upon their </w:t>
      </w:r>
      <w:r w:rsidR="00137381">
        <w:rPr>
          <w:lang w:val="en-US"/>
        </w:rPr>
        <w:t>bureaucratic</w:t>
      </w:r>
      <w:r w:rsidR="002F2A5B">
        <w:rPr>
          <w:lang w:val="en-US"/>
        </w:rPr>
        <w:t xml:space="preserve"> role, this leads to the following hypothesis:</w:t>
      </w:r>
    </w:p>
    <w:p w14:paraId="3F88B4FF" w14:textId="2E6C8907" w:rsidR="002F2A5B" w:rsidRPr="00EC2AD7" w:rsidRDefault="00EC2AD7" w:rsidP="00EC2AD7">
      <w:pPr>
        <w:ind w:left="708"/>
        <w:jc w:val="both"/>
        <w:rPr>
          <w:i/>
          <w:lang w:val="en-US"/>
        </w:rPr>
      </w:pPr>
      <w:r>
        <w:rPr>
          <w:i/>
          <w:lang w:val="en-US"/>
        </w:rPr>
        <w:t>Hypothesis 1: Bureaucratic actors only take positions with neutral or positive consequences for their career</w:t>
      </w:r>
      <w:r w:rsidR="00204B22">
        <w:rPr>
          <w:i/>
          <w:lang w:val="en-US"/>
        </w:rPr>
        <w:t>.</w:t>
      </w:r>
    </w:p>
    <w:p w14:paraId="68DFCF12" w14:textId="3D9A6C92" w:rsidR="009F1213" w:rsidRDefault="00B02BAD" w:rsidP="0037038F">
      <w:pPr>
        <w:jc w:val="both"/>
        <w:rPr>
          <w:lang w:val="en-US"/>
        </w:rPr>
      </w:pPr>
      <w:r>
        <w:rPr>
          <w:lang w:val="en-US"/>
        </w:rPr>
        <w:t xml:space="preserve">Bureaucratic actors include both political actors, such as Ministers or Presidents, as well as civil servants. </w:t>
      </w:r>
      <w:r w:rsidR="00510522">
        <w:rPr>
          <w:lang w:val="en-US"/>
        </w:rPr>
        <w:t xml:space="preserve">While high officials have considerable </w:t>
      </w:r>
      <w:r w:rsidR="000B21C2">
        <w:rPr>
          <w:lang w:val="en-US"/>
        </w:rPr>
        <w:t>clout</w:t>
      </w:r>
      <w:r w:rsidR="00510522">
        <w:rPr>
          <w:lang w:val="en-US"/>
        </w:rPr>
        <w:t xml:space="preserve"> </w:t>
      </w:r>
      <w:r w:rsidR="000B21C2">
        <w:rPr>
          <w:lang w:val="en-US"/>
        </w:rPr>
        <w:t>concerning</w:t>
      </w:r>
      <w:r w:rsidR="00510522">
        <w:rPr>
          <w:lang w:val="en-US"/>
        </w:rPr>
        <w:t xml:space="preserve"> the </w:t>
      </w:r>
      <w:r w:rsidR="0029700C">
        <w:rPr>
          <w:lang w:val="en-US"/>
        </w:rPr>
        <w:t xml:space="preserve">formal structure and procedures adopted by governmental organizations, </w:t>
      </w:r>
      <w:r w:rsidR="00F121B7">
        <w:rPr>
          <w:lang w:val="en-US"/>
        </w:rPr>
        <w:t xml:space="preserve">they are in the end executives of the </w:t>
      </w:r>
      <w:r w:rsidR="00DA5D19">
        <w:rPr>
          <w:lang w:val="en-US"/>
        </w:rPr>
        <w:t xml:space="preserve">policies formulated by the political </w:t>
      </w:r>
      <w:r w:rsidR="000B21C2">
        <w:rPr>
          <w:lang w:val="en-US"/>
        </w:rPr>
        <w:t>authorities</w:t>
      </w:r>
      <w:r w:rsidR="007255F3">
        <w:rPr>
          <w:lang w:val="en-US"/>
        </w:rPr>
        <w:t xml:space="preserve"> with diverging ideologies</w:t>
      </w:r>
      <w:r w:rsidR="000B21C2">
        <w:rPr>
          <w:lang w:val="en-US"/>
        </w:rPr>
        <w:t>.</w:t>
      </w:r>
      <w:r w:rsidR="00EC2AD7">
        <w:rPr>
          <w:lang w:val="en-US"/>
        </w:rPr>
        <w:t xml:space="preserve"> </w:t>
      </w:r>
      <w:r w:rsidR="00104555">
        <w:rPr>
          <w:lang w:val="en-US"/>
        </w:rPr>
        <w:t>Civil servants are formally there to facilitate the work of the</w:t>
      </w:r>
      <w:r w:rsidR="00037C37">
        <w:rPr>
          <w:lang w:val="en-US"/>
        </w:rPr>
        <w:t xml:space="preserve"> </w:t>
      </w:r>
      <w:r w:rsidR="00393B6A">
        <w:rPr>
          <w:lang w:val="en-US"/>
        </w:rPr>
        <w:t>political actors, not to see their own ideas represented.</w:t>
      </w:r>
      <w:r w:rsidR="00114A2A">
        <w:rPr>
          <w:lang w:val="en-US"/>
        </w:rPr>
        <w:t xml:space="preserve"> The considerable expertise that </w:t>
      </w:r>
      <w:r w:rsidR="000C1F6C">
        <w:rPr>
          <w:lang w:val="en-US"/>
        </w:rPr>
        <w:t>civil servants</w:t>
      </w:r>
      <w:r w:rsidR="00114A2A">
        <w:rPr>
          <w:lang w:val="en-US"/>
        </w:rPr>
        <w:t xml:space="preserve"> accumulate over time is a valuable asset to political actors and causes reliance upon civil serv</w:t>
      </w:r>
      <w:r w:rsidR="000C1F6C">
        <w:rPr>
          <w:lang w:val="en-US"/>
        </w:rPr>
        <w:t>ice</w:t>
      </w:r>
      <w:r w:rsidR="00114A2A">
        <w:rPr>
          <w:lang w:val="en-US"/>
        </w:rPr>
        <w:t xml:space="preserve"> to a certain extent</w:t>
      </w:r>
      <w:r w:rsidR="00913CAB">
        <w:rPr>
          <w:lang w:val="en-US"/>
        </w:rPr>
        <w:t xml:space="preserve"> (Held, 2006)</w:t>
      </w:r>
      <w:r w:rsidR="00114A2A">
        <w:rPr>
          <w:lang w:val="en-US"/>
        </w:rPr>
        <w:t xml:space="preserve">. However, </w:t>
      </w:r>
      <w:r w:rsidR="006D60C9">
        <w:rPr>
          <w:lang w:val="en-US"/>
        </w:rPr>
        <w:t>both</w:t>
      </w:r>
      <w:r w:rsidR="00913CAB">
        <w:rPr>
          <w:lang w:val="en-US"/>
        </w:rPr>
        <w:t xml:space="preserve"> organizational</w:t>
      </w:r>
      <w:r w:rsidR="006D60C9">
        <w:rPr>
          <w:lang w:val="en-US"/>
        </w:rPr>
        <w:t xml:space="preserve"> culture and procedures pr</w:t>
      </w:r>
      <w:r w:rsidR="007729E6">
        <w:rPr>
          <w:lang w:val="en-US"/>
        </w:rPr>
        <w:t>e</w:t>
      </w:r>
      <w:r w:rsidR="006D60C9">
        <w:rPr>
          <w:lang w:val="en-US"/>
        </w:rPr>
        <w:t xml:space="preserve">scribe that civil servants are not the ones </w:t>
      </w:r>
      <w:r w:rsidR="003B2106">
        <w:rPr>
          <w:lang w:val="en-US"/>
        </w:rPr>
        <w:t>who</w:t>
      </w:r>
      <w:r w:rsidR="006D60C9">
        <w:rPr>
          <w:lang w:val="en-US"/>
        </w:rPr>
        <w:t xml:space="preserve"> formulate policy.</w:t>
      </w:r>
      <w:r w:rsidR="00037C37">
        <w:rPr>
          <w:lang w:val="en-US"/>
        </w:rPr>
        <w:t xml:space="preserve"> They do not work for political parties, but </w:t>
      </w:r>
      <w:r w:rsidR="00455E1C">
        <w:rPr>
          <w:lang w:val="en-US"/>
        </w:rPr>
        <w:t>are ideally neutral facilitators of democratically achieved policy.</w:t>
      </w:r>
      <w:r w:rsidR="00393B6A">
        <w:rPr>
          <w:lang w:val="en-US"/>
        </w:rPr>
        <w:t xml:space="preserve"> </w:t>
      </w:r>
      <w:r w:rsidR="006D60C9">
        <w:rPr>
          <w:lang w:val="en-US"/>
        </w:rPr>
        <w:t>This leads to the following hypotheses:</w:t>
      </w:r>
    </w:p>
    <w:p w14:paraId="3C243BF5" w14:textId="15708657" w:rsidR="00EC2AD7" w:rsidRPr="006D60C9" w:rsidRDefault="00A02254" w:rsidP="0037038F">
      <w:pPr>
        <w:jc w:val="both"/>
        <w:rPr>
          <w:i/>
          <w:lang w:val="en-US"/>
        </w:rPr>
      </w:pPr>
      <w:r>
        <w:rPr>
          <w:lang w:val="en-US"/>
        </w:rPr>
        <w:tab/>
      </w:r>
      <w:r>
        <w:rPr>
          <w:i/>
          <w:lang w:val="en-US"/>
        </w:rPr>
        <w:t xml:space="preserve">Hypothesis </w:t>
      </w:r>
      <w:r w:rsidR="00EC2AD7">
        <w:rPr>
          <w:i/>
          <w:lang w:val="en-US"/>
        </w:rPr>
        <w:t>2</w:t>
      </w:r>
      <w:r>
        <w:rPr>
          <w:i/>
          <w:lang w:val="en-US"/>
        </w:rPr>
        <w:t>:</w:t>
      </w:r>
      <w:r w:rsidR="007F1595">
        <w:rPr>
          <w:i/>
          <w:lang w:val="en-US"/>
        </w:rPr>
        <w:t xml:space="preserve"> Civil servants are loyal to political actors;</w:t>
      </w:r>
    </w:p>
    <w:p w14:paraId="08241ADF" w14:textId="2B3FADF4" w:rsidR="007F1595" w:rsidRDefault="006D60C9" w:rsidP="003D49A9">
      <w:pPr>
        <w:ind w:left="1416"/>
        <w:jc w:val="both"/>
        <w:rPr>
          <w:i/>
          <w:lang w:val="en-US"/>
        </w:rPr>
      </w:pPr>
      <w:r>
        <w:rPr>
          <w:i/>
          <w:lang w:val="en-US"/>
        </w:rPr>
        <w:t>2</w:t>
      </w:r>
      <w:r w:rsidR="00D04F5F">
        <w:rPr>
          <w:i/>
          <w:lang w:val="en-US"/>
        </w:rPr>
        <w:t>.A Bureaucratic actors share the notion that, in the end, civil service is expected to be subservient to political actors</w:t>
      </w:r>
      <w:r w:rsidR="003D49A9">
        <w:rPr>
          <w:i/>
          <w:lang w:val="en-US"/>
        </w:rPr>
        <w:t>;</w:t>
      </w:r>
    </w:p>
    <w:p w14:paraId="5FED9801" w14:textId="7D06B611" w:rsidR="003D49A9" w:rsidRPr="003D49A9" w:rsidRDefault="006D60C9" w:rsidP="003D49A9">
      <w:pPr>
        <w:ind w:left="1416"/>
        <w:jc w:val="both"/>
        <w:rPr>
          <w:i/>
          <w:lang w:val="en-US"/>
        </w:rPr>
      </w:pPr>
      <w:r>
        <w:rPr>
          <w:i/>
          <w:lang w:val="en-US"/>
        </w:rPr>
        <w:t>2</w:t>
      </w:r>
      <w:r w:rsidR="003D49A9" w:rsidRPr="003D49A9">
        <w:rPr>
          <w:i/>
          <w:lang w:val="en-US"/>
        </w:rPr>
        <w:t>.B Civil servants resort to</w:t>
      </w:r>
      <w:r w:rsidR="003D49A9">
        <w:rPr>
          <w:i/>
          <w:lang w:val="en-US"/>
        </w:rPr>
        <w:t xml:space="preserve"> technical approaches to mitigate political differences</w:t>
      </w:r>
      <w:r w:rsidR="006616F9">
        <w:rPr>
          <w:i/>
          <w:lang w:val="en-US"/>
        </w:rPr>
        <w:t>.</w:t>
      </w:r>
    </w:p>
    <w:p w14:paraId="59060E94" w14:textId="77777777" w:rsidR="007112FB" w:rsidRPr="00A81153" w:rsidRDefault="007112FB" w:rsidP="007112FB">
      <w:pPr>
        <w:pStyle w:val="Kop4"/>
        <w:rPr>
          <w:color w:val="auto"/>
          <w:lang w:val="en-US"/>
        </w:rPr>
      </w:pPr>
      <w:r w:rsidRPr="00A81153">
        <w:rPr>
          <w:color w:val="auto"/>
          <w:lang w:val="en-US"/>
        </w:rPr>
        <w:t>Procedural scripts</w:t>
      </w:r>
    </w:p>
    <w:p w14:paraId="005E9BFE" w14:textId="1A87D270" w:rsidR="001D0FFD" w:rsidRDefault="00483039" w:rsidP="0037038F">
      <w:pPr>
        <w:jc w:val="both"/>
        <w:rPr>
          <w:lang w:val="en-US"/>
        </w:rPr>
      </w:pPr>
      <w:r>
        <w:rPr>
          <w:lang w:val="en-US"/>
        </w:rPr>
        <w:t>Secondly, Ripley emphasizes the importance of procedural scripts</w:t>
      </w:r>
      <w:r w:rsidR="009F1213">
        <w:rPr>
          <w:lang w:val="en-US"/>
        </w:rPr>
        <w:t xml:space="preserve">. Bureaucrats share certain ‘rules of the game’ that determine which approaches are </w:t>
      </w:r>
      <w:r w:rsidR="00F23035">
        <w:rPr>
          <w:lang w:val="en-US"/>
        </w:rPr>
        <w:t>used</w:t>
      </w:r>
      <w:r w:rsidR="009F1213">
        <w:rPr>
          <w:lang w:val="en-US"/>
        </w:rPr>
        <w:t xml:space="preserve"> to tackle a problem and arrive at a decision. </w:t>
      </w:r>
      <w:r w:rsidR="00137381">
        <w:rPr>
          <w:lang w:val="en-US"/>
        </w:rPr>
        <w:t xml:space="preserve">While bureaucratic roles provide insight in the identity of the players, procedural scripts are more pragmatic guidelines on how the game is played. </w:t>
      </w:r>
      <w:r w:rsidR="001D0FFD">
        <w:rPr>
          <w:lang w:val="en-US"/>
        </w:rPr>
        <w:t xml:space="preserve">They are a collective of routines and strategies that bureaucratic actors </w:t>
      </w:r>
      <w:r w:rsidR="00AF2439">
        <w:rPr>
          <w:lang w:val="en-US"/>
        </w:rPr>
        <w:t>use</w:t>
      </w:r>
      <w:r w:rsidR="001D0FFD">
        <w:rPr>
          <w:lang w:val="en-US"/>
        </w:rPr>
        <w:t xml:space="preserve"> when faced with a policy problem. Procedural scripts</w:t>
      </w:r>
      <w:r w:rsidR="009F1213">
        <w:rPr>
          <w:lang w:val="en-US"/>
        </w:rPr>
        <w:t xml:space="preserve"> add predictability to the process of decision-making and enable participants to anticipate the moves of their counterparts.</w:t>
      </w:r>
      <w:r w:rsidR="001D0FFD">
        <w:rPr>
          <w:lang w:val="en-US"/>
        </w:rPr>
        <w:t xml:space="preserve"> That is not to say that procedural scripts are not subject to chan</w:t>
      </w:r>
      <w:r w:rsidR="00534069">
        <w:rPr>
          <w:lang w:val="en-US"/>
        </w:rPr>
        <w:t xml:space="preserve">ge. Procedural scripts are not rigid routines that are blindly followed. They can be flexible and responsive to new input, </w:t>
      </w:r>
      <w:r w:rsidR="00E471E9">
        <w:rPr>
          <w:lang w:val="en-US"/>
        </w:rPr>
        <w:t>dependent on what information is available to bureaucratic actors and how they interpret this</w:t>
      </w:r>
      <w:r w:rsidR="00534069">
        <w:rPr>
          <w:lang w:val="en-US"/>
        </w:rPr>
        <w:t>.</w:t>
      </w:r>
    </w:p>
    <w:p w14:paraId="7D15116A" w14:textId="3A19746F" w:rsidR="00A02254" w:rsidRDefault="00A02254" w:rsidP="0037038F">
      <w:pPr>
        <w:jc w:val="both"/>
        <w:rPr>
          <w:lang w:val="en-US"/>
        </w:rPr>
      </w:pPr>
      <w:r>
        <w:rPr>
          <w:lang w:val="en-US"/>
        </w:rPr>
        <w:t xml:space="preserve">Ripley </w:t>
      </w:r>
      <w:r w:rsidR="003B2106">
        <w:rPr>
          <w:lang w:val="en-US"/>
        </w:rPr>
        <w:t xml:space="preserve">predominantly </w:t>
      </w:r>
      <w:r w:rsidR="00534069">
        <w:rPr>
          <w:lang w:val="en-US"/>
        </w:rPr>
        <w:t>describes</w:t>
      </w:r>
      <w:r>
        <w:rPr>
          <w:lang w:val="en-US"/>
        </w:rPr>
        <w:t xml:space="preserve"> procedural scripts as the structuring forces behind the bargaining processes among powerful individuals as </w:t>
      </w:r>
      <w:r w:rsidR="00534069">
        <w:rPr>
          <w:lang w:val="en-US"/>
        </w:rPr>
        <w:t>depicted</w:t>
      </w:r>
      <w:r w:rsidR="001D0FFD">
        <w:rPr>
          <w:lang w:val="en-US"/>
        </w:rPr>
        <w:t xml:space="preserve"> by Allison’s Model III. However, as Ripley himself concedes, it can be argued that procedural scripts share qualities of Allison’s standard operating procedures. Both reflect the shared understanding of members of an organization on how to arrive at decisions. </w:t>
      </w:r>
      <w:r>
        <w:rPr>
          <w:lang w:val="en-US"/>
        </w:rPr>
        <w:t>The procedural scripts that Ripley introduces can be seen as internalized rules flowing from past experiences within the organization and reflecting the norms shared by the individuals taking part in the negotiating process. They are predictable</w:t>
      </w:r>
      <w:r w:rsidR="00E471E9">
        <w:rPr>
          <w:lang w:val="en-US"/>
        </w:rPr>
        <w:t xml:space="preserve"> manners to arrive at decisions</w:t>
      </w:r>
      <w:r>
        <w:rPr>
          <w:lang w:val="en-US"/>
        </w:rPr>
        <w:t xml:space="preserve"> that bureaucrats are socialized to rely upon. Procedural scripts offer a vehicle to accumulate information, generate policy alternatives, and structure negotiation among the bureaucratic representatives. Ultimately, policy is the result of bargaining within limits set by commonly accepted formal and informal practices. This leads to the following </w:t>
      </w:r>
      <w:r w:rsidR="00AF2439">
        <w:rPr>
          <w:lang w:val="en-US"/>
        </w:rPr>
        <w:t>hypothesi</w:t>
      </w:r>
      <w:r>
        <w:rPr>
          <w:lang w:val="en-US"/>
        </w:rPr>
        <w:t>s:</w:t>
      </w:r>
    </w:p>
    <w:p w14:paraId="2D1C0F64" w14:textId="496F4E5F" w:rsidR="00A02254" w:rsidRDefault="00A02254" w:rsidP="0000043C">
      <w:pPr>
        <w:ind w:left="708"/>
        <w:jc w:val="both"/>
        <w:rPr>
          <w:i/>
          <w:lang w:val="en-US"/>
        </w:rPr>
      </w:pPr>
      <w:r>
        <w:rPr>
          <w:i/>
          <w:lang w:val="en-US"/>
        </w:rPr>
        <w:t xml:space="preserve">Hypothesis </w:t>
      </w:r>
      <w:r w:rsidR="0000043C">
        <w:rPr>
          <w:i/>
          <w:lang w:val="en-US"/>
        </w:rPr>
        <w:t>3: Bureaucratic actors act upon procedural script</w:t>
      </w:r>
      <w:r w:rsidR="00A45A20">
        <w:rPr>
          <w:i/>
          <w:lang w:val="en-US"/>
        </w:rPr>
        <w:t>s; if such a script does not exist</w:t>
      </w:r>
      <w:r w:rsidR="00BB3368">
        <w:rPr>
          <w:i/>
          <w:lang w:val="en-US"/>
        </w:rPr>
        <w:t xml:space="preserve"> for a policy issue</w:t>
      </w:r>
      <w:r w:rsidR="00A45A20">
        <w:rPr>
          <w:i/>
          <w:lang w:val="en-US"/>
        </w:rPr>
        <w:t>, they rely upon their closest experience</w:t>
      </w:r>
      <w:r w:rsidR="00BB3368">
        <w:rPr>
          <w:i/>
          <w:lang w:val="en-US"/>
        </w:rPr>
        <w:t xml:space="preserve"> to determine appropriate </w:t>
      </w:r>
      <w:r w:rsidR="00A16095">
        <w:rPr>
          <w:i/>
          <w:lang w:val="en-US"/>
        </w:rPr>
        <w:t>actions</w:t>
      </w:r>
      <w:r w:rsidR="00204B22">
        <w:rPr>
          <w:i/>
          <w:lang w:val="en-US"/>
        </w:rPr>
        <w:t>.</w:t>
      </w:r>
    </w:p>
    <w:p w14:paraId="288731B7" w14:textId="77777777" w:rsidR="007112FB" w:rsidRPr="00A81153" w:rsidRDefault="007112FB" w:rsidP="007112FB">
      <w:pPr>
        <w:pStyle w:val="Kop4"/>
        <w:rPr>
          <w:color w:val="auto"/>
          <w:lang w:val="en-US"/>
        </w:rPr>
      </w:pPr>
      <w:r w:rsidRPr="00A81153">
        <w:rPr>
          <w:color w:val="auto"/>
          <w:lang w:val="en-US"/>
        </w:rPr>
        <w:t>Cultural rationales</w:t>
      </w:r>
    </w:p>
    <w:p w14:paraId="658B10C5" w14:textId="1220CA63" w:rsidR="00A02254" w:rsidRDefault="00AE7DBA" w:rsidP="00AE7DBA">
      <w:pPr>
        <w:jc w:val="both"/>
        <w:rPr>
          <w:lang w:val="en-US"/>
        </w:rPr>
      </w:pPr>
      <w:r>
        <w:rPr>
          <w:lang w:val="en-US"/>
        </w:rPr>
        <w:t xml:space="preserve">Thirdly, Ripley argues that “cultural rationales” </w:t>
      </w:r>
      <w:r w:rsidR="009067FE">
        <w:rPr>
          <w:lang w:val="en-US"/>
        </w:rPr>
        <w:t>reproduce specific cultural aspects of both the organizations in which the bureaucrats are embedded</w:t>
      </w:r>
      <w:r w:rsidR="002C0274">
        <w:rPr>
          <w:lang w:val="en-US"/>
        </w:rPr>
        <w:t>,</w:t>
      </w:r>
      <w:r w:rsidR="009067FE">
        <w:rPr>
          <w:lang w:val="en-US"/>
        </w:rPr>
        <w:t xml:space="preserve"> as well as the decision-making group they are a part of. Cultural rationales uphold the use of ritualistic practices or traditions that reflect “how things are done”. </w:t>
      </w:r>
      <w:r w:rsidR="002C0274">
        <w:rPr>
          <w:lang w:val="en-US"/>
        </w:rPr>
        <w:t>Whereas procedural scripts provide p</w:t>
      </w:r>
      <w:r w:rsidR="0023411F">
        <w:rPr>
          <w:lang w:val="en-US"/>
        </w:rPr>
        <w:t>ractical guides to the competitive behavior of bureaucratic actors, cultural rationales entail the symbolic practices undertaken by bureaucrats because they are deemed appropriate. Unlike procedural scripts, actions informed by cultural rationales are not aimed at the practical achievement of a policy-decision. Rather, they are a source of legitimacy for both the decision-making process and the policy-outcome, proving that decision-m</w:t>
      </w:r>
      <w:r w:rsidR="00D44202">
        <w:rPr>
          <w:lang w:val="en-US"/>
        </w:rPr>
        <w:t>akers upheld the norms of appropriate behavior and had the common good in mind. Cultural rationales pr</w:t>
      </w:r>
      <w:r w:rsidR="007729E6">
        <w:rPr>
          <w:lang w:val="en-US"/>
        </w:rPr>
        <w:t>e</w:t>
      </w:r>
      <w:r w:rsidR="00D44202">
        <w:rPr>
          <w:lang w:val="en-US"/>
        </w:rPr>
        <w:t>scribe culturally rooted</w:t>
      </w:r>
      <w:r w:rsidR="009067FE">
        <w:rPr>
          <w:lang w:val="en-US"/>
        </w:rPr>
        <w:t xml:space="preserve"> informal rules of decent behavior for bureaucratic </w:t>
      </w:r>
      <w:r w:rsidR="00D44202">
        <w:rPr>
          <w:lang w:val="en-US"/>
        </w:rPr>
        <w:t>actors</w:t>
      </w:r>
      <w:r w:rsidR="009067FE">
        <w:rPr>
          <w:lang w:val="en-US"/>
        </w:rPr>
        <w:t xml:space="preserve"> in arriving at policy-decisions.</w:t>
      </w:r>
      <w:r w:rsidR="00E471E9">
        <w:rPr>
          <w:lang w:val="en-US"/>
        </w:rPr>
        <w:t xml:space="preserve"> For example, p</w:t>
      </w:r>
      <w:r w:rsidR="00D44202">
        <w:rPr>
          <w:lang w:val="en-US"/>
        </w:rPr>
        <w:t xml:space="preserve">ractices such as extensive consultations can be upheld not for their merit in arriving at a decision, but to show the decency of policy-makers </w:t>
      </w:r>
      <w:r w:rsidR="006616F9">
        <w:rPr>
          <w:lang w:val="en-US"/>
        </w:rPr>
        <w:t>in not taking</w:t>
      </w:r>
      <w:r w:rsidR="00D44202">
        <w:rPr>
          <w:lang w:val="en-US"/>
        </w:rPr>
        <w:t xml:space="preserve"> far-reaching decisions lightly.</w:t>
      </w:r>
      <w:r w:rsidR="009067FE">
        <w:rPr>
          <w:lang w:val="en-US"/>
        </w:rPr>
        <w:t xml:space="preserve"> </w:t>
      </w:r>
    </w:p>
    <w:p w14:paraId="230F46DC" w14:textId="4FAB8650" w:rsidR="004F4002" w:rsidRDefault="003B2106" w:rsidP="00AE7DBA">
      <w:pPr>
        <w:jc w:val="both"/>
        <w:rPr>
          <w:lang w:val="en-US"/>
        </w:rPr>
      </w:pPr>
      <w:r>
        <w:rPr>
          <w:lang w:val="en-US"/>
        </w:rPr>
        <w:t>U</w:t>
      </w:r>
      <w:r w:rsidR="004F4002">
        <w:rPr>
          <w:lang w:val="en-US"/>
        </w:rPr>
        <w:t>phold</w:t>
      </w:r>
      <w:r>
        <w:rPr>
          <w:lang w:val="en-US"/>
        </w:rPr>
        <w:t>ing</w:t>
      </w:r>
      <w:r w:rsidR="004F4002">
        <w:rPr>
          <w:lang w:val="en-US"/>
        </w:rPr>
        <w:t xml:space="preserve"> </w:t>
      </w:r>
      <w:r>
        <w:rPr>
          <w:lang w:val="en-US"/>
        </w:rPr>
        <w:t>traditional</w:t>
      </w:r>
      <w:r w:rsidR="004F4002">
        <w:rPr>
          <w:lang w:val="en-US"/>
        </w:rPr>
        <w:t xml:space="preserve"> practices, whether rational or not, serves as a justifying narrative for the actions of policy-makers. </w:t>
      </w:r>
      <w:r w:rsidR="006616F9">
        <w:rPr>
          <w:lang w:val="en-US"/>
        </w:rPr>
        <w:t>It shows the embeddedness of bureaucratic actors within their respective organiz</w:t>
      </w:r>
      <w:r>
        <w:rPr>
          <w:lang w:val="en-US"/>
        </w:rPr>
        <w:t xml:space="preserve">ations, reflecting the values </w:t>
      </w:r>
      <w:r w:rsidR="006616F9">
        <w:rPr>
          <w:lang w:val="en-US"/>
        </w:rPr>
        <w:t xml:space="preserve">held by them. Certain actions and procedures are not the product of a utility-maximizing consequentialist consideration, but </w:t>
      </w:r>
      <w:r>
        <w:rPr>
          <w:lang w:val="en-US"/>
        </w:rPr>
        <w:t>instead</w:t>
      </w:r>
      <w:r w:rsidR="006616F9">
        <w:rPr>
          <w:lang w:val="en-US"/>
        </w:rPr>
        <w:t xml:space="preserve"> reflect the organization’s norms and values on appropriate behavior. This leads to the following hypothesis:  </w:t>
      </w:r>
    </w:p>
    <w:p w14:paraId="4D70054F" w14:textId="5954CDB6" w:rsidR="004F4002" w:rsidRDefault="004F4002" w:rsidP="001928B5">
      <w:pPr>
        <w:ind w:left="708"/>
        <w:jc w:val="both"/>
        <w:rPr>
          <w:i/>
          <w:lang w:val="en-US"/>
        </w:rPr>
      </w:pPr>
      <w:r>
        <w:rPr>
          <w:i/>
          <w:lang w:val="en-US"/>
        </w:rPr>
        <w:t xml:space="preserve">Hypothesis </w:t>
      </w:r>
      <w:r w:rsidR="00E05EEE">
        <w:rPr>
          <w:i/>
          <w:lang w:val="en-US"/>
        </w:rPr>
        <w:t>4</w:t>
      </w:r>
      <w:r w:rsidR="001928B5">
        <w:rPr>
          <w:i/>
          <w:lang w:val="en-US"/>
        </w:rPr>
        <w:t>: Bureaucratic actors have shared ritualistic notions of policy issues and how to deal with them,</w:t>
      </w:r>
      <w:r w:rsidR="006616F9">
        <w:rPr>
          <w:i/>
          <w:lang w:val="en-US"/>
        </w:rPr>
        <w:t xml:space="preserve"> potentially leading them to have distorted views of the problem at hand.</w:t>
      </w:r>
    </w:p>
    <w:p w14:paraId="5D887819" w14:textId="77777777" w:rsidR="004F4002" w:rsidRDefault="004F4002">
      <w:pPr>
        <w:rPr>
          <w:i/>
          <w:lang w:val="en-US"/>
        </w:rPr>
      </w:pPr>
      <w:r>
        <w:rPr>
          <w:i/>
          <w:lang w:val="en-US"/>
        </w:rPr>
        <w:br w:type="page"/>
      </w:r>
    </w:p>
    <w:p w14:paraId="57742D19" w14:textId="197A07C5" w:rsidR="004F4002" w:rsidRDefault="00E354CD" w:rsidP="004F4002">
      <w:pPr>
        <w:jc w:val="both"/>
        <w:rPr>
          <w:i/>
          <w:lang w:val="en-US"/>
        </w:rPr>
      </w:pPr>
      <w:r>
        <w:rPr>
          <w:i/>
          <w:noProof/>
          <w:lang w:eastAsia="nl-NL"/>
        </w:rPr>
        <mc:AlternateContent>
          <mc:Choice Requires="wpg">
            <w:drawing>
              <wp:anchor distT="0" distB="0" distL="114300" distR="114300" simplePos="0" relativeHeight="251657216" behindDoc="0" locked="0" layoutInCell="1" allowOverlap="1" wp14:anchorId="4FBD0A2A" wp14:editId="29CAF6BF">
                <wp:simplePos x="0" y="0"/>
                <wp:positionH relativeFrom="column">
                  <wp:posOffset>-569857</wp:posOffset>
                </wp:positionH>
                <wp:positionV relativeFrom="paragraph">
                  <wp:posOffset>-13675</wp:posOffset>
                </wp:positionV>
                <wp:extent cx="7014845" cy="7178040"/>
                <wp:effectExtent l="0" t="0" r="14605" b="22860"/>
                <wp:wrapNone/>
                <wp:docPr id="42" name="Group 42"/>
                <wp:cNvGraphicFramePr/>
                <a:graphic xmlns:a="http://schemas.openxmlformats.org/drawingml/2006/main">
                  <a:graphicData uri="http://schemas.microsoft.com/office/word/2010/wordprocessingGroup">
                    <wpg:wgp>
                      <wpg:cNvGrpSpPr/>
                      <wpg:grpSpPr>
                        <a:xfrm>
                          <a:off x="0" y="0"/>
                          <a:ext cx="7014845" cy="7178040"/>
                          <a:chOff x="0" y="0"/>
                          <a:chExt cx="7014950" cy="7178097"/>
                        </a:xfrm>
                      </wpg:grpSpPr>
                      <wpg:grpSp>
                        <wpg:cNvPr id="59" name="Group 59"/>
                        <wpg:cNvGrpSpPr/>
                        <wpg:grpSpPr>
                          <a:xfrm>
                            <a:off x="300251" y="477672"/>
                            <a:ext cx="6468805" cy="6537278"/>
                            <a:chOff x="0" y="0"/>
                            <a:chExt cx="7280493" cy="5745508"/>
                          </a:xfrm>
                        </wpg:grpSpPr>
                        <wps:wsp>
                          <wps:cNvPr id="2" name="Straight Arrow Connector 2"/>
                          <wps:cNvCnPr/>
                          <wps:spPr>
                            <a:xfrm>
                              <a:off x="3603009" y="477672"/>
                              <a:ext cx="0" cy="43672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3" name="Group 3"/>
                          <wpg:cNvGrpSpPr/>
                          <wpg:grpSpPr>
                            <a:xfrm>
                              <a:off x="0" y="0"/>
                              <a:ext cx="7280493" cy="5745508"/>
                              <a:chOff x="0" y="0"/>
                              <a:chExt cx="7280493" cy="5745508"/>
                            </a:xfrm>
                          </wpg:grpSpPr>
                          <wps:wsp>
                            <wps:cNvPr id="4" name="Text Box 34"/>
                            <wps:cNvSpPr txBox="1"/>
                            <wps:spPr>
                              <a:xfrm>
                                <a:off x="3002508" y="0"/>
                                <a:ext cx="1227455" cy="463550"/>
                              </a:xfrm>
                              <a:prstGeom prst="rect">
                                <a:avLst/>
                              </a:prstGeom>
                              <a:solidFill>
                                <a:schemeClr val="lt1"/>
                              </a:solidFill>
                              <a:ln w="6350">
                                <a:solidFill>
                                  <a:prstClr val="black"/>
                                </a:solidFill>
                              </a:ln>
                            </wps:spPr>
                            <wps:txbx>
                              <w:txbxContent>
                                <w:p w14:paraId="61BE1800" w14:textId="77777777" w:rsidR="00A81153" w:rsidRDefault="00A81153" w:rsidP="00831435">
                                  <w:pPr>
                                    <w:jc w:val="center"/>
                                    <w:rPr>
                                      <w:lang w:val="en-US"/>
                                    </w:rPr>
                                  </w:pPr>
                                  <w:r>
                                    <w:rPr>
                                      <w:lang w:val="en-US"/>
                                    </w:rPr>
                                    <w:t>Organizational Culture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 name="Text Box 39"/>
                            <wps:cNvSpPr txBox="1"/>
                            <wps:spPr>
                              <a:xfrm>
                                <a:off x="2988860" y="914400"/>
                                <a:ext cx="1269241" cy="395785"/>
                              </a:xfrm>
                              <a:prstGeom prst="rect">
                                <a:avLst/>
                              </a:prstGeom>
                              <a:solidFill>
                                <a:schemeClr val="lt1"/>
                              </a:solidFill>
                              <a:ln w="6350">
                                <a:solidFill>
                                  <a:prstClr val="black"/>
                                </a:solidFill>
                              </a:ln>
                            </wps:spPr>
                            <wps:txbx>
                              <w:txbxContent>
                                <w:p w14:paraId="5953A53F" w14:textId="77777777" w:rsidR="00A81153" w:rsidRDefault="00A81153" w:rsidP="00831435">
                                  <w:pPr>
                                    <w:jc w:val="center"/>
                                    <w:rPr>
                                      <w:lang w:val="en-US"/>
                                    </w:rPr>
                                  </w:pPr>
                                  <w:r>
                                    <w:rPr>
                                      <w:lang w:val="en-US"/>
                                    </w:rPr>
                                    <w:t>Procedural scripts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 name="Straight Arrow Connector 6"/>
                            <wps:cNvCnPr/>
                            <wps:spPr>
                              <a:xfrm flipH="1">
                                <a:off x="2661313" y="464024"/>
                                <a:ext cx="341195" cy="107864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 name="Straight Arrow Connector 7"/>
                            <wps:cNvCnPr/>
                            <wps:spPr>
                              <a:xfrm>
                                <a:off x="4230806" y="464024"/>
                                <a:ext cx="300762" cy="107816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 name="Straight Arrow Connector 8"/>
                            <wps:cNvCnPr/>
                            <wps:spPr>
                              <a:xfrm>
                                <a:off x="3664425" y="1310179"/>
                                <a:ext cx="0" cy="163730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9" name="Group 9"/>
                            <wpg:cNvGrpSpPr/>
                            <wpg:grpSpPr>
                              <a:xfrm>
                                <a:off x="0" y="1187355"/>
                                <a:ext cx="7280493" cy="4558153"/>
                                <a:chOff x="0" y="1187355"/>
                                <a:chExt cx="7280493" cy="4558153"/>
                              </a:xfrm>
                            </wpg:grpSpPr>
                            <wpg:grpSp>
                              <wpg:cNvPr id="10" name="Group 10"/>
                              <wpg:cNvGrpSpPr/>
                              <wpg:grpSpPr>
                                <a:xfrm>
                                  <a:off x="0" y="1187355"/>
                                  <a:ext cx="7219315" cy="1664999"/>
                                  <a:chOff x="0" y="1187355"/>
                                  <a:chExt cx="7219665" cy="1665027"/>
                                </a:xfrm>
                              </wpg:grpSpPr>
                              <wpg:grpSp>
                                <wpg:cNvPr id="25" name="Group 25"/>
                                <wpg:cNvGrpSpPr/>
                                <wpg:grpSpPr>
                                  <a:xfrm>
                                    <a:off x="0" y="1187355"/>
                                    <a:ext cx="3425588" cy="1665027"/>
                                    <a:chOff x="0" y="1187355"/>
                                    <a:chExt cx="3425588" cy="1665027"/>
                                  </a:xfrm>
                                </wpg:grpSpPr>
                                <wpg:grpSp>
                                  <wpg:cNvPr id="34" name="Group 34"/>
                                  <wpg:cNvGrpSpPr/>
                                  <wpg:grpSpPr>
                                    <a:xfrm>
                                      <a:off x="0" y="1187355"/>
                                      <a:ext cx="3193575" cy="1132764"/>
                                      <a:chOff x="0" y="1187355"/>
                                      <a:chExt cx="3193575" cy="1132764"/>
                                    </a:xfrm>
                                  </wpg:grpSpPr>
                                  <wps:wsp>
                                    <wps:cNvPr id="36" name="Text Box 1"/>
                                    <wps:cNvSpPr txBox="1"/>
                                    <wps:spPr>
                                      <a:xfrm>
                                        <a:off x="0" y="1187355"/>
                                        <a:ext cx="1569493" cy="300251"/>
                                      </a:xfrm>
                                      <a:prstGeom prst="rect">
                                        <a:avLst/>
                                      </a:prstGeom>
                                      <a:solidFill>
                                        <a:schemeClr val="lt1"/>
                                      </a:solidFill>
                                      <a:ln w="6350">
                                        <a:solidFill>
                                          <a:prstClr val="black"/>
                                        </a:solidFill>
                                      </a:ln>
                                    </wps:spPr>
                                    <wps:txbx>
                                      <w:txbxContent>
                                        <w:p w14:paraId="3ED80A76" w14:textId="0B510C23" w:rsidR="00A81153" w:rsidRDefault="00A81153" w:rsidP="00831435">
                                          <w:pPr>
                                            <w:jc w:val="center"/>
                                            <w:rPr>
                                              <w:lang w:val="en-US"/>
                                            </w:rPr>
                                          </w:pPr>
                                          <w:r>
                                            <w:rPr>
                                              <w:lang w:val="en-US"/>
                                            </w:rPr>
                                            <w:t>Bureaucratic role A</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7" name="Text Box 2"/>
                                    <wps:cNvSpPr txBox="1"/>
                                    <wps:spPr>
                                      <a:xfrm>
                                        <a:off x="0" y="1542197"/>
                                        <a:ext cx="1583140" cy="436728"/>
                                      </a:xfrm>
                                      <a:prstGeom prst="rect">
                                        <a:avLst/>
                                      </a:prstGeom>
                                      <a:solidFill>
                                        <a:schemeClr val="lt1"/>
                                      </a:solidFill>
                                      <a:ln w="6350">
                                        <a:solidFill>
                                          <a:prstClr val="black"/>
                                        </a:solidFill>
                                      </a:ln>
                                    </wps:spPr>
                                    <wps:txbx>
                                      <w:txbxContent>
                                        <w:p w14:paraId="476ED616" w14:textId="1C725204" w:rsidR="00A81153" w:rsidRDefault="00A81153" w:rsidP="00831435">
                                          <w:pPr>
                                            <w:jc w:val="center"/>
                                            <w:rPr>
                                              <w:lang w:val="en-US"/>
                                            </w:rPr>
                                          </w:pPr>
                                          <w:r>
                                            <w:rPr>
                                              <w:lang w:val="en-US"/>
                                            </w:rPr>
                                            <w:t>Self-preservation instinct A</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8" name="Text Box 3"/>
                                    <wps:cNvSpPr txBox="1"/>
                                    <wps:spPr>
                                      <a:xfrm>
                                        <a:off x="0" y="2019868"/>
                                        <a:ext cx="1584000" cy="300251"/>
                                      </a:xfrm>
                                      <a:prstGeom prst="rect">
                                        <a:avLst/>
                                      </a:prstGeom>
                                      <a:solidFill>
                                        <a:schemeClr val="lt1"/>
                                      </a:solidFill>
                                      <a:ln w="6350">
                                        <a:solidFill>
                                          <a:prstClr val="black"/>
                                        </a:solidFill>
                                      </a:ln>
                                    </wps:spPr>
                                    <wps:txbx>
                                      <w:txbxContent>
                                        <w:p w14:paraId="68448E41" w14:textId="4ADB7C08" w:rsidR="00A81153" w:rsidRDefault="00A81153" w:rsidP="00831435">
                                          <w:pPr>
                                            <w:jc w:val="center"/>
                                            <w:rPr>
                                              <w:lang w:val="en-US"/>
                                            </w:rPr>
                                          </w:pPr>
                                          <w:r>
                                            <w:rPr>
                                              <w:lang w:val="en-US"/>
                                            </w:rPr>
                                            <w:t>Personal qualities A</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9" name="Right Brace 39"/>
                                    <wps:cNvSpPr/>
                                    <wps:spPr>
                                      <a:xfrm>
                                        <a:off x="1678675" y="1201003"/>
                                        <a:ext cx="218364" cy="1118585"/>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0" name="Text Box 5"/>
                                    <wps:cNvSpPr txBox="1"/>
                                    <wps:spPr>
                                      <a:xfrm>
                                        <a:off x="2101755" y="1555845"/>
                                        <a:ext cx="1091820" cy="464555"/>
                                      </a:xfrm>
                                      <a:prstGeom prst="rect">
                                        <a:avLst/>
                                      </a:prstGeom>
                                      <a:solidFill>
                                        <a:schemeClr val="lt1"/>
                                      </a:solidFill>
                                      <a:ln w="6350">
                                        <a:solidFill>
                                          <a:prstClr val="black"/>
                                        </a:solidFill>
                                      </a:ln>
                                    </wps:spPr>
                                    <wps:txbx>
                                      <w:txbxContent>
                                        <w:p w14:paraId="3F4BBFEB" w14:textId="77777777" w:rsidR="00A81153" w:rsidRDefault="00A81153" w:rsidP="00831435">
                                          <w:pPr>
                                            <w:jc w:val="center"/>
                                            <w:rPr>
                                              <w:lang w:val="en-US"/>
                                            </w:rPr>
                                          </w:pPr>
                                          <w:r>
                                            <w:rPr>
                                              <w:lang w:val="en-US"/>
                                            </w:rPr>
                                            <w:t>Preferences actor A</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35" name="Straight Arrow Connector 35"/>
                                  <wps:cNvCnPr/>
                                  <wps:spPr>
                                    <a:xfrm>
                                      <a:off x="2797791" y="2047164"/>
                                      <a:ext cx="627797" cy="80521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g:cNvPr id="26" name="Group 26"/>
                                <wpg:cNvGrpSpPr/>
                                <wpg:grpSpPr>
                                  <a:xfrm>
                                    <a:off x="3848678" y="1187355"/>
                                    <a:ext cx="3370987" cy="1664684"/>
                                    <a:chOff x="3848678" y="1187355"/>
                                    <a:chExt cx="3370987" cy="1664684"/>
                                  </a:xfrm>
                                </wpg:grpSpPr>
                                <wpg:grpSp>
                                  <wpg:cNvPr id="27" name="Group 27"/>
                                  <wpg:cNvGrpSpPr/>
                                  <wpg:grpSpPr>
                                    <a:xfrm flipH="1">
                                      <a:off x="4026090" y="1187355"/>
                                      <a:ext cx="3193575" cy="1132764"/>
                                      <a:chOff x="4026090" y="1187355"/>
                                      <a:chExt cx="3193575" cy="1132764"/>
                                    </a:xfrm>
                                  </wpg:grpSpPr>
                                  <wps:wsp>
                                    <wps:cNvPr id="29" name="Text Box 8"/>
                                    <wps:cNvSpPr txBox="1"/>
                                    <wps:spPr>
                                      <a:xfrm>
                                        <a:off x="4026090" y="1187355"/>
                                        <a:ext cx="1569493" cy="300251"/>
                                      </a:xfrm>
                                      <a:prstGeom prst="rect">
                                        <a:avLst/>
                                      </a:prstGeom>
                                      <a:solidFill>
                                        <a:schemeClr val="lt1"/>
                                      </a:solidFill>
                                      <a:ln w="6350">
                                        <a:solidFill>
                                          <a:prstClr val="black"/>
                                        </a:solidFill>
                                      </a:ln>
                                    </wps:spPr>
                                    <wps:txbx>
                                      <w:txbxContent>
                                        <w:p w14:paraId="3F9835C1" w14:textId="5B45198A" w:rsidR="00A81153" w:rsidRDefault="00A81153" w:rsidP="00831435">
                                          <w:pPr>
                                            <w:jc w:val="center"/>
                                            <w:rPr>
                                              <w:lang w:val="en-US"/>
                                            </w:rPr>
                                          </w:pPr>
                                          <w:r>
                                            <w:rPr>
                                              <w:lang w:val="en-US"/>
                                            </w:rPr>
                                            <w:t>Bureaucratic role B</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0" name="Text Box 11"/>
                                    <wps:cNvSpPr txBox="1"/>
                                    <wps:spPr>
                                      <a:xfrm>
                                        <a:off x="4026090" y="1542197"/>
                                        <a:ext cx="1583140" cy="436728"/>
                                      </a:xfrm>
                                      <a:prstGeom prst="rect">
                                        <a:avLst/>
                                      </a:prstGeom>
                                      <a:solidFill>
                                        <a:schemeClr val="lt1"/>
                                      </a:solidFill>
                                      <a:ln w="6350">
                                        <a:solidFill>
                                          <a:prstClr val="black"/>
                                        </a:solidFill>
                                      </a:ln>
                                    </wps:spPr>
                                    <wps:txbx>
                                      <w:txbxContent>
                                        <w:p w14:paraId="0202B590" w14:textId="03AB40E1" w:rsidR="00A81153" w:rsidRDefault="00A81153" w:rsidP="00831435">
                                          <w:pPr>
                                            <w:jc w:val="center"/>
                                            <w:rPr>
                                              <w:lang w:val="en-US"/>
                                            </w:rPr>
                                          </w:pPr>
                                          <w:r>
                                            <w:rPr>
                                              <w:lang w:val="en-US"/>
                                            </w:rPr>
                                            <w:t>Self-preservation instinct B</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1" name="Text Box 16"/>
                                    <wps:cNvSpPr txBox="1"/>
                                    <wps:spPr>
                                      <a:xfrm>
                                        <a:off x="4026090" y="2019868"/>
                                        <a:ext cx="1584000" cy="300251"/>
                                      </a:xfrm>
                                      <a:prstGeom prst="rect">
                                        <a:avLst/>
                                      </a:prstGeom>
                                      <a:solidFill>
                                        <a:schemeClr val="lt1"/>
                                      </a:solidFill>
                                      <a:ln w="6350">
                                        <a:solidFill>
                                          <a:prstClr val="black"/>
                                        </a:solidFill>
                                      </a:ln>
                                    </wps:spPr>
                                    <wps:txbx>
                                      <w:txbxContent>
                                        <w:p w14:paraId="2B7CC3F9" w14:textId="63AA7E9A" w:rsidR="00A81153" w:rsidRDefault="00A81153" w:rsidP="00831435">
                                          <w:pPr>
                                            <w:jc w:val="center"/>
                                            <w:rPr>
                                              <w:lang w:val="en-US"/>
                                            </w:rPr>
                                          </w:pPr>
                                          <w:r>
                                            <w:rPr>
                                              <w:lang w:val="en-US"/>
                                            </w:rPr>
                                            <w:t>Personal qualities B</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2" name="Right Brace 32"/>
                                    <wps:cNvSpPr/>
                                    <wps:spPr>
                                      <a:xfrm>
                                        <a:off x="5704765" y="1201003"/>
                                        <a:ext cx="218364" cy="1118585"/>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3" name="Text Box 20"/>
                                    <wps:cNvSpPr txBox="1"/>
                                    <wps:spPr>
                                      <a:xfrm>
                                        <a:off x="6127845" y="1555845"/>
                                        <a:ext cx="1091820" cy="464555"/>
                                      </a:xfrm>
                                      <a:prstGeom prst="rect">
                                        <a:avLst/>
                                      </a:prstGeom>
                                      <a:solidFill>
                                        <a:schemeClr val="lt1"/>
                                      </a:solidFill>
                                      <a:ln w="6350">
                                        <a:solidFill>
                                          <a:prstClr val="black"/>
                                        </a:solidFill>
                                      </a:ln>
                                    </wps:spPr>
                                    <wps:txbx>
                                      <w:txbxContent>
                                        <w:p w14:paraId="2A93C824" w14:textId="77777777" w:rsidR="00A81153" w:rsidRDefault="00A81153" w:rsidP="00831435">
                                          <w:pPr>
                                            <w:jc w:val="center"/>
                                            <w:rPr>
                                              <w:lang w:val="en-US"/>
                                            </w:rPr>
                                          </w:pPr>
                                          <w:r>
                                            <w:rPr>
                                              <w:lang w:val="en-US"/>
                                            </w:rPr>
                                            <w:t>Preferences actor B</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s:wsp>
                                  <wps:cNvPr id="28" name="Straight Arrow Connector 28"/>
                                  <wps:cNvCnPr/>
                                  <wps:spPr>
                                    <a:xfrm flipH="1">
                                      <a:off x="3848678" y="2047163"/>
                                      <a:ext cx="641444" cy="80487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s:wsp>
                              <wps:cNvPr id="11" name="Straight Arrow Connector 11"/>
                              <wps:cNvCnPr/>
                              <wps:spPr>
                                <a:xfrm>
                                  <a:off x="3671248" y="3357349"/>
                                  <a:ext cx="0" cy="38213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 name="Straight Arrow Connector 12"/>
                              <wps:cNvCnPr/>
                              <wps:spPr>
                                <a:xfrm>
                                  <a:off x="3493827" y="1323833"/>
                                  <a:ext cx="0" cy="2412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 name="Text Box 38"/>
                              <wps:cNvSpPr txBox="1"/>
                              <wps:spPr>
                                <a:xfrm>
                                  <a:off x="2866030" y="2934269"/>
                                  <a:ext cx="1610360" cy="422910"/>
                                </a:xfrm>
                                <a:prstGeom prst="rect">
                                  <a:avLst/>
                                </a:prstGeom>
                                <a:solidFill>
                                  <a:schemeClr val="bg1"/>
                                </a:solidFill>
                                <a:ln w="6350">
                                  <a:solidFill>
                                    <a:prstClr val="black"/>
                                  </a:solidFill>
                                </a:ln>
                              </wps:spPr>
                              <wps:txbx>
                                <w:txbxContent>
                                  <w:p w14:paraId="61C98FB0" w14:textId="77777777" w:rsidR="00A81153" w:rsidRDefault="00A81153" w:rsidP="004F4002">
                                    <w:pPr>
                                      <w:jc w:val="center"/>
                                      <w:rPr>
                                        <w:lang w:val="en-US"/>
                                      </w:rPr>
                                    </w:pPr>
                                    <w:r>
                                      <w:rPr>
                                        <w:lang w:val="en-US"/>
                                      </w:rPr>
                                      <w:t>Data collection</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14" name="Group 14"/>
                              <wpg:cNvGrpSpPr/>
                              <wpg:grpSpPr>
                                <a:xfrm>
                                  <a:off x="2314526" y="3739454"/>
                                  <a:ext cx="4965967" cy="2006054"/>
                                  <a:chOff x="2314526" y="3739454"/>
                                  <a:chExt cx="4965967" cy="2006054"/>
                                </a:xfrm>
                              </wpg:grpSpPr>
                              <wps:wsp>
                                <wps:cNvPr id="17" name="Text Box 44"/>
                                <wps:cNvSpPr txBox="1"/>
                                <wps:spPr>
                                  <a:xfrm>
                                    <a:off x="2314526" y="3739454"/>
                                    <a:ext cx="2758470" cy="447224"/>
                                  </a:xfrm>
                                  <a:prstGeom prst="rect">
                                    <a:avLst/>
                                  </a:prstGeom>
                                  <a:solidFill>
                                    <a:schemeClr val="lt1"/>
                                  </a:solidFill>
                                  <a:ln w="6350">
                                    <a:solidFill>
                                      <a:prstClr val="black"/>
                                    </a:solidFill>
                                  </a:ln>
                                </wps:spPr>
                                <wps:txbx>
                                  <w:txbxContent>
                                    <w:p w14:paraId="11EE3462" w14:textId="77777777" w:rsidR="00A81153" w:rsidRDefault="00A81153" w:rsidP="004F4002">
                                      <w:pPr>
                                        <w:jc w:val="center"/>
                                        <w:rPr>
                                          <w:lang w:val="en-US"/>
                                        </w:rPr>
                                      </w:pPr>
                                      <w:r>
                                        <w:rPr>
                                          <w:lang w:val="en-US"/>
                                        </w:rPr>
                                        <w:t>Negotiations on policy alternatives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 name="Straight Arrow Connector 18"/>
                                <wps:cNvCnPr/>
                                <wps:spPr>
                                  <a:xfrm>
                                    <a:off x="3684896" y="4217158"/>
                                    <a:ext cx="0" cy="3816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 name="Text Box 51"/>
                                <wps:cNvSpPr txBox="1"/>
                                <wps:spPr>
                                  <a:xfrm>
                                    <a:off x="5758811" y="5024893"/>
                                    <a:ext cx="1521682" cy="401745"/>
                                  </a:xfrm>
                                  <a:prstGeom prst="rect">
                                    <a:avLst/>
                                  </a:prstGeom>
                                  <a:solidFill>
                                    <a:schemeClr val="lt1"/>
                                  </a:solidFill>
                                  <a:ln w="6350">
                                    <a:solidFill>
                                      <a:prstClr val="black"/>
                                    </a:solidFill>
                                  </a:ln>
                                </wps:spPr>
                                <wps:txbx>
                                  <w:txbxContent>
                                    <w:p w14:paraId="4497D3FA" w14:textId="0329AB7D" w:rsidR="00A81153" w:rsidRDefault="00A81153" w:rsidP="00831435">
                                      <w:pPr>
                                        <w:jc w:val="center"/>
                                        <w:rPr>
                                          <w:lang w:val="en-US"/>
                                        </w:rPr>
                                      </w:pPr>
                                      <w:r>
                                        <w:rPr>
                                          <w:lang w:val="en-US"/>
                                        </w:rPr>
                                        <w:t>Preferences executing actor</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cNvPr id="20" name="Group 20"/>
                                <wpg:cNvGrpSpPr/>
                                <wpg:grpSpPr>
                                  <a:xfrm>
                                    <a:off x="2715905" y="4612943"/>
                                    <a:ext cx="2988860" cy="1132565"/>
                                    <a:chOff x="2715905" y="4612943"/>
                                    <a:chExt cx="2988860" cy="1132565"/>
                                  </a:xfrm>
                                </wpg:grpSpPr>
                                <wps:wsp>
                                  <wps:cNvPr id="21" name="Text Box 47"/>
                                  <wps:cNvSpPr txBox="1"/>
                                  <wps:spPr>
                                    <a:xfrm>
                                      <a:off x="2715905" y="4612943"/>
                                      <a:ext cx="2033270" cy="354330"/>
                                    </a:xfrm>
                                    <a:prstGeom prst="rect">
                                      <a:avLst/>
                                    </a:prstGeom>
                                    <a:solidFill>
                                      <a:schemeClr val="lt1"/>
                                    </a:solidFill>
                                    <a:ln w="6350">
                                      <a:solidFill>
                                        <a:prstClr val="black"/>
                                      </a:solidFill>
                                    </a:ln>
                                  </wps:spPr>
                                  <wps:txbx>
                                    <w:txbxContent>
                                      <w:p w14:paraId="521DED84" w14:textId="77777777" w:rsidR="00A81153" w:rsidRDefault="00A81153" w:rsidP="004F4002">
                                        <w:pPr>
                                          <w:jc w:val="center"/>
                                          <w:rPr>
                                            <w:lang w:val="en-US"/>
                                          </w:rPr>
                                        </w:pPr>
                                        <w:r>
                                          <w:rPr>
                                            <w:lang w:val="en-US"/>
                                          </w:rPr>
                                          <w:t>Policy-decision</w:t>
                                        </w:r>
                                      </w:p>
                                      <w:p w14:paraId="612DC0EF" w14:textId="77777777" w:rsidR="00A81153" w:rsidRDefault="00A81153" w:rsidP="004F4002">
                                        <w:pPr>
                                          <w:jc w:val="center"/>
                                          <w:rPr>
                                            <w:lang w:val="en-US"/>
                                          </w:rPr>
                                        </w:pP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 name="Text Box 49"/>
                                  <wps:cNvSpPr txBox="1"/>
                                  <wps:spPr>
                                    <a:xfrm>
                                      <a:off x="2743200" y="5404513"/>
                                      <a:ext cx="2033270" cy="340995"/>
                                    </a:xfrm>
                                    <a:prstGeom prst="rect">
                                      <a:avLst/>
                                    </a:prstGeom>
                                    <a:solidFill>
                                      <a:schemeClr val="lt1"/>
                                    </a:solidFill>
                                    <a:ln w="6350">
                                      <a:solidFill>
                                        <a:prstClr val="black"/>
                                      </a:solidFill>
                                    </a:ln>
                                  </wps:spPr>
                                  <wps:txbx>
                                    <w:txbxContent>
                                      <w:p w14:paraId="0CA7004C" w14:textId="77777777" w:rsidR="00A81153" w:rsidRDefault="00A81153" w:rsidP="004F4002">
                                        <w:pPr>
                                          <w:jc w:val="center"/>
                                          <w:rPr>
                                            <w:lang w:val="en-US"/>
                                          </w:rPr>
                                        </w:pPr>
                                        <w:r>
                                          <w:rPr>
                                            <w:lang w:val="en-US"/>
                                          </w:rPr>
                                          <w:t>Implementation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 name="Straight Arrow Connector 23"/>
                                  <wps:cNvCnPr/>
                                  <wps:spPr>
                                    <a:xfrm>
                                      <a:off x="3712191" y="5008728"/>
                                      <a:ext cx="0" cy="3816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 name="Straight Arrow Connector 24"/>
                                  <wps:cNvCnPr/>
                                  <wps:spPr>
                                    <a:xfrm flipH="1">
                                      <a:off x="3725839" y="5213445"/>
                                      <a:ext cx="197892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s:wsp>
                              <wps:cNvPr id="15" name="Straight Arrow Connector 15"/>
                              <wps:cNvCnPr/>
                              <wps:spPr>
                                <a:xfrm>
                                  <a:off x="2497540" y="2019869"/>
                                  <a:ext cx="0" cy="171519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 name="Straight Arrow Connector 16"/>
                              <wps:cNvCnPr/>
                              <wps:spPr>
                                <a:xfrm>
                                  <a:off x="4790364" y="2019869"/>
                                  <a:ext cx="0" cy="171519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g:grpSp>
                      <wps:wsp>
                        <wps:cNvPr id="41" name="Rectangle 41"/>
                        <wps:cNvSpPr/>
                        <wps:spPr>
                          <a:xfrm>
                            <a:off x="0" y="0"/>
                            <a:ext cx="7014950" cy="717809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FBD0A2A" id="Group 42" o:spid="_x0000_s1026" style="position:absolute;left:0;text-align:left;margin-left:-44.85pt;margin-top:-1.1pt;width:552.35pt;height:565.2pt;z-index:251657216" coordsize="70149,717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">
                <v:group id="Group 59" o:spid="_x0000_s1027" style="position:absolute;left:3002;top:4776;width:64688;height:65373" coordsize="72804,57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shapetype id="_x0000_t32" coordsize="21600,21600" o:spt="32" o:oned="t" path="m,l21600,21600e" filled="f">
                    <v:path arrowok="t" fillok="f" o:connecttype="none"/>
                    <o:lock v:ext="edit" shapetype="t"/>
                  </v:shapetype>
                  <v:shape id="Straight Arrow Connector 2" o:spid="_x0000_s1028" type="#_x0000_t32" style="position:absolute;left:36030;top:4776;width:0;height:43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" strokecolor="black [3200]" strokeweight=".5pt">
                    <v:stroke endarrow="block" joinstyle="miter"/>
                  </v:shape>
                  <v:group id="Group 3" o:spid="_x0000_s1029" style="position:absolute;width:72804;height:57455" coordsize="72804,57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type id="_x0000_t202" coordsize="21600,21600" o:spt="202" path="m,l,21600r21600,l21600,xe">
                      <v:stroke joinstyle="miter"/>
                      <v:path gradientshapeok="t" o:connecttype="rect"/>
                    </v:shapetype>
                    <v:shape id="Text Box 34" o:spid="_x0000_s1030" type="#_x0000_t202" style="position:absolute;left:30025;width:12274;height:46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" fillcolor="white [3201]" strokeweight=".5pt">
                      <v:textbox>
                        <w:txbxContent>
                          <w:p w14:paraId="61BE1800" w14:textId="77777777" w:rsidR="00A81153" w:rsidRDefault="00A81153" w:rsidP="00831435">
                            <w:pPr>
                              <w:jc w:val="center"/>
                              <w:rPr>
                                <w:lang w:val="en-US"/>
                              </w:rPr>
                            </w:pPr>
                            <w:r>
                              <w:rPr>
                                <w:lang w:val="en-US"/>
                              </w:rPr>
                              <w:t>Organizational Culture</w:t>
                            </w:r>
                          </w:p>
                        </w:txbxContent>
                      </v:textbox>
                    </v:shape>
                    <v:shape id="Text Box 39" o:spid="_x0000_s1031" type="#_x0000_t202" style="position:absolute;left:29888;top:9144;width:12693;height:39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" fillcolor="white [3201]" strokeweight=".5pt">
                      <v:textbox>
                        <w:txbxContent>
                          <w:p w14:paraId="5953A53F" w14:textId="77777777" w:rsidR="00A81153" w:rsidRDefault="00A81153" w:rsidP="00831435">
                            <w:pPr>
                              <w:jc w:val="center"/>
                              <w:rPr>
                                <w:lang w:val="en-US"/>
                              </w:rPr>
                            </w:pPr>
                            <w:r>
                              <w:rPr>
                                <w:lang w:val="en-US"/>
                              </w:rPr>
                              <w:t>Procedural scripts</w:t>
                            </w:r>
                          </w:p>
                        </w:txbxContent>
                      </v:textbox>
                    </v:shape>
                    <v:shape id="Straight Arrow Connector 6" o:spid="_x0000_s1032" type="#_x0000_t32" style="position:absolute;left:26613;top:4640;width:3412;height:107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" strokecolor="black [3200]" strokeweight=".5pt">
                      <v:stroke endarrow="block" joinstyle="miter"/>
                    </v:shape>
                    <v:shape id="Straight Arrow Connector 7" o:spid="_x0000_s1033" type="#_x0000_t32" style="position:absolute;left:42308;top:4640;width:3007;height:107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" strokecolor="black [3200]" strokeweight=".5pt">
                      <v:stroke endarrow="block" joinstyle="miter"/>
                    </v:shape>
                    <v:shape id="Straight Arrow Connector 8" o:spid="_x0000_s1034" type="#_x0000_t32" style="position:absolute;left:36644;top:13101;width:0;height:163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" strokecolor="black [3200]" strokeweight=".5pt">
                      <v:stroke endarrow="block" joinstyle="miter"/>
                    </v:shape>
                    <v:group id="Group 9" o:spid="_x0000_s1035" style="position:absolute;top:11873;width:72804;height:45582" coordorigin=",11873" coordsize="72804,455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group id="Group 10" o:spid="_x0000_s1036" style="position:absolute;top:11873;width:72193;height:16650" coordorigin=",11873" coordsize="72196,16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group id="Group 25" o:spid="_x0000_s1037" style="position:absolute;top:11873;width:34255;height:16650" coordorigin=",11873" coordsize="34255,16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group id="Group 34" o:spid="_x0000_s1038" style="position:absolute;top:11873;width:31935;height:11328" coordorigin=",11873" coordsize="31935,113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shape id="_x0000_s1039" type="#_x0000_t202" style="position:absolute;top:11873;width:15694;height:3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" fillcolor="white [3201]" strokeweight=".5pt">
                              <v:textbox>
                                <w:txbxContent>
                                  <w:p w14:paraId="3ED80A76" w14:textId="0B510C23" w:rsidR="00A81153" w:rsidRDefault="00A81153" w:rsidP="00831435">
                                    <w:pPr>
                                      <w:jc w:val="center"/>
                                      <w:rPr>
                                        <w:lang w:val="en-US"/>
                                      </w:rPr>
                                    </w:pPr>
                                    <w:r>
                                      <w:rPr>
                                        <w:lang w:val="en-US"/>
                                      </w:rPr>
                                      <w:t>Bureaucratic role A</w:t>
                                    </w:r>
                                  </w:p>
                                </w:txbxContent>
                              </v:textbox>
                            </v:shape>
                            <v:shape id="Text Box 2" o:spid="_x0000_s1040" type="#_x0000_t202" style="position:absolute;top:15421;width:15831;height:4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" fillcolor="white [3201]" strokeweight=".5pt">
                              <v:textbox>
                                <w:txbxContent>
                                  <w:p w14:paraId="476ED616" w14:textId="1C725204" w:rsidR="00A81153" w:rsidRDefault="00A81153" w:rsidP="00831435">
                                    <w:pPr>
                                      <w:jc w:val="center"/>
                                      <w:rPr>
                                        <w:lang w:val="en-US"/>
                                      </w:rPr>
                                    </w:pPr>
                                    <w:r>
                                      <w:rPr>
                                        <w:lang w:val="en-US"/>
                                      </w:rPr>
                                      <w:t>Self-preservation instinct A</w:t>
                                    </w:r>
                                  </w:p>
                                </w:txbxContent>
                              </v:textbox>
                            </v:shape>
                            <v:shape id="Text Box 3" o:spid="_x0000_s1041" type="#_x0000_t202" style="position:absolute;top:20198;width:15840;height:3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" fillcolor="white [3201]" strokeweight=".5pt">
                              <v:textbox>
                                <w:txbxContent>
                                  <w:p w14:paraId="68448E41" w14:textId="4ADB7C08" w:rsidR="00A81153" w:rsidRDefault="00A81153" w:rsidP="00831435">
                                    <w:pPr>
                                      <w:jc w:val="center"/>
                                      <w:rPr>
                                        <w:lang w:val="en-US"/>
                                      </w:rPr>
                                    </w:pPr>
                                    <w:r>
                                      <w:rPr>
                                        <w:lang w:val="en-US"/>
                                      </w:rPr>
                                      <w:t>Personal qualities A</w:t>
                                    </w:r>
                                  </w:p>
                                </w:txbxContent>
                              </v:textbox>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39" o:spid="_x0000_s1042" type="#_x0000_t88" style="position:absolute;left:16786;top:12010;width:2184;height:111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" adj="351" strokecolor="black [3200]" strokeweight=".5pt">
                              <v:stroke joinstyle="miter"/>
                            </v:shape>
                            <v:shape id="Text Box 5" o:spid="_x0000_s1043" type="#_x0000_t202" style="position:absolute;left:21017;top:15558;width:10918;height:46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" fillcolor="white [3201]" strokeweight=".5pt">
                              <v:textbox>
                                <w:txbxContent>
                                  <w:p w14:paraId="3F4BBFEB" w14:textId="77777777" w:rsidR="00A81153" w:rsidRDefault="00A81153" w:rsidP="00831435">
                                    <w:pPr>
                                      <w:jc w:val="center"/>
                                      <w:rPr>
                                        <w:lang w:val="en-US"/>
                                      </w:rPr>
                                    </w:pPr>
                                    <w:r>
                                      <w:rPr>
                                        <w:lang w:val="en-US"/>
                                      </w:rPr>
                                      <w:t>Preferences actor A</w:t>
                                    </w:r>
                                  </w:p>
                                </w:txbxContent>
                              </v:textbox>
                            </v:shape>
                          </v:group>
                          <v:shape id="Straight Arrow Connector 35" o:spid="_x0000_s1044" type="#_x0000_t32" style="position:absolute;left:27977;top:20471;width:6278;height:80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" strokecolor="black [3200]" strokeweight=".5pt">
                            <v:stroke endarrow="block" joinstyle="miter"/>
                          </v:shape>
                        </v:group>
                        <v:group id="Group 26" o:spid="_x0000_s1045" style="position:absolute;left:38486;top:11873;width:33710;height:16647" coordorigin="38486,11873" coordsize="33709,166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group id="Group 27" o:spid="_x0000_s1046" style="position:absolute;left:40260;top:11873;width:31936;height:11328;flip:x" coordorigin="40260,11873" coordsize="31935,113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">
                            <v:shape id="Text Box 8" o:spid="_x0000_s1047" type="#_x0000_t202" style="position:absolute;left:40260;top:11873;width:15695;height:3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" fillcolor="white [3201]" strokeweight=".5pt">
                              <v:textbox>
                                <w:txbxContent>
                                  <w:p w14:paraId="3F9835C1" w14:textId="5B45198A" w:rsidR="00A81153" w:rsidRDefault="00A81153" w:rsidP="00831435">
                                    <w:pPr>
                                      <w:jc w:val="center"/>
                                      <w:rPr>
                                        <w:lang w:val="en-US"/>
                                      </w:rPr>
                                    </w:pPr>
                                    <w:r>
                                      <w:rPr>
                                        <w:lang w:val="en-US"/>
                                      </w:rPr>
                                      <w:t>Bureaucratic role B</w:t>
                                    </w:r>
                                  </w:p>
                                </w:txbxContent>
                              </v:textbox>
                            </v:shape>
                            <v:shape id="Text Box 11" o:spid="_x0000_s1048" type="#_x0000_t202" style="position:absolute;left:40260;top:15421;width:15832;height:43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" fillcolor="white [3201]" strokeweight=".5pt">
                              <v:textbox>
                                <w:txbxContent>
                                  <w:p w14:paraId="0202B590" w14:textId="03AB40E1" w:rsidR="00A81153" w:rsidRDefault="00A81153" w:rsidP="00831435">
                                    <w:pPr>
                                      <w:jc w:val="center"/>
                                      <w:rPr>
                                        <w:lang w:val="en-US"/>
                                      </w:rPr>
                                    </w:pPr>
                                    <w:r>
                                      <w:rPr>
                                        <w:lang w:val="en-US"/>
                                      </w:rPr>
                                      <w:t>Self-preservation instinct B</w:t>
                                    </w:r>
                                  </w:p>
                                </w:txbxContent>
                              </v:textbox>
                            </v:shape>
                            <v:shape id="Text Box 16" o:spid="_x0000_s1049" type="#_x0000_t202" style="position:absolute;left:40260;top:20198;width:15840;height:3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" fillcolor="white [3201]" strokeweight=".5pt">
                              <v:textbox>
                                <w:txbxContent>
                                  <w:p w14:paraId="2B7CC3F9" w14:textId="63AA7E9A" w:rsidR="00A81153" w:rsidRDefault="00A81153" w:rsidP="00831435">
                                    <w:pPr>
                                      <w:jc w:val="center"/>
                                      <w:rPr>
                                        <w:lang w:val="en-US"/>
                                      </w:rPr>
                                    </w:pPr>
                                    <w:r>
                                      <w:rPr>
                                        <w:lang w:val="en-US"/>
                                      </w:rPr>
                                      <w:t>Personal qualities B</w:t>
                                    </w:r>
                                  </w:p>
                                </w:txbxContent>
                              </v:textbox>
                            </v:shape>
                            <v:shape id="Right Brace 32" o:spid="_x0000_s1050" type="#_x0000_t88" style="position:absolute;left:57047;top:12010;width:2184;height:111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" adj="351" strokecolor="black [3200]" strokeweight=".5pt">
                              <v:stroke joinstyle="miter"/>
                            </v:shape>
                            <v:shape id="Text Box 20" o:spid="_x0000_s1051" type="#_x0000_t202" style="position:absolute;left:61278;top:15558;width:10918;height:46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" fillcolor="white [3201]" strokeweight=".5pt">
                              <v:textbox>
                                <w:txbxContent>
                                  <w:p w14:paraId="2A93C824" w14:textId="77777777" w:rsidR="00A81153" w:rsidRDefault="00A81153" w:rsidP="00831435">
                                    <w:pPr>
                                      <w:jc w:val="center"/>
                                      <w:rPr>
                                        <w:lang w:val="en-US"/>
                                      </w:rPr>
                                    </w:pPr>
                                    <w:r>
                                      <w:rPr>
                                        <w:lang w:val="en-US"/>
                                      </w:rPr>
                                      <w:t>Preferences actor B</w:t>
                                    </w:r>
                                  </w:p>
                                </w:txbxContent>
                              </v:textbox>
                            </v:shape>
                          </v:group>
                          <v:shape id="Straight Arrow Connector 28" o:spid="_x0000_s1052" type="#_x0000_t32" style="position:absolute;left:38486;top:20471;width:6415;height:804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" strokecolor="black [3200]" strokeweight=".5pt">
                            <v:stroke endarrow="block" joinstyle="miter"/>
                          </v:shape>
                        </v:group>
                      </v:group>
                      <v:shape id="Straight Arrow Connector 11" o:spid="_x0000_s1053" type="#_x0000_t32" style="position:absolute;left:36712;top:33573;width:0;height:38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" strokecolor="black [3200]" strokeweight=".5pt">
                        <v:stroke endarrow="block" joinstyle="miter"/>
                      </v:shape>
                      <v:shape id="Straight Arrow Connector 12" o:spid="_x0000_s1054" type="#_x0000_t32" style="position:absolute;left:34938;top:13238;width:0;height:241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" strokecolor="black [3200]" strokeweight=".5pt">
                        <v:stroke endarrow="block" joinstyle="miter"/>
                      </v:shape>
                      <v:shape id="Text Box 38" o:spid="_x0000_s1055" type="#_x0000_t202" style="position:absolute;left:28660;top:29342;width:16103;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" fillcolor="white [3212]" strokeweight=".5pt">
                        <v:textbox>
                          <w:txbxContent>
                            <w:p w14:paraId="61C98FB0" w14:textId="77777777" w:rsidR="00A81153" w:rsidRDefault="00A81153" w:rsidP="004F4002">
                              <w:pPr>
                                <w:jc w:val="center"/>
                                <w:rPr>
                                  <w:lang w:val="en-US"/>
                                </w:rPr>
                              </w:pPr>
                              <w:r>
                                <w:rPr>
                                  <w:lang w:val="en-US"/>
                                </w:rPr>
                                <w:t>Data collection</w:t>
                              </w:r>
                            </w:p>
                          </w:txbxContent>
                        </v:textbox>
                      </v:shape>
                      <v:group id="Group 14" o:spid="_x0000_s1056" style="position:absolute;left:23145;top:37394;width:49659;height:20061" coordorigin="23145,37394" coordsize="49659,20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shape id="Text Box 44" o:spid="_x0000_s1057" type="#_x0000_t202" style="position:absolute;left:23145;top:37394;width:27584;height:4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" fillcolor="white [3201]" strokeweight=".5pt">
                          <v:textbox>
                            <w:txbxContent>
                              <w:p w14:paraId="11EE3462" w14:textId="77777777" w:rsidR="00A81153" w:rsidRDefault="00A81153" w:rsidP="004F4002">
                                <w:pPr>
                                  <w:jc w:val="center"/>
                                  <w:rPr>
                                    <w:lang w:val="en-US"/>
                                  </w:rPr>
                                </w:pPr>
                                <w:r>
                                  <w:rPr>
                                    <w:lang w:val="en-US"/>
                                  </w:rPr>
                                  <w:t>Negotiations on policy alternatives</w:t>
                                </w:r>
                              </w:p>
                            </w:txbxContent>
                          </v:textbox>
                        </v:shape>
                        <v:shape id="Straight Arrow Connector 18" o:spid="_x0000_s1058" type="#_x0000_t32" style="position:absolute;left:36848;top:42171;width:0;height:38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" strokecolor="black [3200]" strokeweight=".5pt">
                          <v:stroke endarrow="block" joinstyle="miter"/>
                        </v:shape>
                        <v:shape id="Text Box 51" o:spid="_x0000_s1059" type="#_x0000_t202" style="position:absolute;left:57588;top:50248;width:15216;height:40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" fillcolor="white [3201]" strokeweight=".5pt">
                          <v:textbox>
                            <w:txbxContent>
                              <w:p w14:paraId="4497D3FA" w14:textId="0329AB7D" w:rsidR="00A81153" w:rsidRDefault="00A81153" w:rsidP="00831435">
                                <w:pPr>
                                  <w:jc w:val="center"/>
                                  <w:rPr>
                                    <w:lang w:val="en-US"/>
                                  </w:rPr>
                                </w:pPr>
                                <w:r>
                                  <w:rPr>
                                    <w:lang w:val="en-US"/>
                                  </w:rPr>
                                  <w:t>Preferences executing actor</w:t>
                                </w:r>
                              </w:p>
                            </w:txbxContent>
                          </v:textbox>
                        </v:shape>
                        <v:group id="Group 20" o:spid="_x0000_s1060" style="position:absolute;left:27159;top:46129;width:29888;height:11326" coordorigin="27159,46129" coordsize="29888,11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shape id="Text Box 47" o:spid="_x0000_s1061" type="#_x0000_t202" style="position:absolute;left:27159;top:46129;width:20332;height:3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" fillcolor="white [3201]" strokeweight=".5pt">
                            <v:textbox>
                              <w:txbxContent>
                                <w:p w14:paraId="521DED84" w14:textId="77777777" w:rsidR="00A81153" w:rsidRDefault="00A81153" w:rsidP="004F4002">
                                  <w:pPr>
                                    <w:jc w:val="center"/>
                                    <w:rPr>
                                      <w:lang w:val="en-US"/>
                                    </w:rPr>
                                  </w:pPr>
                                  <w:r>
                                    <w:rPr>
                                      <w:lang w:val="en-US"/>
                                    </w:rPr>
                                    <w:t>Policy-decision</w:t>
                                  </w:r>
                                </w:p>
                                <w:p w14:paraId="612DC0EF" w14:textId="77777777" w:rsidR="00A81153" w:rsidRDefault="00A81153" w:rsidP="004F4002">
                                  <w:pPr>
                                    <w:jc w:val="center"/>
                                    <w:rPr>
                                      <w:lang w:val="en-US"/>
                                    </w:rPr>
                                  </w:pPr>
                                </w:p>
                              </w:txbxContent>
                            </v:textbox>
                          </v:shape>
                          <v:shape id="Text Box 49" o:spid="_x0000_s1062" type="#_x0000_t202" style="position:absolute;left:27432;top:54045;width:20332;height:3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" fillcolor="white [3201]" strokeweight=".5pt">
                            <v:textbox>
                              <w:txbxContent>
                                <w:p w14:paraId="0CA7004C" w14:textId="77777777" w:rsidR="00A81153" w:rsidRDefault="00A81153" w:rsidP="004F4002">
                                  <w:pPr>
                                    <w:jc w:val="center"/>
                                    <w:rPr>
                                      <w:lang w:val="en-US"/>
                                    </w:rPr>
                                  </w:pPr>
                                  <w:r>
                                    <w:rPr>
                                      <w:lang w:val="en-US"/>
                                    </w:rPr>
                                    <w:t>Implementation</w:t>
                                  </w:r>
                                </w:p>
                              </w:txbxContent>
                            </v:textbox>
                          </v:shape>
                          <v:shape id="Straight Arrow Connector 23" o:spid="_x0000_s1063" type="#_x0000_t32" style="position:absolute;left:37121;top:50087;width:0;height:38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" strokecolor="black [3200]" strokeweight=".5pt">
                            <v:stroke endarrow="block" joinstyle="miter"/>
                          </v:shape>
                          <v:shape id="Straight Arrow Connector 24" o:spid="_x0000_s1064" type="#_x0000_t32" style="position:absolute;left:37258;top:52134;width:1978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" strokecolor="black [3200]" strokeweight=".5pt">
                            <v:stroke endarrow="block" joinstyle="miter"/>
                          </v:shape>
                        </v:group>
                      </v:group>
                      <v:shape id="Straight Arrow Connector 15" o:spid="_x0000_s1065" type="#_x0000_t32" style="position:absolute;left:24975;top:20198;width:0;height:171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" strokecolor="black [3200]" strokeweight=".5pt">
                        <v:stroke endarrow="block" joinstyle="miter"/>
                      </v:shape>
                      <v:shape id="Straight Arrow Connector 16" o:spid="_x0000_s1066" type="#_x0000_t32" style="position:absolute;left:47903;top:20198;width:0;height:171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" strokecolor="black [3200]" strokeweight=".5pt">
                        <v:stroke endarrow="block" joinstyle="miter"/>
                      </v:shape>
                    </v:group>
                  </v:group>
                </v:group>
                <v:rect id="Rectangle 41" o:spid="_x0000_s1067" style="position:absolute;width:70149;height:717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" filled="f" strokecolor="black [3213]" strokeweight="1pt"/>
              </v:group>
            </w:pict>
          </mc:Fallback>
        </mc:AlternateContent>
      </w:r>
      <w:r w:rsidR="00B97C24">
        <w:rPr>
          <w:noProof/>
          <w:lang w:eastAsia="nl-NL"/>
        </w:rPr>
        <mc:AlternateContent>
          <mc:Choice Requires="wps">
            <w:drawing>
              <wp:anchor distT="0" distB="0" distL="114300" distR="114300" simplePos="0" relativeHeight="251667456" behindDoc="0" locked="0" layoutInCell="1" allowOverlap="1" wp14:anchorId="34B0BE04" wp14:editId="7988DB57">
                <wp:simplePos x="0" y="0"/>
                <wp:positionH relativeFrom="column">
                  <wp:posOffset>-572135</wp:posOffset>
                </wp:positionH>
                <wp:positionV relativeFrom="paragraph">
                  <wp:posOffset>7223125</wp:posOffset>
                </wp:positionV>
                <wp:extent cx="7014845" cy="635"/>
                <wp:effectExtent l="0" t="0" r="0" b="0"/>
                <wp:wrapNone/>
                <wp:docPr id="1" name="Text Box 1"/>
                <wp:cNvGraphicFramePr/>
                <a:graphic xmlns:a="http://schemas.openxmlformats.org/drawingml/2006/main">
                  <a:graphicData uri="http://schemas.microsoft.com/office/word/2010/wordprocessingShape">
                    <wps:wsp>
                      <wps:cNvSpPr txBox="1"/>
                      <wps:spPr>
                        <a:xfrm>
                          <a:off x="0" y="0"/>
                          <a:ext cx="7014845" cy="635"/>
                        </a:xfrm>
                        <a:prstGeom prst="rect">
                          <a:avLst/>
                        </a:prstGeom>
                        <a:solidFill>
                          <a:prstClr val="white"/>
                        </a:solidFill>
                        <a:ln>
                          <a:noFill/>
                        </a:ln>
                      </wps:spPr>
                      <wps:txbx>
                        <w:txbxContent>
                          <w:p w14:paraId="7AC16925" w14:textId="430D599E" w:rsidR="00A81153" w:rsidRPr="008251F1" w:rsidRDefault="00A81153" w:rsidP="00B97C24">
                            <w:pPr>
                              <w:pStyle w:val="Bijschrift"/>
                              <w:rPr>
                                <w:sz w:val="22"/>
                                <w:lang w:val="en-US"/>
                              </w:rPr>
                            </w:pPr>
                            <w:bookmarkStart w:id="13" w:name="_Toc48850667"/>
                            <w:bookmarkStart w:id="14" w:name="_Toc46848988"/>
                            <w:bookmarkStart w:id="15" w:name="_Toc46849143"/>
                            <w:bookmarkStart w:id="16" w:name="_Toc46849154"/>
                            <w:bookmarkStart w:id="17" w:name="_Toc48288456"/>
                            <w:r w:rsidRPr="008251F1">
                              <w:rPr>
                                <w:sz w:val="22"/>
                                <w:lang w:val="en-US"/>
                              </w:rPr>
                              <w:t xml:space="preserve">Figure </w:t>
                            </w:r>
                            <w:r w:rsidRPr="008251F1">
                              <w:rPr>
                                <w:sz w:val="22"/>
                              </w:rPr>
                              <w:fldChar w:fldCharType="begin"/>
                            </w:r>
                            <w:r w:rsidRPr="008251F1">
                              <w:rPr>
                                <w:sz w:val="22"/>
                                <w:lang w:val="en-US"/>
                              </w:rPr>
                              <w:instrText xml:space="preserve"> SEQ Figure \* ARABIC </w:instrText>
                            </w:r>
                            <w:r w:rsidRPr="008251F1">
                              <w:rPr>
                                <w:sz w:val="22"/>
                              </w:rPr>
                              <w:fldChar w:fldCharType="separate"/>
                            </w:r>
                            <w:r>
                              <w:rPr>
                                <w:noProof/>
                                <w:sz w:val="22"/>
                                <w:lang w:val="en-US"/>
                              </w:rPr>
                              <w:t>1</w:t>
                            </w:r>
                            <w:r w:rsidRPr="008251F1">
                              <w:rPr>
                                <w:sz w:val="22"/>
                              </w:rPr>
                              <w:fldChar w:fldCharType="end"/>
                            </w:r>
                            <w:r w:rsidRPr="008251F1">
                              <w:rPr>
                                <w:sz w:val="22"/>
                                <w:lang w:val="en-US"/>
                              </w:rPr>
                              <w:t xml:space="preserve">. </w:t>
                            </w:r>
                            <w:r w:rsidRPr="008251F1">
                              <w:rPr>
                                <w:i w:val="0"/>
                                <w:sz w:val="22"/>
                                <w:lang w:val="en-US"/>
                              </w:rPr>
                              <w:t>Conceptual model of Ripley’s approach.</w:t>
                            </w:r>
                            <w:bookmarkEnd w:id="13"/>
                            <w:r w:rsidRPr="008251F1">
                              <w:rPr>
                                <w:i w:val="0"/>
                                <w:sz w:val="22"/>
                                <w:lang w:val="en-US"/>
                              </w:rPr>
                              <w:t xml:space="preserve"> </w:t>
                            </w:r>
                            <w:bookmarkEnd w:id="14"/>
                            <w:bookmarkEnd w:id="15"/>
                            <w:bookmarkEnd w:id="16"/>
                            <w:bookmarkEnd w:id="1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4B0BE04" id="Text Box 1" o:spid="_x0000_s1068" type="#_x0000_t202" style="position:absolute;left:0;text-align:left;margin-left:-45.05pt;margin-top:568.75pt;width:552.35pt;height:.0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" stroked="f">
                <v:textbox style="mso-fit-shape-to-text:t" inset="0,0,0,0">
                  <w:txbxContent>
                    <w:p w14:paraId="7AC16925" w14:textId="430D599E" w:rsidR="00A81153" w:rsidRPr="008251F1" w:rsidRDefault="00A81153" w:rsidP="00B97C24">
                      <w:pPr>
                        <w:pStyle w:val="Bijschrift"/>
                        <w:rPr>
                          <w:sz w:val="22"/>
                          <w:lang w:val="en-US"/>
                        </w:rPr>
                      </w:pPr>
                      <w:bookmarkStart w:id="18" w:name="_Toc48850667"/>
                      <w:bookmarkStart w:id="19" w:name="_Toc46848988"/>
                      <w:bookmarkStart w:id="20" w:name="_Toc46849143"/>
                      <w:bookmarkStart w:id="21" w:name="_Toc46849154"/>
                      <w:bookmarkStart w:id="22" w:name="_Toc48288456"/>
                      <w:r w:rsidRPr="008251F1">
                        <w:rPr>
                          <w:sz w:val="22"/>
                          <w:lang w:val="en-US"/>
                        </w:rPr>
                        <w:t xml:space="preserve">Figure </w:t>
                      </w:r>
                      <w:r w:rsidRPr="008251F1">
                        <w:rPr>
                          <w:sz w:val="22"/>
                        </w:rPr>
                        <w:fldChar w:fldCharType="begin"/>
                      </w:r>
                      <w:r w:rsidRPr="008251F1">
                        <w:rPr>
                          <w:sz w:val="22"/>
                          <w:lang w:val="en-US"/>
                        </w:rPr>
                        <w:instrText xml:space="preserve"> SEQ Figure \* ARABIC </w:instrText>
                      </w:r>
                      <w:r w:rsidRPr="008251F1">
                        <w:rPr>
                          <w:sz w:val="22"/>
                        </w:rPr>
                        <w:fldChar w:fldCharType="separate"/>
                      </w:r>
                      <w:r>
                        <w:rPr>
                          <w:noProof/>
                          <w:sz w:val="22"/>
                          <w:lang w:val="en-US"/>
                        </w:rPr>
                        <w:t>1</w:t>
                      </w:r>
                      <w:r w:rsidRPr="008251F1">
                        <w:rPr>
                          <w:sz w:val="22"/>
                        </w:rPr>
                        <w:fldChar w:fldCharType="end"/>
                      </w:r>
                      <w:r w:rsidRPr="008251F1">
                        <w:rPr>
                          <w:sz w:val="22"/>
                          <w:lang w:val="en-US"/>
                        </w:rPr>
                        <w:t xml:space="preserve">. </w:t>
                      </w:r>
                      <w:r w:rsidRPr="008251F1">
                        <w:rPr>
                          <w:i w:val="0"/>
                          <w:sz w:val="22"/>
                          <w:lang w:val="en-US"/>
                        </w:rPr>
                        <w:t>Conceptual model of Ripley’s approach.</w:t>
                      </w:r>
                      <w:bookmarkEnd w:id="18"/>
                      <w:r w:rsidRPr="008251F1">
                        <w:rPr>
                          <w:i w:val="0"/>
                          <w:sz w:val="22"/>
                          <w:lang w:val="en-US"/>
                        </w:rPr>
                        <w:t xml:space="preserve"> </w:t>
                      </w:r>
                      <w:bookmarkEnd w:id="19"/>
                      <w:bookmarkEnd w:id="20"/>
                      <w:bookmarkEnd w:id="21"/>
                      <w:bookmarkEnd w:id="22"/>
                    </w:p>
                  </w:txbxContent>
                </v:textbox>
              </v:shape>
            </w:pict>
          </mc:Fallback>
        </mc:AlternateContent>
      </w:r>
    </w:p>
    <w:p w14:paraId="1EF30601" w14:textId="533171C5" w:rsidR="004F4002" w:rsidRDefault="004F4002" w:rsidP="004F4002">
      <w:pPr>
        <w:ind w:left="708"/>
        <w:jc w:val="both"/>
        <w:rPr>
          <w:i/>
          <w:lang w:val="en-US"/>
        </w:rPr>
      </w:pPr>
    </w:p>
    <w:p w14:paraId="6C3A19BF" w14:textId="77777777" w:rsidR="004F4002" w:rsidRPr="004F4002" w:rsidRDefault="004F4002" w:rsidP="004F4002">
      <w:pPr>
        <w:jc w:val="both"/>
        <w:rPr>
          <w:i/>
          <w:lang w:val="en-US"/>
        </w:rPr>
      </w:pPr>
      <w:r>
        <w:rPr>
          <w:i/>
          <w:lang w:val="en-US"/>
        </w:rPr>
        <w:t xml:space="preserve"> </w:t>
      </w:r>
    </w:p>
    <w:p w14:paraId="0BFA95DF" w14:textId="77777777" w:rsidR="00101D34" w:rsidRPr="00101D34" w:rsidRDefault="00101D34" w:rsidP="00101D34">
      <w:pPr>
        <w:rPr>
          <w:lang w:val="en-US"/>
        </w:rPr>
      </w:pPr>
    </w:p>
    <w:p w14:paraId="27544BA1" w14:textId="77777777" w:rsidR="00101D34" w:rsidRPr="00101D34" w:rsidRDefault="00101D34" w:rsidP="00101D34">
      <w:pPr>
        <w:pStyle w:val="paragraph"/>
        <w:spacing w:before="0" w:beforeAutospacing="0" w:after="0" w:afterAutospacing="0"/>
        <w:jc w:val="both"/>
        <w:textAlignment w:val="baseline"/>
        <w:rPr>
          <w:rFonts w:ascii="Segoe UI" w:hAnsi="Segoe UI" w:cs="Segoe UI"/>
          <w:sz w:val="18"/>
          <w:szCs w:val="18"/>
          <w:lang w:val="en-US"/>
        </w:rPr>
      </w:pPr>
    </w:p>
    <w:p w14:paraId="67E61B21" w14:textId="77777777" w:rsidR="00101D34" w:rsidRPr="00101D34" w:rsidRDefault="00101D34" w:rsidP="00101D34">
      <w:pPr>
        <w:rPr>
          <w:lang w:val="en-US"/>
        </w:rPr>
      </w:pPr>
    </w:p>
    <w:p w14:paraId="01ABB14F" w14:textId="1EE1E05C" w:rsidR="007112FB" w:rsidRDefault="007112FB" w:rsidP="00101D34">
      <w:pPr>
        <w:rPr>
          <w:lang w:val="en-US"/>
        </w:rPr>
      </w:pPr>
    </w:p>
    <w:p w14:paraId="32BDE1E4" w14:textId="77777777" w:rsidR="007112FB" w:rsidRPr="007112FB" w:rsidRDefault="007112FB" w:rsidP="007112FB">
      <w:pPr>
        <w:rPr>
          <w:lang w:val="en-US"/>
        </w:rPr>
      </w:pPr>
    </w:p>
    <w:p w14:paraId="398FB887" w14:textId="77777777" w:rsidR="007112FB" w:rsidRPr="007112FB" w:rsidRDefault="007112FB" w:rsidP="007112FB">
      <w:pPr>
        <w:rPr>
          <w:lang w:val="en-US"/>
        </w:rPr>
      </w:pPr>
    </w:p>
    <w:p w14:paraId="59A6F593" w14:textId="77777777" w:rsidR="007112FB" w:rsidRPr="007112FB" w:rsidRDefault="007112FB" w:rsidP="007112FB">
      <w:pPr>
        <w:rPr>
          <w:lang w:val="en-US"/>
        </w:rPr>
      </w:pPr>
    </w:p>
    <w:p w14:paraId="7527DCC5" w14:textId="77777777" w:rsidR="007112FB" w:rsidRPr="007112FB" w:rsidRDefault="007112FB" w:rsidP="007112FB">
      <w:pPr>
        <w:rPr>
          <w:lang w:val="en-US"/>
        </w:rPr>
      </w:pPr>
    </w:p>
    <w:p w14:paraId="154D5FA4" w14:textId="77777777" w:rsidR="007112FB" w:rsidRPr="007112FB" w:rsidRDefault="007112FB" w:rsidP="007112FB">
      <w:pPr>
        <w:rPr>
          <w:lang w:val="en-US"/>
        </w:rPr>
      </w:pPr>
    </w:p>
    <w:p w14:paraId="545AC39C" w14:textId="77777777" w:rsidR="007112FB" w:rsidRPr="007112FB" w:rsidRDefault="007112FB" w:rsidP="007112FB">
      <w:pPr>
        <w:rPr>
          <w:lang w:val="en-US"/>
        </w:rPr>
      </w:pPr>
    </w:p>
    <w:p w14:paraId="390F17E1" w14:textId="77777777" w:rsidR="007112FB" w:rsidRPr="007112FB" w:rsidRDefault="007112FB" w:rsidP="007112FB">
      <w:pPr>
        <w:rPr>
          <w:lang w:val="en-US"/>
        </w:rPr>
      </w:pPr>
    </w:p>
    <w:p w14:paraId="1313F546" w14:textId="77777777" w:rsidR="007112FB" w:rsidRPr="007112FB" w:rsidRDefault="007112FB" w:rsidP="007112FB">
      <w:pPr>
        <w:rPr>
          <w:lang w:val="en-US"/>
        </w:rPr>
      </w:pPr>
    </w:p>
    <w:p w14:paraId="7FB52C6F" w14:textId="77777777" w:rsidR="007112FB" w:rsidRPr="007112FB" w:rsidRDefault="007112FB" w:rsidP="007112FB">
      <w:pPr>
        <w:rPr>
          <w:lang w:val="en-US"/>
        </w:rPr>
      </w:pPr>
    </w:p>
    <w:p w14:paraId="64768C64" w14:textId="77777777" w:rsidR="007112FB" w:rsidRPr="007112FB" w:rsidRDefault="007112FB" w:rsidP="007112FB">
      <w:pPr>
        <w:rPr>
          <w:lang w:val="en-US"/>
        </w:rPr>
      </w:pPr>
    </w:p>
    <w:p w14:paraId="32F4D216" w14:textId="77777777" w:rsidR="007112FB" w:rsidRPr="007112FB" w:rsidRDefault="007112FB" w:rsidP="007112FB">
      <w:pPr>
        <w:rPr>
          <w:lang w:val="en-US"/>
        </w:rPr>
      </w:pPr>
    </w:p>
    <w:p w14:paraId="752C7632" w14:textId="77777777" w:rsidR="007112FB" w:rsidRPr="007112FB" w:rsidRDefault="007112FB" w:rsidP="007112FB">
      <w:pPr>
        <w:rPr>
          <w:lang w:val="en-US"/>
        </w:rPr>
      </w:pPr>
    </w:p>
    <w:p w14:paraId="45BF650F" w14:textId="77777777" w:rsidR="007112FB" w:rsidRPr="007112FB" w:rsidRDefault="007112FB" w:rsidP="007112FB">
      <w:pPr>
        <w:rPr>
          <w:lang w:val="en-US"/>
        </w:rPr>
      </w:pPr>
    </w:p>
    <w:p w14:paraId="5A94C4E4" w14:textId="77777777" w:rsidR="007112FB" w:rsidRPr="007112FB" w:rsidRDefault="007112FB" w:rsidP="007112FB">
      <w:pPr>
        <w:rPr>
          <w:lang w:val="en-US"/>
        </w:rPr>
      </w:pPr>
    </w:p>
    <w:p w14:paraId="185253DE" w14:textId="77777777" w:rsidR="007112FB" w:rsidRPr="007112FB" w:rsidRDefault="007112FB" w:rsidP="007112FB">
      <w:pPr>
        <w:rPr>
          <w:lang w:val="en-US"/>
        </w:rPr>
      </w:pPr>
    </w:p>
    <w:p w14:paraId="29683AD9" w14:textId="77777777" w:rsidR="007112FB" w:rsidRPr="007112FB" w:rsidRDefault="007112FB" w:rsidP="007112FB">
      <w:pPr>
        <w:rPr>
          <w:lang w:val="en-US"/>
        </w:rPr>
      </w:pPr>
    </w:p>
    <w:p w14:paraId="1EA67073" w14:textId="77777777" w:rsidR="007112FB" w:rsidRPr="007112FB" w:rsidRDefault="007112FB" w:rsidP="007112FB">
      <w:pPr>
        <w:rPr>
          <w:lang w:val="en-US"/>
        </w:rPr>
      </w:pPr>
    </w:p>
    <w:p w14:paraId="7234A88B" w14:textId="77777777" w:rsidR="007112FB" w:rsidRPr="007112FB" w:rsidRDefault="007112FB" w:rsidP="007112FB">
      <w:pPr>
        <w:rPr>
          <w:lang w:val="en-US"/>
        </w:rPr>
      </w:pPr>
    </w:p>
    <w:p w14:paraId="6932C23F" w14:textId="571F01DC" w:rsidR="007112FB" w:rsidRPr="007112FB" w:rsidRDefault="007112FB" w:rsidP="007112FB">
      <w:pPr>
        <w:rPr>
          <w:lang w:val="en-US"/>
        </w:rPr>
      </w:pPr>
    </w:p>
    <w:p w14:paraId="5B52DE80" w14:textId="77777777" w:rsidR="007112FB" w:rsidRPr="007112FB" w:rsidRDefault="007112FB" w:rsidP="007112FB">
      <w:pPr>
        <w:rPr>
          <w:lang w:val="en-US"/>
        </w:rPr>
      </w:pPr>
    </w:p>
    <w:p w14:paraId="152EB8C2" w14:textId="77777777" w:rsidR="007112FB" w:rsidRPr="007112FB" w:rsidRDefault="007112FB" w:rsidP="007112FB">
      <w:pPr>
        <w:rPr>
          <w:lang w:val="en-US"/>
        </w:rPr>
      </w:pPr>
    </w:p>
    <w:p w14:paraId="3C729F4D" w14:textId="77777777" w:rsidR="007112FB" w:rsidRDefault="007112FB" w:rsidP="007112FB">
      <w:pPr>
        <w:rPr>
          <w:lang w:val="en-US"/>
        </w:rPr>
      </w:pPr>
    </w:p>
    <w:p w14:paraId="145628FD" w14:textId="77777777" w:rsidR="007112FB" w:rsidRDefault="007112FB" w:rsidP="007112FB">
      <w:pPr>
        <w:rPr>
          <w:lang w:val="en-US"/>
        </w:rPr>
      </w:pPr>
    </w:p>
    <w:p w14:paraId="486F277C" w14:textId="77777777" w:rsidR="007112FB" w:rsidRDefault="007112FB">
      <w:pPr>
        <w:rPr>
          <w:lang w:val="en-US"/>
        </w:rPr>
      </w:pPr>
      <w:r>
        <w:rPr>
          <w:lang w:val="en-US"/>
        </w:rPr>
        <w:br w:type="page"/>
      </w:r>
    </w:p>
    <w:p w14:paraId="6B4A9503" w14:textId="417776A0" w:rsidR="00101D34" w:rsidRPr="00A81153" w:rsidRDefault="007112FB" w:rsidP="00A81153">
      <w:pPr>
        <w:pStyle w:val="Kop1"/>
        <w:jc w:val="center"/>
        <w:rPr>
          <w:b/>
          <w:bCs/>
          <w:color w:val="auto"/>
          <w:lang w:val="en-US"/>
        </w:rPr>
      </w:pPr>
      <w:bookmarkStart w:id="23" w:name="_Toc48891288"/>
      <w:r w:rsidRPr="00A81153">
        <w:rPr>
          <w:b/>
          <w:bCs/>
          <w:color w:val="auto"/>
          <w:lang w:val="en-US"/>
        </w:rPr>
        <w:t xml:space="preserve">3. </w:t>
      </w:r>
      <w:r w:rsidR="000F625F" w:rsidRPr="00A81153">
        <w:rPr>
          <w:b/>
          <w:bCs/>
          <w:color w:val="auto"/>
          <w:lang w:val="en-US"/>
        </w:rPr>
        <w:t>Methodology</w:t>
      </w:r>
      <w:bookmarkEnd w:id="23"/>
    </w:p>
    <w:p w14:paraId="3A74DF76" w14:textId="77777777" w:rsidR="00A81153" w:rsidRDefault="00A81153" w:rsidP="005645BB">
      <w:pPr>
        <w:jc w:val="both"/>
        <w:rPr>
          <w:lang w:val="en-US"/>
        </w:rPr>
      </w:pPr>
    </w:p>
    <w:p w14:paraId="40F63E97" w14:textId="4416D1A1" w:rsidR="004F5004" w:rsidRDefault="000F625F" w:rsidP="005645BB">
      <w:pPr>
        <w:jc w:val="both"/>
        <w:rPr>
          <w:lang w:val="en-US"/>
        </w:rPr>
      </w:pPr>
      <w:r>
        <w:rPr>
          <w:lang w:val="en-US"/>
        </w:rPr>
        <w:t>In this chapter, the</w:t>
      </w:r>
      <w:r w:rsidR="004F5004">
        <w:rPr>
          <w:lang w:val="en-US"/>
        </w:rPr>
        <w:t xml:space="preserve"> </w:t>
      </w:r>
      <w:r>
        <w:rPr>
          <w:lang w:val="en-US"/>
        </w:rPr>
        <w:t>research design and methodo</w:t>
      </w:r>
      <w:r w:rsidR="00A1335C">
        <w:rPr>
          <w:lang w:val="en-US"/>
        </w:rPr>
        <w:t>logical approach of the study are outlined</w:t>
      </w:r>
      <w:r>
        <w:rPr>
          <w:lang w:val="en-US"/>
        </w:rPr>
        <w:t>. Additionally, the case under rev</w:t>
      </w:r>
      <w:r w:rsidR="004F5004">
        <w:rPr>
          <w:lang w:val="en-US"/>
        </w:rPr>
        <w:t>iew is introduced and the case selection is justified. Subsequently, t</w:t>
      </w:r>
      <w:r>
        <w:rPr>
          <w:lang w:val="en-US"/>
        </w:rPr>
        <w:t>he theoretical hypotheses are operationalized. Finally, an overview and legitimation of the sources used in the empirical analysis is provided.</w:t>
      </w:r>
    </w:p>
    <w:p w14:paraId="66801449" w14:textId="1B5CCCFE" w:rsidR="007112FB" w:rsidRPr="00A81153" w:rsidRDefault="007112FB" w:rsidP="005645BB">
      <w:pPr>
        <w:pStyle w:val="Kop2"/>
        <w:jc w:val="both"/>
        <w:rPr>
          <w:color w:val="auto"/>
          <w:lang w:val="en-US"/>
        </w:rPr>
      </w:pPr>
      <w:bookmarkStart w:id="24" w:name="_Toc48891289"/>
      <w:r w:rsidRPr="00A81153">
        <w:rPr>
          <w:color w:val="auto"/>
          <w:lang w:val="en-US"/>
        </w:rPr>
        <w:t>3.1 Research design: single case study</w:t>
      </w:r>
      <w:bookmarkEnd w:id="24"/>
    </w:p>
    <w:p w14:paraId="5230F33B" w14:textId="2FC25C93" w:rsidR="004F5004" w:rsidRDefault="004F5004" w:rsidP="005645BB">
      <w:pPr>
        <w:jc w:val="both"/>
        <w:rPr>
          <w:lang w:val="en-US"/>
        </w:rPr>
      </w:pPr>
      <w:r>
        <w:rPr>
          <w:lang w:val="en-US"/>
        </w:rPr>
        <w:t>The integrated model presented in the theoretical framework aims to explain how non-rational policy portrayed by governments comes to be.</w:t>
      </w:r>
      <w:r w:rsidR="00A1335C">
        <w:rPr>
          <w:lang w:val="en-US"/>
        </w:rPr>
        <w:t xml:space="preserve"> The model takes the individual and small group as the unit of analysis, assuming foreign policy to be the outcome of negotiations among self-interested powerful actors who have consciously and unconsciously adopted the norms and values of their organization.</w:t>
      </w:r>
      <w:r>
        <w:rPr>
          <w:lang w:val="en-US"/>
        </w:rPr>
        <w:t xml:space="preserve"> </w:t>
      </w:r>
      <w:r w:rsidR="00A1335C">
        <w:rPr>
          <w:lang w:val="en-US"/>
        </w:rPr>
        <w:t xml:space="preserve">The embeddedness of bureaucratic actors in their organizational context is expected to significantly structure their rationality. </w:t>
      </w:r>
      <w:r>
        <w:rPr>
          <w:lang w:val="en-US"/>
        </w:rPr>
        <w:t xml:space="preserve">Bureaucratic role conceptions, procedural scripts, and cultural rationales are hypothesized to be conditions contributing to producing policy that does not qualify as </w:t>
      </w:r>
      <w:r w:rsidR="00F0041E">
        <w:rPr>
          <w:lang w:val="en-US"/>
        </w:rPr>
        <w:t>a value-maximizing rational choice at the collective level.</w:t>
      </w:r>
    </w:p>
    <w:p w14:paraId="1E17BD8A" w14:textId="25BDB781" w:rsidR="00F0041E" w:rsidRDefault="00F0041E" w:rsidP="005645BB">
      <w:pPr>
        <w:jc w:val="both"/>
        <w:rPr>
          <w:lang w:val="en-US"/>
        </w:rPr>
      </w:pPr>
      <w:r>
        <w:rPr>
          <w:lang w:val="en-US"/>
        </w:rPr>
        <w:t xml:space="preserve">Testing this new model calls for a design that allows to adequately capture the decision-making process leading up to a policy-decision. For this reason, a qualitative single case study is conducted, using process-tracing as a method. Opting for a single case study makes sense for multiple reasons. Firstly, the theoretical implications of the model requires a detailed examination of decision-making processes that is difficult to achieve with a larger N-study. A single case study allows for in-depth systematic investigation, </w:t>
      </w:r>
      <w:r w:rsidR="00BF6384">
        <w:rPr>
          <w:lang w:val="en-US"/>
        </w:rPr>
        <w:t>and</w:t>
      </w:r>
      <w:r>
        <w:rPr>
          <w:lang w:val="en-US"/>
        </w:rPr>
        <w:t xml:space="preserve"> is</w:t>
      </w:r>
      <w:r w:rsidR="00A5666D">
        <w:rPr>
          <w:lang w:val="en-US"/>
        </w:rPr>
        <w:t xml:space="preserve"> better</w:t>
      </w:r>
      <w:r>
        <w:rPr>
          <w:lang w:val="en-US"/>
        </w:rPr>
        <w:t xml:space="preserve"> suited to capture processes</w:t>
      </w:r>
      <w:r w:rsidR="00E73590">
        <w:rPr>
          <w:lang w:val="en-US"/>
        </w:rPr>
        <w:t xml:space="preserve"> (Flyvbjerg, </w:t>
      </w:r>
      <w:r w:rsidR="00D424D4">
        <w:rPr>
          <w:lang w:val="en-US"/>
        </w:rPr>
        <w:t>2006)</w:t>
      </w:r>
      <w:r>
        <w:rPr>
          <w:lang w:val="en-US"/>
        </w:rPr>
        <w:t xml:space="preserve">. Constraints on time and resources makes limiting the scope of the research to a single case a </w:t>
      </w:r>
      <w:r w:rsidR="00A1335C">
        <w:rPr>
          <w:lang w:val="en-US"/>
        </w:rPr>
        <w:t>reasonable</w:t>
      </w:r>
      <w:r>
        <w:rPr>
          <w:lang w:val="en-US"/>
        </w:rPr>
        <w:t xml:space="preserve"> choice as well.</w:t>
      </w:r>
    </w:p>
    <w:p w14:paraId="2308F4A8" w14:textId="33F8A155" w:rsidR="00464D2A" w:rsidRPr="007C62A7" w:rsidRDefault="00F0041E" w:rsidP="007C62A7">
      <w:pPr>
        <w:jc w:val="both"/>
        <w:rPr>
          <w:lang w:val="en-US"/>
        </w:rPr>
      </w:pPr>
      <w:r>
        <w:rPr>
          <w:lang w:val="en-US"/>
        </w:rPr>
        <w:t>Secondly, the choice for a single case study flows logically from the preferred method, namely process-tracing.</w:t>
      </w:r>
      <w:r w:rsidR="00A5666D">
        <w:rPr>
          <w:lang w:val="en-US"/>
        </w:rPr>
        <w:t xml:space="preserve"> Process-tracing calls for an extensive case-level analysis to test whether a hypothesized causal mechanism is present in a single case and whether it works as theory pr</w:t>
      </w:r>
      <w:r w:rsidR="007729E6">
        <w:rPr>
          <w:lang w:val="en-US"/>
        </w:rPr>
        <w:t>e</w:t>
      </w:r>
      <w:r w:rsidR="00A5666D">
        <w:rPr>
          <w:lang w:val="en-US"/>
        </w:rPr>
        <w:t>scribes</w:t>
      </w:r>
      <w:r w:rsidR="001039B0">
        <w:rPr>
          <w:lang w:val="en-US"/>
        </w:rPr>
        <w:t xml:space="preserve"> (Beach &amp; Pedersen, 2013)</w:t>
      </w:r>
      <w:r w:rsidR="00A5666D">
        <w:rPr>
          <w:lang w:val="en-US"/>
        </w:rPr>
        <w:t>. In theory-testing process-tracing, theoretical expectations deduced from academic literature</w:t>
      </w:r>
      <w:r w:rsidR="005B1D40">
        <w:rPr>
          <w:lang w:val="en-US"/>
        </w:rPr>
        <w:t xml:space="preserve"> are tested</w:t>
      </w:r>
      <w:r w:rsidR="00A5666D">
        <w:rPr>
          <w:lang w:val="en-US"/>
        </w:rPr>
        <w:t xml:space="preserve"> by making the causal mechanism through which X impacts Y explicit. Translating theoretical expectations into probable empirical manifestations allows for the ‘tracing’ of the hypothesized mechanism, collecting evidence that supports the theoretical claim</w:t>
      </w:r>
      <w:r>
        <w:rPr>
          <w:lang w:val="en-US"/>
        </w:rPr>
        <w:t>. Process-tracing is</w:t>
      </w:r>
      <w:r w:rsidR="005645BB">
        <w:rPr>
          <w:lang w:val="en-US"/>
        </w:rPr>
        <w:t xml:space="preserve"> thus</w:t>
      </w:r>
      <w:r>
        <w:rPr>
          <w:lang w:val="en-US"/>
        </w:rPr>
        <w:t xml:space="preserve"> particularly suited to capture processes, makin</w:t>
      </w:r>
      <w:r w:rsidR="005645BB">
        <w:rPr>
          <w:lang w:val="en-US"/>
        </w:rPr>
        <w:t>g it a useful metho</w:t>
      </w:r>
      <w:r w:rsidR="00A5666D">
        <w:rPr>
          <w:lang w:val="en-US"/>
        </w:rPr>
        <w:t>dology to t</w:t>
      </w:r>
      <w:r w:rsidR="005B1D40">
        <w:rPr>
          <w:lang w:val="en-US"/>
        </w:rPr>
        <w:t>est the integrated</w:t>
      </w:r>
      <w:r w:rsidR="00A5666D">
        <w:rPr>
          <w:lang w:val="en-US"/>
        </w:rPr>
        <w:t xml:space="preserve"> model</w:t>
      </w:r>
      <w:r>
        <w:rPr>
          <w:lang w:val="en-US"/>
        </w:rPr>
        <w:t xml:space="preserve">. </w:t>
      </w:r>
    </w:p>
    <w:p w14:paraId="33C44DD3" w14:textId="1CD2D1DE" w:rsidR="007112FB" w:rsidRPr="00A81153" w:rsidRDefault="007112FB" w:rsidP="007112FB">
      <w:pPr>
        <w:pStyle w:val="Kop2"/>
        <w:rPr>
          <w:color w:val="auto"/>
          <w:lang w:val="en-US"/>
        </w:rPr>
      </w:pPr>
      <w:bookmarkStart w:id="25" w:name="_Toc48891290"/>
      <w:r w:rsidRPr="00A81153">
        <w:rPr>
          <w:color w:val="auto"/>
          <w:lang w:val="en-US"/>
        </w:rPr>
        <w:t>3.2 Case selection</w:t>
      </w:r>
      <w:bookmarkEnd w:id="25"/>
    </w:p>
    <w:p w14:paraId="39556FEA" w14:textId="4A107DA9" w:rsidR="007C62A7" w:rsidRDefault="007C62A7" w:rsidP="007C62A7">
      <w:pPr>
        <w:jc w:val="both"/>
        <w:rPr>
          <w:lang w:val="en-US"/>
        </w:rPr>
      </w:pPr>
      <w:r>
        <w:rPr>
          <w:lang w:val="en-US"/>
        </w:rPr>
        <w:t xml:space="preserve">The case under review in this study is the Balkenende administration’s campaign defending the European Constitutional Treaty running up to the 2005 referendum in The Netherlands. The </w:t>
      </w:r>
      <w:r w:rsidR="00A1335C">
        <w:rPr>
          <w:lang w:val="en-US"/>
        </w:rPr>
        <w:t xml:space="preserve"> campaign can be said to be a typical </w:t>
      </w:r>
      <w:r>
        <w:rPr>
          <w:lang w:val="en-US"/>
        </w:rPr>
        <w:t>case of a non-rational decision at the collective level</w:t>
      </w:r>
      <w:r w:rsidR="00A1335C">
        <w:rPr>
          <w:lang w:val="en-US"/>
        </w:rPr>
        <w:t xml:space="preserve"> (Gerring, 2007; Gerring, 2008)</w:t>
      </w:r>
      <w:r>
        <w:rPr>
          <w:lang w:val="en-US"/>
        </w:rPr>
        <w:t xml:space="preserve">. </w:t>
      </w:r>
      <w:r w:rsidRPr="007B63E4">
        <w:rPr>
          <w:lang w:val="en-US"/>
        </w:rPr>
        <w:t>The campaign intended to inform citizens, involve civil society, and ultimately maintain and increase the support for the government’s decision to sign the treaty among the electorate</w:t>
      </w:r>
      <w:r w:rsidR="00854E70" w:rsidRPr="007B63E4">
        <w:rPr>
          <w:lang w:val="en-US"/>
        </w:rPr>
        <w:t xml:space="preserve"> (Goeijenbier, 2005)</w:t>
      </w:r>
      <w:r w:rsidRPr="007B63E4">
        <w:rPr>
          <w:lang w:val="en-US"/>
        </w:rPr>
        <w:t>. Free publicity generated through media performances by Ministers was one of the pillars of the campaign strategy. Considering the sentiments of Euroscepticism and distrust towards political elites prevalent in society at the time, this strategy contained a serious risk of not realizing the objective set by the government, namely ratification of the treaty. Over the course of the campaign, serious indications of slip</w:t>
      </w:r>
      <w:r w:rsidR="00203437" w:rsidRPr="007B63E4">
        <w:rPr>
          <w:lang w:val="en-US"/>
        </w:rPr>
        <w:t>ping support for the government’s position</w:t>
      </w:r>
      <w:r w:rsidRPr="007B63E4">
        <w:rPr>
          <w:lang w:val="en-US"/>
        </w:rPr>
        <w:t xml:space="preserve"> did seemingly not lead to substantive changes to the</w:t>
      </w:r>
      <w:r w:rsidR="00203437" w:rsidRPr="007B63E4">
        <w:rPr>
          <w:lang w:val="en-US"/>
        </w:rPr>
        <w:t xml:space="preserve"> campaign</w:t>
      </w:r>
      <w:r w:rsidRPr="007B63E4">
        <w:rPr>
          <w:lang w:val="en-US"/>
        </w:rPr>
        <w:t xml:space="preserve"> strategy</w:t>
      </w:r>
      <w:r w:rsidR="00903525" w:rsidRPr="007B63E4">
        <w:rPr>
          <w:lang w:val="en-US"/>
        </w:rPr>
        <w:t xml:space="preserve"> (Koele &amp; Peeperkorn, 2005)</w:t>
      </w:r>
      <w:r w:rsidRPr="007B63E4">
        <w:rPr>
          <w:lang w:val="en-US"/>
        </w:rPr>
        <w:t xml:space="preserve">. Ultimately, the riskiness of the plan itself and the lack of substantive strategic adjustments despite signs of malfunction make for a policy that is non-rational in the sense that it cannot be seen as a calculated value-maximizing pursuit likely to meet the objectives set by the government. </w:t>
      </w:r>
    </w:p>
    <w:p w14:paraId="6508C2FD" w14:textId="35B17334" w:rsidR="001039B0" w:rsidRPr="007B63E4" w:rsidRDefault="001039B0" w:rsidP="007C62A7">
      <w:pPr>
        <w:jc w:val="both"/>
        <w:rPr>
          <w:lang w:val="en-US"/>
        </w:rPr>
      </w:pPr>
      <w:r w:rsidRPr="007B63E4">
        <w:rPr>
          <w:lang w:val="en-US"/>
        </w:rPr>
        <w:t>The aim of this study is to establish whether bureaucratic elements contributed to the production of non-rational decisions in case of the governmental campaign to defend the European Constitution in the wake of the 2005 referendum on its ratification. Following the integrated model, the unit of analysis consists of the small group and the individual. Within the governmental campaign, two main decision-making units are distinguished: the ad-hoc Taskforce</w:t>
      </w:r>
      <w:r w:rsidR="007B63E4" w:rsidRPr="007B63E4">
        <w:rPr>
          <w:lang w:val="en-US"/>
        </w:rPr>
        <w:t xml:space="preserve"> Referendum</w:t>
      </w:r>
      <w:r w:rsidRPr="007B63E4">
        <w:rPr>
          <w:lang w:val="en-US"/>
        </w:rPr>
        <w:t xml:space="preserve"> </w:t>
      </w:r>
      <w:r w:rsidR="007B63E4" w:rsidRPr="007B63E4">
        <w:rPr>
          <w:lang w:val="en-US"/>
        </w:rPr>
        <w:t>consisting o</w:t>
      </w:r>
      <w:r w:rsidRPr="007B63E4">
        <w:rPr>
          <w:lang w:val="en-US"/>
        </w:rPr>
        <w:t>f civil servants established within the Ministry of Foreign Affairs to run the campaign, and the Political Coordination Group, consisting of the Ministers of General Affairs, Finance, Economics, and Governmental Reform and Kingdom Relations</w:t>
      </w:r>
      <w:r w:rsidR="00203437" w:rsidRPr="007B63E4">
        <w:rPr>
          <w:lang w:val="en-US"/>
        </w:rPr>
        <w:t xml:space="preserve"> (Goeijenbier, 2005; Sprenger, 2016a)</w:t>
      </w:r>
      <w:r w:rsidRPr="007B63E4">
        <w:rPr>
          <w:lang w:val="en-US"/>
        </w:rPr>
        <w:t>. The period under review runs from November 2004, when the definitive decision was m</w:t>
      </w:r>
      <w:r w:rsidR="00D43CD1" w:rsidRPr="007B63E4">
        <w:rPr>
          <w:lang w:val="en-US"/>
        </w:rPr>
        <w:t>ade to establish a project group</w:t>
      </w:r>
      <w:r w:rsidRPr="007B63E4">
        <w:rPr>
          <w:lang w:val="en-US"/>
        </w:rPr>
        <w:t xml:space="preserve"> within the Ministry of Foreign Affairs to run the campaign, until June 1</w:t>
      </w:r>
      <w:r w:rsidRPr="007B63E4">
        <w:rPr>
          <w:vertAlign w:val="superscript"/>
          <w:lang w:val="en-US"/>
        </w:rPr>
        <w:t>st</w:t>
      </w:r>
      <w:r w:rsidR="00841324" w:rsidRPr="007B63E4">
        <w:rPr>
          <w:vertAlign w:val="superscript"/>
          <w:lang w:val="en-US"/>
        </w:rPr>
        <w:t xml:space="preserve"> </w:t>
      </w:r>
      <w:r w:rsidR="00841324" w:rsidRPr="007B63E4">
        <w:rPr>
          <w:lang w:val="en-US"/>
        </w:rPr>
        <w:t>2005</w:t>
      </w:r>
      <w:r w:rsidRPr="007B63E4">
        <w:rPr>
          <w:lang w:val="en-US"/>
        </w:rPr>
        <w:t>, the day of the referendum.</w:t>
      </w:r>
    </w:p>
    <w:p w14:paraId="33246F07" w14:textId="4E8E5685" w:rsidR="001039B0" w:rsidRDefault="001039B0" w:rsidP="007C62A7">
      <w:pPr>
        <w:jc w:val="both"/>
        <w:rPr>
          <w:lang w:val="en-US"/>
        </w:rPr>
      </w:pPr>
      <w:r>
        <w:rPr>
          <w:lang w:val="en-US"/>
        </w:rPr>
        <w:t>In order to analyze the decision-making process both running up to and during the campaign, the period between November 2004 and June 1</w:t>
      </w:r>
      <w:r w:rsidRPr="001039B0">
        <w:rPr>
          <w:vertAlign w:val="superscript"/>
          <w:lang w:val="en-US"/>
        </w:rPr>
        <w:t>st</w:t>
      </w:r>
      <w:r>
        <w:rPr>
          <w:lang w:val="en-US"/>
        </w:rPr>
        <w:t xml:space="preserve"> 2005 is divided into phases</w:t>
      </w:r>
      <w:r w:rsidR="002E20C7">
        <w:rPr>
          <w:lang w:val="en-US"/>
        </w:rPr>
        <w:t>, which can be found in Figure 2</w:t>
      </w:r>
      <w:r>
        <w:rPr>
          <w:lang w:val="en-US"/>
        </w:rPr>
        <w:t xml:space="preserve">. These phases start with significant decisions structuring the course of the campaign, and </w:t>
      </w:r>
      <w:r w:rsidR="00D43CD1">
        <w:rPr>
          <w:lang w:val="en-US"/>
        </w:rPr>
        <w:t>are characterized</w:t>
      </w:r>
      <w:r>
        <w:rPr>
          <w:lang w:val="en-US"/>
        </w:rPr>
        <w:t xml:space="preserve"> different </w:t>
      </w:r>
      <w:r w:rsidR="00D43CD1">
        <w:rPr>
          <w:lang w:val="en-US"/>
        </w:rPr>
        <w:t>main activities</w:t>
      </w:r>
      <w:r>
        <w:rPr>
          <w:lang w:val="en-US"/>
        </w:rPr>
        <w:t xml:space="preserve">. The first phase </w:t>
      </w:r>
      <w:r w:rsidR="00CF66FD">
        <w:rPr>
          <w:lang w:val="en-US"/>
        </w:rPr>
        <w:t>starts in November 2004, with the definitive establishment of the governmental strategy that granted the Ministry of Foreign Affairs the responsibility over a substantive campaign representing the government’s position</w:t>
      </w:r>
      <w:r w:rsidR="00870207">
        <w:rPr>
          <w:lang w:val="en-US"/>
        </w:rPr>
        <w:t xml:space="preserve"> (Ministry of General Affairs et al., 2004)</w:t>
      </w:r>
      <w:r w:rsidR="00CF66FD">
        <w:rPr>
          <w:lang w:val="en-US"/>
        </w:rPr>
        <w:t>. In this phase, the role of the Taskforce is outlined and the project leader is recruited. The second phase starts with the appointment of Jan Goeijenbier as project leader on February 10</w:t>
      </w:r>
      <w:r w:rsidR="00CF66FD" w:rsidRPr="00CF66FD">
        <w:rPr>
          <w:vertAlign w:val="superscript"/>
          <w:lang w:val="en-US"/>
        </w:rPr>
        <w:t>th</w:t>
      </w:r>
      <w:r w:rsidR="00CF66FD">
        <w:rPr>
          <w:lang w:val="en-US"/>
        </w:rPr>
        <w:t xml:space="preserve"> 2005</w:t>
      </w:r>
      <w:r w:rsidR="00870207">
        <w:rPr>
          <w:lang w:val="en-US"/>
        </w:rPr>
        <w:t xml:space="preserve"> (Goeijenbier, 2005)</w:t>
      </w:r>
      <w:r w:rsidR="00CF66FD">
        <w:rPr>
          <w:lang w:val="en-US"/>
        </w:rPr>
        <w:t>. In this phase, Goeijenbier established his team and the strategy for the eventual campaign was drafted. The third and last phase starts on April 7</w:t>
      </w:r>
      <w:r w:rsidR="00CF66FD" w:rsidRPr="00CF66FD">
        <w:rPr>
          <w:vertAlign w:val="superscript"/>
          <w:lang w:val="en-US"/>
        </w:rPr>
        <w:t>th</w:t>
      </w:r>
      <w:r w:rsidR="00CF66FD">
        <w:rPr>
          <w:lang w:val="en-US"/>
        </w:rPr>
        <w:t>, with the definitive establishment of the campaign strategy within the Political Coordination Group</w:t>
      </w:r>
      <w:r w:rsidR="00870207">
        <w:rPr>
          <w:lang w:val="en-US"/>
        </w:rPr>
        <w:t xml:space="preserve"> (Goeijenbier, 2005)</w:t>
      </w:r>
      <w:r w:rsidR="00CF66FD">
        <w:rPr>
          <w:lang w:val="en-US"/>
        </w:rPr>
        <w:t>. This period ends on June 1</w:t>
      </w:r>
      <w:r w:rsidR="00CF66FD" w:rsidRPr="00CF66FD">
        <w:rPr>
          <w:vertAlign w:val="superscript"/>
          <w:lang w:val="en-US"/>
        </w:rPr>
        <w:t>st</w:t>
      </w:r>
      <w:r w:rsidR="00CF66FD">
        <w:rPr>
          <w:lang w:val="en-US"/>
        </w:rPr>
        <w:t xml:space="preserve"> 2005, the day of the referendum, and encompasses both the conducted campaign and the decision whether to incorporate criticism or not.</w:t>
      </w:r>
    </w:p>
    <w:tbl>
      <w:tblPr>
        <w:tblStyle w:val="Rastertabel2"/>
        <w:tblW w:w="0" w:type="auto"/>
        <w:tblLook w:val="04A0" w:firstRow="1" w:lastRow="0" w:firstColumn="1" w:lastColumn="0" w:noHBand="0" w:noVBand="1"/>
      </w:tblPr>
      <w:tblGrid>
        <w:gridCol w:w="1134"/>
        <w:gridCol w:w="3969"/>
        <w:gridCol w:w="3959"/>
      </w:tblGrid>
      <w:tr w:rsidR="00CF66FD" w14:paraId="0841FA3C" w14:textId="77777777" w:rsidTr="00C43F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tcPr>
          <w:p w14:paraId="1220453F" w14:textId="77777777" w:rsidR="00CF66FD" w:rsidRDefault="00CF66FD" w:rsidP="00531012">
            <w:pPr>
              <w:keepNext/>
              <w:keepLines/>
              <w:jc w:val="both"/>
              <w:rPr>
                <w:lang w:val="en-US"/>
              </w:rPr>
            </w:pPr>
          </w:p>
        </w:tc>
        <w:tc>
          <w:tcPr>
            <w:tcW w:w="3969" w:type="dxa"/>
          </w:tcPr>
          <w:p w14:paraId="7B0D3270" w14:textId="77777777" w:rsidR="00CF66FD" w:rsidRDefault="00CF66FD" w:rsidP="00531012">
            <w:pPr>
              <w:keepNext/>
              <w:keepLines/>
              <w:jc w:val="both"/>
              <w:cnfStyle w:val="100000000000" w:firstRow="1" w:lastRow="0" w:firstColumn="0" w:lastColumn="0" w:oddVBand="0" w:evenVBand="0" w:oddHBand="0" w:evenHBand="0" w:firstRowFirstColumn="0" w:firstRowLastColumn="0" w:lastRowFirstColumn="0" w:lastRowLastColumn="0"/>
              <w:rPr>
                <w:lang w:val="en-US"/>
              </w:rPr>
            </w:pPr>
            <w:r>
              <w:rPr>
                <w:lang w:val="en-US"/>
              </w:rPr>
              <w:t>Timespan</w:t>
            </w:r>
          </w:p>
        </w:tc>
        <w:tc>
          <w:tcPr>
            <w:tcW w:w="3959" w:type="dxa"/>
          </w:tcPr>
          <w:p w14:paraId="4454E780" w14:textId="77777777" w:rsidR="00CF66FD" w:rsidRDefault="00CF66FD" w:rsidP="00531012">
            <w:pPr>
              <w:keepNext/>
              <w:keepLines/>
              <w:jc w:val="both"/>
              <w:cnfStyle w:val="100000000000" w:firstRow="1" w:lastRow="0" w:firstColumn="0" w:lastColumn="0" w:oddVBand="0" w:evenVBand="0" w:oddHBand="0" w:evenHBand="0" w:firstRowFirstColumn="0" w:firstRowLastColumn="0" w:lastRowFirstColumn="0" w:lastRowLastColumn="0"/>
              <w:rPr>
                <w:lang w:val="en-US"/>
              </w:rPr>
            </w:pPr>
            <w:r>
              <w:rPr>
                <w:lang w:val="en-US"/>
              </w:rPr>
              <w:t>Notable decisions</w:t>
            </w:r>
          </w:p>
        </w:tc>
      </w:tr>
      <w:tr w:rsidR="00CF66FD" w14:paraId="72002BF0" w14:textId="77777777" w:rsidTr="00C43F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tcPr>
          <w:p w14:paraId="66299661" w14:textId="77777777" w:rsidR="00CF66FD" w:rsidRDefault="00CF66FD" w:rsidP="00531012">
            <w:pPr>
              <w:keepNext/>
              <w:keepLines/>
              <w:jc w:val="both"/>
              <w:rPr>
                <w:lang w:val="en-US"/>
              </w:rPr>
            </w:pPr>
            <w:r>
              <w:rPr>
                <w:lang w:val="en-US"/>
              </w:rPr>
              <w:t>Phase 1</w:t>
            </w:r>
          </w:p>
        </w:tc>
        <w:tc>
          <w:tcPr>
            <w:tcW w:w="3969" w:type="dxa"/>
          </w:tcPr>
          <w:p w14:paraId="647AE51F" w14:textId="77777777" w:rsidR="00CF66FD" w:rsidRDefault="00CF66FD" w:rsidP="00531012">
            <w:pPr>
              <w:keepNext/>
              <w:keepLines/>
              <w:jc w:val="both"/>
              <w:cnfStyle w:val="000000100000" w:firstRow="0" w:lastRow="0" w:firstColumn="0" w:lastColumn="0" w:oddVBand="0" w:evenVBand="0" w:oddHBand="1" w:evenHBand="0" w:firstRowFirstColumn="0" w:firstRowLastColumn="0" w:lastRowFirstColumn="0" w:lastRowLastColumn="0"/>
              <w:rPr>
                <w:lang w:val="en-US"/>
              </w:rPr>
            </w:pPr>
            <w:r>
              <w:rPr>
                <w:lang w:val="en-US"/>
              </w:rPr>
              <w:t>November 2004 – February 10</w:t>
            </w:r>
            <w:r w:rsidRPr="008108A5">
              <w:rPr>
                <w:vertAlign w:val="superscript"/>
                <w:lang w:val="en-US"/>
              </w:rPr>
              <w:t>th</w:t>
            </w:r>
            <w:r>
              <w:rPr>
                <w:lang w:val="en-US"/>
              </w:rPr>
              <w:t xml:space="preserve"> 2005</w:t>
            </w:r>
          </w:p>
        </w:tc>
        <w:tc>
          <w:tcPr>
            <w:tcW w:w="3959" w:type="dxa"/>
          </w:tcPr>
          <w:p w14:paraId="59B4C6F4" w14:textId="77777777" w:rsidR="00CF66FD" w:rsidRDefault="00CF66FD" w:rsidP="00531012">
            <w:pPr>
              <w:keepNext/>
              <w:keepLines/>
              <w:jc w:val="both"/>
              <w:cnfStyle w:val="000000100000" w:firstRow="0" w:lastRow="0" w:firstColumn="0" w:lastColumn="0" w:oddVBand="0" w:evenVBand="0" w:oddHBand="1" w:evenHBand="0" w:firstRowFirstColumn="0" w:firstRowLastColumn="0" w:lastRowFirstColumn="0" w:lastRowLastColumn="0"/>
              <w:rPr>
                <w:lang w:val="en-US"/>
              </w:rPr>
            </w:pPr>
            <w:r>
              <w:rPr>
                <w:lang w:val="en-US"/>
              </w:rPr>
              <w:t>Decision to establish taskforce within Ministry of Foreign Affairs;</w:t>
            </w:r>
          </w:p>
          <w:p w14:paraId="07415FAD" w14:textId="77777777" w:rsidR="00CF66FD" w:rsidRDefault="00CF66FD" w:rsidP="00531012">
            <w:pPr>
              <w:keepNext/>
              <w:keepLines/>
              <w:jc w:val="both"/>
              <w:cnfStyle w:val="000000100000" w:firstRow="0" w:lastRow="0" w:firstColumn="0" w:lastColumn="0" w:oddVBand="0" w:evenVBand="0" w:oddHBand="1" w:evenHBand="0" w:firstRowFirstColumn="0" w:firstRowLastColumn="0" w:lastRowFirstColumn="0" w:lastRowLastColumn="0"/>
              <w:rPr>
                <w:lang w:val="en-US"/>
              </w:rPr>
            </w:pPr>
            <w:r>
              <w:rPr>
                <w:lang w:val="en-US"/>
              </w:rPr>
              <w:t>Recruitment of leader</w:t>
            </w:r>
          </w:p>
        </w:tc>
      </w:tr>
      <w:tr w:rsidR="00CF66FD" w:rsidRPr="008878CF" w14:paraId="050EB3CA" w14:textId="77777777" w:rsidTr="00C43FF4">
        <w:tc>
          <w:tcPr>
            <w:cnfStyle w:val="001000000000" w:firstRow="0" w:lastRow="0" w:firstColumn="1" w:lastColumn="0" w:oddVBand="0" w:evenVBand="0" w:oddHBand="0" w:evenHBand="0" w:firstRowFirstColumn="0" w:firstRowLastColumn="0" w:lastRowFirstColumn="0" w:lastRowLastColumn="0"/>
            <w:tcW w:w="1134" w:type="dxa"/>
          </w:tcPr>
          <w:p w14:paraId="0BA289F5" w14:textId="77777777" w:rsidR="00CF66FD" w:rsidRDefault="00CF66FD" w:rsidP="00531012">
            <w:pPr>
              <w:keepNext/>
              <w:keepLines/>
              <w:jc w:val="both"/>
              <w:rPr>
                <w:lang w:val="en-US"/>
              </w:rPr>
            </w:pPr>
            <w:r>
              <w:rPr>
                <w:lang w:val="en-US"/>
              </w:rPr>
              <w:t>Phase 2</w:t>
            </w:r>
          </w:p>
        </w:tc>
        <w:tc>
          <w:tcPr>
            <w:tcW w:w="3969" w:type="dxa"/>
          </w:tcPr>
          <w:p w14:paraId="7593218A" w14:textId="77777777" w:rsidR="00CF66FD" w:rsidRDefault="00CF66FD" w:rsidP="00531012">
            <w:pPr>
              <w:keepNext/>
              <w:keepLines/>
              <w:jc w:val="both"/>
              <w:cnfStyle w:val="000000000000" w:firstRow="0" w:lastRow="0" w:firstColumn="0" w:lastColumn="0" w:oddVBand="0" w:evenVBand="0" w:oddHBand="0" w:evenHBand="0" w:firstRowFirstColumn="0" w:firstRowLastColumn="0" w:lastRowFirstColumn="0" w:lastRowLastColumn="0"/>
              <w:rPr>
                <w:lang w:val="en-US"/>
              </w:rPr>
            </w:pPr>
            <w:r>
              <w:rPr>
                <w:lang w:val="en-US"/>
              </w:rPr>
              <w:t>February 10</w:t>
            </w:r>
            <w:r w:rsidRPr="008108A5">
              <w:rPr>
                <w:vertAlign w:val="superscript"/>
                <w:lang w:val="en-US"/>
              </w:rPr>
              <w:t>th</w:t>
            </w:r>
            <w:r>
              <w:rPr>
                <w:lang w:val="en-US"/>
              </w:rPr>
              <w:t xml:space="preserve"> 2005 – April 7</w:t>
            </w:r>
            <w:r w:rsidRPr="008108A5">
              <w:rPr>
                <w:vertAlign w:val="superscript"/>
                <w:lang w:val="en-US"/>
              </w:rPr>
              <w:t>th</w:t>
            </w:r>
            <w:r>
              <w:rPr>
                <w:lang w:val="en-US"/>
              </w:rPr>
              <w:t xml:space="preserve"> 2005</w:t>
            </w:r>
          </w:p>
        </w:tc>
        <w:tc>
          <w:tcPr>
            <w:tcW w:w="3959" w:type="dxa"/>
          </w:tcPr>
          <w:p w14:paraId="287AAB69" w14:textId="77777777" w:rsidR="00CF66FD" w:rsidRDefault="00CF66FD" w:rsidP="00531012">
            <w:pPr>
              <w:keepNext/>
              <w:keepLines/>
              <w:jc w:val="both"/>
              <w:cnfStyle w:val="000000000000" w:firstRow="0" w:lastRow="0" w:firstColumn="0" w:lastColumn="0" w:oddVBand="0" w:evenVBand="0" w:oddHBand="0" w:evenHBand="0" w:firstRowFirstColumn="0" w:firstRowLastColumn="0" w:lastRowFirstColumn="0" w:lastRowLastColumn="0"/>
              <w:rPr>
                <w:lang w:val="en-US"/>
              </w:rPr>
            </w:pPr>
            <w:r>
              <w:rPr>
                <w:lang w:val="en-US"/>
              </w:rPr>
              <w:t>Recruitment Taskforce members; determining strategy</w:t>
            </w:r>
          </w:p>
        </w:tc>
      </w:tr>
      <w:tr w:rsidR="00CF66FD" w:rsidRPr="008878CF" w14:paraId="7F99FE86" w14:textId="77777777" w:rsidTr="00C43F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tcPr>
          <w:p w14:paraId="2013FB4A" w14:textId="77777777" w:rsidR="00CF66FD" w:rsidRDefault="00CF66FD" w:rsidP="00531012">
            <w:pPr>
              <w:keepNext/>
              <w:keepLines/>
              <w:jc w:val="both"/>
              <w:rPr>
                <w:lang w:val="en-US"/>
              </w:rPr>
            </w:pPr>
            <w:r>
              <w:rPr>
                <w:lang w:val="en-US"/>
              </w:rPr>
              <w:t>Phase 3</w:t>
            </w:r>
          </w:p>
        </w:tc>
        <w:tc>
          <w:tcPr>
            <w:tcW w:w="3969" w:type="dxa"/>
          </w:tcPr>
          <w:p w14:paraId="399C147C" w14:textId="77777777" w:rsidR="00CF66FD" w:rsidRDefault="00CF66FD" w:rsidP="00531012">
            <w:pPr>
              <w:keepNext/>
              <w:keepLines/>
              <w:jc w:val="both"/>
              <w:cnfStyle w:val="000000100000" w:firstRow="0" w:lastRow="0" w:firstColumn="0" w:lastColumn="0" w:oddVBand="0" w:evenVBand="0" w:oddHBand="1" w:evenHBand="0" w:firstRowFirstColumn="0" w:firstRowLastColumn="0" w:lastRowFirstColumn="0" w:lastRowLastColumn="0"/>
              <w:rPr>
                <w:lang w:val="en-US"/>
              </w:rPr>
            </w:pPr>
            <w:r>
              <w:rPr>
                <w:lang w:val="en-US"/>
              </w:rPr>
              <w:t>April 7</w:t>
            </w:r>
            <w:r w:rsidRPr="008108A5">
              <w:rPr>
                <w:vertAlign w:val="superscript"/>
                <w:lang w:val="en-US"/>
              </w:rPr>
              <w:t>th</w:t>
            </w:r>
            <w:r>
              <w:rPr>
                <w:lang w:val="en-US"/>
              </w:rPr>
              <w:t xml:space="preserve"> 2005 – June 1</w:t>
            </w:r>
            <w:r w:rsidRPr="008108A5">
              <w:rPr>
                <w:vertAlign w:val="superscript"/>
                <w:lang w:val="en-US"/>
              </w:rPr>
              <w:t>st</w:t>
            </w:r>
            <w:r>
              <w:rPr>
                <w:lang w:val="en-US"/>
              </w:rPr>
              <w:t xml:space="preserve"> 2005</w:t>
            </w:r>
          </w:p>
        </w:tc>
        <w:tc>
          <w:tcPr>
            <w:tcW w:w="3959" w:type="dxa"/>
          </w:tcPr>
          <w:p w14:paraId="33CAA147" w14:textId="65592D17" w:rsidR="00CF66FD" w:rsidRDefault="00CF66FD" w:rsidP="00531012">
            <w:pPr>
              <w:keepNext/>
              <w:keepLines/>
              <w:jc w:val="both"/>
              <w:cnfStyle w:val="000000100000" w:firstRow="0" w:lastRow="0" w:firstColumn="0" w:lastColumn="0" w:oddVBand="0" w:evenVBand="0" w:oddHBand="1" w:evenHBand="0" w:firstRowFirstColumn="0" w:firstRowLastColumn="0" w:lastRowFirstColumn="0" w:lastRowLastColumn="0"/>
              <w:rPr>
                <w:lang w:val="en-US"/>
              </w:rPr>
            </w:pPr>
            <w:r>
              <w:rPr>
                <w:lang w:val="en-US"/>
              </w:rPr>
              <w:t>Execution of the cam</w:t>
            </w:r>
            <w:r w:rsidR="009542A6">
              <w:rPr>
                <w:lang w:val="en-US"/>
              </w:rPr>
              <w:t>paign according to initial plan</w:t>
            </w:r>
          </w:p>
        </w:tc>
      </w:tr>
    </w:tbl>
    <w:p w14:paraId="6FD2232C" w14:textId="24486496" w:rsidR="007112FB" w:rsidRPr="008251F1" w:rsidRDefault="008251F1" w:rsidP="00531012">
      <w:pPr>
        <w:pStyle w:val="Bijschrift"/>
        <w:keepNext/>
        <w:keepLines/>
        <w:rPr>
          <w:rStyle w:val="eop"/>
          <w:rFonts w:ascii="Calibri" w:hAnsi="Calibri" w:cs="Calibri"/>
          <w:sz w:val="28"/>
          <w:szCs w:val="22"/>
          <w:lang w:val="en-US"/>
        </w:rPr>
      </w:pPr>
      <w:bookmarkStart w:id="26" w:name="_Toc48288457"/>
      <w:bookmarkStart w:id="27" w:name="_Toc48850668"/>
      <w:r w:rsidRPr="008251F1">
        <w:rPr>
          <w:sz w:val="22"/>
          <w:lang w:val="en-US"/>
        </w:rPr>
        <w:t xml:space="preserve">Figure </w:t>
      </w:r>
      <w:r w:rsidRPr="008251F1">
        <w:rPr>
          <w:sz w:val="22"/>
        </w:rPr>
        <w:fldChar w:fldCharType="begin"/>
      </w:r>
      <w:r w:rsidRPr="008251F1">
        <w:rPr>
          <w:sz w:val="22"/>
          <w:lang w:val="en-US"/>
        </w:rPr>
        <w:instrText xml:space="preserve"> SEQ Figure \* ARABIC </w:instrText>
      </w:r>
      <w:r w:rsidRPr="008251F1">
        <w:rPr>
          <w:sz w:val="22"/>
        </w:rPr>
        <w:fldChar w:fldCharType="separate"/>
      </w:r>
      <w:r w:rsidR="008910B5">
        <w:rPr>
          <w:noProof/>
          <w:sz w:val="22"/>
          <w:lang w:val="en-US"/>
        </w:rPr>
        <w:t>2</w:t>
      </w:r>
      <w:r w:rsidRPr="008251F1">
        <w:rPr>
          <w:sz w:val="22"/>
        </w:rPr>
        <w:fldChar w:fldCharType="end"/>
      </w:r>
      <w:r w:rsidRPr="008251F1">
        <w:rPr>
          <w:sz w:val="22"/>
          <w:lang w:val="en-US"/>
        </w:rPr>
        <w:t xml:space="preserve">. </w:t>
      </w:r>
      <w:r w:rsidRPr="008251F1">
        <w:rPr>
          <w:i w:val="0"/>
          <w:sz w:val="22"/>
          <w:lang w:val="en-US"/>
        </w:rPr>
        <w:t>Phases within the decision-making process</w:t>
      </w:r>
      <w:r w:rsidR="00C0150F">
        <w:rPr>
          <w:i w:val="0"/>
          <w:sz w:val="22"/>
          <w:lang w:val="en-US"/>
        </w:rPr>
        <w:t xml:space="preserve"> regarding the cabinet campaign</w:t>
      </w:r>
      <w:r w:rsidRPr="008251F1">
        <w:rPr>
          <w:i w:val="0"/>
          <w:sz w:val="22"/>
          <w:lang w:val="en-US"/>
        </w:rPr>
        <w:t>.</w:t>
      </w:r>
      <w:bookmarkEnd w:id="26"/>
      <w:bookmarkEnd w:id="27"/>
    </w:p>
    <w:p w14:paraId="205FA7C2" w14:textId="77777777" w:rsidR="00D43CD1" w:rsidRDefault="00D43CD1" w:rsidP="007112FB">
      <w:pPr>
        <w:pStyle w:val="paragraph"/>
        <w:spacing w:before="0" w:beforeAutospacing="0" w:after="0" w:afterAutospacing="0"/>
        <w:jc w:val="both"/>
        <w:textAlignment w:val="baseline"/>
        <w:rPr>
          <w:rStyle w:val="eop"/>
          <w:rFonts w:ascii="Calibri" w:hAnsi="Calibri" w:cs="Calibri"/>
          <w:sz w:val="22"/>
          <w:szCs w:val="22"/>
          <w:lang w:val="en-US"/>
        </w:rPr>
      </w:pPr>
    </w:p>
    <w:p w14:paraId="0A27D067" w14:textId="18224EEE" w:rsidR="00D43CD1" w:rsidRPr="00A81153" w:rsidRDefault="00835D2E" w:rsidP="00075974">
      <w:pPr>
        <w:pStyle w:val="Kop2"/>
        <w:rPr>
          <w:rStyle w:val="eop"/>
          <w:rFonts w:ascii="Calibri" w:eastAsia="Times New Roman" w:hAnsi="Calibri" w:cs="Calibri"/>
          <w:color w:val="auto"/>
          <w:lang w:val="en-US" w:eastAsia="nl-NL"/>
        </w:rPr>
      </w:pPr>
      <w:bookmarkStart w:id="28" w:name="_Toc48891291"/>
      <w:r w:rsidRPr="00A81153">
        <w:rPr>
          <w:rStyle w:val="eop"/>
          <w:rFonts w:ascii="Calibri" w:eastAsia="Times New Roman" w:hAnsi="Calibri" w:cs="Calibri"/>
          <w:color w:val="auto"/>
          <w:lang w:val="en-US" w:eastAsia="nl-NL"/>
        </w:rPr>
        <w:t>3.3</w:t>
      </w:r>
      <w:r w:rsidR="00B97C24" w:rsidRPr="00A81153">
        <w:rPr>
          <w:rStyle w:val="eop"/>
          <w:rFonts w:ascii="Calibri" w:eastAsia="Times New Roman" w:hAnsi="Calibri" w:cs="Calibri"/>
          <w:color w:val="auto"/>
          <w:lang w:val="en-US" w:eastAsia="nl-NL"/>
        </w:rPr>
        <w:t xml:space="preserve"> </w:t>
      </w:r>
      <w:r w:rsidR="00D43CD1" w:rsidRPr="00A81153">
        <w:rPr>
          <w:rStyle w:val="eop"/>
          <w:rFonts w:ascii="Calibri" w:eastAsia="Times New Roman" w:hAnsi="Calibri" w:cs="Calibri"/>
          <w:color w:val="auto"/>
          <w:lang w:val="en-US" w:eastAsia="nl-NL"/>
        </w:rPr>
        <w:t>The dependent variable</w:t>
      </w:r>
      <w:bookmarkEnd w:id="28"/>
    </w:p>
    <w:p w14:paraId="13AC6A9E" w14:textId="161F7BC0" w:rsidR="00D43CD1" w:rsidRDefault="00D43CD1" w:rsidP="00D43CD1">
      <w:pPr>
        <w:jc w:val="both"/>
        <w:rPr>
          <w:lang w:val="en-US"/>
        </w:rPr>
      </w:pPr>
      <w:r>
        <w:rPr>
          <w:lang w:val="en-US"/>
        </w:rPr>
        <w:t>The dependent variable outlined by the integrated model</w:t>
      </w:r>
      <w:r w:rsidR="00B97C24">
        <w:rPr>
          <w:lang w:val="en-US"/>
        </w:rPr>
        <w:t xml:space="preserve"> is a policy-</w:t>
      </w:r>
      <w:r>
        <w:rPr>
          <w:lang w:val="en-US"/>
        </w:rPr>
        <w:t xml:space="preserve">decision that cannot be explained as rational at the collective level. In this particular study, this concerns the decisions on the campaign strategy by the ad-hoc Taskforce and the Political Coordination Group. This includes both the initial strategy, as well as decisions </w:t>
      </w:r>
      <w:r w:rsidR="00835D2E">
        <w:rPr>
          <w:lang w:val="en-US"/>
        </w:rPr>
        <w:t>whether to</w:t>
      </w:r>
      <w:r>
        <w:rPr>
          <w:lang w:val="en-US"/>
        </w:rPr>
        <w:t xml:space="preserve"> </w:t>
      </w:r>
      <w:r w:rsidR="00835D2E">
        <w:rPr>
          <w:lang w:val="en-US"/>
        </w:rPr>
        <w:t>adjust the</w:t>
      </w:r>
      <w:r>
        <w:rPr>
          <w:lang w:val="en-US"/>
        </w:rPr>
        <w:t xml:space="preserve"> strategy when presented with reasonable indications that the strategy failed to meet the government’s objective</w:t>
      </w:r>
      <w:r w:rsidR="00171543">
        <w:rPr>
          <w:lang w:val="en-US"/>
        </w:rPr>
        <w:t xml:space="preserve"> of ratification of the treaty</w:t>
      </w:r>
      <w:r>
        <w:rPr>
          <w:lang w:val="en-US"/>
        </w:rPr>
        <w:t xml:space="preserve">. </w:t>
      </w:r>
    </w:p>
    <w:p w14:paraId="5882D9F5" w14:textId="291FB2CC" w:rsidR="00D43CD1" w:rsidRDefault="00D43CD1" w:rsidP="00D43CD1">
      <w:pPr>
        <w:jc w:val="both"/>
        <w:rPr>
          <w:lang w:val="en-US"/>
        </w:rPr>
      </w:pPr>
      <w:r>
        <w:rPr>
          <w:lang w:val="en-US"/>
        </w:rPr>
        <w:t>In this study, such a non-rational decision is operationalized according to Janis’s symptoms of defective decision-making. According to Janis (1982), a defective decision is the result of flawed decision-making processes. These flawed processes, such as underdevelopment of policy alternatives and biases in information processing, cause a premature consensus. This makes an adequate response to the policy problem and realization of the collective objective of the decision-making unit becomes less likely. Janis (1982, p. 10, p. 175) identifies seven symptoms of defective decision-making, which are:</w:t>
      </w:r>
    </w:p>
    <w:p w14:paraId="2EF06C70" w14:textId="2E86A46A" w:rsidR="00D43CD1" w:rsidRPr="009D0907" w:rsidRDefault="00C5666C" w:rsidP="00D43CD1">
      <w:pPr>
        <w:pStyle w:val="Lijstalinea"/>
        <w:numPr>
          <w:ilvl w:val="0"/>
          <w:numId w:val="3"/>
        </w:numPr>
        <w:jc w:val="both"/>
        <w:rPr>
          <w:lang w:val="en-US"/>
        </w:rPr>
      </w:pPr>
      <w:r w:rsidRPr="009D0907">
        <w:rPr>
          <w:lang w:val="en-US"/>
        </w:rPr>
        <w:t>Incomplete exploration</w:t>
      </w:r>
      <w:r w:rsidR="00D43CD1" w:rsidRPr="009D0907">
        <w:rPr>
          <w:lang w:val="en-US"/>
        </w:rPr>
        <w:t xml:space="preserve"> of </w:t>
      </w:r>
      <w:r w:rsidRPr="009D0907">
        <w:rPr>
          <w:lang w:val="en-US"/>
        </w:rPr>
        <w:t xml:space="preserve"> the full range of </w:t>
      </w:r>
      <w:r w:rsidR="00D43CD1" w:rsidRPr="009D0907">
        <w:rPr>
          <w:lang w:val="en-US"/>
        </w:rPr>
        <w:t>policy alternatives</w:t>
      </w:r>
      <w:r w:rsidRPr="009D0907">
        <w:rPr>
          <w:lang w:val="en-US"/>
        </w:rPr>
        <w:t>;</w:t>
      </w:r>
    </w:p>
    <w:p w14:paraId="587CD5C2" w14:textId="0846F755" w:rsidR="00D43CD1" w:rsidRPr="009D0907" w:rsidRDefault="00C5666C" w:rsidP="00D43CD1">
      <w:pPr>
        <w:pStyle w:val="Lijstalinea"/>
        <w:numPr>
          <w:ilvl w:val="0"/>
          <w:numId w:val="3"/>
        </w:numPr>
        <w:jc w:val="both"/>
        <w:rPr>
          <w:lang w:val="en-US"/>
        </w:rPr>
      </w:pPr>
      <w:r w:rsidRPr="009D0907">
        <w:rPr>
          <w:lang w:val="en-US"/>
        </w:rPr>
        <w:t>Incomplete</w:t>
      </w:r>
      <w:r w:rsidR="00D43CD1" w:rsidRPr="009D0907">
        <w:rPr>
          <w:lang w:val="en-US"/>
        </w:rPr>
        <w:t xml:space="preserve"> </w:t>
      </w:r>
      <w:r w:rsidR="009D0907" w:rsidRPr="009D0907">
        <w:rPr>
          <w:lang w:val="en-US"/>
        </w:rPr>
        <w:t>examination</w:t>
      </w:r>
      <w:r w:rsidR="00D43CD1" w:rsidRPr="009D0907">
        <w:rPr>
          <w:lang w:val="en-US"/>
        </w:rPr>
        <w:t xml:space="preserve"> of </w:t>
      </w:r>
      <w:r w:rsidR="009659CD">
        <w:rPr>
          <w:lang w:val="en-US"/>
        </w:rPr>
        <w:t>the</w:t>
      </w:r>
      <w:r w:rsidR="00803C88">
        <w:rPr>
          <w:lang w:val="en-US"/>
        </w:rPr>
        <w:t xml:space="preserve"> desired </w:t>
      </w:r>
      <w:r w:rsidR="009D0907">
        <w:rPr>
          <w:lang w:val="en-US"/>
        </w:rPr>
        <w:t xml:space="preserve">policy </w:t>
      </w:r>
      <w:r w:rsidR="00D43CD1" w:rsidRPr="009D0907">
        <w:rPr>
          <w:lang w:val="en-US"/>
        </w:rPr>
        <w:t>objectives</w:t>
      </w:r>
      <w:r w:rsidR="009D0907">
        <w:rPr>
          <w:lang w:val="en-US"/>
        </w:rPr>
        <w:t>;</w:t>
      </w:r>
      <w:r w:rsidR="00D43CD1" w:rsidRPr="009D0907">
        <w:rPr>
          <w:lang w:val="en-US"/>
        </w:rPr>
        <w:t xml:space="preserve"> </w:t>
      </w:r>
    </w:p>
    <w:p w14:paraId="482161D9" w14:textId="011144E8" w:rsidR="00D43CD1" w:rsidRPr="009D0907" w:rsidRDefault="00C5666C" w:rsidP="00D43CD1">
      <w:pPr>
        <w:pStyle w:val="Lijstalinea"/>
        <w:numPr>
          <w:ilvl w:val="0"/>
          <w:numId w:val="3"/>
        </w:numPr>
        <w:jc w:val="both"/>
        <w:rPr>
          <w:lang w:val="en-US"/>
        </w:rPr>
      </w:pPr>
      <w:r w:rsidRPr="009D0907">
        <w:rPr>
          <w:lang w:val="en-US"/>
        </w:rPr>
        <w:t>Lack of risk-assessment the preferred policy</w:t>
      </w:r>
      <w:r w:rsidR="009D0907">
        <w:rPr>
          <w:lang w:val="en-US"/>
        </w:rPr>
        <w:t>;</w:t>
      </w:r>
    </w:p>
    <w:p w14:paraId="43B38AAA" w14:textId="0E8D180E" w:rsidR="00D43CD1" w:rsidRPr="009D0907" w:rsidRDefault="00D43CD1" w:rsidP="00D43CD1">
      <w:pPr>
        <w:pStyle w:val="Lijstalinea"/>
        <w:numPr>
          <w:ilvl w:val="0"/>
          <w:numId w:val="3"/>
        </w:numPr>
        <w:jc w:val="both"/>
        <w:rPr>
          <w:lang w:val="en-US"/>
        </w:rPr>
      </w:pPr>
      <w:r w:rsidRPr="009D0907">
        <w:rPr>
          <w:lang w:val="en-US"/>
        </w:rPr>
        <w:t xml:space="preserve">Lack of </w:t>
      </w:r>
      <w:r w:rsidR="00C5666C" w:rsidRPr="009D0907">
        <w:rPr>
          <w:lang w:val="en-US"/>
        </w:rPr>
        <w:t>reconsideration</w:t>
      </w:r>
      <w:r w:rsidRPr="009D0907">
        <w:rPr>
          <w:lang w:val="en-US"/>
        </w:rPr>
        <w:t xml:space="preserve"> of </w:t>
      </w:r>
      <w:r w:rsidR="00C5666C" w:rsidRPr="009D0907">
        <w:rPr>
          <w:lang w:val="en-US"/>
        </w:rPr>
        <w:t>previously</w:t>
      </w:r>
      <w:r w:rsidRPr="009D0907">
        <w:rPr>
          <w:lang w:val="en-US"/>
        </w:rPr>
        <w:t xml:space="preserve"> rejected policy alternatives</w:t>
      </w:r>
      <w:r w:rsidR="009D0907">
        <w:rPr>
          <w:lang w:val="en-US"/>
        </w:rPr>
        <w:t>;</w:t>
      </w:r>
    </w:p>
    <w:p w14:paraId="59DB6483" w14:textId="55E08529" w:rsidR="00D43CD1" w:rsidRPr="009D0907" w:rsidRDefault="009D0907" w:rsidP="00D43CD1">
      <w:pPr>
        <w:pStyle w:val="Lijstalinea"/>
        <w:numPr>
          <w:ilvl w:val="0"/>
          <w:numId w:val="3"/>
        </w:numPr>
        <w:jc w:val="both"/>
        <w:rPr>
          <w:lang w:val="en-US"/>
        </w:rPr>
      </w:pPr>
      <w:r w:rsidRPr="009D0907">
        <w:rPr>
          <w:lang w:val="en-US"/>
        </w:rPr>
        <w:t>Inadequate search for expert information on the costs and benefits of the considered policy</w:t>
      </w:r>
      <w:r>
        <w:rPr>
          <w:lang w:val="en-US"/>
        </w:rPr>
        <w:t>;</w:t>
      </w:r>
    </w:p>
    <w:p w14:paraId="50ABDDBD" w14:textId="21616474" w:rsidR="00D43CD1" w:rsidRPr="009D0907" w:rsidRDefault="009D0907" w:rsidP="00D43CD1">
      <w:pPr>
        <w:pStyle w:val="Lijstalinea"/>
        <w:numPr>
          <w:ilvl w:val="0"/>
          <w:numId w:val="3"/>
        </w:numPr>
        <w:jc w:val="both"/>
        <w:rPr>
          <w:lang w:val="en-US"/>
        </w:rPr>
      </w:pPr>
      <w:r w:rsidRPr="009D0907">
        <w:rPr>
          <w:lang w:val="en-US"/>
        </w:rPr>
        <w:t>Selective bias in</w:t>
      </w:r>
      <w:r w:rsidR="00D43CD1" w:rsidRPr="009D0907">
        <w:rPr>
          <w:lang w:val="en-US"/>
        </w:rPr>
        <w:t xml:space="preserve"> information-processing</w:t>
      </w:r>
      <w:r w:rsidRPr="009D0907">
        <w:rPr>
          <w:lang w:val="en-US"/>
        </w:rPr>
        <w:t>, with information countering the preferred policy being ignored</w:t>
      </w:r>
      <w:r>
        <w:rPr>
          <w:lang w:val="en-US"/>
        </w:rPr>
        <w:t>;</w:t>
      </w:r>
    </w:p>
    <w:p w14:paraId="407F9EB0" w14:textId="30577D2D" w:rsidR="009D0907" w:rsidRPr="009D0907" w:rsidRDefault="009D0907" w:rsidP="00A11351">
      <w:pPr>
        <w:pStyle w:val="Lijstalinea"/>
        <w:numPr>
          <w:ilvl w:val="0"/>
          <w:numId w:val="3"/>
        </w:numPr>
        <w:jc w:val="both"/>
        <w:rPr>
          <w:lang w:val="en-US"/>
        </w:rPr>
      </w:pPr>
      <w:r>
        <w:rPr>
          <w:lang w:val="en-US"/>
        </w:rPr>
        <w:t>No</w:t>
      </w:r>
      <w:r w:rsidR="00D43CD1" w:rsidRPr="009D0907">
        <w:rPr>
          <w:lang w:val="en-US"/>
        </w:rPr>
        <w:t xml:space="preserve"> development of contingency plans</w:t>
      </w:r>
      <w:r w:rsidRPr="009D0907">
        <w:rPr>
          <w:lang w:val="en-US"/>
        </w:rPr>
        <w:t xml:space="preserve"> to deal with predictable set-backs that can detract from policy success</w:t>
      </w:r>
      <w:r>
        <w:rPr>
          <w:lang w:val="en-US"/>
        </w:rPr>
        <w:t>.</w:t>
      </w:r>
    </w:p>
    <w:p w14:paraId="3479A15C" w14:textId="608E4D18" w:rsidR="00D43CD1" w:rsidRPr="009D0907" w:rsidRDefault="00D43CD1" w:rsidP="009D0907">
      <w:pPr>
        <w:jc w:val="both"/>
        <w:rPr>
          <w:lang w:val="en-US"/>
        </w:rPr>
      </w:pPr>
      <w:r w:rsidRPr="009D0907">
        <w:rPr>
          <w:lang w:val="en-US"/>
        </w:rPr>
        <w:t xml:space="preserve">Based on the integrated model, the decision-making process surrounding the governmental campaign in favor of the European Constitution is expected to show at least one of these symptoms. It is also assumed that the presence of these symptoms can be logically linked to the bureaucratic elements that pose the </w:t>
      </w:r>
      <w:r w:rsidR="000E509E">
        <w:rPr>
          <w:lang w:val="en-US"/>
        </w:rPr>
        <w:t>in</w:t>
      </w:r>
      <w:r w:rsidRPr="009D0907">
        <w:rPr>
          <w:lang w:val="en-US"/>
        </w:rPr>
        <w:t>dependent variables, which are operationalized below.</w:t>
      </w:r>
      <w:r w:rsidR="00753223">
        <w:rPr>
          <w:lang w:val="en-US"/>
        </w:rPr>
        <w:t xml:space="preserve"> The symptoms are themselves not sufficient to account for non-rational policy. However, they do lead to premature consensus and therefore decrease the likelihood of successful policy resulting from the decision-making process.</w:t>
      </w:r>
    </w:p>
    <w:p w14:paraId="44852BE7" w14:textId="7FCC1953" w:rsidR="008251F1" w:rsidRPr="00A81153" w:rsidRDefault="00835D2E" w:rsidP="00075974">
      <w:pPr>
        <w:pStyle w:val="Kop2"/>
        <w:rPr>
          <w:color w:val="auto"/>
          <w:lang w:val="en-US"/>
        </w:rPr>
      </w:pPr>
      <w:bookmarkStart w:id="29" w:name="_Toc48891292"/>
      <w:r w:rsidRPr="00A81153">
        <w:rPr>
          <w:color w:val="auto"/>
          <w:lang w:val="en-US"/>
        </w:rPr>
        <w:t>3.4</w:t>
      </w:r>
      <w:r w:rsidR="008251F1" w:rsidRPr="00A81153">
        <w:rPr>
          <w:color w:val="auto"/>
          <w:lang w:val="en-US"/>
        </w:rPr>
        <w:t xml:space="preserve"> The independent variables</w:t>
      </w:r>
      <w:bookmarkEnd w:id="29"/>
    </w:p>
    <w:p w14:paraId="615F5287" w14:textId="7FB6CE89" w:rsidR="00531012" w:rsidRDefault="002046D7" w:rsidP="00E05EEE">
      <w:pPr>
        <w:jc w:val="both"/>
        <w:rPr>
          <w:rStyle w:val="eop"/>
          <w:rFonts w:ascii="Calibri" w:eastAsia="Times New Roman" w:hAnsi="Calibri" w:cs="Calibri"/>
          <w:lang w:val="en-US" w:eastAsia="nl-NL"/>
        </w:rPr>
      </w:pPr>
      <w:r>
        <w:rPr>
          <w:rStyle w:val="eop"/>
          <w:rFonts w:ascii="Calibri" w:eastAsia="Times New Roman" w:hAnsi="Calibri" w:cs="Calibri"/>
          <w:lang w:val="en-US" w:eastAsia="nl-NL"/>
        </w:rPr>
        <w:t xml:space="preserve">The independent variables </w:t>
      </w:r>
      <w:r w:rsidR="00171543">
        <w:rPr>
          <w:rStyle w:val="eop"/>
          <w:rFonts w:ascii="Calibri" w:eastAsia="Times New Roman" w:hAnsi="Calibri" w:cs="Calibri"/>
          <w:lang w:val="en-US" w:eastAsia="nl-NL"/>
        </w:rPr>
        <w:t xml:space="preserve">assumed to </w:t>
      </w:r>
      <w:r>
        <w:rPr>
          <w:rStyle w:val="eop"/>
          <w:rFonts w:ascii="Calibri" w:eastAsia="Times New Roman" w:hAnsi="Calibri" w:cs="Calibri"/>
          <w:lang w:val="en-US" w:eastAsia="nl-NL"/>
        </w:rPr>
        <w:t>provide fruitful conditions to non-rational decision-making</w:t>
      </w:r>
      <w:r w:rsidR="00171543">
        <w:rPr>
          <w:rStyle w:val="eop"/>
          <w:rFonts w:ascii="Calibri" w:eastAsia="Times New Roman" w:hAnsi="Calibri" w:cs="Calibri"/>
          <w:lang w:val="en-US" w:eastAsia="nl-NL"/>
        </w:rPr>
        <w:t xml:space="preserve"> can be collectively described as bureaucratic elements</w:t>
      </w:r>
      <w:r>
        <w:rPr>
          <w:rStyle w:val="eop"/>
          <w:rFonts w:ascii="Calibri" w:eastAsia="Times New Roman" w:hAnsi="Calibri" w:cs="Calibri"/>
          <w:lang w:val="en-US" w:eastAsia="nl-NL"/>
        </w:rPr>
        <w:t xml:space="preserve">. </w:t>
      </w:r>
      <w:r w:rsidR="00171543">
        <w:rPr>
          <w:rStyle w:val="eop"/>
          <w:rFonts w:ascii="Calibri" w:eastAsia="Times New Roman" w:hAnsi="Calibri" w:cs="Calibri"/>
          <w:lang w:val="en-US" w:eastAsia="nl-NL"/>
        </w:rPr>
        <w:t>The integrated model identifies three elements</w:t>
      </w:r>
      <w:r>
        <w:rPr>
          <w:rStyle w:val="eop"/>
          <w:rFonts w:ascii="Calibri" w:eastAsia="Times New Roman" w:hAnsi="Calibri" w:cs="Calibri"/>
          <w:lang w:val="en-US" w:eastAsia="nl-NL"/>
        </w:rPr>
        <w:t xml:space="preserve">: bureaucratic roles, procedural scripts, and cultural rationales. </w:t>
      </w:r>
      <w:r w:rsidR="00E05EEE">
        <w:rPr>
          <w:rStyle w:val="eop"/>
          <w:rFonts w:ascii="Calibri" w:eastAsia="Times New Roman" w:hAnsi="Calibri" w:cs="Calibri"/>
          <w:lang w:val="en-US" w:eastAsia="nl-NL"/>
        </w:rPr>
        <w:t xml:space="preserve">An overview of the independent variables and their operationalization can be found in </w:t>
      </w:r>
      <w:r w:rsidR="00EC5268">
        <w:rPr>
          <w:rStyle w:val="eop"/>
          <w:rFonts w:ascii="Calibri" w:eastAsia="Times New Roman" w:hAnsi="Calibri" w:cs="Calibri"/>
          <w:lang w:val="en-US" w:eastAsia="nl-NL"/>
        </w:rPr>
        <w:t>Figure 3</w:t>
      </w:r>
      <w:r w:rsidR="00E05EEE">
        <w:rPr>
          <w:rStyle w:val="eop"/>
          <w:rFonts w:ascii="Calibri" w:eastAsia="Times New Roman" w:hAnsi="Calibri" w:cs="Calibri"/>
          <w:lang w:val="en-US" w:eastAsia="nl-NL"/>
        </w:rPr>
        <w:t xml:space="preserve"> below.</w:t>
      </w:r>
    </w:p>
    <w:p w14:paraId="755D5D80" w14:textId="6316A10D" w:rsidR="00531012" w:rsidRPr="00FE4DEA" w:rsidRDefault="00835D2E" w:rsidP="00075974">
      <w:pPr>
        <w:pStyle w:val="Kop3"/>
        <w:rPr>
          <w:color w:val="auto"/>
          <w:u w:val="single"/>
          <w:lang w:val="en-US"/>
        </w:rPr>
      </w:pPr>
      <w:bookmarkStart w:id="30" w:name="_Toc48891293"/>
      <w:r w:rsidRPr="00FE4DEA">
        <w:rPr>
          <w:color w:val="auto"/>
          <w:u w:val="single"/>
          <w:lang w:val="en-US"/>
        </w:rPr>
        <w:t>3.4</w:t>
      </w:r>
      <w:r w:rsidR="00075974" w:rsidRPr="00FE4DEA">
        <w:rPr>
          <w:color w:val="auto"/>
          <w:u w:val="single"/>
          <w:lang w:val="en-US"/>
        </w:rPr>
        <w:t xml:space="preserve">.1 </w:t>
      </w:r>
      <w:r w:rsidR="00531012" w:rsidRPr="00FE4DEA">
        <w:rPr>
          <w:color w:val="auto"/>
          <w:u w:val="single"/>
          <w:lang w:val="en-US"/>
        </w:rPr>
        <w:t>Bureaucratic roles</w:t>
      </w:r>
      <w:bookmarkEnd w:id="30"/>
    </w:p>
    <w:p w14:paraId="6A94A423" w14:textId="4AFC40BE" w:rsidR="00531012" w:rsidRDefault="002046D7" w:rsidP="004A56C2">
      <w:pPr>
        <w:jc w:val="both"/>
        <w:rPr>
          <w:rStyle w:val="eop"/>
          <w:rFonts w:ascii="Calibri" w:eastAsia="Times New Roman" w:hAnsi="Calibri" w:cs="Calibri"/>
          <w:lang w:val="en-US" w:eastAsia="nl-NL"/>
        </w:rPr>
      </w:pPr>
      <w:r>
        <w:rPr>
          <w:rStyle w:val="eop"/>
          <w:rFonts w:ascii="Calibri" w:eastAsia="Times New Roman" w:hAnsi="Calibri" w:cs="Calibri"/>
          <w:lang w:val="en-US" w:eastAsia="nl-NL"/>
        </w:rPr>
        <w:t xml:space="preserve">As described in the theoretical framework, bureaucratic roles are the positions that bureaucratic actors fulfill. These positions are defined by both formal tasks ascribed to this position, as well as </w:t>
      </w:r>
      <w:r w:rsidR="00171543">
        <w:rPr>
          <w:rStyle w:val="eop"/>
          <w:rFonts w:ascii="Calibri" w:eastAsia="Times New Roman" w:hAnsi="Calibri" w:cs="Calibri"/>
          <w:lang w:val="en-US" w:eastAsia="nl-NL"/>
        </w:rPr>
        <w:t>the</w:t>
      </w:r>
      <w:r>
        <w:rPr>
          <w:rStyle w:val="eop"/>
          <w:rFonts w:ascii="Calibri" w:eastAsia="Times New Roman" w:hAnsi="Calibri" w:cs="Calibri"/>
          <w:lang w:val="en-US" w:eastAsia="nl-NL"/>
        </w:rPr>
        <w:t xml:space="preserve"> informal responsibilities stemming from the expectations of the actor and their peers. Bureaucratic actors includes both civil servants and political leaders. How the actor plays their role is determined by the rational pursuit of self-preservation and </w:t>
      </w:r>
      <w:r w:rsidR="00487EFC">
        <w:rPr>
          <w:rStyle w:val="eop"/>
          <w:rFonts w:ascii="Calibri" w:eastAsia="Times New Roman" w:hAnsi="Calibri" w:cs="Calibri"/>
          <w:lang w:val="en-US" w:eastAsia="nl-NL"/>
        </w:rPr>
        <w:t>career</w:t>
      </w:r>
      <w:r>
        <w:rPr>
          <w:rStyle w:val="eop"/>
          <w:rFonts w:ascii="Calibri" w:eastAsia="Times New Roman" w:hAnsi="Calibri" w:cs="Calibri"/>
          <w:lang w:val="en-US" w:eastAsia="nl-NL"/>
        </w:rPr>
        <w:t xml:space="preserve">–advancement, which </w:t>
      </w:r>
      <w:r w:rsidR="00487EFC">
        <w:rPr>
          <w:rStyle w:val="eop"/>
          <w:rFonts w:ascii="Calibri" w:eastAsia="Times New Roman" w:hAnsi="Calibri" w:cs="Calibri"/>
          <w:lang w:val="en-US" w:eastAsia="nl-NL"/>
        </w:rPr>
        <w:t>is</w:t>
      </w:r>
      <w:r>
        <w:rPr>
          <w:rStyle w:val="eop"/>
          <w:rFonts w:ascii="Calibri" w:eastAsia="Times New Roman" w:hAnsi="Calibri" w:cs="Calibri"/>
          <w:lang w:val="en-US" w:eastAsia="nl-NL"/>
        </w:rPr>
        <w:t xml:space="preserve"> conditioned by the organizational cultural context. </w:t>
      </w:r>
      <w:r w:rsidR="004A56C2">
        <w:rPr>
          <w:rStyle w:val="eop"/>
          <w:rFonts w:ascii="Calibri" w:eastAsia="Times New Roman" w:hAnsi="Calibri" w:cs="Calibri"/>
          <w:lang w:val="en-US" w:eastAsia="nl-NL"/>
        </w:rPr>
        <w:t xml:space="preserve"> </w:t>
      </w:r>
      <w:r w:rsidR="0017575A">
        <w:rPr>
          <w:rStyle w:val="eop"/>
          <w:rFonts w:ascii="Calibri" w:eastAsia="Times New Roman" w:hAnsi="Calibri" w:cs="Calibri"/>
          <w:lang w:val="en-US" w:eastAsia="nl-NL"/>
        </w:rPr>
        <w:t>In this study, bureaucratic roles are hypothesized to contribute to non-ration</w:t>
      </w:r>
      <w:r w:rsidR="00531012">
        <w:rPr>
          <w:rStyle w:val="eop"/>
          <w:rFonts w:ascii="Calibri" w:eastAsia="Times New Roman" w:hAnsi="Calibri" w:cs="Calibri"/>
          <w:lang w:val="en-US" w:eastAsia="nl-NL"/>
        </w:rPr>
        <w:t xml:space="preserve">al decision-making in two ways: through individual rational </w:t>
      </w:r>
      <w:r w:rsidR="00A61958">
        <w:rPr>
          <w:rStyle w:val="eop"/>
          <w:rFonts w:ascii="Calibri" w:eastAsia="Times New Roman" w:hAnsi="Calibri" w:cs="Calibri"/>
          <w:lang w:val="en-US" w:eastAsia="nl-NL"/>
        </w:rPr>
        <w:t xml:space="preserve">behavior </w:t>
      </w:r>
      <w:r w:rsidR="004A56C2">
        <w:rPr>
          <w:rStyle w:val="eop"/>
          <w:rFonts w:ascii="Calibri" w:eastAsia="Times New Roman" w:hAnsi="Calibri" w:cs="Calibri"/>
          <w:lang w:val="en-US" w:eastAsia="nl-NL"/>
        </w:rPr>
        <w:t>within the organizational context, and through the shared norm that civil service should be loyal to political actors.</w:t>
      </w:r>
    </w:p>
    <w:p w14:paraId="0A850599" w14:textId="24CAAC1F" w:rsidR="005339D8" w:rsidRPr="00A81153" w:rsidRDefault="005339D8" w:rsidP="00075974">
      <w:pPr>
        <w:pStyle w:val="Kop4"/>
        <w:rPr>
          <w:rStyle w:val="eop"/>
          <w:rFonts w:ascii="Calibri" w:eastAsia="Times New Roman" w:hAnsi="Calibri" w:cs="Calibri"/>
          <w:color w:val="auto"/>
          <w:lang w:val="en-US" w:eastAsia="nl-NL"/>
        </w:rPr>
      </w:pPr>
      <w:r w:rsidRPr="00A81153">
        <w:rPr>
          <w:rStyle w:val="eop"/>
          <w:rFonts w:ascii="Calibri" w:eastAsia="Times New Roman" w:hAnsi="Calibri" w:cs="Calibri"/>
          <w:color w:val="auto"/>
          <w:lang w:val="en-US" w:eastAsia="nl-NL"/>
        </w:rPr>
        <w:t>Self-preservation and career-advancement</w:t>
      </w:r>
    </w:p>
    <w:p w14:paraId="0A0B7C18" w14:textId="7D0856B2" w:rsidR="004A56C2" w:rsidRDefault="004A56C2" w:rsidP="009B12CB">
      <w:pPr>
        <w:jc w:val="both"/>
        <w:rPr>
          <w:rStyle w:val="eop"/>
          <w:rFonts w:ascii="Calibri" w:eastAsia="Times New Roman" w:hAnsi="Calibri" w:cs="Calibri"/>
          <w:lang w:val="en-US" w:eastAsia="nl-NL"/>
        </w:rPr>
      </w:pPr>
      <w:r>
        <w:rPr>
          <w:rStyle w:val="eop"/>
          <w:rFonts w:ascii="Calibri" w:eastAsia="Times New Roman" w:hAnsi="Calibri" w:cs="Calibri"/>
          <w:lang w:val="en-US" w:eastAsia="nl-NL"/>
        </w:rPr>
        <w:t>The first hypothesis states that</w:t>
      </w:r>
      <w:r w:rsidR="0017575A">
        <w:rPr>
          <w:rStyle w:val="eop"/>
          <w:rFonts w:ascii="Calibri" w:eastAsia="Times New Roman" w:hAnsi="Calibri" w:cs="Calibri"/>
          <w:lang w:val="en-US" w:eastAsia="nl-NL"/>
        </w:rPr>
        <w:t xml:space="preserve"> bureaucratic actors are expected to only take positions with neutral or positive consequences for their career. In practice, it is expected that this will lead to different behavior for political actors and civil servants. </w:t>
      </w:r>
    </w:p>
    <w:p w14:paraId="110C1F63" w14:textId="34A3B917" w:rsidR="002046D7" w:rsidRDefault="0017575A" w:rsidP="009B12CB">
      <w:pPr>
        <w:jc w:val="both"/>
        <w:rPr>
          <w:rStyle w:val="eop"/>
          <w:rFonts w:ascii="Calibri" w:eastAsia="Times New Roman" w:hAnsi="Calibri" w:cs="Calibri"/>
          <w:lang w:val="en-US" w:eastAsia="nl-NL"/>
        </w:rPr>
      </w:pPr>
      <w:r>
        <w:rPr>
          <w:rStyle w:val="eop"/>
          <w:rFonts w:ascii="Calibri" w:eastAsia="Times New Roman" w:hAnsi="Calibri" w:cs="Calibri"/>
          <w:lang w:val="en-US" w:eastAsia="nl-NL"/>
        </w:rPr>
        <w:t xml:space="preserve">Self-preservation for political actors, in this case the Ministers that constitute the Political Control Group, is dependent on pleasing the electorate and the political party that grants them their position. </w:t>
      </w:r>
      <w:r w:rsidR="009B12CB">
        <w:rPr>
          <w:rStyle w:val="eop"/>
          <w:rFonts w:ascii="Calibri" w:eastAsia="Times New Roman" w:hAnsi="Calibri" w:cs="Calibri"/>
          <w:lang w:val="en-US" w:eastAsia="nl-NL"/>
        </w:rPr>
        <w:t xml:space="preserve">Political actors will therefore seek to increase public support for them and their party. </w:t>
      </w:r>
      <w:r w:rsidR="00171543">
        <w:rPr>
          <w:rStyle w:val="eop"/>
          <w:rFonts w:ascii="Calibri" w:eastAsia="Times New Roman" w:hAnsi="Calibri" w:cs="Calibri"/>
          <w:lang w:val="en-US" w:eastAsia="nl-NL"/>
        </w:rPr>
        <w:t xml:space="preserve">Political </w:t>
      </w:r>
      <w:r w:rsidR="009B12CB">
        <w:rPr>
          <w:rStyle w:val="eop"/>
          <w:rFonts w:ascii="Calibri" w:eastAsia="Times New Roman" w:hAnsi="Calibri" w:cs="Calibri"/>
          <w:lang w:val="en-US" w:eastAsia="nl-NL"/>
        </w:rPr>
        <w:t>actors will more actively engage with the media</w:t>
      </w:r>
      <w:r w:rsidR="00566FE9">
        <w:rPr>
          <w:rStyle w:val="eop"/>
          <w:rFonts w:ascii="Calibri" w:eastAsia="Times New Roman" w:hAnsi="Calibri" w:cs="Calibri"/>
          <w:lang w:val="en-US" w:eastAsia="nl-NL"/>
        </w:rPr>
        <w:t xml:space="preserve"> </w:t>
      </w:r>
      <w:r w:rsidR="009B12CB">
        <w:rPr>
          <w:rStyle w:val="eop"/>
          <w:rFonts w:ascii="Calibri" w:eastAsia="Times New Roman" w:hAnsi="Calibri" w:cs="Calibri"/>
          <w:lang w:val="en-US" w:eastAsia="nl-NL"/>
        </w:rPr>
        <w:t>when they feel the outcome of the referendum will be in their favor</w:t>
      </w:r>
      <w:r w:rsidR="00566FE9">
        <w:rPr>
          <w:rStyle w:val="eop"/>
          <w:rFonts w:ascii="Calibri" w:eastAsia="Times New Roman" w:hAnsi="Calibri" w:cs="Calibri"/>
          <w:lang w:val="en-US" w:eastAsia="nl-NL"/>
        </w:rPr>
        <w:t>, in an effort to become associated with impending success</w:t>
      </w:r>
      <w:r w:rsidR="009B12CB">
        <w:rPr>
          <w:rStyle w:val="eop"/>
          <w:rFonts w:ascii="Calibri" w:eastAsia="Times New Roman" w:hAnsi="Calibri" w:cs="Calibri"/>
          <w:lang w:val="en-US" w:eastAsia="nl-NL"/>
        </w:rPr>
        <w:t xml:space="preserve">. Conversely, when politicians feel that there is a high risk of failure to achieve a positive outcome, they will try to avoid association with or responsibility for the outcome. Politicians are then expected to engage less actively with the media, distance themselves from the campaign, or hide behind the group. </w:t>
      </w:r>
    </w:p>
    <w:p w14:paraId="72BF24AB" w14:textId="0800724A" w:rsidR="00566FE9" w:rsidRDefault="00566FE9" w:rsidP="009B12CB">
      <w:pPr>
        <w:jc w:val="both"/>
        <w:rPr>
          <w:rStyle w:val="eop"/>
          <w:rFonts w:ascii="Calibri" w:eastAsia="Times New Roman" w:hAnsi="Calibri" w:cs="Calibri"/>
          <w:lang w:val="en-US" w:eastAsia="nl-NL"/>
        </w:rPr>
      </w:pPr>
      <w:r>
        <w:rPr>
          <w:rStyle w:val="eop"/>
          <w:rFonts w:ascii="Calibri" w:eastAsia="Times New Roman" w:hAnsi="Calibri" w:cs="Calibri"/>
          <w:lang w:val="en-US" w:eastAsia="nl-NL"/>
        </w:rPr>
        <w:t>Career advancement of civil servants, on the other hand, depends on the approval of high Ministry officials and political leaders. Civil servants are expected to be more task-oriented</w:t>
      </w:r>
      <w:r w:rsidR="00531012">
        <w:rPr>
          <w:rStyle w:val="eop"/>
          <w:rFonts w:ascii="Calibri" w:eastAsia="Times New Roman" w:hAnsi="Calibri" w:cs="Calibri"/>
          <w:lang w:val="en-US" w:eastAsia="nl-NL"/>
        </w:rPr>
        <w:t>, focusing on internal feedback on the campaign rather than public opinion. In practice, they are expected to focus on the sufficient following of procedures and to actively look for feedback of superiors to incorporate in the campaign strategy. Additionally, it is expected that the civil servants that make up the Taskforce have a tendency to anticipate the positions and demands of superiors. This means that civil servants will only propose strategies of which they have a reasonable degree of confidence that this will be approved of by either high officials within the Ministry of Foreign Affairs or the Political Coordination Group.</w:t>
      </w:r>
    </w:p>
    <w:p w14:paraId="4CAB379A" w14:textId="049A8E44" w:rsidR="005339D8" w:rsidRPr="00A81153" w:rsidRDefault="005339D8" w:rsidP="00075974">
      <w:pPr>
        <w:pStyle w:val="Kop4"/>
        <w:rPr>
          <w:rStyle w:val="eop"/>
          <w:rFonts w:ascii="Calibri" w:eastAsia="Times New Roman" w:hAnsi="Calibri" w:cs="Calibri"/>
          <w:color w:val="auto"/>
          <w:lang w:val="en-US" w:eastAsia="nl-NL"/>
        </w:rPr>
      </w:pPr>
      <w:r w:rsidRPr="00A81153">
        <w:rPr>
          <w:rStyle w:val="eop"/>
          <w:rFonts w:ascii="Calibri" w:eastAsia="Times New Roman" w:hAnsi="Calibri" w:cs="Calibri"/>
          <w:color w:val="auto"/>
          <w:lang w:val="en-US" w:eastAsia="nl-NL"/>
        </w:rPr>
        <w:t>Norms of loyalty</w:t>
      </w:r>
    </w:p>
    <w:p w14:paraId="16F3AFF3" w14:textId="7C2909A3" w:rsidR="000114D8" w:rsidRDefault="004A56C2" w:rsidP="009B12CB">
      <w:pPr>
        <w:jc w:val="both"/>
        <w:rPr>
          <w:rStyle w:val="eop"/>
          <w:rFonts w:ascii="Calibri" w:eastAsia="Times New Roman" w:hAnsi="Calibri" w:cs="Calibri"/>
          <w:lang w:val="en-US" w:eastAsia="nl-NL"/>
        </w:rPr>
      </w:pPr>
      <w:r>
        <w:rPr>
          <w:rStyle w:val="eop"/>
          <w:rFonts w:ascii="Calibri" w:eastAsia="Times New Roman" w:hAnsi="Calibri" w:cs="Calibri"/>
          <w:lang w:val="en-US" w:eastAsia="nl-NL"/>
        </w:rPr>
        <w:t xml:space="preserve">The second hypothesis expects civil service to be loyal to political actors. There are two dimensions to this hypothesis. </w:t>
      </w:r>
      <w:r w:rsidR="000114D8">
        <w:rPr>
          <w:rStyle w:val="eop"/>
          <w:rFonts w:ascii="Calibri" w:eastAsia="Times New Roman" w:hAnsi="Calibri" w:cs="Calibri"/>
          <w:lang w:val="en-US" w:eastAsia="nl-NL"/>
        </w:rPr>
        <w:t>Firstly, both political actors and civil servants are expected to share the norm that civil service is ultimately subservient to the political leaders. In practice, this would be visible in the</w:t>
      </w:r>
      <w:r w:rsidR="00171543">
        <w:rPr>
          <w:rStyle w:val="eop"/>
          <w:rFonts w:ascii="Calibri" w:eastAsia="Times New Roman" w:hAnsi="Calibri" w:cs="Calibri"/>
          <w:lang w:val="en-US" w:eastAsia="nl-NL"/>
        </w:rPr>
        <w:t xml:space="preserve"> amount of</w:t>
      </w:r>
      <w:r w:rsidR="000114D8">
        <w:rPr>
          <w:rStyle w:val="eop"/>
          <w:rFonts w:ascii="Calibri" w:eastAsia="Times New Roman" w:hAnsi="Calibri" w:cs="Calibri"/>
          <w:lang w:val="en-US" w:eastAsia="nl-NL"/>
        </w:rPr>
        <w:t xml:space="preserve"> criticism expressed by civil servants, both solicited by political actors and unsolicited. It is expected that civil servants express criticism on the preferred strategy at the start of the decision-making process, but that this </w:t>
      </w:r>
      <w:r w:rsidR="00171543">
        <w:rPr>
          <w:rStyle w:val="eop"/>
          <w:rFonts w:ascii="Calibri" w:eastAsia="Times New Roman" w:hAnsi="Calibri" w:cs="Calibri"/>
          <w:lang w:val="en-US" w:eastAsia="nl-NL"/>
        </w:rPr>
        <w:t>is</w:t>
      </w:r>
      <w:r w:rsidR="000114D8">
        <w:rPr>
          <w:rStyle w:val="eop"/>
          <w:rFonts w:ascii="Calibri" w:eastAsia="Times New Roman" w:hAnsi="Calibri" w:cs="Calibri"/>
          <w:lang w:val="en-US" w:eastAsia="nl-NL"/>
        </w:rPr>
        <w:t xml:space="preserve"> limited once a preliminary consensus is reached: no serious alternatives </w:t>
      </w:r>
      <w:r w:rsidR="00171543">
        <w:rPr>
          <w:rStyle w:val="eop"/>
          <w:rFonts w:ascii="Calibri" w:eastAsia="Times New Roman" w:hAnsi="Calibri" w:cs="Calibri"/>
          <w:lang w:val="en-US" w:eastAsia="nl-NL"/>
        </w:rPr>
        <w:t>are</w:t>
      </w:r>
      <w:r w:rsidR="000114D8">
        <w:rPr>
          <w:rStyle w:val="eop"/>
          <w:rFonts w:ascii="Calibri" w:eastAsia="Times New Roman" w:hAnsi="Calibri" w:cs="Calibri"/>
          <w:lang w:val="en-US" w:eastAsia="nl-NL"/>
        </w:rPr>
        <w:t xml:space="preserve"> suggested or considered either in memos or in meetings, and weaknesses of the preferred strategy </w:t>
      </w:r>
      <w:r w:rsidR="00171543">
        <w:rPr>
          <w:rStyle w:val="eop"/>
          <w:rFonts w:ascii="Calibri" w:eastAsia="Times New Roman" w:hAnsi="Calibri" w:cs="Calibri"/>
          <w:lang w:val="en-US" w:eastAsia="nl-NL"/>
        </w:rPr>
        <w:t>are</w:t>
      </w:r>
      <w:r w:rsidR="000114D8">
        <w:rPr>
          <w:rStyle w:val="eop"/>
          <w:rFonts w:ascii="Calibri" w:eastAsia="Times New Roman" w:hAnsi="Calibri" w:cs="Calibri"/>
          <w:lang w:val="en-US" w:eastAsia="nl-NL"/>
        </w:rPr>
        <w:t xml:space="preserve"> left undiscussed. Similarly, it is expected that political leaders will be open to criticism expressed by civil servants in the beginning of the decision-making process, but that they will no longer solicit criticism through requesting meetings or memos once preliminary consensus is reached.</w:t>
      </w:r>
    </w:p>
    <w:p w14:paraId="167A6A03" w14:textId="3D8B10CA" w:rsidR="000114D8" w:rsidRDefault="000114D8" w:rsidP="009B12CB">
      <w:pPr>
        <w:jc w:val="both"/>
        <w:rPr>
          <w:rStyle w:val="eop"/>
          <w:rFonts w:ascii="Calibri" w:eastAsia="Times New Roman" w:hAnsi="Calibri" w:cs="Calibri"/>
          <w:lang w:val="en-US" w:eastAsia="nl-NL"/>
        </w:rPr>
      </w:pPr>
      <w:r>
        <w:rPr>
          <w:rStyle w:val="eop"/>
          <w:rFonts w:ascii="Calibri" w:eastAsia="Times New Roman" w:hAnsi="Calibri" w:cs="Calibri"/>
          <w:lang w:val="en-US" w:eastAsia="nl-NL"/>
        </w:rPr>
        <w:t xml:space="preserve">Secondly, civil servants are expected to express their loyalty to political actors through </w:t>
      </w:r>
      <w:r w:rsidR="002A2ED2">
        <w:rPr>
          <w:rStyle w:val="eop"/>
          <w:rFonts w:ascii="Calibri" w:eastAsia="Times New Roman" w:hAnsi="Calibri" w:cs="Calibri"/>
          <w:lang w:val="en-US" w:eastAsia="nl-NL"/>
        </w:rPr>
        <w:t>efforts to refrain from actions or statements that can be linked to a specific political ideology or party. It is expected that civil servants resort to technical approaches to uphold the impression of neutrality. In practice, this would mean that civil servants feel that expressing political statements in their work is not appropriate. This would likely manifest itself through the accumulation of considerable amounts of data to base the campaign strategy on, to suggest objectivity. Civil servants are also expected to make efforts to equally distribute exposure of different political parties, striving to include different views into campaign activities. It is therefore expected that the Taskforce will pay considerable attention to views opposing the European Constitution.</w:t>
      </w:r>
    </w:p>
    <w:p w14:paraId="2D20078D" w14:textId="6B404729" w:rsidR="00531012" w:rsidRPr="00FE4DEA" w:rsidRDefault="00835D2E" w:rsidP="00075974">
      <w:pPr>
        <w:pStyle w:val="Kop3"/>
        <w:rPr>
          <w:color w:val="auto"/>
          <w:u w:val="single"/>
          <w:lang w:val="en-US"/>
        </w:rPr>
      </w:pPr>
      <w:bookmarkStart w:id="31" w:name="_Toc48891294"/>
      <w:r w:rsidRPr="00FE4DEA">
        <w:rPr>
          <w:color w:val="auto"/>
          <w:u w:val="single"/>
          <w:lang w:val="en-US"/>
        </w:rPr>
        <w:t>3.4</w:t>
      </w:r>
      <w:r w:rsidR="00075974" w:rsidRPr="00FE4DEA">
        <w:rPr>
          <w:color w:val="auto"/>
          <w:u w:val="single"/>
          <w:lang w:val="en-US"/>
        </w:rPr>
        <w:t xml:space="preserve">.2 </w:t>
      </w:r>
      <w:r w:rsidR="00531012" w:rsidRPr="00FE4DEA">
        <w:rPr>
          <w:color w:val="auto"/>
          <w:u w:val="single"/>
          <w:lang w:val="en-US"/>
        </w:rPr>
        <w:t>Procedural scripts</w:t>
      </w:r>
      <w:bookmarkEnd w:id="31"/>
    </w:p>
    <w:p w14:paraId="05E60092" w14:textId="22AE9CE2" w:rsidR="004072C1" w:rsidRDefault="00531012" w:rsidP="004072C1">
      <w:pPr>
        <w:jc w:val="both"/>
        <w:rPr>
          <w:lang w:val="en-US" w:eastAsia="nl-NL"/>
        </w:rPr>
      </w:pPr>
      <w:r>
        <w:rPr>
          <w:lang w:val="en-US" w:eastAsia="nl-NL"/>
        </w:rPr>
        <w:t>Procedural scripts are taken to be</w:t>
      </w:r>
      <w:r w:rsidR="00075974">
        <w:rPr>
          <w:lang w:val="en-US" w:eastAsia="nl-NL"/>
        </w:rPr>
        <w:t xml:space="preserve"> the collective of routines and strategies that bureaucratic actors use when faced with a policy issue. The 2005 referendum was </w:t>
      </w:r>
      <w:r w:rsidR="00A74A27">
        <w:rPr>
          <w:lang w:val="en-US" w:eastAsia="nl-NL"/>
        </w:rPr>
        <w:t>unprecedented</w:t>
      </w:r>
      <w:r w:rsidR="00075974">
        <w:rPr>
          <w:lang w:val="en-US" w:eastAsia="nl-NL"/>
        </w:rPr>
        <w:t xml:space="preserve"> in The Netherlands, presenting both political actors and civil service with a situation they had no experience with. Hypothesis three, formulated in the theoretical framework, predicted that </w:t>
      </w:r>
      <w:r w:rsidR="00F233E4">
        <w:rPr>
          <w:lang w:val="en-US" w:eastAsia="nl-NL"/>
        </w:rPr>
        <w:t xml:space="preserve">bureaucratic actors will rely upon their closest experience to determine appropriate actions if a procedural script does not exist for the policy issue in question. In practice, the civil servants making up the Taskforce and the political actors constituting the Political Control Group are expected to have drawn on different experiences with campaigning to determine their strategy. </w:t>
      </w:r>
    </w:p>
    <w:p w14:paraId="7B05EC02" w14:textId="2BBD24B2" w:rsidR="00F233E4" w:rsidRDefault="004072C1" w:rsidP="004072C1">
      <w:pPr>
        <w:jc w:val="both"/>
        <w:rPr>
          <w:lang w:val="en-US" w:eastAsia="nl-NL"/>
        </w:rPr>
      </w:pPr>
      <w:r>
        <w:rPr>
          <w:lang w:val="en-US" w:eastAsia="nl-NL"/>
        </w:rPr>
        <w:t>Civil service, on the one hand,</w:t>
      </w:r>
      <w:r w:rsidR="00F233E4">
        <w:rPr>
          <w:lang w:val="en-US" w:eastAsia="nl-NL"/>
        </w:rPr>
        <w:t xml:space="preserve"> </w:t>
      </w:r>
      <w:r>
        <w:rPr>
          <w:lang w:val="en-US" w:eastAsia="nl-NL"/>
        </w:rPr>
        <w:t xml:space="preserve">is </w:t>
      </w:r>
      <w:r w:rsidR="00A74A27">
        <w:rPr>
          <w:lang w:val="en-US" w:eastAsia="nl-NL"/>
        </w:rPr>
        <w:t>expected to rely upon its</w:t>
      </w:r>
      <w:r>
        <w:rPr>
          <w:lang w:val="en-US" w:eastAsia="nl-NL"/>
        </w:rPr>
        <w:t xml:space="preserve"> experience </w:t>
      </w:r>
      <w:r w:rsidR="00A74A27">
        <w:rPr>
          <w:lang w:val="en-US" w:eastAsia="nl-NL"/>
        </w:rPr>
        <w:t>with</w:t>
      </w:r>
      <w:r>
        <w:rPr>
          <w:lang w:val="en-US" w:eastAsia="nl-NL"/>
        </w:rPr>
        <w:t xml:space="preserve"> various information campaigns ran by Dutch Ministries</w:t>
      </w:r>
      <w:r w:rsidR="00F233E4">
        <w:rPr>
          <w:lang w:val="en-US" w:eastAsia="nl-NL"/>
        </w:rPr>
        <w:t xml:space="preserve">, informing citizens on specific topics on behalf of the government. Examples of such campaigns are the campaign on the introduction of the Euro led by the Ministry of Finance, and the </w:t>
      </w:r>
      <w:r w:rsidR="001C6ADE">
        <w:rPr>
          <w:lang w:val="en-US" w:eastAsia="nl-NL"/>
        </w:rPr>
        <w:t xml:space="preserve">EU-awareness </w:t>
      </w:r>
      <w:r w:rsidR="00F233E4">
        <w:rPr>
          <w:lang w:val="en-US" w:eastAsia="nl-NL"/>
        </w:rPr>
        <w:t>campaign “</w:t>
      </w:r>
      <w:r w:rsidR="001C6ADE">
        <w:rPr>
          <w:lang w:val="en-US" w:eastAsia="nl-NL"/>
        </w:rPr>
        <w:t>Europa. Best Belangrijk”(Europe. Pretty Important) initiated by the Ministry of Foreign Affairs (Sprenger, 2016a)</w:t>
      </w:r>
      <w:r w:rsidR="00F233E4">
        <w:rPr>
          <w:lang w:val="en-US" w:eastAsia="nl-NL"/>
        </w:rPr>
        <w:t xml:space="preserve">. Based on the guidelines for government communication of the </w:t>
      </w:r>
      <w:r w:rsidR="00F233E4" w:rsidRPr="005A6224">
        <w:rPr>
          <w:i/>
          <w:iCs/>
          <w:lang w:val="en-US" w:eastAsia="nl-NL"/>
        </w:rPr>
        <w:t>Commissie Wallage</w:t>
      </w:r>
      <w:r w:rsidR="00F233E4">
        <w:rPr>
          <w:lang w:val="en-US" w:eastAsia="nl-NL"/>
        </w:rPr>
        <w:t xml:space="preserve"> (2000), civil service is expected to strive for an informative campaign with a factual and formal tone, aimed at informing citizen</w:t>
      </w:r>
      <w:r>
        <w:rPr>
          <w:lang w:val="en-US" w:eastAsia="nl-NL"/>
        </w:rPr>
        <w:t>s rather than persuading them. Civil servants are expected to aim for engagement with citizens, but to stay away from polarization resulting from diverging political views.</w:t>
      </w:r>
    </w:p>
    <w:p w14:paraId="39B02DA6" w14:textId="33768C56" w:rsidR="004072C1" w:rsidRDefault="004072C1" w:rsidP="004072C1">
      <w:pPr>
        <w:jc w:val="both"/>
        <w:rPr>
          <w:lang w:val="en-US" w:eastAsia="nl-NL"/>
        </w:rPr>
      </w:pPr>
      <w:r>
        <w:rPr>
          <w:lang w:val="en-US" w:eastAsia="nl-NL"/>
        </w:rPr>
        <w:t>Political leaders, on the other hand, have experience with party political campaigns for parliamentary and local elections which they can be expected to draw from. In The Netherlands, such campaigns tend to be relatively short,</w:t>
      </w:r>
      <w:r w:rsidR="00B16006">
        <w:rPr>
          <w:lang w:val="en-US" w:eastAsia="nl-NL"/>
        </w:rPr>
        <w:t xml:space="preserve"> centered around </w:t>
      </w:r>
      <w:r w:rsidR="00BD3C68">
        <w:rPr>
          <w:lang w:val="en-US" w:eastAsia="nl-NL"/>
        </w:rPr>
        <w:t>a few big names, and</w:t>
      </w:r>
      <w:r>
        <w:rPr>
          <w:lang w:val="en-US" w:eastAsia="nl-NL"/>
        </w:rPr>
        <w:t xml:space="preserve"> often lasting only a couple of weeks</w:t>
      </w:r>
      <w:r w:rsidR="003C1DEC">
        <w:rPr>
          <w:lang w:val="en-US" w:eastAsia="nl-NL"/>
        </w:rPr>
        <w:t xml:space="preserve"> (Nijeboer,</w:t>
      </w:r>
      <w:r w:rsidR="00567313">
        <w:rPr>
          <w:lang w:val="en-US" w:eastAsia="nl-NL"/>
        </w:rPr>
        <w:t xml:space="preserve"> 2005</w:t>
      </w:r>
      <w:r w:rsidR="00B12622">
        <w:rPr>
          <w:lang w:val="en-US" w:eastAsia="nl-NL"/>
        </w:rPr>
        <w:t>; Van Praag &amp; Van Aelst, 2010</w:t>
      </w:r>
      <w:r w:rsidR="00567313">
        <w:rPr>
          <w:lang w:val="en-US" w:eastAsia="nl-NL"/>
        </w:rPr>
        <w:t>)</w:t>
      </w:r>
      <w:r>
        <w:rPr>
          <w:lang w:val="en-US" w:eastAsia="nl-NL"/>
        </w:rPr>
        <w:t>. Additionally, plurality in opinions is a given in these elections: competition both within and across parties can be expected. Politicians are expected to strive to uphold both their personal image, as well as that of their party. The tone of the campaign does not necessarily have to be formal, but can also appeal on emotion instead.</w:t>
      </w:r>
    </w:p>
    <w:p w14:paraId="467893C0" w14:textId="0DDC01C0" w:rsidR="00E02154" w:rsidRPr="00A81153" w:rsidRDefault="00835D2E" w:rsidP="00E02154">
      <w:pPr>
        <w:pStyle w:val="Kop3"/>
        <w:rPr>
          <w:rFonts w:eastAsia="Times New Roman"/>
          <w:color w:val="auto"/>
          <w:u w:val="single"/>
          <w:lang w:val="en-US" w:eastAsia="nl-NL"/>
        </w:rPr>
      </w:pPr>
      <w:bookmarkStart w:id="32" w:name="_Toc48891295"/>
      <w:r w:rsidRPr="00A81153">
        <w:rPr>
          <w:rFonts w:eastAsia="Times New Roman"/>
          <w:color w:val="auto"/>
          <w:u w:val="single"/>
          <w:lang w:val="en-US" w:eastAsia="nl-NL"/>
        </w:rPr>
        <w:t>3.4</w:t>
      </w:r>
      <w:r w:rsidR="00E02154" w:rsidRPr="00A81153">
        <w:rPr>
          <w:rFonts w:eastAsia="Times New Roman"/>
          <w:color w:val="auto"/>
          <w:u w:val="single"/>
          <w:lang w:val="en-US" w:eastAsia="nl-NL"/>
        </w:rPr>
        <w:t>.3 Cultural rationales</w:t>
      </w:r>
      <w:bookmarkEnd w:id="32"/>
    </w:p>
    <w:p w14:paraId="7645B416" w14:textId="56B5B09A" w:rsidR="00E02154" w:rsidRDefault="00E02154" w:rsidP="004072C1">
      <w:pPr>
        <w:jc w:val="both"/>
        <w:rPr>
          <w:lang w:val="en-US" w:eastAsia="nl-NL"/>
        </w:rPr>
      </w:pPr>
      <w:r>
        <w:rPr>
          <w:lang w:val="en-US" w:eastAsia="nl-NL"/>
        </w:rPr>
        <w:t xml:space="preserve">Hypothesis </w:t>
      </w:r>
      <w:r w:rsidR="00E05EEE">
        <w:rPr>
          <w:lang w:val="en-US" w:eastAsia="nl-NL"/>
        </w:rPr>
        <w:t>four</w:t>
      </w:r>
      <w:r>
        <w:rPr>
          <w:lang w:val="en-US" w:eastAsia="nl-NL"/>
        </w:rPr>
        <w:t xml:space="preserve"> predicted that ritualistic notions shared by bureaucratic actors on policy issues and how to deal with them would increase the likeliness distorted views of the policy issue and influence the paths of actions considered by decision-makers. In the case of the 2005 governmental campaign, two such cultural rationales are expected: a ritualistic discourse on European integration and a ritualistic norm of </w:t>
      </w:r>
      <w:r w:rsidR="0079079B">
        <w:rPr>
          <w:lang w:val="en-US" w:eastAsia="nl-NL"/>
        </w:rPr>
        <w:t>modesty.</w:t>
      </w:r>
    </w:p>
    <w:p w14:paraId="0178B7ED" w14:textId="5C219582" w:rsidR="00E02154" w:rsidRDefault="00E02154" w:rsidP="004072C1">
      <w:pPr>
        <w:jc w:val="both"/>
        <w:rPr>
          <w:lang w:val="en-US" w:eastAsia="nl-NL"/>
        </w:rPr>
      </w:pPr>
      <w:r>
        <w:rPr>
          <w:lang w:val="en-US" w:eastAsia="nl-NL"/>
        </w:rPr>
        <w:t>Firstly, bureaucratic actors are expected to stick to a shared discourse on European integration, emphasizing the peace, prosperity, and unity that the EU supposedly brings. This discourse</w:t>
      </w:r>
      <w:r w:rsidR="003675E9">
        <w:rPr>
          <w:lang w:val="en-US" w:eastAsia="nl-NL"/>
        </w:rPr>
        <w:t xml:space="preserve"> is related to the EU motto “united in diversity employed since 2000, and</w:t>
      </w:r>
      <w:r>
        <w:rPr>
          <w:lang w:val="en-US" w:eastAsia="nl-NL"/>
        </w:rPr>
        <w:t xml:space="preserve"> is expected to be similar among civil servants and politicians</w:t>
      </w:r>
      <w:r w:rsidR="003675E9">
        <w:rPr>
          <w:lang w:val="en-US" w:eastAsia="nl-NL"/>
        </w:rPr>
        <w:t xml:space="preserve"> (European Union, n.d.)</w:t>
      </w:r>
      <w:r>
        <w:rPr>
          <w:lang w:val="en-US" w:eastAsia="nl-NL"/>
        </w:rPr>
        <w:t>. It is expected that alternative strategies making use of different discourses were not seriously considered, and that campaigning opponents using different discourses were not taken seriously.</w:t>
      </w:r>
    </w:p>
    <w:p w14:paraId="09823A12" w14:textId="0AC2B153" w:rsidR="00A74A27" w:rsidRPr="00531012" w:rsidRDefault="00E02154" w:rsidP="004072C1">
      <w:pPr>
        <w:jc w:val="both"/>
        <w:rPr>
          <w:lang w:val="en-US" w:eastAsia="nl-NL"/>
        </w:rPr>
      </w:pPr>
      <w:r>
        <w:rPr>
          <w:lang w:val="en-US" w:eastAsia="nl-NL"/>
        </w:rPr>
        <w:t xml:space="preserve">Secondly, the government is expected to adhere to the value of </w:t>
      </w:r>
      <w:r w:rsidR="001B7424">
        <w:rPr>
          <w:lang w:val="en-US" w:eastAsia="nl-NL"/>
        </w:rPr>
        <w:t>modesty</w:t>
      </w:r>
      <w:r>
        <w:rPr>
          <w:lang w:val="en-US" w:eastAsia="nl-NL"/>
        </w:rPr>
        <w:t>.</w:t>
      </w:r>
      <w:r w:rsidR="0079079B">
        <w:rPr>
          <w:lang w:val="en-US" w:eastAsia="nl-NL"/>
        </w:rPr>
        <w:t xml:space="preserve"> Fully aware that they are spending the “hard-earned pennies” of Dutch citizens</w:t>
      </w:r>
      <w:r w:rsidR="005C1AC4">
        <w:rPr>
          <w:lang w:val="en-US" w:eastAsia="nl-NL"/>
        </w:rPr>
        <w:t xml:space="preserve"> on a politically decisive topic</w:t>
      </w:r>
      <w:r w:rsidR="0079079B">
        <w:rPr>
          <w:lang w:val="en-US" w:eastAsia="nl-NL"/>
        </w:rPr>
        <w:t xml:space="preserve">, bureaucrats are expected to </w:t>
      </w:r>
      <w:r w:rsidR="00823F98">
        <w:rPr>
          <w:lang w:val="en-US" w:eastAsia="nl-NL"/>
        </w:rPr>
        <w:t>refrain from large-scale campaigns and be wary of inappropriate</w:t>
      </w:r>
      <w:r w:rsidR="00E41202">
        <w:rPr>
          <w:lang w:val="en-US" w:eastAsia="nl-NL"/>
        </w:rPr>
        <w:t>ly</w:t>
      </w:r>
      <w:r w:rsidR="00823F98">
        <w:rPr>
          <w:lang w:val="en-US" w:eastAsia="nl-NL"/>
        </w:rPr>
        <w:t xml:space="preserve"> </w:t>
      </w:r>
      <w:r w:rsidR="00C11372">
        <w:rPr>
          <w:lang w:val="en-US" w:eastAsia="nl-NL"/>
        </w:rPr>
        <w:t>extravagant spending. This mean</w:t>
      </w:r>
      <w:r w:rsidR="00FB1F2B">
        <w:rPr>
          <w:lang w:val="en-US" w:eastAsia="nl-NL"/>
        </w:rPr>
        <w:t>s</w:t>
      </w:r>
      <w:r w:rsidR="00C11372">
        <w:rPr>
          <w:lang w:val="en-US" w:eastAsia="nl-NL"/>
        </w:rPr>
        <w:t xml:space="preserve"> that b</w:t>
      </w:r>
      <w:r w:rsidR="008F3837">
        <w:rPr>
          <w:lang w:val="en-US" w:eastAsia="nl-NL"/>
        </w:rPr>
        <w:t xml:space="preserve">ureaucratic actors </w:t>
      </w:r>
      <w:r>
        <w:rPr>
          <w:lang w:val="en-US" w:eastAsia="nl-NL"/>
        </w:rPr>
        <w:t xml:space="preserve">will strive for modest budgets </w:t>
      </w:r>
      <w:r w:rsidR="00FB1F2B">
        <w:rPr>
          <w:lang w:val="en-US" w:eastAsia="nl-NL"/>
        </w:rPr>
        <w:t xml:space="preserve">and campaigns </w:t>
      </w:r>
      <w:r>
        <w:rPr>
          <w:lang w:val="en-US" w:eastAsia="nl-NL"/>
        </w:rPr>
        <w:t xml:space="preserve">when subjects are politically divisive. It is expected that the campaign budgets and changes thereof will always be subjected to parliamentary scrutiny, whether required or not. Increases in campaign funding will only be carried out when democratic legitimacy is achieved through explicit parliamentary support. </w:t>
      </w:r>
    </w:p>
    <w:p w14:paraId="6294846D" w14:textId="76D89F3A" w:rsidR="007112FB" w:rsidRPr="00A81153" w:rsidRDefault="00835D2E" w:rsidP="007112FB">
      <w:pPr>
        <w:pStyle w:val="Kop2"/>
        <w:rPr>
          <w:color w:val="auto"/>
          <w:lang w:val="en-US"/>
        </w:rPr>
      </w:pPr>
      <w:bookmarkStart w:id="33" w:name="_Toc48891296"/>
      <w:r w:rsidRPr="00A81153">
        <w:rPr>
          <w:color w:val="auto"/>
          <w:lang w:val="en-US"/>
        </w:rPr>
        <w:t>3.5</w:t>
      </w:r>
      <w:r w:rsidR="007112FB" w:rsidRPr="00A81153">
        <w:rPr>
          <w:color w:val="auto"/>
          <w:lang w:val="en-US"/>
        </w:rPr>
        <w:t xml:space="preserve"> Data collection</w:t>
      </w:r>
      <w:bookmarkEnd w:id="33"/>
    </w:p>
    <w:p w14:paraId="023B8504" w14:textId="5E53ACDB" w:rsidR="00F65205" w:rsidRDefault="006C3175" w:rsidP="00164FAE">
      <w:pPr>
        <w:jc w:val="both"/>
        <w:rPr>
          <w:lang w:val="en-US"/>
        </w:rPr>
      </w:pPr>
      <w:r>
        <w:rPr>
          <w:lang w:val="en-US"/>
        </w:rPr>
        <w:t>In-depth case studies require a substantive amount of high-quality data</w:t>
      </w:r>
      <w:r w:rsidR="00C43FF4">
        <w:rPr>
          <w:lang w:val="en-US"/>
        </w:rPr>
        <w:t>. Using a qualitative approach, this study analyzes primary and secondary sources to establish whether the expected empirical manifestations of the causal model were present in case of the</w:t>
      </w:r>
      <w:r>
        <w:rPr>
          <w:lang w:val="en-US"/>
        </w:rPr>
        <w:t xml:space="preserve"> decision-making by the Taskforce </w:t>
      </w:r>
      <w:r w:rsidR="00766550">
        <w:rPr>
          <w:lang w:val="en-US"/>
        </w:rPr>
        <w:t xml:space="preserve">Referendum [TFR] </w:t>
      </w:r>
      <w:r>
        <w:rPr>
          <w:lang w:val="en-US"/>
        </w:rPr>
        <w:t>and Political Control Group</w:t>
      </w:r>
      <w:r w:rsidR="00766550">
        <w:rPr>
          <w:lang w:val="en-US"/>
        </w:rPr>
        <w:t xml:space="preserve"> [PCG]</w:t>
      </w:r>
      <w:r>
        <w:rPr>
          <w:lang w:val="en-US"/>
        </w:rPr>
        <w:t xml:space="preserve"> in the</w:t>
      </w:r>
      <w:r w:rsidR="00C43FF4">
        <w:rPr>
          <w:lang w:val="en-US"/>
        </w:rPr>
        <w:t xml:space="preserve"> campaign. These observations serve as evidence, increasing the reasonable confidence in the </w:t>
      </w:r>
      <w:r w:rsidR="009542A6">
        <w:rPr>
          <w:lang w:val="en-US"/>
        </w:rPr>
        <w:t>presence of the parts of the causal mechanism</w:t>
      </w:r>
      <w:r w:rsidR="00C43FF4">
        <w:rPr>
          <w:lang w:val="en-US"/>
        </w:rPr>
        <w:t>.</w:t>
      </w:r>
    </w:p>
    <w:p w14:paraId="49755A3C" w14:textId="7F299A6F" w:rsidR="00C43FF4" w:rsidRDefault="00C43FF4" w:rsidP="00164FAE">
      <w:pPr>
        <w:jc w:val="both"/>
        <w:rPr>
          <w:lang w:val="en-US"/>
        </w:rPr>
      </w:pPr>
      <w:r>
        <w:rPr>
          <w:lang w:val="en-US"/>
        </w:rPr>
        <w:t xml:space="preserve">The </w:t>
      </w:r>
      <w:r w:rsidR="00BF6384">
        <w:rPr>
          <w:lang w:val="en-US"/>
        </w:rPr>
        <w:t>main</w:t>
      </w:r>
      <w:r>
        <w:rPr>
          <w:lang w:val="en-US"/>
        </w:rPr>
        <w:t xml:space="preserve"> source of empirical information</w:t>
      </w:r>
      <w:r w:rsidR="009542A6">
        <w:rPr>
          <w:lang w:val="en-US"/>
        </w:rPr>
        <w:t xml:space="preserve"> for this study</w:t>
      </w:r>
      <w:r>
        <w:rPr>
          <w:lang w:val="en-US"/>
        </w:rPr>
        <w:t xml:space="preserve"> are twelve</w:t>
      </w:r>
      <w:r w:rsidR="009E1DB7">
        <w:rPr>
          <w:lang w:val="en-US"/>
        </w:rPr>
        <w:t xml:space="preserve"> semi-structured in-depth</w:t>
      </w:r>
      <w:r>
        <w:rPr>
          <w:lang w:val="en-US"/>
        </w:rPr>
        <w:t xml:space="preserve"> interviews conducted</w:t>
      </w:r>
      <w:r w:rsidR="009E1DB7">
        <w:rPr>
          <w:lang w:val="en-US"/>
        </w:rPr>
        <w:t xml:space="preserve"> by phone and videoconferencing</w:t>
      </w:r>
      <w:r w:rsidR="00841324">
        <w:rPr>
          <w:lang w:val="en-US"/>
        </w:rPr>
        <w:t xml:space="preserve"> with</w:t>
      </w:r>
      <w:r>
        <w:rPr>
          <w:lang w:val="en-US"/>
        </w:rPr>
        <w:t xml:space="preserve"> </w:t>
      </w:r>
      <w:r w:rsidR="00164FAE">
        <w:rPr>
          <w:lang w:val="en-US"/>
        </w:rPr>
        <w:t>members of the Taskforce</w:t>
      </w:r>
      <w:r w:rsidR="0098240A">
        <w:rPr>
          <w:lang w:val="en-US"/>
        </w:rPr>
        <w:t xml:space="preserve"> and Political Control Group, </w:t>
      </w:r>
      <w:r w:rsidR="00164FAE">
        <w:rPr>
          <w:lang w:val="en-US"/>
        </w:rPr>
        <w:t>informed</w:t>
      </w:r>
      <w:r>
        <w:rPr>
          <w:lang w:val="en-US"/>
        </w:rPr>
        <w:t xml:space="preserve"> </w:t>
      </w:r>
      <w:r w:rsidR="00164FAE">
        <w:rPr>
          <w:lang w:val="en-US"/>
        </w:rPr>
        <w:t>outsiders who were closely involved with the campaign, and experts. The latter two categories include civil servants, parliamentarians, academics, and journalists. These are not primary sources, as they did not experience the decision-making process itself first-hand. However, the knowledge these people contribute is highly relevant</w:t>
      </w:r>
      <w:r w:rsidR="00E43552">
        <w:rPr>
          <w:lang w:val="en-US"/>
        </w:rPr>
        <w:t>, both in documenting the context of the campaign and posing a check to the findings of interviews with members of the Taskforce and Political Control Group.</w:t>
      </w:r>
      <w:r w:rsidR="00164FAE">
        <w:rPr>
          <w:lang w:val="en-US"/>
        </w:rPr>
        <w:t xml:space="preserve"> </w:t>
      </w:r>
      <w:r w:rsidR="00235B89">
        <w:rPr>
          <w:lang w:val="en-US"/>
        </w:rPr>
        <w:t>The list of</w:t>
      </w:r>
      <w:r w:rsidR="00FA19C1">
        <w:rPr>
          <w:lang w:val="en-US"/>
        </w:rPr>
        <w:t xml:space="preserve"> interviewees and the preliminary</w:t>
      </w:r>
      <w:r w:rsidR="00235B89">
        <w:rPr>
          <w:lang w:val="en-US"/>
        </w:rPr>
        <w:t xml:space="preserve"> questions presented to the interviewees</w:t>
      </w:r>
      <w:r w:rsidR="00FA19C1">
        <w:rPr>
          <w:lang w:val="en-US"/>
        </w:rPr>
        <w:t xml:space="preserve"> can be found in the appendix. T</w:t>
      </w:r>
      <w:r w:rsidR="00235B89">
        <w:rPr>
          <w:lang w:val="en-US"/>
        </w:rPr>
        <w:t xml:space="preserve">ranscripts and reports of the interviews are available </w:t>
      </w:r>
      <w:r w:rsidR="009E1DB7">
        <w:rPr>
          <w:lang w:val="en-US"/>
        </w:rPr>
        <w:t>upon request from the author.</w:t>
      </w:r>
      <w:r w:rsidR="00D97C19">
        <w:rPr>
          <w:lang w:val="en-US"/>
        </w:rPr>
        <w:t xml:space="preserve"> </w:t>
      </w:r>
      <w:r w:rsidR="00164FAE">
        <w:rPr>
          <w:lang w:val="en-US"/>
        </w:rPr>
        <w:t>Other sources used include</w:t>
      </w:r>
      <w:r w:rsidR="00D84514">
        <w:rPr>
          <w:lang w:val="en-US"/>
        </w:rPr>
        <w:t xml:space="preserve"> memoires, </w:t>
      </w:r>
      <w:r w:rsidR="00164FAE">
        <w:rPr>
          <w:lang w:val="en-US"/>
        </w:rPr>
        <w:t xml:space="preserve"> parliamentary papers, newspaper articles, </w:t>
      </w:r>
      <w:r w:rsidR="00BF6384">
        <w:rPr>
          <w:lang w:val="en-US"/>
        </w:rPr>
        <w:t>scientific reports on the campaign,</w:t>
      </w:r>
      <w:r w:rsidR="00E05EEE">
        <w:rPr>
          <w:lang w:val="en-US"/>
        </w:rPr>
        <w:t xml:space="preserve"> documentaries,</w:t>
      </w:r>
      <w:r w:rsidR="00BF6384">
        <w:rPr>
          <w:lang w:val="en-US"/>
        </w:rPr>
        <w:t xml:space="preserve"> </w:t>
      </w:r>
      <w:r w:rsidR="00164FAE">
        <w:rPr>
          <w:lang w:val="en-US"/>
        </w:rPr>
        <w:t>and</w:t>
      </w:r>
      <w:r w:rsidR="008F182C">
        <w:rPr>
          <w:lang w:val="en-US"/>
        </w:rPr>
        <w:t xml:space="preserve"> some internally drafted documents. </w:t>
      </w:r>
    </w:p>
    <w:p w14:paraId="34A76007" w14:textId="632620AB" w:rsidR="00A81153" w:rsidRDefault="00DF60F7" w:rsidP="00164FAE">
      <w:pPr>
        <w:jc w:val="both"/>
        <w:rPr>
          <w:lang w:val="en-US"/>
        </w:rPr>
      </w:pPr>
      <w:r>
        <w:rPr>
          <w:lang w:val="en-US"/>
        </w:rPr>
        <w:t>Interviews</w:t>
      </w:r>
      <w:r w:rsidR="00235B89">
        <w:rPr>
          <w:lang w:val="en-US"/>
        </w:rPr>
        <w:t xml:space="preserve"> can be great sources of empirical information, but should be treated with caution</w:t>
      </w:r>
      <w:r w:rsidR="001936F6">
        <w:rPr>
          <w:lang w:val="en-US"/>
        </w:rPr>
        <w:t xml:space="preserve"> with regards to their reliability</w:t>
      </w:r>
      <w:r w:rsidR="00235B89">
        <w:rPr>
          <w:lang w:val="en-US"/>
        </w:rPr>
        <w:t xml:space="preserve">. </w:t>
      </w:r>
      <w:r>
        <w:rPr>
          <w:lang w:val="en-US"/>
        </w:rPr>
        <w:t>They</w:t>
      </w:r>
      <w:r w:rsidR="009E1DB7">
        <w:rPr>
          <w:lang w:val="en-US"/>
        </w:rPr>
        <w:t xml:space="preserve"> are personal accounts of events that can be significantly impacted by flawed memory or retrospective self-aggrandizement. A</w:t>
      </w:r>
      <w:r w:rsidR="001936F6">
        <w:rPr>
          <w:lang w:val="en-US"/>
        </w:rPr>
        <w:t>dditionally, the events may have been placed within a larger schema of Euroscepticism or civilian discontent, w</w:t>
      </w:r>
      <w:r w:rsidR="00A1335C">
        <w:rPr>
          <w:lang w:val="en-US"/>
        </w:rPr>
        <w:t>hich can affect the interviewee</w:t>
      </w:r>
      <w:r w:rsidR="001936F6">
        <w:rPr>
          <w:lang w:val="en-US"/>
        </w:rPr>
        <w:t>s</w:t>
      </w:r>
      <w:r w:rsidR="00A1335C">
        <w:rPr>
          <w:lang w:val="en-US"/>
        </w:rPr>
        <w:t>’</w:t>
      </w:r>
      <w:r w:rsidR="001936F6">
        <w:rPr>
          <w:lang w:val="en-US"/>
        </w:rPr>
        <w:t xml:space="preserve"> recollection of them. </w:t>
      </w:r>
      <w:r w:rsidR="00BF6384">
        <w:rPr>
          <w:lang w:val="en-US"/>
        </w:rPr>
        <w:t>To deal with this problem,</w:t>
      </w:r>
      <w:r w:rsidR="00E56571">
        <w:rPr>
          <w:lang w:val="en-US"/>
        </w:rPr>
        <w:t xml:space="preserve"> data triangulation is applied. This means that multiple sources of information</w:t>
      </w:r>
      <w:r w:rsidR="00EC288A">
        <w:rPr>
          <w:lang w:val="en-US"/>
        </w:rPr>
        <w:t xml:space="preserve"> are used to establish empirical events that may serve as evidence for or against the</w:t>
      </w:r>
      <w:r w:rsidR="00BF6384">
        <w:rPr>
          <w:lang w:val="en-US"/>
        </w:rPr>
        <w:t xml:space="preserve"> presence of the</w:t>
      </w:r>
      <w:r w:rsidR="00EC288A">
        <w:rPr>
          <w:lang w:val="en-US"/>
        </w:rPr>
        <w:t xml:space="preserve"> causal mechanism (Shareia, 2016)</w:t>
      </w:r>
      <w:r w:rsidR="00E56571">
        <w:rPr>
          <w:lang w:val="en-US"/>
        </w:rPr>
        <w:t xml:space="preserve">. </w:t>
      </w:r>
    </w:p>
    <w:p w14:paraId="48C03EAD" w14:textId="77777777" w:rsidR="00A81153" w:rsidRDefault="00A81153">
      <w:pPr>
        <w:rPr>
          <w:lang w:val="en-US"/>
        </w:rPr>
      </w:pPr>
      <w:r>
        <w:rPr>
          <w:lang w:val="en-US"/>
        </w:rPr>
        <w:br w:type="page"/>
      </w:r>
    </w:p>
    <w:p w14:paraId="27EE8D4F" w14:textId="2DC04A61" w:rsidR="00E05EEE" w:rsidRPr="00E05EEE" w:rsidRDefault="00E05EEE" w:rsidP="00E05EEE">
      <w:pPr>
        <w:pStyle w:val="Bijschrift"/>
        <w:keepNext/>
        <w:rPr>
          <w:lang w:val="en-US"/>
        </w:rPr>
      </w:pPr>
    </w:p>
    <w:tbl>
      <w:tblPr>
        <w:tblStyle w:val="Onopgemaaktetabel2"/>
        <w:tblW w:w="0" w:type="auto"/>
        <w:tblLook w:val="04A0" w:firstRow="1" w:lastRow="0" w:firstColumn="1" w:lastColumn="0" w:noHBand="0" w:noVBand="1"/>
      </w:tblPr>
      <w:tblGrid>
        <w:gridCol w:w="1418"/>
        <w:gridCol w:w="1984"/>
        <w:gridCol w:w="5660"/>
      </w:tblGrid>
      <w:tr w:rsidR="00E05EEE" w:rsidRPr="008878CF" w14:paraId="7E775BC1" w14:textId="77777777" w:rsidTr="00A81153">
        <w:trPr>
          <w:cnfStyle w:val="100000000000" w:firstRow="1" w:lastRow="0" w:firstColumn="0" w:lastColumn="0" w:oddVBand="0" w:evenVBand="0" w:oddHBand="0" w:evenHBand="0" w:firstRowFirstColumn="0" w:firstRowLastColumn="0" w:lastRowFirstColumn="0" w:lastRowLastColumn="0"/>
          <w:cantSplit/>
          <w:trHeight w:val="699"/>
        </w:trPr>
        <w:tc>
          <w:tcPr>
            <w:cnfStyle w:val="001000000000" w:firstRow="0" w:lastRow="0" w:firstColumn="1" w:lastColumn="0" w:oddVBand="0" w:evenVBand="0" w:oddHBand="0" w:evenHBand="0" w:firstRowFirstColumn="0" w:firstRowLastColumn="0" w:lastRowFirstColumn="0" w:lastRowLastColumn="0"/>
            <w:tcW w:w="1418" w:type="dxa"/>
            <w:vMerge w:val="restart"/>
            <w:tcBorders>
              <w:top w:val="single" w:sz="4" w:space="0" w:color="7F7F7F" w:themeColor="text1" w:themeTint="80"/>
              <w:right w:val="nil"/>
            </w:tcBorders>
            <w:shd w:val="clear" w:color="auto" w:fill="AEAAAA" w:themeFill="background2" w:themeFillShade="BF"/>
          </w:tcPr>
          <w:p w14:paraId="16838499" w14:textId="77777777" w:rsidR="00E05EEE" w:rsidRDefault="00E05EEE" w:rsidP="00E05EEE">
            <w:r>
              <w:t>Bureaucratic roles</w:t>
            </w:r>
          </w:p>
        </w:tc>
        <w:tc>
          <w:tcPr>
            <w:tcW w:w="1984" w:type="dxa"/>
            <w:vMerge w:val="restart"/>
            <w:tcBorders>
              <w:top w:val="single" w:sz="4" w:space="0" w:color="7F7F7F" w:themeColor="text1" w:themeTint="80"/>
              <w:left w:val="nil"/>
              <w:right w:val="nil"/>
            </w:tcBorders>
            <w:shd w:val="clear" w:color="auto" w:fill="E7E6E6" w:themeFill="background2"/>
          </w:tcPr>
          <w:p w14:paraId="4E82B115" w14:textId="77777777" w:rsidR="00E05EEE" w:rsidRPr="00816C49" w:rsidRDefault="00E05EEE" w:rsidP="00E05EEE">
            <w:pPr>
              <w:cnfStyle w:val="100000000000" w:firstRow="1" w:lastRow="0" w:firstColumn="0" w:lastColumn="0" w:oddVBand="0" w:evenVBand="0" w:oddHBand="0" w:evenHBand="0" w:firstRowFirstColumn="0" w:firstRowLastColumn="0" w:lastRowFirstColumn="0" w:lastRowLastColumn="0"/>
              <w:rPr>
                <w:b w:val="0"/>
              </w:rPr>
            </w:pPr>
            <w:r w:rsidRPr="00816C49">
              <w:rPr>
                <w:b w:val="0"/>
              </w:rPr>
              <w:t xml:space="preserve">Self-preservation </w:t>
            </w:r>
          </w:p>
        </w:tc>
        <w:tc>
          <w:tcPr>
            <w:tcW w:w="5660" w:type="dxa"/>
            <w:tcBorders>
              <w:top w:val="single" w:sz="4" w:space="0" w:color="7F7F7F" w:themeColor="text1" w:themeTint="80"/>
              <w:left w:val="nil"/>
              <w:bottom w:val="nil"/>
            </w:tcBorders>
            <w:shd w:val="clear" w:color="auto" w:fill="E7E6E6" w:themeFill="background2"/>
          </w:tcPr>
          <w:p w14:paraId="06D041C2" w14:textId="77777777" w:rsidR="00E05EEE" w:rsidRPr="00816C49" w:rsidRDefault="00E05EEE" w:rsidP="00E05EEE">
            <w:pPr>
              <w:pStyle w:val="Lijstalinea"/>
              <w:numPr>
                <w:ilvl w:val="0"/>
                <w:numId w:val="7"/>
              </w:numPr>
              <w:cnfStyle w:val="100000000000" w:firstRow="1" w:lastRow="0" w:firstColumn="0" w:lastColumn="0" w:oddVBand="0" w:evenVBand="0" w:oddHBand="0" w:evenHBand="0" w:firstRowFirstColumn="0" w:firstRowLastColumn="0" w:lastRowFirstColumn="0" w:lastRowLastColumn="0"/>
              <w:rPr>
                <w:b w:val="0"/>
                <w:bCs w:val="0"/>
                <w:lang w:val="en-US"/>
              </w:rPr>
            </w:pPr>
            <w:r w:rsidRPr="523D1F2B">
              <w:rPr>
                <w:b w:val="0"/>
                <w:bCs w:val="0"/>
                <w:u w:val="single"/>
                <w:lang w:val="en-US"/>
              </w:rPr>
              <w:t>Political actors</w:t>
            </w:r>
            <w:r w:rsidRPr="523D1F2B">
              <w:rPr>
                <w:b w:val="0"/>
                <w:bCs w:val="0"/>
                <w:lang w:val="en-US"/>
              </w:rPr>
              <w:t>: pursue or avoid association based on risk assessment.</w:t>
            </w:r>
          </w:p>
        </w:tc>
      </w:tr>
      <w:tr w:rsidR="00E05EEE" w:rsidRPr="008878CF" w14:paraId="01585444" w14:textId="77777777" w:rsidTr="00A81153">
        <w:trPr>
          <w:cnfStyle w:val="000000100000" w:firstRow="0" w:lastRow="0" w:firstColumn="0" w:lastColumn="0" w:oddVBand="0" w:evenVBand="0" w:oddHBand="1" w:evenHBand="0" w:firstRowFirstColumn="0" w:firstRowLastColumn="0" w:lastRowFirstColumn="0" w:lastRowLastColumn="0"/>
          <w:cantSplit/>
          <w:trHeight w:val="704"/>
        </w:trPr>
        <w:tc>
          <w:tcPr>
            <w:cnfStyle w:val="001000000000" w:firstRow="0" w:lastRow="0" w:firstColumn="1" w:lastColumn="0" w:oddVBand="0" w:evenVBand="0" w:oddHBand="0" w:evenHBand="0" w:firstRowFirstColumn="0" w:firstRowLastColumn="0" w:lastRowFirstColumn="0" w:lastRowLastColumn="0"/>
            <w:tcW w:w="1418" w:type="dxa"/>
            <w:vMerge/>
            <w:tcBorders>
              <w:right w:val="nil"/>
            </w:tcBorders>
          </w:tcPr>
          <w:p w14:paraId="440808BA" w14:textId="77777777" w:rsidR="00E05EEE" w:rsidRPr="00816C49" w:rsidRDefault="00E05EEE" w:rsidP="00E05EEE">
            <w:pPr>
              <w:rPr>
                <w:lang w:val="en-US"/>
              </w:rPr>
            </w:pPr>
          </w:p>
        </w:tc>
        <w:tc>
          <w:tcPr>
            <w:tcW w:w="1984" w:type="dxa"/>
            <w:vMerge/>
            <w:tcBorders>
              <w:left w:val="nil"/>
            </w:tcBorders>
          </w:tcPr>
          <w:p w14:paraId="0343AD1A" w14:textId="77777777" w:rsidR="00E05EEE" w:rsidRPr="00816C49" w:rsidRDefault="00E05EEE" w:rsidP="00E05EEE">
            <w:pPr>
              <w:cnfStyle w:val="000000100000" w:firstRow="0" w:lastRow="0" w:firstColumn="0" w:lastColumn="0" w:oddVBand="0" w:evenVBand="0" w:oddHBand="1" w:evenHBand="0" w:firstRowFirstColumn="0" w:firstRowLastColumn="0" w:lastRowFirstColumn="0" w:lastRowLastColumn="0"/>
              <w:rPr>
                <w:b/>
                <w:lang w:val="en-US"/>
              </w:rPr>
            </w:pPr>
          </w:p>
        </w:tc>
        <w:tc>
          <w:tcPr>
            <w:tcW w:w="5660" w:type="dxa"/>
            <w:tcBorders>
              <w:top w:val="nil"/>
              <w:left w:val="nil"/>
              <w:bottom w:val="single" w:sz="4" w:space="0" w:color="auto"/>
            </w:tcBorders>
            <w:shd w:val="clear" w:color="auto" w:fill="E7E6E6" w:themeFill="background2"/>
          </w:tcPr>
          <w:p w14:paraId="565476A4" w14:textId="77777777" w:rsidR="00E05EEE" w:rsidRPr="00816C49" w:rsidRDefault="00E05EEE" w:rsidP="00E05EEE">
            <w:pPr>
              <w:pStyle w:val="Lijstalinea"/>
              <w:numPr>
                <w:ilvl w:val="0"/>
                <w:numId w:val="7"/>
              </w:numPr>
              <w:cnfStyle w:val="000000100000" w:firstRow="0" w:lastRow="0" w:firstColumn="0" w:lastColumn="0" w:oddVBand="0" w:evenVBand="0" w:oddHBand="1" w:evenHBand="0" w:firstRowFirstColumn="0" w:firstRowLastColumn="0" w:lastRowFirstColumn="0" w:lastRowLastColumn="0"/>
              <w:rPr>
                <w:u w:val="single"/>
                <w:lang w:val="en-US"/>
              </w:rPr>
            </w:pPr>
            <w:r w:rsidRPr="523D1F2B">
              <w:rPr>
                <w:u w:val="single"/>
                <w:lang w:val="en-US"/>
              </w:rPr>
              <w:t>Civil service</w:t>
            </w:r>
            <w:r w:rsidRPr="523D1F2B">
              <w:rPr>
                <w:lang w:val="en-US"/>
              </w:rPr>
              <w:t>: focus on procedures, pursue feedback of superiors, anticipation of superior demands.</w:t>
            </w:r>
          </w:p>
        </w:tc>
      </w:tr>
      <w:tr w:rsidR="00E05EEE" w:rsidRPr="000D1132" w14:paraId="6F029E07" w14:textId="77777777" w:rsidTr="00A81153">
        <w:trPr>
          <w:cantSplit/>
          <w:trHeight w:val="859"/>
        </w:trPr>
        <w:tc>
          <w:tcPr>
            <w:cnfStyle w:val="001000000000" w:firstRow="0" w:lastRow="0" w:firstColumn="1" w:lastColumn="0" w:oddVBand="0" w:evenVBand="0" w:oddHBand="0" w:evenHBand="0" w:firstRowFirstColumn="0" w:firstRowLastColumn="0" w:lastRowFirstColumn="0" w:lastRowLastColumn="0"/>
            <w:tcW w:w="1418" w:type="dxa"/>
            <w:vMerge/>
            <w:tcBorders>
              <w:right w:val="nil"/>
            </w:tcBorders>
          </w:tcPr>
          <w:p w14:paraId="34A56149" w14:textId="77777777" w:rsidR="00E05EEE" w:rsidRPr="000D1132" w:rsidRDefault="00E05EEE" w:rsidP="00E05EEE">
            <w:pPr>
              <w:rPr>
                <w:lang w:val="en-US"/>
              </w:rPr>
            </w:pPr>
          </w:p>
        </w:tc>
        <w:tc>
          <w:tcPr>
            <w:tcW w:w="1984" w:type="dxa"/>
            <w:vMerge w:val="restart"/>
            <w:tcBorders>
              <w:top w:val="single" w:sz="4" w:space="0" w:color="7F7F7F" w:themeColor="text1" w:themeTint="80"/>
              <w:left w:val="nil"/>
              <w:bottom w:val="single" w:sz="4" w:space="0" w:color="7F7F7F" w:themeColor="text1" w:themeTint="80"/>
              <w:right w:val="nil"/>
            </w:tcBorders>
            <w:shd w:val="clear" w:color="auto" w:fill="FFFFFF" w:themeFill="background1"/>
          </w:tcPr>
          <w:p w14:paraId="47920A48" w14:textId="77777777" w:rsidR="00E05EEE" w:rsidRDefault="00E05EEE" w:rsidP="00E05EEE">
            <w:pPr>
              <w:cnfStyle w:val="000000000000" w:firstRow="0" w:lastRow="0" w:firstColumn="0" w:lastColumn="0" w:oddVBand="0" w:evenVBand="0" w:oddHBand="0" w:evenHBand="0" w:firstRowFirstColumn="0" w:firstRowLastColumn="0" w:lastRowFirstColumn="0" w:lastRowLastColumn="0"/>
            </w:pPr>
            <w:r>
              <w:t>Subservient civil service</w:t>
            </w:r>
          </w:p>
        </w:tc>
        <w:tc>
          <w:tcPr>
            <w:tcW w:w="5660" w:type="dxa"/>
            <w:tcBorders>
              <w:top w:val="single" w:sz="4" w:space="0" w:color="auto"/>
              <w:left w:val="nil"/>
              <w:bottom w:val="nil"/>
            </w:tcBorders>
            <w:shd w:val="clear" w:color="auto" w:fill="FFFFFF" w:themeFill="background1"/>
          </w:tcPr>
          <w:p w14:paraId="48A14C8D" w14:textId="77777777" w:rsidR="00E05EEE" w:rsidRPr="00816C49" w:rsidRDefault="00E05EEE" w:rsidP="00E05EEE">
            <w:pPr>
              <w:pStyle w:val="Lijstalinea"/>
              <w:numPr>
                <w:ilvl w:val="0"/>
                <w:numId w:val="6"/>
              </w:numPr>
              <w:cnfStyle w:val="000000000000" w:firstRow="0" w:lastRow="0" w:firstColumn="0" w:lastColumn="0" w:oddVBand="0" w:evenVBand="0" w:oddHBand="0" w:evenHBand="0" w:firstRowFirstColumn="0" w:firstRowLastColumn="0" w:lastRowFirstColumn="0" w:lastRowLastColumn="0"/>
            </w:pPr>
            <w:r w:rsidRPr="523D1F2B">
              <w:rPr>
                <w:u w:val="single"/>
              </w:rPr>
              <w:t>Political actors</w:t>
            </w:r>
            <w:r>
              <w:t>: accept critique before consensus, disregard critique after consensus.</w:t>
            </w:r>
          </w:p>
        </w:tc>
      </w:tr>
      <w:tr w:rsidR="00E05EEE" w:rsidRPr="008878CF" w14:paraId="0CEDBA1F" w14:textId="77777777" w:rsidTr="00A81153">
        <w:trPr>
          <w:cnfStyle w:val="000000100000" w:firstRow="0" w:lastRow="0" w:firstColumn="0" w:lastColumn="0" w:oddVBand="0" w:evenVBand="0" w:oddHBand="1" w:evenHBand="0" w:firstRowFirstColumn="0" w:firstRowLastColumn="0" w:lastRowFirstColumn="0" w:lastRowLastColumn="0"/>
          <w:cantSplit/>
          <w:trHeight w:val="841"/>
        </w:trPr>
        <w:tc>
          <w:tcPr>
            <w:cnfStyle w:val="001000000000" w:firstRow="0" w:lastRow="0" w:firstColumn="1" w:lastColumn="0" w:oddVBand="0" w:evenVBand="0" w:oddHBand="0" w:evenHBand="0" w:firstRowFirstColumn="0" w:firstRowLastColumn="0" w:lastRowFirstColumn="0" w:lastRowLastColumn="0"/>
            <w:tcW w:w="1418" w:type="dxa"/>
            <w:vMerge/>
            <w:tcBorders>
              <w:right w:val="nil"/>
            </w:tcBorders>
          </w:tcPr>
          <w:p w14:paraId="52756675" w14:textId="77777777" w:rsidR="00E05EEE" w:rsidRPr="000D1132" w:rsidRDefault="00E05EEE" w:rsidP="00E05EEE">
            <w:pPr>
              <w:rPr>
                <w:lang w:val="en-US"/>
              </w:rPr>
            </w:pPr>
          </w:p>
        </w:tc>
        <w:tc>
          <w:tcPr>
            <w:tcW w:w="1984" w:type="dxa"/>
            <w:vMerge/>
            <w:tcBorders>
              <w:left w:val="nil"/>
            </w:tcBorders>
          </w:tcPr>
          <w:p w14:paraId="7CE87057" w14:textId="77777777" w:rsidR="00E05EEE" w:rsidRPr="00816C49" w:rsidRDefault="00E05EEE" w:rsidP="00E05EEE">
            <w:pPr>
              <w:cnfStyle w:val="000000100000" w:firstRow="0" w:lastRow="0" w:firstColumn="0" w:lastColumn="0" w:oddVBand="0" w:evenVBand="0" w:oddHBand="1" w:evenHBand="0" w:firstRowFirstColumn="0" w:firstRowLastColumn="0" w:lastRowFirstColumn="0" w:lastRowLastColumn="0"/>
              <w:rPr>
                <w:lang w:val="en-US"/>
              </w:rPr>
            </w:pPr>
          </w:p>
        </w:tc>
        <w:tc>
          <w:tcPr>
            <w:tcW w:w="5660" w:type="dxa"/>
            <w:tcBorders>
              <w:top w:val="nil"/>
              <w:left w:val="nil"/>
              <w:bottom w:val="nil"/>
            </w:tcBorders>
            <w:shd w:val="clear" w:color="auto" w:fill="FFFFFF" w:themeFill="background1"/>
          </w:tcPr>
          <w:p w14:paraId="7C2AB1A3" w14:textId="77777777" w:rsidR="00E05EEE" w:rsidRPr="00816C49" w:rsidRDefault="00E05EEE" w:rsidP="00E05EEE">
            <w:pPr>
              <w:pStyle w:val="Lijstalinea"/>
              <w:numPr>
                <w:ilvl w:val="0"/>
                <w:numId w:val="6"/>
              </w:numPr>
              <w:cnfStyle w:val="000000100000" w:firstRow="0" w:lastRow="0" w:firstColumn="0" w:lastColumn="0" w:oddVBand="0" w:evenVBand="0" w:oddHBand="1" w:evenHBand="0" w:firstRowFirstColumn="0" w:firstRowLastColumn="0" w:lastRowFirstColumn="0" w:lastRowLastColumn="0"/>
              <w:rPr>
                <w:lang w:val="fr-FR"/>
              </w:rPr>
            </w:pPr>
            <w:r w:rsidRPr="523D1F2B">
              <w:rPr>
                <w:u w:val="single"/>
                <w:lang w:val="fr-FR"/>
              </w:rPr>
              <w:t>Civil service</w:t>
            </w:r>
            <w:r w:rsidRPr="523D1F2B">
              <w:rPr>
                <w:lang w:val="fr-FR"/>
              </w:rPr>
              <w:t>: Provides critique before consensus, limits critique after consensus.</w:t>
            </w:r>
          </w:p>
        </w:tc>
      </w:tr>
      <w:tr w:rsidR="00E05EEE" w:rsidRPr="008878CF" w14:paraId="48137FDB" w14:textId="77777777" w:rsidTr="00A81153">
        <w:trPr>
          <w:cantSplit/>
          <w:trHeight w:val="1249"/>
        </w:trPr>
        <w:tc>
          <w:tcPr>
            <w:cnfStyle w:val="001000000000" w:firstRow="0" w:lastRow="0" w:firstColumn="1" w:lastColumn="0" w:oddVBand="0" w:evenVBand="0" w:oddHBand="0" w:evenHBand="0" w:firstRowFirstColumn="0" w:firstRowLastColumn="0" w:lastRowFirstColumn="0" w:lastRowLastColumn="0"/>
            <w:tcW w:w="1418" w:type="dxa"/>
            <w:vMerge/>
            <w:tcBorders>
              <w:right w:val="nil"/>
            </w:tcBorders>
          </w:tcPr>
          <w:p w14:paraId="1709ED23" w14:textId="77777777" w:rsidR="00E05EEE" w:rsidRPr="00816C49" w:rsidRDefault="00E05EEE" w:rsidP="00E05EEE">
            <w:pPr>
              <w:rPr>
                <w:lang w:val="fr-FR"/>
              </w:rPr>
            </w:pPr>
          </w:p>
        </w:tc>
        <w:tc>
          <w:tcPr>
            <w:tcW w:w="1984" w:type="dxa"/>
            <w:vMerge/>
            <w:tcBorders>
              <w:top w:val="single" w:sz="4" w:space="0" w:color="7F7F7F" w:themeColor="text1" w:themeTint="80"/>
              <w:left w:val="nil"/>
              <w:bottom w:val="single" w:sz="4" w:space="0" w:color="7F7F7F" w:themeColor="text1" w:themeTint="80"/>
            </w:tcBorders>
          </w:tcPr>
          <w:p w14:paraId="72DB2231" w14:textId="77777777" w:rsidR="00E05EEE" w:rsidRPr="00816C49" w:rsidRDefault="00E05EEE" w:rsidP="00E05EEE">
            <w:pPr>
              <w:cnfStyle w:val="000000000000" w:firstRow="0" w:lastRow="0" w:firstColumn="0" w:lastColumn="0" w:oddVBand="0" w:evenVBand="0" w:oddHBand="0" w:evenHBand="0" w:firstRowFirstColumn="0" w:firstRowLastColumn="0" w:lastRowFirstColumn="0" w:lastRowLastColumn="0"/>
              <w:rPr>
                <w:lang w:val="fr-FR"/>
              </w:rPr>
            </w:pPr>
          </w:p>
        </w:tc>
        <w:tc>
          <w:tcPr>
            <w:tcW w:w="5660" w:type="dxa"/>
            <w:tcBorders>
              <w:top w:val="nil"/>
              <w:left w:val="nil"/>
              <w:bottom w:val="single" w:sz="4" w:space="0" w:color="7F7F7F" w:themeColor="text1" w:themeTint="80"/>
            </w:tcBorders>
            <w:shd w:val="clear" w:color="auto" w:fill="FFFFFF" w:themeFill="background1"/>
          </w:tcPr>
          <w:p w14:paraId="5BBBA0C5" w14:textId="77777777" w:rsidR="00E05EEE" w:rsidRPr="00816C49" w:rsidRDefault="00E05EEE" w:rsidP="00E05EEE">
            <w:pPr>
              <w:pStyle w:val="Lijstalinea"/>
              <w:numPr>
                <w:ilvl w:val="0"/>
                <w:numId w:val="6"/>
              </w:numPr>
              <w:cnfStyle w:val="000000000000" w:firstRow="0" w:lastRow="0" w:firstColumn="0" w:lastColumn="0" w:oddVBand="0" w:evenVBand="0" w:oddHBand="0" w:evenHBand="0" w:firstRowFirstColumn="0" w:firstRowLastColumn="0" w:lastRowFirstColumn="0" w:lastRowLastColumn="0"/>
              <w:rPr>
                <w:u w:val="single"/>
                <w:lang w:val="en-US"/>
              </w:rPr>
            </w:pPr>
            <w:r w:rsidRPr="523D1F2B">
              <w:rPr>
                <w:u w:val="single"/>
                <w:lang w:val="en-US"/>
              </w:rPr>
              <w:t>Civil service</w:t>
            </w:r>
            <w:r w:rsidRPr="523D1F2B">
              <w:rPr>
                <w:lang w:val="en-US"/>
              </w:rPr>
              <w:t>: proliferate neutrality, feel that political statements are inappropriate for them, accumulate large amounts of data and differing views to strive for objectivity.</w:t>
            </w:r>
          </w:p>
        </w:tc>
      </w:tr>
      <w:tr w:rsidR="00E05EEE" w:rsidRPr="008878CF" w14:paraId="594736F7" w14:textId="77777777" w:rsidTr="00A81153">
        <w:trPr>
          <w:cnfStyle w:val="000000100000" w:firstRow="0" w:lastRow="0" w:firstColumn="0" w:lastColumn="0" w:oddVBand="0" w:evenVBand="0" w:oddHBand="1" w:evenHBand="0" w:firstRowFirstColumn="0" w:firstRowLastColumn="0" w:lastRowFirstColumn="0" w:lastRowLastColumn="0"/>
          <w:cantSplit/>
          <w:trHeight w:val="1111"/>
        </w:trPr>
        <w:tc>
          <w:tcPr>
            <w:cnfStyle w:val="001000000000" w:firstRow="0" w:lastRow="0" w:firstColumn="1" w:lastColumn="0" w:oddVBand="0" w:evenVBand="0" w:oddHBand="0" w:evenHBand="0" w:firstRowFirstColumn="0" w:firstRowLastColumn="0" w:lastRowFirstColumn="0" w:lastRowLastColumn="0"/>
            <w:tcW w:w="1418" w:type="dxa"/>
            <w:vMerge w:val="restart"/>
            <w:tcBorders>
              <w:right w:val="nil"/>
            </w:tcBorders>
            <w:shd w:val="clear" w:color="auto" w:fill="AEAAAA" w:themeFill="background2" w:themeFillShade="BF"/>
          </w:tcPr>
          <w:p w14:paraId="2F1CC9AE" w14:textId="77777777" w:rsidR="00E05EEE" w:rsidRPr="000D1132" w:rsidRDefault="00E05EEE" w:rsidP="00E05EEE">
            <w:pPr>
              <w:rPr>
                <w:lang w:val="en-US"/>
              </w:rPr>
            </w:pPr>
            <w:r>
              <w:rPr>
                <w:lang w:val="en-US"/>
              </w:rPr>
              <w:t>Procedural scripts</w:t>
            </w:r>
          </w:p>
        </w:tc>
        <w:tc>
          <w:tcPr>
            <w:tcW w:w="1984" w:type="dxa"/>
            <w:vMerge w:val="restart"/>
            <w:tcBorders>
              <w:left w:val="nil"/>
              <w:right w:val="nil"/>
            </w:tcBorders>
            <w:shd w:val="clear" w:color="auto" w:fill="E7E6E6" w:themeFill="background2"/>
          </w:tcPr>
          <w:p w14:paraId="7E71D8DF" w14:textId="77777777" w:rsidR="00E05EEE" w:rsidRPr="000D1132" w:rsidRDefault="00E05EEE" w:rsidP="00E05EEE">
            <w:pPr>
              <w:cnfStyle w:val="000000100000" w:firstRow="0" w:lastRow="0" w:firstColumn="0" w:lastColumn="0" w:oddVBand="0" w:evenVBand="0" w:oddHBand="1" w:evenHBand="0" w:firstRowFirstColumn="0" w:firstRowLastColumn="0" w:lastRowFirstColumn="0" w:lastRowLastColumn="0"/>
              <w:rPr>
                <w:lang w:val="en-US"/>
              </w:rPr>
            </w:pPr>
            <w:r>
              <w:rPr>
                <w:lang w:val="en-US"/>
              </w:rPr>
              <w:t>Scripts based on related experiences</w:t>
            </w:r>
          </w:p>
        </w:tc>
        <w:tc>
          <w:tcPr>
            <w:tcW w:w="5660" w:type="dxa"/>
            <w:tcBorders>
              <w:left w:val="nil"/>
              <w:bottom w:val="nil"/>
            </w:tcBorders>
            <w:shd w:val="clear" w:color="auto" w:fill="E7E6E6" w:themeFill="background2"/>
          </w:tcPr>
          <w:p w14:paraId="7099D9D8" w14:textId="77777777" w:rsidR="00E05EEE" w:rsidRPr="00816C49" w:rsidRDefault="00E05EEE" w:rsidP="00E05EEE">
            <w:pPr>
              <w:pStyle w:val="Lijstalinea"/>
              <w:numPr>
                <w:ilvl w:val="0"/>
                <w:numId w:val="8"/>
              </w:numPr>
              <w:cnfStyle w:val="000000100000" w:firstRow="0" w:lastRow="0" w:firstColumn="0" w:lastColumn="0" w:oddVBand="0" w:evenVBand="0" w:oddHBand="1" w:evenHBand="0" w:firstRowFirstColumn="0" w:firstRowLastColumn="0" w:lastRowFirstColumn="0" w:lastRowLastColumn="0"/>
              <w:rPr>
                <w:lang w:val="en-US"/>
              </w:rPr>
            </w:pPr>
            <w:r w:rsidRPr="523D1F2B">
              <w:rPr>
                <w:u w:val="single"/>
                <w:lang w:val="en-US"/>
              </w:rPr>
              <w:t>Civil service</w:t>
            </w:r>
            <w:r w:rsidRPr="523D1F2B">
              <w:rPr>
                <w:lang w:val="en-US"/>
              </w:rPr>
              <w:t>: base their strategy on informative campaign, using a factual and formal tone, engagement with citizens, and avoidance of polarization.</w:t>
            </w:r>
          </w:p>
        </w:tc>
      </w:tr>
      <w:tr w:rsidR="00E05EEE" w:rsidRPr="008878CF" w14:paraId="3BB1068F" w14:textId="77777777" w:rsidTr="00A81153">
        <w:trPr>
          <w:cantSplit/>
          <w:trHeight w:val="985"/>
        </w:trPr>
        <w:tc>
          <w:tcPr>
            <w:cnfStyle w:val="001000000000" w:firstRow="0" w:lastRow="0" w:firstColumn="1" w:lastColumn="0" w:oddVBand="0" w:evenVBand="0" w:oddHBand="0" w:evenHBand="0" w:firstRowFirstColumn="0" w:firstRowLastColumn="0" w:lastRowFirstColumn="0" w:lastRowLastColumn="0"/>
            <w:tcW w:w="1418" w:type="dxa"/>
            <w:vMerge/>
            <w:tcBorders>
              <w:right w:val="nil"/>
            </w:tcBorders>
          </w:tcPr>
          <w:p w14:paraId="1C14998B" w14:textId="77777777" w:rsidR="00E05EEE" w:rsidRDefault="00E05EEE" w:rsidP="00E05EEE">
            <w:pPr>
              <w:rPr>
                <w:lang w:val="en-US"/>
              </w:rPr>
            </w:pPr>
          </w:p>
        </w:tc>
        <w:tc>
          <w:tcPr>
            <w:tcW w:w="1984" w:type="dxa"/>
            <w:vMerge/>
            <w:tcBorders>
              <w:top w:val="single" w:sz="4" w:space="0" w:color="7F7F7F" w:themeColor="text1" w:themeTint="80"/>
              <w:left w:val="nil"/>
              <w:bottom w:val="single" w:sz="4" w:space="0" w:color="7F7F7F" w:themeColor="text1" w:themeTint="80"/>
            </w:tcBorders>
          </w:tcPr>
          <w:p w14:paraId="5D532DFB" w14:textId="77777777" w:rsidR="00E05EEE" w:rsidRDefault="00E05EEE" w:rsidP="00E05EEE">
            <w:pPr>
              <w:cnfStyle w:val="000000000000" w:firstRow="0" w:lastRow="0" w:firstColumn="0" w:lastColumn="0" w:oddVBand="0" w:evenVBand="0" w:oddHBand="0" w:evenHBand="0" w:firstRowFirstColumn="0" w:firstRowLastColumn="0" w:lastRowFirstColumn="0" w:lastRowLastColumn="0"/>
              <w:rPr>
                <w:lang w:val="en-US"/>
              </w:rPr>
            </w:pPr>
          </w:p>
        </w:tc>
        <w:tc>
          <w:tcPr>
            <w:tcW w:w="5660" w:type="dxa"/>
            <w:tcBorders>
              <w:top w:val="nil"/>
              <w:left w:val="nil"/>
              <w:bottom w:val="single" w:sz="4" w:space="0" w:color="7F7F7F" w:themeColor="text1" w:themeTint="80"/>
            </w:tcBorders>
            <w:shd w:val="clear" w:color="auto" w:fill="E7E6E6" w:themeFill="background2"/>
          </w:tcPr>
          <w:p w14:paraId="5B17D0C5" w14:textId="77777777" w:rsidR="00E05EEE" w:rsidRPr="000D1132" w:rsidRDefault="00E05EEE" w:rsidP="00E05EEE">
            <w:pPr>
              <w:pStyle w:val="Lijstalinea"/>
              <w:numPr>
                <w:ilvl w:val="0"/>
                <w:numId w:val="8"/>
              </w:numPr>
              <w:cnfStyle w:val="000000000000" w:firstRow="0" w:lastRow="0" w:firstColumn="0" w:lastColumn="0" w:oddVBand="0" w:evenVBand="0" w:oddHBand="0" w:evenHBand="0" w:firstRowFirstColumn="0" w:firstRowLastColumn="0" w:lastRowFirstColumn="0" w:lastRowLastColumn="0"/>
              <w:rPr>
                <w:u w:val="single"/>
                <w:lang w:val="en-US"/>
              </w:rPr>
            </w:pPr>
            <w:r w:rsidRPr="523D1F2B">
              <w:rPr>
                <w:u w:val="single"/>
                <w:lang w:val="en-US"/>
              </w:rPr>
              <w:t>Political actors</w:t>
            </w:r>
            <w:r w:rsidRPr="523D1F2B">
              <w:rPr>
                <w:lang w:val="en-US"/>
              </w:rPr>
              <w:t>: base their strategy on election campaign, aiming for a short campaign, accounting for plurality and competition, and appealing to emotions.</w:t>
            </w:r>
          </w:p>
        </w:tc>
      </w:tr>
      <w:tr w:rsidR="00E05EEE" w:rsidRPr="008878CF" w14:paraId="6D3E8F9F" w14:textId="77777777" w:rsidTr="00A81153">
        <w:trPr>
          <w:cnfStyle w:val="000000100000" w:firstRow="0" w:lastRow="0" w:firstColumn="0" w:lastColumn="0" w:oddVBand="0" w:evenVBand="0" w:oddHBand="1" w:evenHBand="0" w:firstRowFirstColumn="0" w:firstRowLastColumn="0" w:lastRowFirstColumn="0" w:lastRowLastColumn="0"/>
          <w:cantSplit/>
          <w:trHeight w:val="897"/>
        </w:trPr>
        <w:tc>
          <w:tcPr>
            <w:cnfStyle w:val="001000000000" w:firstRow="0" w:lastRow="0" w:firstColumn="1" w:lastColumn="0" w:oddVBand="0" w:evenVBand="0" w:oddHBand="0" w:evenHBand="0" w:firstRowFirstColumn="0" w:firstRowLastColumn="0" w:lastRowFirstColumn="0" w:lastRowLastColumn="0"/>
            <w:tcW w:w="1418" w:type="dxa"/>
            <w:vMerge w:val="restart"/>
            <w:tcBorders>
              <w:right w:val="nil"/>
            </w:tcBorders>
            <w:shd w:val="clear" w:color="auto" w:fill="AEAAAA" w:themeFill="background2" w:themeFillShade="BF"/>
          </w:tcPr>
          <w:p w14:paraId="1155727F" w14:textId="77777777" w:rsidR="00E05EEE" w:rsidRPr="000D1132" w:rsidRDefault="00E05EEE" w:rsidP="00E05EEE">
            <w:pPr>
              <w:rPr>
                <w:lang w:val="en-US"/>
              </w:rPr>
            </w:pPr>
            <w:r>
              <w:rPr>
                <w:lang w:val="en-US"/>
              </w:rPr>
              <w:t>Cultural rationales</w:t>
            </w:r>
          </w:p>
        </w:tc>
        <w:tc>
          <w:tcPr>
            <w:tcW w:w="1984" w:type="dxa"/>
            <w:vMerge w:val="restart"/>
            <w:tcBorders>
              <w:left w:val="nil"/>
              <w:right w:val="nil"/>
            </w:tcBorders>
            <w:shd w:val="clear" w:color="auto" w:fill="FFFFFF" w:themeFill="background1"/>
          </w:tcPr>
          <w:p w14:paraId="16161DBF" w14:textId="77777777" w:rsidR="00E05EEE" w:rsidRPr="000D1132" w:rsidRDefault="00E05EEE" w:rsidP="00E05EEE">
            <w:pPr>
              <w:cnfStyle w:val="000000100000" w:firstRow="0" w:lastRow="0" w:firstColumn="0" w:lastColumn="0" w:oddVBand="0" w:evenVBand="0" w:oddHBand="1" w:evenHBand="0" w:firstRowFirstColumn="0" w:firstRowLastColumn="0" w:lastRowFirstColumn="0" w:lastRowLastColumn="0"/>
              <w:rPr>
                <w:lang w:val="fr-FR"/>
              </w:rPr>
            </w:pPr>
            <w:r w:rsidRPr="0F3FBCC9">
              <w:rPr>
                <w:lang w:val="fr-FR"/>
              </w:rPr>
              <w:t xml:space="preserve">Ritualistic discourse on EU </w:t>
            </w:r>
          </w:p>
        </w:tc>
        <w:tc>
          <w:tcPr>
            <w:tcW w:w="5660" w:type="dxa"/>
            <w:tcBorders>
              <w:left w:val="nil"/>
              <w:bottom w:val="nil"/>
            </w:tcBorders>
            <w:shd w:val="clear" w:color="auto" w:fill="FFFFFF" w:themeFill="background1"/>
          </w:tcPr>
          <w:p w14:paraId="697FF749" w14:textId="77777777" w:rsidR="00E05EEE" w:rsidRPr="00816C49" w:rsidRDefault="00E05EEE" w:rsidP="00E05EEE">
            <w:pPr>
              <w:pStyle w:val="Lijstalinea"/>
              <w:numPr>
                <w:ilvl w:val="0"/>
                <w:numId w:val="9"/>
              </w:numPr>
              <w:cnfStyle w:val="000000100000" w:firstRow="0" w:lastRow="0" w:firstColumn="0" w:lastColumn="0" w:oddVBand="0" w:evenVBand="0" w:oddHBand="1" w:evenHBand="0" w:firstRowFirstColumn="0" w:firstRowLastColumn="0" w:lastRowFirstColumn="0" w:lastRowLastColumn="0"/>
              <w:rPr>
                <w:lang w:val="en-US"/>
              </w:rPr>
            </w:pPr>
            <w:r w:rsidRPr="523D1F2B">
              <w:rPr>
                <w:u w:val="single"/>
                <w:lang w:val="en-US"/>
              </w:rPr>
              <w:t>Political actors</w:t>
            </w:r>
            <w:r w:rsidRPr="523D1F2B">
              <w:rPr>
                <w:lang w:val="en-US"/>
              </w:rPr>
              <w:t xml:space="preserve"> and </w:t>
            </w:r>
            <w:r w:rsidRPr="523D1F2B">
              <w:rPr>
                <w:u w:val="single"/>
                <w:lang w:val="en-US"/>
              </w:rPr>
              <w:t>civil service</w:t>
            </w:r>
            <w:r w:rsidRPr="523D1F2B">
              <w:rPr>
                <w:lang w:val="en-US"/>
              </w:rPr>
              <w:t>: share a discourse emphasizing peace, prosperity and unity as a result of EU cooperation.</w:t>
            </w:r>
          </w:p>
        </w:tc>
      </w:tr>
      <w:tr w:rsidR="00E05EEE" w:rsidRPr="008878CF" w14:paraId="6BE0DE3F" w14:textId="77777777" w:rsidTr="00A81153">
        <w:trPr>
          <w:cantSplit/>
          <w:trHeight w:val="637"/>
        </w:trPr>
        <w:tc>
          <w:tcPr>
            <w:cnfStyle w:val="001000000000" w:firstRow="0" w:lastRow="0" w:firstColumn="1" w:lastColumn="0" w:oddVBand="0" w:evenVBand="0" w:oddHBand="0" w:evenHBand="0" w:firstRowFirstColumn="0" w:firstRowLastColumn="0" w:lastRowFirstColumn="0" w:lastRowLastColumn="0"/>
            <w:tcW w:w="1418" w:type="dxa"/>
            <w:vMerge/>
            <w:tcBorders>
              <w:right w:val="nil"/>
            </w:tcBorders>
          </w:tcPr>
          <w:p w14:paraId="1418BA61" w14:textId="77777777" w:rsidR="00E05EEE" w:rsidRDefault="00E05EEE" w:rsidP="00E05EEE">
            <w:pPr>
              <w:rPr>
                <w:lang w:val="en-US"/>
              </w:rPr>
            </w:pPr>
          </w:p>
        </w:tc>
        <w:tc>
          <w:tcPr>
            <w:tcW w:w="1984" w:type="dxa"/>
            <w:vMerge/>
            <w:tcBorders>
              <w:top w:val="single" w:sz="4" w:space="0" w:color="7F7F7F" w:themeColor="text1" w:themeTint="80"/>
              <w:left w:val="nil"/>
              <w:bottom w:val="single" w:sz="4" w:space="0" w:color="7F7F7F" w:themeColor="text1" w:themeTint="80"/>
            </w:tcBorders>
          </w:tcPr>
          <w:p w14:paraId="13B2D935" w14:textId="77777777" w:rsidR="00E05EEE" w:rsidRPr="00816C49" w:rsidRDefault="00E05EEE" w:rsidP="00E05EEE">
            <w:pPr>
              <w:cnfStyle w:val="000000000000" w:firstRow="0" w:lastRow="0" w:firstColumn="0" w:lastColumn="0" w:oddVBand="0" w:evenVBand="0" w:oddHBand="0" w:evenHBand="0" w:firstRowFirstColumn="0" w:firstRowLastColumn="0" w:lastRowFirstColumn="0" w:lastRowLastColumn="0"/>
              <w:rPr>
                <w:lang w:val="en-US"/>
              </w:rPr>
            </w:pPr>
          </w:p>
        </w:tc>
        <w:tc>
          <w:tcPr>
            <w:tcW w:w="5660" w:type="dxa"/>
            <w:tcBorders>
              <w:top w:val="nil"/>
              <w:left w:val="nil"/>
              <w:bottom w:val="nil"/>
            </w:tcBorders>
            <w:shd w:val="clear" w:color="auto" w:fill="FFFFFF" w:themeFill="background1"/>
          </w:tcPr>
          <w:p w14:paraId="4F43820C" w14:textId="77777777" w:rsidR="00E05EEE" w:rsidRPr="00816C49" w:rsidRDefault="00E05EEE" w:rsidP="00E05EEE">
            <w:pPr>
              <w:pStyle w:val="Lijstalinea"/>
              <w:numPr>
                <w:ilvl w:val="0"/>
                <w:numId w:val="9"/>
              </w:numPr>
              <w:cnfStyle w:val="000000000000" w:firstRow="0" w:lastRow="0" w:firstColumn="0" w:lastColumn="0" w:oddVBand="0" w:evenVBand="0" w:oddHBand="0" w:evenHBand="0" w:firstRowFirstColumn="0" w:firstRowLastColumn="0" w:lastRowFirstColumn="0" w:lastRowLastColumn="0"/>
              <w:rPr>
                <w:lang w:val="en-US"/>
              </w:rPr>
            </w:pPr>
            <w:r w:rsidRPr="523D1F2B">
              <w:rPr>
                <w:u w:val="single"/>
                <w:lang w:val="en-US"/>
              </w:rPr>
              <w:t>Political actors</w:t>
            </w:r>
            <w:r w:rsidRPr="523D1F2B">
              <w:rPr>
                <w:lang w:val="en-US"/>
              </w:rPr>
              <w:t xml:space="preserve"> and </w:t>
            </w:r>
            <w:r w:rsidRPr="523D1F2B">
              <w:rPr>
                <w:u w:val="single"/>
                <w:lang w:val="en-US"/>
              </w:rPr>
              <w:t>civil service</w:t>
            </w:r>
            <w:r w:rsidRPr="523D1F2B">
              <w:rPr>
                <w:lang w:val="en-US"/>
              </w:rPr>
              <w:t>: do not seriously consider strategies with alternative discourse.</w:t>
            </w:r>
          </w:p>
        </w:tc>
      </w:tr>
      <w:tr w:rsidR="00E05EEE" w:rsidRPr="008878CF" w14:paraId="68A9FDBD" w14:textId="77777777" w:rsidTr="00A81153">
        <w:trPr>
          <w:cnfStyle w:val="000000100000" w:firstRow="0" w:lastRow="0" w:firstColumn="0" w:lastColumn="0" w:oddVBand="0" w:evenVBand="0" w:oddHBand="1" w:evenHBand="0" w:firstRowFirstColumn="0" w:firstRowLastColumn="0" w:lastRowFirstColumn="0" w:lastRowLastColumn="0"/>
          <w:cantSplit/>
          <w:trHeight w:val="703"/>
        </w:trPr>
        <w:tc>
          <w:tcPr>
            <w:cnfStyle w:val="001000000000" w:firstRow="0" w:lastRow="0" w:firstColumn="1" w:lastColumn="0" w:oddVBand="0" w:evenVBand="0" w:oddHBand="0" w:evenHBand="0" w:firstRowFirstColumn="0" w:firstRowLastColumn="0" w:lastRowFirstColumn="0" w:lastRowLastColumn="0"/>
            <w:tcW w:w="1418" w:type="dxa"/>
            <w:vMerge/>
            <w:tcBorders>
              <w:right w:val="nil"/>
            </w:tcBorders>
          </w:tcPr>
          <w:p w14:paraId="2CBB1990" w14:textId="77777777" w:rsidR="00E05EEE" w:rsidRDefault="00E05EEE" w:rsidP="00E05EEE">
            <w:pPr>
              <w:rPr>
                <w:lang w:val="en-US"/>
              </w:rPr>
            </w:pPr>
          </w:p>
        </w:tc>
        <w:tc>
          <w:tcPr>
            <w:tcW w:w="1984" w:type="dxa"/>
            <w:vMerge/>
            <w:tcBorders>
              <w:left w:val="nil"/>
            </w:tcBorders>
          </w:tcPr>
          <w:p w14:paraId="20D07AC3" w14:textId="77777777" w:rsidR="00E05EEE" w:rsidRPr="00816C49" w:rsidRDefault="00E05EEE" w:rsidP="00E05EEE">
            <w:pPr>
              <w:cnfStyle w:val="000000100000" w:firstRow="0" w:lastRow="0" w:firstColumn="0" w:lastColumn="0" w:oddVBand="0" w:evenVBand="0" w:oddHBand="1" w:evenHBand="0" w:firstRowFirstColumn="0" w:firstRowLastColumn="0" w:lastRowFirstColumn="0" w:lastRowLastColumn="0"/>
              <w:rPr>
                <w:lang w:val="en-US"/>
              </w:rPr>
            </w:pPr>
          </w:p>
        </w:tc>
        <w:tc>
          <w:tcPr>
            <w:tcW w:w="5660" w:type="dxa"/>
            <w:tcBorders>
              <w:top w:val="nil"/>
              <w:left w:val="nil"/>
            </w:tcBorders>
            <w:shd w:val="clear" w:color="auto" w:fill="FFFFFF" w:themeFill="background1"/>
          </w:tcPr>
          <w:p w14:paraId="79024F52" w14:textId="77777777" w:rsidR="00E05EEE" w:rsidRPr="000D1132" w:rsidRDefault="00E05EEE" w:rsidP="00E05EEE">
            <w:pPr>
              <w:pStyle w:val="Lijstalinea"/>
              <w:numPr>
                <w:ilvl w:val="0"/>
                <w:numId w:val="9"/>
              </w:numPr>
              <w:cnfStyle w:val="000000100000" w:firstRow="0" w:lastRow="0" w:firstColumn="0" w:lastColumn="0" w:oddVBand="0" w:evenVBand="0" w:oddHBand="1" w:evenHBand="0" w:firstRowFirstColumn="0" w:firstRowLastColumn="0" w:lastRowFirstColumn="0" w:lastRowLastColumn="0"/>
              <w:rPr>
                <w:u w:val="single"/>
                <w:lang w:val="en-US"/>
              </w:rPr>
            </w:pPr>
            <w:r w:rsidRPr="523D1F2B">
              <w:rPr>
                <w:u w:val="single"/>
                <w:lang w:val="en-US"/>
              </w:rPr>
              <w:t xml:space="preserve">Political actors </w:t>
            </w:r>
            <w:r w:rsidRPr="523D1F2B">
              <w:rPr>
                <w:lang w:val="en-US"/>
              </w:rPr>
              <w:t xml:space="preserve"> and </w:t>
            </w:r>
            <w:r w:rsidRPr="523D1F2B">
              <w:rPr>
                <w:u w:val="single"/>
                <w:lang w:val="en-US"/>
              </w:rPr>
              <w:t>civil service</w:t>
            </w:r>
            <w:r w:rsidRPr="523D1F2B">
              <w:rPr>
                <w:lang w:val="en-US"/>
              </w:rPr>
              <w:t>: do not take opponents using a different discourse seriously.</w:t>
            </w:r>
          </w:p>
        </w:tc>
      </w:tr>
      <w:tr w:rsidR="00E05EEE" w:rsidRPr="008878CF" w14:paraId="65C92896" w14:textId="77777777" w:rsidTr="00A81153">
        <w:trPr>
          <w:cantSplit/>
          <w:trHeight w:val="768"/>
        </w:trPr>
        <w:tc>
          <w:tcPr>
            <w:cnfStyle w:val="001000000000" w:firstRow="0" w:lastRow="0" w:firstColumn="1" w:lastColumn="0" w:oddVBand="0" w:evenVBand="0" w:oddHBand="0" w:evenHBand="0" w:firstRowFirstColumn="0" w:firstRowLastColumn="0" w:lastRowFirstColumn="0" w:lastRowLastColumn="0"/>
            <w:tcW w:w="1418" w:type="dxa"/>
            <w:vMerge/>
            <w:tcBorders>
              <w:right w:val="nil"/>
            </w:tcBorders>
          </w:tcPr>
          <w:p w14:paraId="5C782CBA" w14:textId="77777777" w:rsidR="00E05EEE" w:rsidRPr="000D1132" w:rsidRDefault="00E05EEE" w:rsidP="00E05EEE">
            <w:pPr>
              <w:rPr>
                <w:lang w:val="en-US"/>
              </w:rPr>
            </w:pPr>
          </w:p>
        </w:tc>
        <w:tc>
          <w:tcPr>
            <w:tcW w:w="1984" w:type="dxa"/>
            <w:vMerge w:val="restart"/>
            <w:tcBorders>
              <w:top w:val="single" w:sz="4" w:space="0" w:color="7F7F7F" w:themeColor="text1" w:themeTint="80"/>
              <w:left w:val="nil"/>
              <w:bottom w:val="single" w:sz="4" w:space="0" w:color="7F7F7F" w:themeColor="text1" w:themeTint="80"/>
              <w:right w:val="nil"/>
            </w:tcBorders>
            <w:shd w:val="clear" w:color="auto" w:fill="E7E6E6" w:themeFill="background2"/>
          </w:tcPr>
          <w:p w14:paraId="0958B916" w14:textId="77777777" w:rsidR="00E05EEE" w:rsidRPr="000D1132" w:rsidRDefault="00E05EEE" w:rsidP="00E05EEE">
            <w:pPr>
              <w:cnfStyle w:val="000000000000" w:firstRow="0" w:lastRow="0" w:firstColumn="0" w:lastColumn="0" w:oddVBand="0" w:evenVBand="0" w:oddHBand="0" w:evenHBand="0" w:firstRowFirstColumn="0" w:firstRowLastColumn="0" w:lastRowFirstColumn="0" w:lastRowLastColumn="0"/>
              <w:rPr>
                <w:lang w:val="fr-FR"/>
              </w:rPr>
            </w:pPr>
            <w:r w:rsidRPr="0F3FBCC9">
              <w:rPr>
                <w:lang w:val="fr-FR"/>
              </w:rPr>
              <w:t>Ritualistic notion of modesty</w:t>
            </w:r>
          </w:p>
        </w:tc>
        <w:tc>
          <w:tcPr>
            <w:tcW w:w="5660" w:type="dxa"/>
            <w:tcBorders>
              <w:left w:val="nil"/>
              <w:bottom w:val="nil"/>
            </w:tcBorders>
            <w:shd w:val="clear" w:color="auto" w:fill="E7E6E6" w:themeFill="background2"/>
          </w:tcPr>
          <w:p w14:paraId="2BC1287B" w14:textId="77777777" w:rsidR="00E05EEE" w:rsidRPr="00816C49" w:rsidRDefault="00E05EEE" w:rsidP="00E05EEE">
            <w:pPr>
              <w:pStyle w:val="Lijstalinea"/>
              <w:numPr>
                <w:ilvl w:val="0"/>
                <w:numId w:val="10"/>
              </w:numPr>
              <w:cnfStyle w:val="000000000000" w:firstRow="0" w:lastRow="0" w:firstColumn="0" w:lastColumn="0" w:oddVBand="0" w:evenVBand="0" w:oddHBand="0" w:evenHBand="0" w:firstRowFirstColumn="0" w:firstRowLastColumn="0" w:lastRowFirstColumn="0" w:lastRowLastColumn="0"/>
              <w:rPr>
                <w:lang w:val="en-US"/>
              </w:rPr>
            </w:pPr>
            <w:r w:rsidRPr="523D1F2B">
              <w:rPr>
                <w:u w:val="single"/>
                <w:lang w:val="en-US"/>
              </w:rPr>
              <w:t xml:space="preserve">Political actors </w:t>
            </w:r>
            <w:r w:rsidRPr="523D1F2B">
              <w:rPr>
                <w:lang w:val="en-US"/>
              </w:rPr>
              <w:t>and</w:t>
            </w:r>
            <w:r w:rsidRPr="523D1F2B">
              <w:rPr>
                <w:u w:val="single"/>
                <w:lang w:val="en-US"/>
              </w:rPr>
              <w:t xml:space="preserve"> civil service </w:t>
            </w:r>
            <w:r w:rsidRPr="523D1F2B">
              <w:rPr>
                <w:lang w:val="en-US"/>
              </w:rPr>
              <w:t>: strives for modest budgets when subjects are politically divisive.</w:t>
            </w:r>
          </w:p>
          <w:p w14:paraId="2C3AC5F6" w14:textId="77777777" w:rsidR="00E05EEE" w:rsidRPr="000D1132" w:rsidRDefault="00E05EEE" w:rsidP="00E05EEE">
            <w:pPr>
              <w:pStyle w:val="Lijstalinea"/>
              <w:ind w:left="360"/>
              <w:cnfStyle w:val="000000000000" w:firstRow="0" w:lastRow="0" w:firstColumn="0" w:lastColumn="0" w:oddVBand="0" w:evenVBand="0" w:oddHBand="0" w:evenHBand="0" w:firstRowFirstColumn="0" w:firstRowLastColumn="0" w:lastRowFirstColumn="0" w:lastRowLastColumn="0"/>
              <w:rPr>
                <w:lang w:val="en-US"/>
              </w:rPr>
            </w:pPr>
          </w:p>
        </w:tc>
      </w:tr>
      <w:tr w:rsidR="00E05EEE" w:rsidRPr="008878CF" w14:paraId="61B56F32" w14:textId="77777777" w:rsidTr="00A81153">
        <w:trPr>
          <w:cnfStyle w:val="000000100000" w:firstRow="0" w:lastRow="0" w:firstColumn="0" w:lastColumn="0" w:oddVBand="0" w:evenVBand="0" w:oddHBand="1" w:evenHBand="0" w:firstRowFirstColumn="0" w:firstRowLastColumn="0" w:lastRowFirstColumn="0" w:lastRowLastColumn="0"/>
          <w:cantSplit/>
          <w:trHeight w:val="766"/>
        </w:trPr>
        <w:tc>
          <w:tcPr>
            <w:cnfStyle w:val="001000000000" w:firstRow="0" w:lastRow="0" w:firstColumn="1" w:lastColumn="0" w:oddVBand="0" w:evenVBand="0" w:oddHBand="0" w:evenHBand="0" w:firstRowFirstColumn="0" w:firstRowLastColumn="0" w:lastRowFirstColumn="0" w:lastRowLastColumn="0"/>
            <w:tcW w:w="1418" w:type="dxa"/>
            <w:vMerge/>
            <w:tcBorders>
              <w:right w:val="nil"/>
            </w:tcBorders>
          </w:tcPr>
          <w:p w14:paraId="7126E180" w14:textId="77777777" w:rsidR="00E05EEE" w:rsidRPr="000D1132" w:rsidRDefault="00E05EEE" w:rsidP="00E05EEE">
            <w:pPr>
              <w:rPr>
                <w:lang w:val="en-US"/>
              </w:rPr>
            </w:pPr>
          </w:p>
        </w:tc>
        <w:tc>
          <w:tcPr>
            <w:tcW w:w="1984" w:type="dxa"/>
            <w:vMerge/>
            <w:tcBorders>
              <w:left w:val="nil"/>
            </w:tcBorders>
          </w:tcPr>
          <w:p w14:paraId="7BA5D1A0" w14:textId="77777777" w:rsidR="00E05EEE" w:rsidRPr="00816C49" w:rsidRDefault="00E05EEE" w:rsidP="00E05EEE">
            <w:pPr>
              <w:cnfStyle w:val="000000100000" w:firstRow="0" w:lastRow="0" w:firstColumn="0" w:lastColumn="0" w:oddVBand="0" w:evenVBand="0" w:oddHBand="1" w:evenHBand="0" w:firstRowFirstColumn="0" w:firstRowLastColumn="0" w:lastRowFirstColumn="0" w:lastRowLastColumn="0"/>
              <w:rPr>
                <w:lang w:val="en-US"/>
              </w:rPr>
            </w:pPr>
          </w:p>
        </w:tc>
        <w:tc>
          <w:tcPr>
            <w:tcW w:w="5660" w:type="dxa"/>
            <w:tcBorders>
              <w:top w:val="nil"/>
              <w:left w:val="nil"/>
              <w:bottom w:val="nil"/>
            </w:tcBorders>
            <w:shd w:val="clear" w:color="auto" w:fill="E7E6E6" w:themeFill="background2"/>
          </w:tcPr>
          <w:p w14:paraId="2367D725" w14:textId="77777777" w:rsidR="00E05EEE" w:rsidRPr="00816C49" w:rsidRDefault="00E05EEE" w:rsidP="00E05EEE">
            <w:pPr>
              <w:pStyle w:val="Lijstalinea"/>
              <w:numPr>
                <w:ilvl w:val="0"/>
                <w:numId w:val="10"/>
              </w:numPr>
              <w:cnfStyle w:val="000000100000" w:firstRow="0" w:lastRow="0" w:firstColumn="0" w:lastColumn="0" w:oddVBand="0" w:evenVBand="0" w:oddHBand="1" w:evenHBand="0" w:firstRowFirstColumn="0" w:firstRowLastColumn="0" w:lastRowFirstColumn="0" w:lastRowLastColumn="0"/>
              <w:rPr>
                <w:lang w:val="en-US"/>
              </w:rPr>
            </w:pPr>
            <w:r w:rsidRPr="523D1F2B">
              <w:rPr>
                <w:u w:val="single"/>
                <w:lang w:val="en-US"/>
              </w:rPr>
              <w:t xml:space="preserve">Political actors </w:t>
            </w:r>
            <w:r w:rsidRPr="523D1F2B">
              <w:rPr>
                <w:lang w:val="en-US"/>
              </w:rPr>
              <w:t>and</w:t>
            </w:r>
            <w:r w:rsidRPr="523D1F2B">
              <w:rPr>
                <w:u w:val="single"/>
                <w:lang w:val="en-US"/>
              </w:rPr>
              <w:t xml:space="preserve"> civil service</w:t>
            </w:r>
            <w:r w:rsidRPr="523D1F2B">
              <w:rPr>
                <w:lang w:val="en-US"/>
              </w:rPr>
              <w:t>: will subject campaign budget and changes thereof to parliamentary scrutiny.</w:t>
            </w:r>
          </w:p>
        </w:tc>
      </w:tr>
      <w:tr w:rsidR="00E05EEE" w:rsidRPr="008878CF" w14:paraId="71DF3158" w14:textId="77777777" w:rsidTr="00A81153">
        <w:trPr>
          <w:cantSplit/>
          <w:trHeight w:val="766"/>
        </w:trPr>
        <w:tc>
          <w:tcPr>
            <w:cnfStyle w:val="001000000000" w:firstRow="0" w:lastRow="0" w:firstColumn="1" w:lastColumn="0" w:oddVBand="0" w:evenVBand="0" w:oddHBand="0" w:evenHBand="0" w:firstRowFirstColumn="0" w:firstRowLastColumn="0" w:lastRowFirstColumn="0" w:lastRowLastColumn="0"/>
            <w:tcW w:w="1418" w:type="dxa"/>
            <w:vMerge/>
            <w:tcBorders>
              <w:right w:val="nil"/>
            </w:tcBorders>
          </w:tcPr>
          <w:p w14:paraId="0877B951" w14:textId="77777777" w:rsidR="00E05EEE" w:rsidRPr="000D1132" w:rsidRDefault="00E05EEE" w:rsidP="00E05EEE">
            <w:pPr>
              <w:rPr>
                <w:lang w:val="en-US"/>
              </w:rPr>
            </w:pPr>
          </w:p>
        </w:tc>
        <w:tc>
          <w:tcPr>
            <w:tcW w:w="1984" w:type="dxa"/>
            <w:vMerge/>
            <w:tcBorders>
              <w:top w:val="single" w:sz="4" w:space="0" w:color="7F7F7F" w:themeColor="text1" w:themeTint="80"/>
              <w:left w:val="nil"/>
              <w:bottom w:val="single" w:sz="4" w:space="0" w:color="7F7F7F" w:themeColor="text1" w:themeTint="80"/>
            </w:tcBorders>
          </w:tcPr>
          <w:p w14:paraId="740D1E55" w14:textId="77777777" w:rsidR="00E05EEE" w:rsidRPr="00816C49" w:rsidRDefault="00E05EEE" w:rsidP="00E05EEE">
            <w:pPr>
              <w:cnfStyle w:val="000000000000" w:firstRow="0" w:lastRow="0" w:firstColumn="0" w:lastColumn="0" w:oddVBand="0" w:evenVBand="0" w:oddHBand="0" w:evenHBand="0" w:firstRowFirstColumn="0" w:firstRowLastColumn="0" w:lastRowFirstColumn="0" w:lastRowLastColumn="0"/>
              <w:rPr>
                <w:lang w:val="en-US"/>
              </w:rPr>
            </w:pPr>
          </w:p>
        </w:tc>
        <w:tc>
          <w:tcPr>
            <w:tcW w:w="5660" w:type="dxa"/>
            <w:tcBorders>
              <w:top w:val="nil"/>
              <w:left w:val="nil"/>
            </w:tcBorders>
            <w:shd w:val="clear" w:color="auto" w:fill="E7E6E6" w:themeFill="background2"/>
          </w:tcPr>
          <w:p w14:paraId="36518EC7" w14:textId="77777777" w:rsidR="00E05EEE" w:rsidRPr="000D1132" w:rsidRDefault="00E05EEE" w:rsidP="00EC5268">
            <w:pPr>
              <w:pStyle w:val="Lijstalinea"/>
              <w:keepNext/>
              <w:numPr>
                <w:ilvl w:val="0"/>
                <w:numId w:val="10"/>
              </w:numPr>
              <w:cnfStyle w:val="000000000000" w:firstRow="0" w:lastRow="0" w:firstColumn="0" w:lastColumn="0" w:oddVBand="0" w:evenVBand="0" w:oddHBand="0" w:evenHBand="0" w:firstRowFirstColumn="0" w:firstRowLastColumn="0" w:lastRowFirstColumn="0" w:lastRowLastColumn="0"/>
              <w:rPr>
                <w:u w:val="single"/>
                <w:lang w:val="en-US"/>
              </w:rPr>
            </w:pPr>
            <w:r w:rsidRPr="523D1F2B">
              <w:rPr>
                <w:u w:val="single"/>
                <w:lang w:val="en-US"/>
              </w:rPr>
              <w:t xml:space="preserve">Political actors </w:t>
            </w:r>
            <w:r w:rsidRPr="523D1F2B">
              <w:rPr>
                <w:lang w:val="en-US"/>
              </w:rPr>
              <w:t xml:space="preserve">and </w:t>
            </w:r>
            <w:r w:rsidRPr="523D1F2B">
              <w:rPr>
                <w:u w:val="single"/>
                <w:lang w:val="en-US"/>
              </w:rPr>
              <w:t>civil service</w:t>
            </w:r>
            <w:r w:rsidRPr="523D1F2B">
              <w:rPr>
                <w:lang w:val="en-US"/>
              </w:rPr>
              <w:t>: will only increase campaign funding with explicit parliamentary consent.</w:t>
            </w:r>
          </w:p>
        </w:tc>
      </w:tr>
    </w:tbl>
    <w:p w14:paraId="6CA55935" w14:textId="140970C3" w:rsidR="00351074" w:rsidRDefault="00EC5268" w:rsidP="00EC5268">
      <w:pPr>
        <w:pStyle w:val="Bijschrift"/>
        <w:rPr>
          <w:lang w:val="en-US"/>
        </w:rPr>
      </w:pPr>
      <w:bookmarkStart w:id="34" w:name="_Toc48850669"/>
      <w:r w:rsidRPr="00EC5268">
        <w:rPr>
          <w:lang w:val="en-US"/>
        </w:rPr>
        <w:t xml:space="preserve">Figure </w:t>
      </w:r>
      <w:r>
        <w:fldChar w:fldCharType="begin"/>
      </w:r>
      <w:r w:rsidRPr="00EC5268">
        <w:rPr>
          <w:lang w:val="en-US"/>
        </w:rPr>
        <w:instrText xml:space="preserve"> SEQ Figure \* ARABIC </w:instrText>
      </w:r>
      <w:r>
        <w:fldChar w:fldCharType="separate"/>
      </w:r>
      <w:r w:rsidR="008910B5">
        <w:rPr>
          <w:noProof/>
          <w:lang w:val="en-US"/>
        </w:rPr>
        <w:t>3</w:t>
      </w:r>
      <w:r>
        <w:fldChar w:fldCharType="end"/>
      </w:r>
      <w:r w:rsidRPr="00EC5268">
        <w:rPr>
          <w:lang w:val="en-US"/>
        </w:rPr>
        <w:t xml:space="preserve">. </w:t>
      </w:r>
      <w:r w:rsidRPr="008910B5">
        <w:rPr>
          <w:i w:val="0"/>
          <w:iCs w:val="0"/>
          <w:lang w:val="en-US"/>
        </w:rPr>
        <w:t>Schematic overview of the independent variables and their operationalization</w:t>
      </w:r>
      <w:r w:rsidRPr="00EC5268">
        <w:rPr>
          <w:lang w:val="en-US"/>
        </w:rPr>
        <w:t>.</w:t>
      </w:r>
      <w:bookmarkEnd w:id="34"/>
    </w:p>
    <w:p w14:paraId="4937B557" w14:textId="7934B5E6" w:rsidR="00A81153" w:rsidRDefault="00A81153">
      <w:pPr>
        <w:rPr>
          <w:lang w:val="en-US"/>
        </w:rPr>
      </w:pPr>
      <w:r>
        <w:rPr>
          <w:lang w:val="en-US"/>
        </w:rPr>
        <w:br w:type="page"/>
      </w:r>
    </w:p>
    <w:p w14:paraId="16F2363F" w14:textId="6629CCDE" w:rsidR="00FD62C4" w:rsidRPr="00A81153" w:rsidRDefault="00FD62C4" w:rsidP="00A81153">
      <w:pPr>
        <w:pStyle w:val="Kop1"/>
        <w:jc w:val="center"/>
        <w:rPr>
          <w:b/>
          <w:bCs/>
          <w:color w:val="auto"/>
          <w:lang w:val="en-US"/>
        </w:rPr>
      </w:pPr>
      <w:bookmarkStart w:id="35" w:name="_Toc48891297"/>
      <w:r w:rsidRPr="00A81153">
        <w:rPr>
          <w:b/>
          <w:bCs/>
          <w:color w:val="auto"/>
          <w:lang w:val="en-US"/>
        </w:rPr>
        <w:t>4. Empirics</w:t>
      </w:r>
      <w:bookmarkEnd w:id="35"/>
    </w:p>
    <w:p w14:paraId="254C561E" w14:textId="77777777" w:rsidR="00A81153" w:rsidRDefault="00A81153" w:rsidP="004A0F97">
      <w:pPr>
        <w:jc w:val="both"/>
        <w:rPr>
          <w:lang w:val="en-US"/>
        </w:rPr>
      </w:pPr>
    </w:p>
    <w:p w14:paraId="6517CCB3" w14:textId="1E9DC2F1" w:rsidR="00FD62C4" w:rsidRPr="00FD62C4" w:rsidRDefault="001940B8" w:rsidP="004A0F97">
      <w:pPr>
        <w:jc w:val="both"/>
        <w:rPr>
          <w:lang w:val="en-US"/>
        </w:rPr>
      </w:pPr>
      <w:r>
        <w:rPr>
          <w:lang w:val="en-US"/>
        </w:rPr>
        <w:t>This chapter first outlines the context of the Dutch referendum. Afterwards, t</w:t>
      </w:r>
      <w:r w:rsidR="00C22999">
        <w:rPr>
          <w:lang w:val="en-US"/>
        </w:rPr>
        <w:t>he empirical analysis is provided. The presence of the separate independent variables in the different phases of the decision-making process is discussed. Afterwards, sym</w:t>
      </w:r>
      <w:r w:rsidR="004A0F97">
        <w:rPr>
          <w:lang w:val="en-US"/>
        </w:rPr>
        <w:t>ptoms of defective decision-making in the process are discussed and linked to the independent variables.</w:t>
      </w:r>
    </w:p>
    <w:p w14:paraId="5D14E99C" w14:textId="77777777" w:rsidR="00FD62C4" w:rsidRPr="00A81153" w:rsidRDefault="00FD62C4" w:rsidP="00FD62C4">
      <w:pPr>
        <w:pStyle w:val="Kop2"/>
        <w:rPr>
          <w:color w:val="auto"/>
          <w:lang w:val="en-US"/>
        </w:rPr>
      </w:pPr>
      <w:bookmarkStart w:id="36" w:name="_Toc48891298"/>
      <w:r w:rsidRPr="00A81153">
        <w:rPr>
          <w:color w:val="auto"/>
          <w:lang w:val="en-US"/>
        </w:rPr>
        <w:t>4.1 Context</w:t>
      </w:r>
      <w:bookmarkEnd w:id="36"/>
    </w:p>
    <w:p w14:paraId="34310242" w14:textId="77777777" w:rsidR="00ED1DD9" w:rsidRDefault="00ED1DD9" w:rsidP="00ED1DD9">
      <w:pPr>
        <w:jc w:val="both"/>
        <w:rPr>
          <w:lang w:val="en-US"/>
        </w:rPr>
      </w:pPr>
      <w:r>
        <w:rPr>
          <w:lang w:val="en-US"/>
        </w:rPr>
        <w:t>On June 1</w:t>
      </w:r>
      <w:r w:rsidRPr="0073162D">
        <w:rPr>
          <w:vertAlign w:val="superscript"/>
          <w:lang w:val="en-US"/>
        </w:rPr>
        <w:t>st</w:t>
      </w:r>
      <w:r>
        <w:rPr>
          <w:lang w:val="en-US"/>
        </w:rPr>
        <w:t xml:space="preserve"> 2005, the Dutch electorate was presented with the question ”Are you in favor or against the approval by the Netherlands of the Treaty establishing a constitution to Europe?” (De Referendumcommissie, 2005). The result came as a shock to many: with a relatively high voter turn-out of 63.3%, 61.5% of voters rejected the Treaty (Aarts &amp; van der Kolk, 2006; Kiesraad, 2005). This turn of events was surprising to many: the Dutch had been known as avid supporters of European integration (Voermans, 2008). The Balkenende II administration had already signed the Treaty, and 127 out of 150 members of the </w:t>
      </w:r>
      <w:r>
        <w:rPr>
          <w:i/>
          <w:iCs/>
          <w:lang w:val="en-US"/>
        </w:rPr>
        <w:t>Tweede Kamer</w:t>
      </w:r>
      <w:r>
        <w:rPr>
          <w:lang w:val="en-US"/>
        </w:rPr>
        <w:t xml:space="preserve"> supported its ratification (Europa Nu, n.d.c).</w:t>
      </w:r>
    </w:p>
    <w:p w14:paraId="02564829" w14:textId="77777777" w:rsidR="00E370E2" w:rsidRPr="00E370E2" w:rsidRDefault="00ED1DD9" w:rsidP="00E370E2">
      <w:pPr>
        <w:pStyle w:val="Kop3"/>
        <w:rPr>
          <w:rFonts w:eastAsia="Times New Roman"/>
          <w:color w:val="auto"/>
          <w:u w:val="single"/>
          <w:lang w:val="en-US" w:eastAsia="nl-NL"/>
        </w:rPr>
      </w:pPr>
      <w:bookmarkStart w:id="37" w:name="_Toc48891299"/>
      <w:r w:rsidRPr="00E370E2">
        <w:rPr>
          <w:rFonts w:eastAsia="Times New Roman"/>
          <w:color w:val="auto"/>
          <w:u w:val="single"/>
          <w:lang w:val="en-US" w:eastAsia="nl-NL"/>
        </w:rPr>
        <w:t>4.1.1</w:t>
      </w:r>
      <w:r w:rsidR="00E370E2" w:rsidRPr="00E370E2">
        <w:rPr>
          <w:rFonts w:eastAsia="Times New Roman"/>
          <w:color w:val="auto"/>
          <w:u w:val="single"/>
          <w:lang w:val="en-US" w:eastAsia="nl-NL"/>
        </w:rPr>
        <w:t xml:space="preserve"> </w:t>
      </w:r>
      <w:r w:rsidRPr="00E370E2">
        <w:rPr>
          <w:rFonts w:eastAsia="Times New Roman"/>
          <w:color w:val="auto"/>
          <w:u w:val="single"/>
          <w:lang w:val="en-US" w:eastAsia="nl-NL"/>
        </w:rPr>
        <w:t>European context</w:t>
      </w:r>
      <w:bookmarkEnd w:id="37"/>
    </w:p>
    <w:p w14:paraId="79ADBBE1" w14:textId="2881458F" w:rsidR="00ED1DD9" w:rsidRPr="00E370E2" w:rsidRDefault="00ED1DD9" w:rsidP="00ED1DD9">
      <w:pPr>
        <w:jc w:val="both"/>
        <w:rPr>
          <w:rFonts w:asciiTheme="majorHAnsi" w:eastAsia="Times New Roman" w:hAnsiTheme="majorHAnsi" w:cstheme="majorBidi"/>
          <w:sz w:val="24"/>
          <w:szCs w:val="24"/>
          <w:u w:val="single"/>
          <w:lang w:val="en-US" w:eastAsia="nl-NL"/>
        </w:rPr>
      </w:pPr>
      <w:r>
        <w:rPr>
          <w:lang w:val="en-US"/>
        </w:rPr>
        <w:t>The Treaty establishing a Constitution for Europe, or the European Constitutional Treaty [ECT], was the product of the European Convention of the Future of Europe. This body was founded in the wake of the 2001 Intergovernmental Conference [IGC] in Laecken, as EU-member states called to increase the democracy, transparency, and efficiency of the EU (Europa Nu, n.d.a). This came at an eventful time for the EU: the Euro had just been introduced and ten new member-states were set to join in 2004 (Harryvan &amp; Van der Harst, 2013). After over a year of uniquely transparent negotiations among 105 members led by Valéry Giscard d’Estaing, the European Convention produced the ECT in July 2003 (Harryvan &amp; Van der Harst, 2013, p. 237). Subsequently, it was submitted to the heads of member-states during IGC’s in 2003 and 2004, where the definitive Treaty was determined. Ultimately, the European leaders arrived at an agreement in June 2004 and signed the agreement on October 29 2004 (European Parliament, n.d.).</w:t>
      </w:r>
    </w:p>
    <w:p w14:paraId="190D9CAE" w14:textId="77777777" w:rsidR="00ED1DD9" w:rsidRDefault="00ED1DD9" w:rsidP="00ED1DD9">
      <w:pPr>
        <w:jc w:val="both"/>
        <w:rPr>
          <w:lang w:val="en-US"/>
        </w:rPr>
      </w:pPr>
      <w:r>
        <w:rPr>
          <w:lang w:val="en-US"/>
        </w:rPr>
        <w:t>The ECT touched upon a wide variety of subjects, proposing structural changes to the decision-making processes of the EU. Among other things, the competences of the European Parliament were to be extended, and national parliaments would be involved in European decision-making (Harryvan &amp; Van der Harst, 2013) . The European Council would be chaired by a permanent President, and an EU Minister of Foreign Affairs would be installed to preside over common policies on foreign affairs, safety, and security. The ECT also contained a considerable amount of symbolism: the Treaty contained the establishment of a European flag, anthem, and holiday as well. Besides the Netherlands, ten other EU-member states decided to organize referendums on the ECT (Closa, 2007).</w:t>
      </w:r>
    </w:p>
    <w:p w14:paraId="3A406F17" w14:textId="2B48EE4F" w:rsidR="00ED1DD9" w:rsidRPr="00FE6391" w:rsidRDefault="00E370E2" w:rsidP="00E370E2">
      <w:pPr>
        <w:pStyle w:val="Kop3"/>
        <w:rPr>
          <w:lang w:val="en-US"/>
        </w:rPr>
      </w:pPr>
      <w:bookmarkStart w:id="38" w:name="_Toc48891300"/>
      <w:r w:rsidRPr="00E370E2">
        <w:rPr>
          <w:rFonts w:eastAsia="Times New Roman"/>
          <w:color w:val="auto"/>
          <w:u w:val="single"/>
          <w:lang w:val="en-US" w:eastAsia="nl-NL"/>
        </w:rPr>
        <w:t xml:space="preserve">4.1.2 </w:t>
      </w:r>
      <w:r w:rsidR="00ED1DD9" w:rsidRPr="00E370E2">
        <w:rPr>
          <w:rFonts w:eastAsia="Times New Roman"/>
          <w:color w:val="auto"/>
          <w:u w:val="single"/>
          <w:lang w:val="en-US" w:eastAsia="nl-NL"/>
        </w:rPr>
        <w:t>Dutch context</w:t>
      </w:r>
      <w:bookmarkEnd w:id="38"/>
    </w:p>
    <w:p w14:paraId="54F2A1D1" w14:textId="77777777" w:rsidR="00ED1DD9" w:rsidRDefault="00ED1DD9" w:rsidP="00ED1DD9">
      <w:pPr>
        <w:jc w:val="both"/>
        <w:rPr>
          <w:lang w:val="en-US"/>
        </w:rPr>
      </w:pPr>
      <w:r w:rsidRPr="00545C2B">
        <w:rPr>
          <w:lang w:val="en-US"/>
        </w:rPr>
        <w:t xml:space="preserve">The 2005 referendum </w:t>
      </w:r>
      <w:r>
        <w:rPr>
          <w:lang w:val="en-US"/>
        </w:rPr>
        <w:t xml:space="preserve">in the Netherlands </w:t>
      </w:r>
      <w:r w:rsidRPr="00545C2B">
        <w:rPr>
          <w:lang w:val="en-US"/>
        </w:rPr>
        <w:t>was a few y</w:t>
      </w:r>
      <w:r>
        <w:rPr>
          <w:lang w:val="en-US"/>
        </w:rPr>
        <w:t xml:space="preserve">ears in the making. Already in 2002, the </w:t>
      </w:r>
      <w:r>
        <w:rPr>
          <w:i/>
          <w:iCs/>
          <w:lang w:val="en-US"/>
        </w:rPr>
        <w:t>Tweede Kamer</w:t>
      </w:r>
      <w:r>
        <w:rPr>
          <w:lang w:val="en-US"/>
        </w:rPr>
        <w:t xml:space="preserve"> (House of Representatives) supported a motion asking the government to organize a referendum on the outcome of the European Convention. Upon no response, three representatives decided to submit a bill proposing such a referendum in 2003. On November 20 2003, the bill passed the </w:t>
      </w:r>
      <w:r>
        <w:rPr>
          <w:i/>
          <w:iCs/>
          <w:lang w:val="en-US"/>
        </w:rPr>
        <w:t>Tweede Kamer</w:t>
      </w:r>
      <w:r>
        <w:rPr>
          <w:lang w:val="en-US"/>
        </w:rPr>
        <w:t>. After some modifications, the bill finally passed the Senate on January 25</w:t>
      </w:r>
      <w:r w:rsidRPr="00545C2B">
        <w:rPr>
          <w:vertAlign w:val="superscript"/>
          <w:lang w:val="en-US"/>
        </w:rPr>
        <w:t>th</w:t>
      </w:r>
      <w:r>
        <w:rPr>
          <w:lang w:val="en-US"/>
        </w:rPr>
        <w:t xml:space="preserve"> 2005 (Eerste Kamer, n.d.). The bill stipulated that an independent referendum-committee was to  be appointed by the </w:t>
      </w:r>
      <w:r>
        <w:rPr>
          <w:i/>
          <w:iCs/>
          <w:lang w:val="en-US"/>
        </w:rPr>
        <w:t>Tweede Kamer</w:t>
      </w:r>
      <w:r>
        <w:rPr>
          <w:lang w:val="en-US"/>
        </w:rPr>
        <w:t>, which would determine the date of the referendum and the inquiry presented to the electorate. This committee would also divide €1 million in subsidies among civil society campaigning initiative, and was legally tasked with publishing a summary of the ECT. The bill determined that the referendum should take place within five months after establishing the referendum-committee.</w:t>
      </w:r>
    </w:p>
    <w:p w14:paraId="7B36AE4E" w14:textId="40CC4739" w:rsidR="00ED1DD9" w:rsidRDefault="00ED1DD9" w:rsidP="00ED1DD9">
      <w:pPr>
        <w:jc w:val="both"/>
        <w:rPr>
          <w:lang w:val="en-US"/>
        </w:rPr>
      </w:pPr>
      <w:r>
        <w:rPr>
          <w:lang w:val="en-US"/>
        </w:rPr>
        <w:t xml:space="preserve">The ECT could count on widespread support within the </w:t>
      </w:r>
      <w:r>
        <w:rPr>
          <w:i/>
          <w:iCs/>
          <w:lang w:val="en-US"/>
        </w:rPr>
        <w:t>Tweede Kamer</w:t>
      </w:r>
      <w:r>
        <w:rPr>
          <w:lang w:val="en-US"/>
        </w:rPr>
        <w:t>, with all large parties supporting the Treaty (Nijeboer, 2005). Within Parliament, opponents of the Treaty were the Socialist Party, the two small Christian parties, and the populist right LPF and Groep Wilders (Harmsen, 2005). Initial polls in January 2005 showed that over 60% of voters supported the Treaty (MarketResponse, 2005). However, polls signaled declining support: in May, opponents of the ECT had surpassed the number of proponents (Harryvan &amp; Van der Harst, 2013, p. 237). Many pointed to the government’s campaign to declare this turn in public opinion: its campaign was regarded lackluster and weak, starting too late and unable to explain the complex Treaty to wider audiences (De Telegraaf, 2005c; Giebels et al., 2005; Sprenger, 2016a)</w:t>
      </w:r>
    </w:p>
    <w:p w14:paraId="7BC9EF4D" w14:textId="1730B54C" w:rsidR="00ED1DD9" w:rsidRDefault="00E370E2" w:rsidP="00E370E2">
      <w:pPr>
        <w:pStyle w:val="Kop3"/>
        <w:rPr>
          <w:lang w:val="en-US"/>
        </w:rPr>
      </w:pPr>
      <w:bookmarkStart w:id="39" w:name="_Toc48891301"/>
      <w:r w:rsidRPr="00E370E2">
        <w:rPr>
          <w:rFonts w:eastAsia="Times New Roman"/>
          <w:color w:val="auto"/>
          <w:u w:val="single"/>
          <w:lang w:val="en-US" w:eastAsia="nl-NL"/>
        </w:rPr>
        <w:t xml:space="preserve">4.1.3 </w:t>
      </w:r>
      <w:r w:rsidR="00ED1DD9" w:rsidRPr="00E370E2">
        <w:rPr>
          <w:rFonts w:eastAsia="Times New Roman"/>
          <w:color w:val="auto"/>
          <w:u w:val="single"/>
          <w:lang w:val="en-US" w:eastAsia="nl-NL"/>
        </w:rPr>
        <w:t>Political-official relations in the Netherlands</w:t>
      </w:r>
      <w:bookmarkEnd w:id="39"/>
    </w:p>
    <w:p w14:paraId="0CEE5EAD" w14:textId="77777777" w:rsidR="00ED1DD9" w:rsidRDefault="00ED1DD9" w:rsidP="00ED1DD9">
      <w:pPr>
        <w:jc w:val="both"/>
        <w:rPr>
          <w:lang w:val="en-US"/>
        </w:rPr>
      </w:pPr>
      <w:r>
        <w:rPr>
          <w:lang w:val="en-US"/>
        </w:rPr>
        <w:t>The Dutch government was tasked with organizing the referendum, while it was also a partial competitor in the debate running up to it. As it had already signed the Treaty, it was obliged by international procedures to make an effort for its ratification at the domestic level (Nijeboer, 2005). To account for the dual role the government played in this referendum, it was decided in November 2004 that three different campaigns would be set up (Ministry of General Affairs et al., 2004; Nicolaï, 2005a). The Ministry of the Interior would be involved with two neutral campaigns, one promoting voter turn-out and one supporting the independent referendum-committee to provide citizens with neutral information on the referendum and the Treaty. The cabinet’s position would be represented by a campaign conducted by the Ministry of Foreign Affairs. This campaign would be formally directed by a Political Control Group [PCG] consisting of the Ministers of Economic Affairs, Finance, Foreign Affairs, General Affairs (Prime Minister’s Office), and Government Reform (Goeijenbier, 2005).</w:t>
      </w:r>
    </w:p>
    <w:p w14:paraId="2FB2D682" w14:textId="77777777" w:rsidR="00ED1DD9" w:rsidRPr="00FE6391" w:rsidRDefault="00ED1DD9" w:rsidP="00ED1DD9">
      <w:pPr>
        <w:jc w:val="both"/>
        <w:rPr>
          <w:lang w:val="en-US"/>
        </w:rPr>
      </w:pPr>
      <w:r>
        <w:rPr>
          <w:lang w:val="en-US"/>
        </w:rPr>
        <w:t>A civil service Taskforce Referendum [PCG] was set up by to run the cabinet’s campaign. In Dutch public administration, departments are relatively autonomous (Andeweg &amp; Irwin, 2009, p. 179; Harmsen, 1999). Departments have their own organizational culture and operating procedures. Departments are in control of recruitment processes and civil service is not politically appointed.</w:t>
      </w:r>
      <w:r w:rsidRPr="004A0842">
        <w:rPr>
          <w:lang w:val="en-US"/>
        </w:rPr>
        <w:t xml:space="preserve"> </w:t>
      </w:r>
      <w:r>
        <w:rPr>
          <w:lang w:val="en-US"/>
        </w:rPr>
        <w:t>The Ministry of Foreign Affairs, which conducted the referendum-campaign is known to the outside world as a closed, somewhat elitist department (Dohmen, 2009).</w:t>
      </w:r>
    </w:p>
    <w:p w14:paraId="7ADC13E3" w14:textId="77777777" w:rsidR="00ED1DD9" w:rsidRDefault="00ED1DD9" w:rsidP="00ED1DD9">
      <w:pPr>
        <w:jc w:val="both"/>
        <w:rPr>
          <w:lang w:val="en-US"/>
        </w:rPr>
      </w:pPr>
      <w:r>
        <w:rPr>
          <w:lang w:val="en-US"/>
        </w:rPr>
        <w:t>The relationship between civil service and political actors is characterized by the notion of political primacy and civil servant loyalty (Geul, 2018, pp. 57-8). Civil servants are expected to best serve the cabinet members and their political line. This requires independence and critical thinking, expressing criticism until the political actors have made their decision. After these decisions are taken, civil servants will put in their best efforts to realize them.</w:t>
      </w:r>
    </w:p>
    <w:p w14:paraId="47A9AEA7" w14:textId="7CF44F84" w:rsidR="00165D9B" w:rsidRPr="008910B5" w:rsidRDefault="00165D9B">
      <w:pPr>
        <w:rPr>
          <w:color w:val="FF0000"/>
          <w:lang w:val="en-US"/>
        </w:rPr>
      </w:pPr>
      <w:r w:rsidRPr="008910B5">
        <w:rPr>
          <w:color w:val="FF0000"/>
          <w:lang w:val="en-US"/>
        </w:rPr>
        <w:br w:type="page"/>
      </w:r>
    </w:p>
    <w:p w14:paraId="7B3E1533" w14:textId="657B8295" w:rsidR="00A81153" w:rsidRPr="00A81153" w:rsidRDefault="00716930" w:rsidP="00A81153">
      <w:pPr>
        <w:pStyle w:val="Kop2"/>
        <w:rPr>
          <w:color w:val="auto"/>
          <w:lang w:val="en-US"/>
        </w:rPr>
      </w:pPr>
      <w:bookmarkStart w:id="40" w:name="_Toc48891302"/>
      <w:r w:rsidRPr="00A81153">
        <w:rPr>
          <w:color w:val="auto"/>
          <w:lang w:val="en-US"/>
        </w:rPr>
        <w:t>4.2 Bureaucratic roles</w:t>
      </w:r>
      <w:bookmarkEnd w:id="40"/>
    </w:p>
    <w:p w14:paraId="1455D251" w14:textId="54669B68" w:rsidR="002324B5" w:rsidRPr="00A81153" w:rsidRDefault="00EF1845" w:rsidP="002324B5">
      <w:pPr>
        <w:pStyle w:val="Kop3"/>
        <w:rPr>
          <w:rFonts w:eastAsia="Times New Roman"/>
          <w:color w:val="auto"/>
          <w:u w:val="single"/>
          <w:lang w:val="en-US" w:eastAsia="nl-NL"/>
        </w:rPr>
      </w:pPr>
      <w:bookmarkStart w:id="41" w:name="_Toc48891303"/>
      <w:r w:rsidRPr="00A81153">
        <w:rPr>
          <w:rFonts w:eastAsia="Times New Roman"/>
          <w:color w:val="auto"/>
          <w:u w:val="single"/>
          <w:lang w:val="en-US" w:eastAsia="nl-NL"/>
        </w:rPr>
        <w:t xml:space="preserve">4.2.1 </w:t>
      </w:r>
      <w:r w:rsidR="00716930" w:rsidRPr="00A81153">
        <w:rPr>
          <w:rFonts w:eastAsia="Times New Roman"/>
          <w:color w:val="auto"/>
          <w:u w:val="single"/>
          <w:lang w:val="en-US" w:eastAsia="nl-NL"/>
        </w:rPr>
        <w:t>Phase I</w:t>
      </w:r>
      <w:r w:rsidR="00106232">
        <w:rPr>
          <w:rFonts w:eastAsia="Times New Roman"/>
          <w:color w:val="auto"/>
          <w:u w:val="single"/>
          <w:lang w:val="en-US" w:eastAsia="nl-NL"/>
        </w:rPr>
        <w:t xml:space="preserve">: Reluctant cabinet members and task-oriented </w:t>
      </w:r>
      <w:r w:rsidR="007A320F">
        <w:rPr>
          <w:rFonts w:eastAsia="Times New Roman"/>
          <w:color w:val="auto"/>
          <w:u w:val="single"/>
          <w:lang w:val="en-US" w:eastAsia="nl-NL"/>
        </w:rPr>
        <w:t>civil servants</w:t>
      </w:r>
      <w:bookmarkEnd w:id="41"/>
    </w:p>
    <w:p w14:paraId="7C61F071" w14:textId="77777777" w:rsidR="00716930" w:rsidRPr="00A81153" w:rsidRDefault="00716930" w:rsidP="002324B5">
      <w:pPr>
        <w:pStyle w:val="Kop4"/>
        <w:rPr>
          <w:color w:val="auto"/>
          <w:lang w:val="en-US"/>
        </w:rPr>
      </w:pPr>
      <w:r w:rsidRPr="00A81153">
        <w:rPr>
          <w:color w:val="auto"/>
          <w:lang w:val="en-US"/>
        </w:rPr>
        <w:t>Political actors reluctant to engage</w:t>
      </w:r>
    </w:p>
    <w:p w14:paraId="545215A9" w14:textId="75DDE4AF" w:rsidR="00716930" w:rsidRDefault="00716930" w:rsidP="00716930">
      <w:pPr>
        <w:jc w:val="both"/>
        <w:rPr>
          <w:lang w:val="en-US"/>
        </w:rPr>
      </w:pPr>
      <w:r>
        <w:rPr>
          <w:lang w:val="en-US"/>
        </w:rPr>
        <w:t>The Balkenende administration explicitly opposed the referendum of the European Constitutional Treaty [ECT] (Tweede Kamer</w:t>
      </w:r>
      <w:r w:rsidR="006F0BCD">
        <w:rPr>
          <w:lang w:val="en-US"/>
        </w:rPr>
        <w:t>, 2003</w:t>
      </w:r>
      <w:r w:rsidR="004C7E34">
        <w:rPr>
          <w:lang w:val="en-US"/>
        </w:rPr>
        <w:t>a</w:t>
      </w:r>
      <w:r>
        <w:rPr>
          <w:lang w:val="en-US"/>
        </w:rPr>
        <w:t xml:space="preserve">). It was unpleasantly surprised when the representatives of coalition-party VVD unexpectedly supported the proposal in the </w:t>
      </w:r>
      <w:r>
        <w:rPr>
          <w:i/>
          <w:iCs/>
          <w:lang w:val="en-US"/>
        </w:rPr>
        <w:t>Tweede Kamer</w:t>
      </w:r>
      <w:r>
        <w:rPr>
          <w:lang w:val="en-US"/>
        </w:rPr>
        <w:t xml:space="preserve">, deciding the vote (Schulte &amp; Soetenhorst, 2005; Sprenger, 2016a; Zalm, 2009). While they did not anticipate the referendum-outcome to be overwhelmingly negative, </w:t>
      </w:r>
      <w:r w:rsidR="00454AF1">
        <w:rPr>
          <w:lang w:val="en-US"/>
        </w:rPr>
        <w:t>cabinet members</w:t>
      </w:r>
      <w:r>
        <w:rPr>
          <w:lang w:val="en-US"/>
        </w:rPr>
        <w:t xml:space="preserve"> felt from the start that the “yes”-campaign would be a difficult task and that public support for the ECT was not a done deal (K. Berghuis</w:t>
      </w:r>
      <w:r>
        <w:rPr>
          <w:rStyle w:val="Voetnootmarkering"/>
          <w:lang w:val="en-US"/>
        </w:rPr>
        <w:footnoteReference w:id="2"/>
      </w:r>
      <w:r>
        <w:rPr>
          <w:lang w:val="en-US"/>
        </w:rPr>
        <w:t>, interview, May 28 2020; B. Bot</w:t>
      </w:r>
      <w:r>
        <w:rPr>
          <w:rStyle w:val="Voetnootmarkering"/>
          <w:lang w:val="en-US"/>
        </w:rPr>
        <w:footnoteReference w:id="3"/>
      </w:r>
      <w:r>
        <w:rPr>
          <w:lang w:val="en-US"/>
        </w:rPr>
        <w:t xml:space="preserve"> in Hermans &amp; Maat, 2012; A. Nicolaï</w:t>
      </w:r>
      <w:r>
        <w:rPr>
          <w:rStyle w:val="Voetnootmarkering"/>
          <w:lang w:val="en-US"/>
        </w:rPr>
        <w:footnoteReference w:id="4"/>
      </w:r>
      <w:r>
        <w:rPr>
          <w:lang w:val="en-US"/>
        </w:rPr>
        <w:t>, interview, May 18 2020; G. Zalm</w:t>
      </w:r>
      <w:r>
        <w:rPr>
          <w:rStyle w:val="Voetnootmarkering"/>
          <w:lang w:val="en-US"/>
        </w:rPr>
        <w:footnoteReference w:id="5"/>
      </w:r>
      <w:r>
        <w:rPr>
          <w:lang w:val="en-US"/>
        </w:rPr>
        <w:t xml:space="preserve">, interview, May 28 2020). </w:t>
      </w:r>
    </w:p>
    <w:p w14:paraId="6C15E2E9" w14:textId="77777777" w:rsidR="00716930" w:rsidRDefault="00716930" w:rsidP="00716930">
      <w:pPr>
        <w:jc w:val="both"/>
        <w:rPr>
          <w:lang w:val="en-US"/>
        </w:rPr>
      </w:pPr>
      <w:r>
        <w:rPr>
          <w:lang w:val="en-US"/>
        </w:rPr>
        <w:t xml:space="preserve">The initial governmental strategy outlined in November 2004 shows the government distancing themselves from the referendum-outcome. It describes the government as a relevant player, yet not a leading actor in the public debate on the ECT (Ministry of General Affairs et al., 2004). The government planned to take up a modest role in the campaign, continuously emphasizing explicitly that the referendum-outcome was council to Parliament. The administration saw the referendum as something that belonged to the </w:t>
      </w:r>
      <w:r>
        <w:rPr>
          <w:i/>
          <w:iCs/>
          <w:lang w:val="en-US"/>
        </w:rPr>
        <w:t>Tweede Kamer</w:t>
      </w:r>
      <w:r>
        <w:rPr>
          <w:lang w:val="en-US"/>
        </w:rPr>
        <w:t>, which they simply had to execute (J. van Aartsen</w:t>
      </w:r>
      <w:r>
        <w:rPr>
          <w:rStyle w:val="Voetnootmarkering"/>
          <w:lang w:val="en-US"/>
        </w:rPr>
        <w:footnoteReference w:id="6"/>
      </w:r>
      <w:r>
        <w:rPr>
          <w:lang w:val="en-US"/>
        </w:rPr>
        <w:t>, interview, May 22 2020; A. Nicolaï, interview, May 18 2020; R. Passchier</w:t>
      </w:r>
      <w:r>
        <w:rPr>
          <w:rStyle w:val="Voetnootmarkering"/>
          <w:lang w:val="en-US"/>
        </w:rPr>
        <w:footnoteReference w:id="7"/>
      </w:r>
      <w:r>
        <w:rPr>
          <w:lang w:val="en-US"/>
        </w:rPr>
        <w:t>, interview, May 1 2020).</w:t>
      </w:r>
    </w:p>
    <w:p w14:paraId="1EAF01C7" w14:textId="77777777" w:rsidR="00716930" w:rsidRDefault="00716930" w:rsidP="00716930">
      <w:pPr>
        <w:jc w:val="both"/>
        <w:rPr>
          <w:lang w:val="en-US"/>
        </w:rPr>
      </w:pPr>
      <w:r>
        <w:rPr>
          <w:lang w:val="en-US"/>
        </w:rPr>
        <w:t xml:space="preserve">The November 2004 strategy determined that Ministry of Foreign Affairs was responsible for the cabinet’s campaign supporting the ECT (Ministry of General Affairs et al., 2004; Ministry of the Interior, 2004). An organizational structure comparable to those used in crisis situations was proposed (Ministry of General Affairs et al., 2004). Several political and civil service working groups were established, including the Political Control Group [PCG] and the project group that would later become known as the Taskforce Referendum [TFR]. Part of the strategy included appointing one or several members of cabinet as internal coordinator(s) and face of the campaign to the outside world. However, no cabinet-member really felt ownership over the matter (K. Berghuis, interview, May 28 2020; A. Nicolaï, interview, May 18 2020). </w:t>
      </w:r>
    </w:p>
    <w:p w14:paraId="3AE3EFF5" w14:textId="77777777" w:rsidR="00716930" w:rsidRDefault="00716930" w:rsidP="00716930">
      <w:pPr>
        <w:jc w:val="both"/>
        <w:rPr>
          <w:lang w:val="en-US"/>
        </w:rPr>
      </w:pPr>
      <w:r>
        <w:rPr>
          <w:lang w:val="en-US"/>
        </w:rPr>
        <w:t>Ultimately, State Secretary of Foreign Affairs Nicolaï was appointed by the administration to fulfill this role. This was a remarkable choice, as State Secretaries are lower-ranked members of the administration. They are only allowed to take part in the weekly Council of Ministers upon formal invitation and do not hold voting rights there (Andeweg &amp; Irwin, 2009, p. 140). Since the Prime Minister and the Minister of Foreign Affairs were the ones to sign the Treaty, having one of them lead the campaign would have been an obvious choice. However, higher-ranked Ministers allegedly feared burning their fingers on what they felt would be a difficult issue, leading them to refrain from taking up a more prominent role in the initial phase (Giebels et al., 2005; Koele, 2005; A. Nicolaï, interview, May 18 2020; Peeperkorn, 2005a; R. Passchier, interview, May 1 2020).</w:t>
      </w:r>
    </w:p>
    <w:p w14:paraId="55795A7A" w14:textId="77777777" w:rsidR="00716930" w:rsidRPr="00A81153" w:rsidRDefault="00716930" w:rsidP="002324B5">
      <w:pPr>
        <w:pStyle w:val="Kop4"/>
        <w:rPr>
          <w:color w:val="auto"/>
          <w:lang w:val="en-US"/>
        </w:rPr>
      </w:pPr>
      <w:r w:rsidRPr="00A81153">
        <w:rPr>
          <w:color w:val="auto"/>
          <w:lang w:val="en-US"/>
        </w:rPr>
        <w:t>Civil service: focus on procedures and responsibilities</w:t>
      </w:r>
    </w:p>
    <w:p w14:paraId="2B90D74F" w14:textId="77777777" w:rsidR="00716930" w:rsidRPr="00860BE1" w:rsidRDefault="00716930" w:rsidP="00716930">
      <w:pPr>
        <w:jc w:val="both"/>
        <w:rPr>
          <w:lang w:val="en-US"/>
        </w:rPr>
      </w:pPr>
      <w:r>
        <w:rPr>
          <w:lang w:val="en-US"/>
        </w:rPr>
        <w:t>Already before the structures determined within the November 2004 strategy were formally established, civil servants within the Ministry of Foreign Affairs were working on the preparations for the cabinet’s campaign (R. Passchier, interview, May 1 2020; T. van der Plas</w:t>
      </w:r>
      <w:r>
        <w:rPr>
          <w:rStyle w:val="Voetnootmarkering"/>
          <w:lang w:val="en-US"/>
        </w:rPr>
        <w:footnoteReference w:id="8"/>
      </w:r>
      <w:r>
        <w:rPr>
          <w:lang w:val="en-US"/>
        </w:rPr>
        <w:t xml:space="preserve">, interview, May 8 2020). </w:t>
      </w:r>
    </w:p>
    <w:p w14:paraId="6EA0B522" w14:textId="0D696CD2" w:rsidR="00716930" w:rsidRDefault="00716930" w:rsidP="00716930">
      <w:pPr>
        <w:jc w:val="both"/>
        <w:rPr>
          <w:lang w:val="en-US"/>
        </w:rPr>
      </w:pPr>
      <w:r>
        <w:rPr>
          <w:lang w:val="en-US"/>
        </w:rPr>
        <w:t>As coordinator of the government campaign, State Secretary Nicolaï was responsible for selecting the leader of the TFR. Despite considering experienced civil servants to lead the campaign, both Nicolaï and civil servants involved with the campaign prefer</w:t>
      </w:r>
      <w:r w:rsidR="000E509E">
        <w:rPr>
          <w:lang w:val="en-US"/>
        </w:rPr>
        <w:t>red</w:t>
      </w:r>
      <w:r>
        <w:rPr>
          <w:lang w:val="en-US"/>
        </w:rPr>
        <w:t xml:space="preserve"> an external project</w:t>
      </w:r>
      <w:r w:rsidR="000E509E">
        <w:rPr>
          <w:lang w:val="en-US"/>
        </w:rPr>
        <w:t xml:space="preserve"> leader</w:t>
      </w:r>
      <w:r>
        <w:rPr>
          <w:lang w:val="en-US"/>
        </w:rPr>
        <w:t xml:space="preserve"> (J. Goeijenbier</w:t>
      </w:r>
      <w:r>
        <w:rPr>
          <w:rStyle w:val="Voetnootmarkering"/>
          <w:lang w:val="en-US"/>
        </w:rPr>
        <w:footnoteReference w:id="9"/>
      </w:r>
      <w:r>
        <w:rPr>
          <w:lang w:val="en-US"/>
        </w:rPr>
        <w:t>, May 12 2020, A. Nicolaï, interview, May 18 2020; J. Sprenger</w:t>
      </w:r>
      <w:r>
        <w:rPr>
          <w:rStyle w:val="Voetnootmarkering"/>
          <w:lang w:val="en-US"/>
        </w:rPr>
        <w:footnoteReference w:id="10"/>
      </w:r>
      <w:r>
        <w:rPr>
          <w:lang w:val="en-US"/>
        </w:rPr>
        <w:t xml:space="preserve">, interview, May 4 2020; T. van der Plas, interview, May 8 2020). It was thought that this would lead to a more professional and fresh approach, and that a civil servant was not in a position to lead the campaign. </w:t>
      </w:r>
    </w:p>
    <w:p w14:paraId="2651C57A" w14:textId="77777777" w:rsidR="00716930" w:rsidRDefault="00716930" w:rsidP="00716930">
      <w:pPr>
        <w:jc w:val="both"/>
        <w:rPr>
          <w:lang w:val="en-US"/>
        </w:rPr>
      </w:pPr>
      <w:r>
        <w:rPr>
          <w:lang w:val="en-US"/>
        </w:rPr>
        <w:t xml:space="preserve">Early February 2005, the PCG established Jan Goeijenbier as leader of the TFR. Goeijenbier, with his experience in the world of PR and politics, was expected to have authority with members of the administration (J. Goeijenbier, interview, May 12 2020). Their public performances were an essential part of the campaign strategy outlined in November 2004 (Ministry of General Affairs et al., 2004). Hiring Goeijenbier was thus to some extent a strategic move to ensure the authority and ultimately support for the decisions of the TFR, which consisted mostly of civil servants. </w:t>
      </w:r>
    </w:p>
    <w:p w14:paraId="2A1190FE" w14:textId="01504B37" w:rsidR="00716930" w:rsidRPr="00A81153" w:rsidRDefault="002324B5" w:rsidP="002324B5">
      <w:pPr>
        <w:pStyle w:val="Kop3"/>
        <w:rPr>
          <w:rFonts w:eastAsia="Times New Roman"/>
          <w:color w:val="auto"/>
          <w:u w:val="single"/>
          <w:lang w:val="en-US" w:eastAsia="nl-NL"/>
        </w:rPr>
      </w:pPr>
      <w:bookmarkStart w:id="42" w:name="_Toc48891304"/>
      <w:r w:rsidRPr="00A81153">
        <w:rPr>
          <w:rFonts w:eastAsia="Times New Roman"/>
          <w:color w:val="auto"/>
          <w:u w:val="single"/>
          <w:lang w:val="en-US" w:eastAsia="nl-NL"/>
        </w:rPr>
        <w:t xml:space="preserve">4.2.2 </w:t>
      </w:r>
      <w:r w:rsidR="00716930" w:rsidRPr="00A81153">
        <w:rPr>
          <w:rFonts w:eastAsia="Times New Roman"/>
          <w:color w:val="auto"/>
          <w:u w:val="single"/>
          <w:lang w:val="en-US" w:eastAsia="nl-NL"/>
        </w:rPr>
        <w:t>Phase II</w:t>
      </w:r>
      <w:r w:rsidR="007A320F">
        <w:rPr>
          <w:rFonts w:eastAsia="Times New Roman"/>
          <w:color w:val="auto"/>
          <w:u w:val="single"/>
          <w:lang w:val="en-US" w:eastAsia="nl-NL"/>
        </w:rPr>
        <w:t xml:space="preserve">: </w:t>
      </w:r>
      <w:r w:rsidR="00DC4EF3">
        <w:rPr>
          <w:rFonts w:eastAsia="Times New Roman"/>
          <w:color w:val="auto"/>
          <w:u w:val="single"/>
          <w:lang w:val="en-US" w:eastAsia="nl-NL"/>
        </w:rPr>
        <w:t>Ensuring a soft-landing for the campaign strategy</w:t>
      </w:r>
      <w:bookmarkEnd w:id="42"/>
    </w:p>
    <w:p w14:paraId="7A29DEEB" w14:textId="77777777" w:rsidR="00716930" w:rsidRPr="00A81153" w:rsidRDefault="00716930" w:rsidP="002324B5">
      <w:pPr>
        <w:pStyle w:val="Kop4"/>
        <w:rPr>
          <w:color w:val="auto"/>
          <w:lang w:val="en-US"/>
        </w:rPr>
      </w:pPr>
      <w:r w:rsidRPr="00A81153">
        <w:rPr>
          <w:color w:val="auto"/>
          <w:lang w:val="en-US"/>
        </w:rPr>
        <w:t>Assembling the TFR</w:t>
      </w:r>
    </w:p>
    <w:p w14:paraId="3359E704" w14:textId="77777777" w:rsidR="00716930" w:rsidRDefault="00716930" w:rsidP="00716930">
      <w:pPr>
        <w:jc w:val="both"/>
        <w:rPr>
          <w:lang w:val="en-US"/>
        </w:rPr>
      </w:pPr>
      <w:r>
        <w:rPr>
          <w:lang w:val="en-US"/>
        </w:rPr>
        <w:t>Goeijenbier had negotiated the ability to select his own team during his talks with Nicolaï (Goeijenbier, 2005; J. Goeijenbier, interview, May 12 2020). He used the latter to make sure the composition of the TFR reflected the departments of the members of the PCG. On the one hand this served to diversify the TFR, moving somewhat away from the Ministry of Foreign Affairs. On the other hand, it provided insights into the internal debates held within the departments and allowed for alternative points of access to the leaders of the departments (Goeijenbier, 2005; J. Goeijenbier, interview, May 12 2020; R. Passchier, interview, May 1 2020). The latter could be seen as strategic advantages in creating support for the activities of the TFR.</w:t>
      </w:r>
    </w:p>
    <w:p w14:paraId="1B0051DB" w14:textId="2C30CF94" w:rsidR="00716930" w:rsidRDefault="00716930" w:rsidP="00716930">
      <w:pPr>
        <w:jc w:val="both"/>
        <w:rPr>
          <w:lang w:val="en-US"/>
        </w:rPr>
      </w:pPr>
      <w:r>
        <w:rPr>
          <w:lang w:val="en-US"/>
        </w:rPr>
        <w:t xml:space="preserve">Civil servants were not necessarily eager to join the campaign (J. Goeijenbier, interview, May 12 2020; R. Passchier, interview, May 1 2020). However, there was a clear sense that this was simply that had to be done and that civil service held a responsibility. The Ministry of Foreign Affairs was quite a formalistic organization at the time, known for elitism and a closed nature among outsiders </w:t>
      </w:r>
      <w:r w:rsidRPr="296CB7AC">
        <w:rPr>
          <w:lang w:val="en-US"/>
        </w:rPr>
        <w:t>K. Aarts</w:t>
      </w:r>
      <w:r>
        <w:rPr>
          <w:rStyle w:val="Voetnootmarkering"/>
          <w:lang w:val="en-US"/>
        </w:rPr>
        <w:footnoteReference w:id="11"/>
      </w:r>
      <w:r w:rsidRPr="296CB7AC">
        <w:rPr>
          <w:lang w:val="en-US"/>
        </w:rPr>
        <w:t xml:space="preserve">, </w:t>
      </w:r>
      <w:r>
        <w:rPr>
          <w:lang w:val="en-US"/>
        </w:rPr>
        <w:t xml:space="preserve">interview, </w:t>
      </w:r>
      <w:r w:rsidRPr="296CB7AC">
        <w:rPr>
          <w:lang w:val="en-US"/>
        </w:rPr>
        <w:t>April 23 2020; R. Boudewijn</w:t>
      </w:r>
      <w:r>
        <w:rPr>
          <w:rStyle w:val="Voetnootmarkering"/>
          <w:lang w:val="en-US"/>
        </w:rPr>
        <w:footnoteReference w:id="12"/>
      </w:r>
      <w:r w:rsidRPr="296CB7AC">
        <w:rPr>
          <w:lang w:val="en-US"/>
        </w:rPr>
        <w:t xml:space="preserve">, </w:t>
      </w:r>
      <w:r>
        <w:rPr>
          <w:lang w:val="en-US"/>
        </w:rPr>
        <w:t xml:space="preserve">interview, </w:t>
      </w:r>
      <w:r w:rsidRPr="296CB7AC">
        <w:rPr>
          <w:lang w:val="en-US"/>
        </w:rPr>
        <w:t>May 26 2020; K. Versteegh</w:t>
      </w:r>
      <w:r>
        <w:rPr>
          <w:rStyle w:val="Voetnootmarkering"/>
          <w:lang w:val="en-US"/>
        </w:rPr>
        <w:footnoteReference w:id="13"/>
      </w:r>
      <w:r w:rsidRPr="296CB7AC">
        <w:rPr>
          <w:lang w:val="en-US"/>
        </w:rPr>
        <w:t xml:space="preserve">, </w:t>
      </w:r>
      <w:r>
        <w:rPr>
          <w:lang w:val="en-US"/>
        </w:rPr>
        <w:t xml:space="preserve">interview, </w:t>
      </w:r>
      <w:r w:rsidRPr="296CB7AC">
        <w:rPr>
          <w:lang w:val="en-US"/>
        </w:rPr>
        <w:t>May 26 2020</w:t>
      </w:r>
      <w:r>
        <w:rPr>
          <w:lang w:val="en-US"/>
        </w:rPr>
        <w:t xml:space="preserve"> . Within the Ministry of Foreign Affairs, </w:t>
      </w:r>
      <w:r w:rsidR="000E509E">
        <w:rPr>
          <w:lang w:val="en-US"/>
        </w:rPr>
        <w:t>awareness of the political-admi</w:t>
      </w:r>
      <w:r>
        <w:rPr>
          <w:lang w:val="en-US"/>
        </w:rPr>
        <w:t xml:space="preserve">nistrative relations was deemed necessary, but taking a political stance was deemed as inappropriate (R. Passchier, May 1 2020). As they commenced their work, members of the Taskforce did feel that they would likely succeed in their task to persuade the majority of the electorate to support the Treaty (J. Goeijenbier, interview, May 12 2020; R. Passchier, May 1 2020; T. van der Plas, interview, May 8 2020). </w:t>
      </w:r>
    </w:p>
    <w:p w14:paraId="76510A62" w14:textId="77777777" w:rsidR="00716930" w:rsidRPr="00A81153" w:rsidRDefault="00716930" w:rsidP="002324B5">
      <w:pPr>
        <w:pStyle w:val="Kop4"/>
        <w:rPr>
          <w:color w:val="auto"/>
          <w:lang w:val="en-US"/>
        </w:rPr>
      </w:pPr>
      <w:r w:rsidRPr="00A81153">
        <w:rPr>
          <w:color w:val="auto"/>
          <w:lang w:val="en-US"/>
        </w:rPr>
        <w:t>Research-informed strategy</w:t>
      </w:r>
    </w:p>
    <w:p w14:paraId="1E084AEA" w14:textId="77777777" w:rsidR="00716930" w:rsidRDefault="00716930" w:rsidP="00716930">
      <w:pPr>
        <w:jc w:val="both"/>
        <w:rPr>
          <w:lang w:val="en-US"/>
        </w:rPr>
      </w:pPr>
      <w:r>
        <w:rPr>
          <w:lang w:val="en-US"/>
        </w:rPr>
        <w:t xml:space="preserve">Goeijenbier was also granted an increased budget for public opinion research (Goeijenbier, 2005; J. Goeijenbier, interview May 12 2020). After the initial base-line research in January 2005, public opinion was monitored through monthly qualitative and quantitative research (PQR, 2005; MarketResponse, 2005, The SmartAgent Company, 2005; Winninghoff &amp; Jansen, 2005). This research served as input for the campaign strategy. Among other things, it led the TFR to advocate for positive messaging as negative arguments were found to be counterproductive (J. Goeijenbier, interview, May 12 2020; T. van der Plas, interview, May 8 2020; Winninghoff &amp; Jansen, 2005). </w:t>
      </w:r>
    </w:p>
    <w:p w14:paraId="3F2EA97B" w14:textId="412D76E8" w:rsidR="00716930" w:rsidRDefault="00716930" w:rsidP="00716930">
      <w:pPr>
        <w:jc w:val="both"/>
        <w:rPr>
          <w:lang w:val="en-US"/>
        </w:rPr>
      </w:pPr>
      <w:r>
        <w:rPr>
          <w:lang w:val="en-US"/>
        </w:rPr>
        <w:t xml:space="preserve">Furthermore, public opinion-research had shown that the administration was not popular among the electorate (A. Nicolaï, interview, May 18 2020; T. van der Plas) . It was concluded that it was unwise to rely upon </w:t>
      </w:r>
      <w:r w:rsidR="00454AF1">
        <w:rPr>
          <w:lang w:val="en-US"/>
        </w:rPr>
        <w:t>cabinet members</w:t>
      </w:r>
      <w:r>
        <w:rPr>
          <w:lang w:val="en-US"/>
        </w:rPr>
        <w:t xml:space="preserve"> as the sole promotor of the government’s position. A considerable part of the TFR’s strategy was aimed at involving civil society organizations and the business community to publicly support the ECT (Goeijenbier, 2005; T. van der Plas, interview, May 8 2020). However, it soon became clear that these organizations were reluctant to enter the political debate, </w:t>
      </w:r>
      <w:r w:rsidR="00D14B53">
        <w:rPr>
          <w:lang w:val="en-US"/>
        </w:rPr>
        <w:t xml:space="preserve">often </w:t>
      </w:r>
      <w:r>
        <w:rPr>
          <w:lang w:val="en-US"/>
        </w:rPr>
        <w:t xml:space="preserve">waiting for the government’s campaign to take off </w:t>
      </w:r>
      <w:r w:rsidR="00D14B53">
        <w:rPr>
          <w:lang w:val="en-US"/>
        </w:rPr>
        <w:t xml:space="preserve">first </w:t>
      </w:r>
      <w:r>
        <w:rPr>
          <w:lang w:val="en-US"/>
        </w:rPr>
        <w:t>(Giebels et al., 2005; Kranenburg, 2005; Ve</w:t>
      </w:r>
      <w:r w:rsidR="00D14B53">
        <w:rPr>
          <w:lang w:val="en-US"/>
        </w:rPr>
        <w:t>r</w:t>
      </w:r>
      <w:r>
        <w:rPr>
          <w:lang w:val="en-US"/>
        </w:rPr>
        <w:t>steegh &amp; De Waard, 2005).</w:t>
      </w:r>
    </w:p>
    <w:p w14:paraId="7C28AF8B" w14:textId="77777777" w:rsidR="00716930" w:rsidRPr="00A81153" w:rsidRDefault="00716930" w:rsidP="002324B5">
      <w:pPr>
        <w:pStyle w:val="Kop4"/>
        <w:rPr>
          <w:color w:val="auto"/>
          <w:lang w:val="en-US"/>
        </w:rPr>
      </w:pPr>
      <w:r w:rsidRPr="00A81153">
        <w:rPr>
          <w:color w:val="auto"/>
          <w:lang w:val="en-US"/>
        </w:rPr>
        <w:t xml:space="preserve">Building support </w:t>
      </w:r>
    </w:p>
    <w:p w14:paraId="3FE35BDC" w14:textId="77777777" w:rsidR="00716930" w:rsidRDefault="00716930" w:rsidP="00716930">
      <w:pPr>
        <w:jc w:val="both"/>
        <w:rPr>
          <w:lang w:val="en-US"/>
        </w:rPr>
      </w:pPr>
      <w:r>
        <w:rPr>
          <w:lang w:val="en-US"/>
        </w:rPr>
        <w:t xml:space="preserve">The TFR spent considerable time on creating support for their campaign across the Ministries. TFR-leader Goeijenbier (2005, p.4) estimates that 70% of his work during the campaign was devoted to “the process”: connecting with relevant policy departments in other Ministries, creating support for the campaign across the different government organizations. Campaign messages were drafted in close cooperation with the Ministries (Goeijenbier, 2005). This would make it more likely that the final messages were supported by civil servants of the Ministry and, ultimately, its leaders. </w:t>
      </w:r>
    </w:p>
    <w:p w14:paraId="1047E436" w14:textId="51A4B9D3" w:rsidR="00716930" w:rsidRDefault="00716930" w:rsidP="00716930">
      <w:pPr>
        <w:jc w:val="both"/>
        <w:rPr>
          <w:lang w:val="en-US"/>
        </w:rPr>
      </w:pPr>
      <w:r>
        <w:rPr>
          <w:lang w:val="en-US"/>
        </w:rPr>
        <w:t xml:space="preserve">While these actions indicate considerable efforts to build support beforehand, members of the TFR  feel that they did not adapt their proposals to anticipate for the demands of </w:t>
      </w:r>
      <w:r w:rsidR="00454AF1">
        <w:rPr>
          <w:lang w:val="en-US"/>
        </w:rPr>
        <w:t>cabinet members</w:t>
      </w:r>
      <w:r>
        <w:rPr>
          <w:lang w:val="en-US"/>
        </w:rPr>
        <w:t xml:space="preserve"> (J. Goeijenbier, interview, May 12 2020; R. Passchier, interview, May 1 2020). Nevertheless, critique by political actors was taken seriously and incorporated in the strategy. An example of this is the alteration of the core messages developed by the TFR, following critique from members of the administration (Giebels et al., 2005; Goeijenbier, 2005; J. Goeijenbier, interview, May 12 2020). On March 18</w:t>
      </w:r>
      <w:r w:rsidRPr="002E0C16">
        <w:rPr>
          <w:vertAlign w:val="superscript"/>
          <w:lang w:val="en-US"/>
        </w:rPr>
        <w:t>th</w:t>
      </w:r>
      <w:r>
        <w:rPr>
          <w:lang w:val="en-US"/>
        </w:rPr>
        <w:t>, Goeijenbier presented the campaign strategy and tactics to the administration before the Council of Ministers. Minister Donner of Justice felt that the campaign’s core messages were overly positive, and that criticism on the EU should be taken into account. As a consequence, the messages were re-evaluated, and a revised strategy was determined during the PCG-meeting of April 7</w:t>
      </w:r>
      <w:r w:rsidRPr="002E0C16">
        <w:rPr>
          <w:vertAlign w:val="superscript"/>
          <w:lang w:val="en-US"/>
        </w:rPr>
        <w:t>th</w:t>
      </w:r>
      <w:r>
        <w:rPr>
          <w:lang w:val="en-US"/>
        </w:rPr>
        <w:t>.</w:t>
      </w:r>
    </w:p>
    <w:p w14:paraId="310AA490" w14:textId="52046C51" w:rsidR="00716930" w:rsidRDefault="00716930" w:rsidP="00716930">
      <w:pPr>
        <w:jc w:val="both"/>
        <w:rPr>
          <w:lang w:val="en-US"/>
        </w:rPr>
      </w:pPr>
      <w:r>
        <w:rPr>
          <w:lang w:val="en-US"/>
        </w:rPr>
        <w:t xml:space="preserve">The TFR was allowed considerable freedom in determining the campaign strategy (K. Berghuis, May 28 2020; J. Goeijenbier, May 12 2020). The PCG was not a weighty organizational structure, but did provide authority to the campaign plans in the eyes of </w:t>
      </w:r>
      <w:r w:rsidR="00454AF1">
        <w:rPr>
          <w:lang w:val="en-US"/>
        </w:rPr>
        <w:t>cabinet members</w:t>
      </w:r>
      <w:r>
        <w:rPr>
          <w:lang w:val="en-US"/>
        </w:rPr>
        <w:t xml:space="preserve"> (K. Berghuis, May 28 2020; G. Zalm, May 28 2020). The latter function becomes clear during the March 18 presentation of the TFR’s campaign strategy to the administration, as Goeijenbier presents his presentation alongside of Prime Minister Balkenende and State Secretary Nicolaï (Goeijenbier, 2005). </w:t>
      </w:r>
    </w:p>
    <w:p w14:paraId="005803F4" w14:textId="549F989B" w:rsidR="00716930" w:rsidRPr="00A81153" w:rsidRDefault="00834BA6" w:rsidP="002324B5">
      <w:pPr>
        <w:pStyle w:val="Kop3"/>
        <w:rPr>
          <w:rFonts w:eastAsia="Times New Roman"/>
          <w:color w:val="auto"/>
          <w:u w:val="single"/>
          <w:lang w:val="en-US" w:eastAsia="nl-NL"/>
        </w:rPr>
      </w:pPr>
      <w:bookmarkStart w:id="43" w:name="_Toc48891305"/>
      <w:r w:rsidRPr="00A81153">
        <w:rPr>
          <w:rFonts w:eastAsia="Times New Roman"/>
          <w:color w:val="auto"/>
          <w:u w:val="single"/>
          <w:lang w:val="en-US" w:eastAsia="nl-NL"/>
        </w:rPr>
        <w:t xml:space="preserve">4.2.3 </w:t>
      </w:r>
      <w:r w:rsidR="00716930" w:rsidRPr="00A81153">
        <w:rPr>
          <w:rFonts w:eastAsia="Times New Roman"/>
          <w:color w:val="auto"/>
          <w:u w:val="single"/>
          <w:lang w:val="en-US" w:eastAsia="nl-NL"/>
        </w:rPr>
        <w:t>Phase III</w:t>
      </w:r>
      <w:r w:rsidR="003F46FD">
        <w:rPr>
          <w:rFonts w:eastAsia="Times New Roman"/>
          <w:color w:val="auto"/>
          <w:u w:val="single"/>
          <w:lang w:val="en-US" w:eastAsia="nl-NL"/>
        </w:rPr>
        <w:t>: Running the campaign</w:t>
      </w:r>
      <w:bookmarkEnd w:id="43"/>
    </w:p>
    <w:p w14:paraId="02E0519E" w14:textId="77777777" w:rsidR="00716930" w:rsidRPr="00A81153" w:rsidRDefault="00716930" w:rsidP="00834BA6">
      <w:pPr>
        <w:pStyle w:val="Kop4"/>
        <w:rPr>
          <w:color w:val="auto"/>
          <w:lang w:val="en-US"/>
        </w:rPr>
      </w:pPr>
      <w:r w:rsidRPr="00A81153">
        <w:rPr>
          <w:color w:val="auto"/>
          <w:lang w:val="en-US"/>
        </w:rPr>
        <w:t>Fact-based public information</w:t>
      </w:r>
    </w:p>
    <w:p w14:paraId="72A7D98F" w14:textId="085B2487" w:rsidR="00716930" w:rsidRDefault="00716930" w:rsidP="00716930">
      <w:pPr>
        <w:jc w:val="both"/>
        <w:rPr>
          <w:lang w:val="en-US"/>
        </w:rPr>
      </w:pPr>
      <w:r>
        <w:rPr>
          <w:lang w:val="en-US"/>
        </w:rPr>
        <w:t>During the campaign itself, the campaign activities of the TFR were of rather nuanced nature. Public information was presented in a rather formal and factual tone, among others through a flyer, a website, and a tabloid</w:t>
      </w:r>
      <w:r w:rsidR="0035491B">
        <w:rPr>
          <w:lang w:val="en-US"/>
        </w:rPr>
        <w:t>-</w:t>
      </w:r>
      <w:r>
        <w:rPr>
          <w:lang w:val="en-US"/>
        </w:rPr>
        <w:t>style print of the ECT-text (Giebels et al., 2005; Goeijenbier, 2005; Grondweteu.nl, 2005). It was known to the Ministry of Foreign Affairs that there was a gap in citizens’ knowledge on the EU (Ministry of General Affa</w:t>
      </w:r>
      <w:r w:rsidR="0035491B">
        <w:rPr>
          <w:lang w:val="en-US"/>
        </w:rPr>
        <w:t>i</w:t>
      </w:r>
      <w:r>
        <w:rPr>
          <w:lang w:val="en-US"/>
        </w:rPr>
        <w:t xml:space="preserve">rs et al, 2004; R. Passchier, interview, May 1 2020). It had conducted regular survey-research on EU-awareness since 2000 and had started an EU-information campaign in 2004 (Nicolaï, 2003; Sprenger, 2016a). </w:t>
      </w:r>
    </w:p>
    <w:p w14:paraId="2C5247E0" w14:textId="3C0A6943" w:rsidR="00716930" w:rsidRPr="00E217A3" w:rsidRDefault="00716930" w:rsidP="00716930">
      <w:pPr>
        <w:jc w:val="both"/>
        <w:rPr>
          <w:lang w:val="en-US"/>
        </w:rPr>
      </w:pPr>
      <w:r>
        <w:rPr>
          <w:lang w:val="en-US"/>
        </w:rPr>
        <w:t>The TFR  believed the ECT was a valuable product, and that the general public would accept the merit if it could be understood. Part of the TFR was recruited from the Taskforce European Convention, which had negotiated the Treaty and possessed great knowledge on its content (Goeijenbier, interview, May 12 2020; T. van der Plas interview, May 8 2020). They seemingly assumed that greater access to information on the ECT would create greater support for the ECT, a finding that was supported by their public opinion research (Tweede Kame</w:t>
      </w:r>
      <w:r w:rsidR="0035491B">
        <w:rPr>
          <w:lang w:val="en-US"/>
        </w:rPr>
        <w:t>r</w:t>
      </w:r>
      <w:r>
        <w:rPr>
          <w:lang w:val="en-US"/>
        </w:rPr>
        <w:t>, 2005c; PQR, 2005). However, the TFR struggled to instigate a public in-depth discussion on the content of the ECT itself (R. Passchier, interview, May 1 2020; Van den Boogaard, 2005). Research commissioned by the TFR showed that citizens felt they were not presented sufficient information on the ECT, and that they were suspicious of the credibility of the information they were presented with (PQR, 2005).</w:t>
      </w:r>
    </w:p>
    <w:p w14:paraId="6B9C2FC5" w14:textId="77777777" w:rsidR="00716930" w:rsidRPr="00A81153" w:rsidRDefault="00716930" w:rsidP="00834BA6">
      <w:pPr>
        <w:pStyle w:val="Kop4"/>
        <w:rPr>
          <w:color w:val="auto"/>
          <w:lang w:val="en-US"/>
        </w:rPr>
      </w:pPr>
      <w:r w:rsidRPr="00A81153">
        <w:rPr>
          <w:color w:val="auto"/>
          <w:lang w:val="en-US"/>
        </w:rPr>
        <w:t>Playing defense</w:t>
      </w:r>
    </w:p>
    <w:p w14:paraId="61E178C6" w14:textId="77777777" w:rsidR="00716930" w:rsidRDefault="00716930" w:rsidP="00716930">
      <w:pPr>
        <w:jc w:val="both"/>
        <w:rPr>
          <w:lang w:val="en-US"/>
        </w:rPr>
      </w:pPr>
      <w:r>
        <w:rPr>
          <w:lang w:val="en-US"/>
        </w:rPr>
        <w:t>Based on the strategy agreed upon in the PCG-meeting on April 7</w:t>
      </w:r>
      <w:r w:rsidRPr="0098208A">
        <w:rPr>
          <w:vertAlign w:val="superscript"/>
          <w:lang w:val="en-US"/>
        </w:rPr>
        <w:t>th</w:t>
      </w:r>
      <w:r>
        <w:rPr>
          <w:lang w:val="en-US"/>
        </w:rPr>
        <w:t>, the cabinet planned to express unified support for the ECT from April 20</w:t>
      </w:r>
      <w:r w:rsidRPr="0098208A">
        <w:rPr>
          <w:vertAlign w:val="superscript"/>
          <w:lang w:val="en-US"/>
        </w:rPr>
        <w:t>th</w:t>
      </w:r>
      <w:r>
        <w:rPr>
          <w:lang w:val="en-US"/>
        </w:rPr>
        <w:t xml:space="preserve"> onward and to play a more prominent role in the campaign starting May 9</w:t>
      </w:r>
      <w:r w:rsidRPr="0098208A">
        <w:rPr>
          <w:vertAlign w:val="superscript"/>
          <w:lang w:val="en-US"/>
        </w:rPr>
        <w:t>th</w:t>
      </w:r>
      <w:r>
        <w:rPr>
          <w:lang w:val="en-US"/>
        </w:rPr>
        <w:t xml:space="preserve"> (Goeijenbier, 2005). Nicolaï was described by himself and others as the “quartermaster” of the government’s campaign: the one assigned to lead the initial organization of a completely new task for the government (Koele, 2005;, Nicolaï, 2005c). The Prime Minister was intended to play the main role in the campaign starting from May 15</w:t>
      </w:r>
      <w:r w:rsidRPr="0098208A">
        <w:rPr>
          <w:vertAlign w:val="superscript"/>
          <w:lang w:val="en-US"/>
        </w:rPr>
        <w:t>th</w:t>
      </w:r>
      <w:r>
        <w:rPr>
          <w:lang w:val="en-US"/>
        </w:rPr>
        <w:t xml:space="preserve"> (Goeijenbier, 2005). </w:t>
      </w:r>
    </w:p>
    <w:p w14:paraId="21E32676" w14:textId="42ED8307" w:rsidR="00716930" w:rsidRDefault="00716930" w:rsidP="00716930">
      <w:pPr>
        <w:jc w:val="both"/>
        <w:rPr>
          <w:lang w:val="en-US"/>
        </w:rPr>
      </w:pPr>
      <w:r>
        <w:rPr>
          <w:lang w:val="en-US"/>
        </w:rPr>
        <w:t>Since Parliament held its spring break in the first two weeks of May, the cabinet’s campaign only truly kicked off two weeks before the date of the referendum (Europa Nu, n.d.</w:t>
      </w:r>
      <w:r w:rsidR="00163579">
        <w:rPr>
          <w:lang w:val="en-US"/>
        </w:rPr>
        <w:t>c</w:t>
      </w:r>
      <w:r>
        <w:rPr>
          <w:lang w:val="en-US"/>
        </w:rPr>
        <w:t xml:space="preserve">; Giebels et al., 2005). Despite repeated calls upon </w:t>
      </w:r>
      <w:r w:rsidR="00454AF1">
        <w:rPr>
          <w:lang w:val="en-US"/>
        </w:rPr>
        <w:t>cabinet members</w:t>
      </w:r>
      <w:r>
        <w:rPr>
          <w:lang w:val="en-US"/>
        </w:rPr>
        <w:t xml:space="preserve"> to take up a central position sooner, this did not happen (De Telegraaf, 2005a; NRC Handelsblad 2005a; Van Heteren &amp; Ter Kuile, 2005). The opponents of the ECT had started their campaign earlier and set the tone of the public debate (Giebels, 2005; Lucardie, 2005</w:t>
      </w:r>
      <w:r w:rsidR="00563F3C">
        <w:rPr>
          <w:lang w:val="en-US"/>
        </w:rPr>
        <w:t>; Nijeboer, 2005</w:t>
      </w:r>
      <w:r>
        <w:rPr>
          <w:lang w:val="en-US"/>
        </w:rPr>
        <w:t>). This forced the administration to conduct a defensive campaign, refuting the idea that the ECT would lead Europe to become a “super</w:t>
      </w:r>
      <w:r w:rsidR="00D14B53">
        <w:rPr>
          <w:lang w:val="en-US"/>
        </w:rPr>
        <w:t>-</w:t>
      </w:r>
      <w:r>
        <w:rPr>
          <w:lang w:val="en-US"/>
        </w:rPr>
        <w:t xml:space="preserve">state” and would cause Dutch sovereignty to diminish. </w:t>
      </w:r>
    </w:p>
    <w:p w14:paraId="2247513D" w14:textId="1834E0D3" w:rsidR="00716930" w:rsidRDefault="00716930" w:rsidP="00716930">
      <w:pPr>
        <w:jc w:val="both"/>
        <w:rPr>
          <w:lang w:val="en-US"/>
        </w:rPr>
      </w:pPr>
      <w:r>
        <w:rPr>
          <w:lang w:val="en-US"/>
        </w:rPr>
        <w:t>Considerable time was put in refuting incorrect statements by “no”-campaigners (J. Goeijenbier, interview, May 12 2020; T. van der Plas, interview May 8 2020). The TFR’s website even had a page debunking “myths” on the referendum (Grondweteu.nl, 2005). In the press, incorrect information on the consequences of the ECT or European integration attracted considerable attention. This included statements that the EU could overturn legalized same-sex marriage in The Netherlands with the ECT, and misquoted statements by the director of the Dutch central bank suggesting that the introduction of the Euro had been costly due to unfavorable exchange rates of the Dutch guilder (Damen, 2005; Giebels et al., 2005; T. van der Plas, interview, May 2020). However, rectifications of these incorrect statements usually failed to grasp public and media attention (Hermans &amp; Maat, 2012; T. van der</w:t>
      </w:r>
      <w:r w:rsidR="00454AF1">
        <w:rPr>
          <w:lang w:val="en-US"/>
        </w:rPr>
        <w:t xml:space="preserve"> Plas, May 8 2020). In the mean-</w:t>
      </w:r>
      <w:r>
        <w:rPr>
          <w:lang w:val="en-US"/>
        </w:rPr>
        <w:t>time, the government’s own position and the content of the ECT remained relatively unclear to the larger public (Koele &amp; Peeperkorn, 2005a; PQR, 2005).</w:t>
      </w:r>
    </w:p>
    <w:p w14:paraId="250458DE" w14:textId="46745D8F" w:rsidR="00716930" w:rsidRPr="00A81153" w:rsidRDefault="00716930" w:rsidP="00834BA6">
      <w:pPr>
        <w:pStyle w:val="Kop4"/>
        <w:rPr>
          <w:color w:val="auto"/>
          <w:lang w:val="en-US"/>
        </w:rPr>
      </w:pPr>
      <w:r w:rsidRPr="00A81153">
        <w:rPr>
          <w:color w:val="auto"/>
          <w:lang w:val="en-US"/>
        </w:rPr>
        <w:t xml:space="preserve">Mobilizing </w:t>
      </w:r>
      <w:r w:rsidR="00454AF1" w:rsidRPr="00A81153">
        <w:rPr>
          <w:color w:val="auto"/>
          <w:lang w:val="en-US"/>
        </w:rPr>
        <w:t>cabinet members</w:t>
      </w:r>
    </w:p>
    <w:p w14:paraId="32D20FF8" w14:textId="2C166ADC" w:rsidR="00716930" w:rsidRDefault="00454AF1" w:rsidP="00716930">
      <w:pPr>
        <w:jc w:val="both"/>
        <w:rPr>
          <w:lang w:val="en-US"/>
        </w:rPr>
      </w:pPr>
      <w:r>
        <w:rPr>
          <w:lang w:val="en-US"/>
        </w:rPr>
        <w:t>Cabinet members</w:t>
      </w:r>
      <w:r w:rsidR="00716930">
        <w:rPr>
          <w:lang w:val="en-US"/>
        </w:rPr>
        <w:t xml:space="preserve"> engaged in debates and made media appearances on TV, radio, and in newspapers (Goeijenbier, 2005). They themselves felt they made considerable efforts and did everything they were asked to do (</w:t>
      </w:r>
      <w:r w:rsidR="00DD6CA6">
        <w:rPr>
          <w:lang w:val="en-US"/>
        </w:rPr>
        <w:t xml:space="preserve">Bot, 2016, p. 274; </w:t>
      </w:r>
      <w:r w:rsidR="00716930">
        <w:rPr>
          <w:lang w:val="en-US"/>
        </w:rPr>
        <w:t xml:space="preserve">Eerste Kamer, 2005; G. Zalm, interview, May 28 2020). However, critics felt that the administration lacked enthusiasm in their campaigning and remained largely absent from public debate (Atickan, 2015, p. 137; J. van Aartsen, interview, May 22 2020). Influential “no”-campaigner Harry van Bommel stated that members of the administration were willing to speak in smaller event halls, but refrained from taking center stage in public view (Duong, 2011). </w:t>
      </w:r>
    </w:p>
    <w:p w14:paraId="3FBB7655" w14:textId="3008D628" w:rsidR="00716930" w:rsidRDefault="00716930" w:rsidP="00716930">
      <w:pPr>
        <w:jc w:val="both"/>
        <w:rPr>
          <w:lang w:val="en-US"/>
        </w:rPr>
      </w:pPr>
      <w:r>
        <w:rPr>
          <w:lang w:val="en-US"/>
        </w:rPr>
        <w:t xml:space="preserve">The TFR had difficulty claiming timeslots in the agendas of the busy </w:t>
      </w:r>
      <w:r w:rsidR="00454AF1">
        <w:rPr>
          <w:lang w:val="en-US"/>
        </w:rPr>
        <w:t>cabinet members</w:t>
      </w:r>
      <w:r>
        <w:rPr>
          <w:lang w:val="en-US"/>
        </w:rPr>
        <w:t xml:space="preserve"> (Giebels et al., 2005; T. van der Plas, interview, May 8 2020). Mobilizing </w:t>
      </w:r>
      <w:r w:rsidR="00743959">
        <w:rPr>
          <w:lang w:val="en-US"/>
        </w:rPr>
        <w:t>th</w:t>
      </w:r>
      <w:r w:rsidR="005322B6">
        <w:rPr>
          <w:lang w:val="en-US"/>
        </w:rPr>
        <w:t>em</w:t>
      </w:r>
      <w:r>
        <w:rPr>
          <w:lang w:val="en-US"/>
        </w:rPr>
        <w:t xml:space="preserve"> for the campaign activities proved difficult</w:t>
      </w:r>
      <w:r w:rsidR="00454AF1">
        <w:rPr>
          <w:lang w:val="en-US"/>
        </w:rPr>
        <w:t xml:space="preserve"> at times</w:t>
      </w:r>
      <w:r>
        <w:rPr>
          <w:lang w:val="en-US"/>
        </w:rPr>
        <w:t xml:space="preserve">. A well-known example of this was the refusal of Minister of Finance Gerrit Zalm to hand-out flyers on </w:t>
      </w:r>
      <w:r>
        <w:rPr>
          <w:i/>
          <w:iCs/>
          <w:lang w:val="en-US"/>
        </w:rPr>
        <w:t xml:space="preserve">Het Plein </w:t>
      </w:r>
      <w:r>
        <w:rPr>
          <w:lang w:val="en-US"/>
        </w:rPr>
        <w:t xml:space="preserve">during the break of the Council of Ministers (K. Berghuis, interview, May 28 2020; J. Sprenger, interview, May 4 2020; T. van der Plas, interview, May 8 2020; K. Versteegh, interview, May 26 2020; G. Zalm, interview, May 28 2020). To symbolically show of the unified support of the administration for the ECT, </w:t>
      </w:r>
      <w:r w:rsidR="00454AF1">
        <w:rPr>
          <w:lang w:val="en-US"/>
        </w:rPr>
        <w:t>cabinet members</w:t>
      </w:r>
      <w:r>
        <w:rPr>
          <w:lang w:val="en-US"/>
        </w:rPr>
        <w:t xml:space="preserve"> were asked</w:t>
      </w:r>
      <w:r w:rsidR="00F5174A">
        <w:rPr>
          <w:lang w:val="en-US"/>
        </w:rPr>
        <w:t xml:space="preserve"> to hand out flyers on the next-</w:t>
      </w:r>
      <w:r>
        <w:rPr>
          <w:lang w:val="en-US"/>
        </w:rPr>
        <w:t xml:space="preserve">door </w:t>
      </w:r>
      <w:r>
        <w:rPr>
          <w:i/>
          <w:iCs/>
          <w:lang w:val="en-US"/>
        </w:rPr>
        <w:t>Plein</w:t>
      </w:r>
      <w:r>
        <w:rPr>
          <w:lang w:val="en-US"/>
        </w:rPr>
        <w:t xml:space="preserve">-square during the break of the Council of Ministers (Sprenger, 2016a). </w:t>
      </w:r>
      <w:r w:rsidR="00F5174A">
        <w:rPr>
          <w:lang w:val="en-US"/>
        </w:rPr>
        <w:t xml:space="preserve">Schedule-wise, this was a convenient time and place to get the administration together. However, the squares terraces are usually </w:t>
      </w:r>
      <w:r w:rsidR="007A41DA">
        <w:rPr>
          <w:lang w:val="en-US"/>
        </w:rPr>
        <w:t xml:space="preserve">packed with civil servants (Giebels et al., </w:t>
      </w:r>
      <w:r w:rsidR="00411F41">
        <w:rPr>
          <w:lang w:val="en-US"/>
        </w:rPr>
        <w:t>2005; T. van der Plas, interview</w:t>
      </w:r>
      <w:r w:rsidR="007A41DA">
        <w:rPr>
          <w:lang w:val="en-US"/>
        </w:rPr>
        <w:t>, May 8 2020).</w:t>
      </w:r>
      <w:r w:rsidR="00F5174A">
        <w:rPr>
          <w:i/>
          <w:lang w:val="en-US"/>
        </w:rPr>
        <w:t xml:space="preserve"> </w:t>
      </w:r>
      <w:r>
        <w:rPr>
          <w:lang w:val="en-US"/>
        </w:rPr>
        <w:t>Zalm</w:t>
      </w:r>
      <w:r w:rsidR="007A41DA">
        <w:rPr>
          <w:lang w:val="en-US"/>
        </w:rPr>
        <w:t xml:space="preserve">, who felt handing out flyers here </w:t>
      </w:r>
      <w:r>
        <w:rPr>
          <w:lang w:val="en-US"/>
        </w:rPr>
        <w:t>was disingenuous, declared to present camera crews that he did not feel like it and was not that into leafletting (NOS, 2005; G. Zalm, interview, May 28 2020).</w:t>
      </w:r>
    </w:p>
    <w:p w14:paraId="15B78189" w14:textId="2253FB0E" w:rsidR="00716930" w:rsidRDefault="00716930" w:rsidP="00716930">
      <w:pPr>
        <w:jc w:val="both"/>
        <w:rPr>
          <w:lang w:val="en-US"/>
        </w:rPr>
      </w:pPr>
      <w:r>
        <w:rPr>
          <w:lang w:val="en-US"/>
        </w:rPr>
        <w:t xml:space="preserve">Additionally, the TFR could not keep the administration on message. The carefully constructed core messages of the campaign instructed </w:t>
      </w:r>
      <w:r w:rsidR="00454AF1">
        <w:rPr>
          <w:lang w:val="en-US"/>
        </w:rPr>
        <w:t xml:space="preserve">cabinet members </w:t>
      </w:r>
      <w:r>
        <w:rPr>
          <w:lang w:val="en-US"/>
        </w:rPr>
        <w:t xml:space="preserve">to refrain from negative arguments, as research showed this to be counter-effective (J. Goeijenbier, interview, May 12 2020; T. van der Plas, interview, May 8 2020). These messages had even been distributed as plasticized cards (Peeperkorn, 2005b; Van der Hoeven, 2005). Yet </w:t>
      </w:r>
      <w:r w:rsidR="00454AF1">
        <w:rPr>
          <w:lang w:val="en-US"/>
        </w:rPr>
        <w:t>cabinet members</w:t>
      </w:r>
      <w:r>
        <w:rPr>
          <w:lang w:val="en-US"/>
        </w:rPr>
        <w:t xml:space="preserve"> continuously failed to adhere to this</w:t>
      </w:r>
      <w:r w:rsidR="004C51CF">
        <w:rPr>
          <w:lang w:val="en-US"/>
        </w:rPr>
        <w:t>, using threatening arguments</w:t>
      </w:r>
      <w:r>
        <w:rPr>
          <w:lang w:val="en-US"/>
        </w:rPr>
        <w:t xml:space="preserve"> </w:t>
      </w:r>
      <w:r w:rsidR="004C51CF">
        <w:rPr>
          <w:lang w:val="en-US"/>
        </w:rPr>
        <w:t>linking</w:t>
      </w:r>
      <w:r>
        <w:rPr>
          <w:lang w:val="en-US"/>
        </w:rPr>
        <w:t xml:space="preserve"> the rejection of the ECT to war or economic disaster among other</w:t>
      </w:r>
      <w:r w:rsidR="004C51CF">
        <w:rPr>
          <w:lang w:val="en-US"/>
        </w:rPr>
        <w:t xml:space="preserve"> things</w:t>
      </w:r>
      <w:r>
        <w:rPr>
          <w:lang w:val="en-US"/>
        </w:rPr>
        <w:t xml:space="preserve"> (Donner, 2005; Giebels et al., 2005;  Van den Bos, 2005). These actions were met with critique by civil servants (J. Goeijenbier, interview, May 12 2020; T. van der Plas, interview, May 8 2020). However, the TFR seemingly did not have the authority with </w:t>
      </w:r>
      <w:r w:rsidR="00454AF1">
        <w:rPr>
          <w:lang w:val="en-US"/>
        </w:rPr>
        <w:t>cabinet members</w:t>
      </w:r>
      <w:r>
        <w:rPr>
          <w:lang w:val="en-US"/>
        </w:rPr>
        <w:t xml:space="preserve"> to avoid repetition.</w:t>
      </w:r>
    </w:p>
    <w:p w14:paraId="3BF11267" w14:textId="5C84B10D" w:rsidR="00716930" w:rsidRDefault="00716930" w:rsidP="00716930">
      <w:pPr>
        <w:jc w:val="both"/>
        <w:rPr>
          <w:lang w:val="en-US"/>
        </w:rPr>
      </w:pPr>
      <w:r>
        <w:rPr>
          <w:lang w:val="en-US"/>
        </w:rPr>
        <w:t xml:space="preserve">The political entourage surrounding </w:t>
      </w:r>
      <w:r w:rsidR="00454AF1">
        <w:rPr>
          <w:lang w:val="en-US"/>
        </w:rPr>
        <w:t>cabinet members</w:t>
      </w:r>
      <w:r>
        <w:rPr>
          <w:lang w:val="en-US"/>
        </w:rPr>
        <w:t xml:space="preserve">, such as political-assistants and private secretaries complicated the work of the TFR. Advice by the TFR was met with counter-advice, and political spins in the media at times caused rifts between Ministers (J. Sprenger, interview, May 4 2020; Sprenger, 2016a; T. van der Plas, interview, May 8 2020). Interviewees do not recall conflict in the PCG, as members shared the goal of ratification of the ECT despite different nuances (A. Nicolaï, interview, May 18 2020; </w:t>
      </w:r>
      <w:r w:rsidR="00B55CCF">
        <w:rPr>
          <w:lang w:val="en-US"/>
        </w:rPr>
        <w:t>T. van der Plas, interview, May 8 2020;</w:t>
      </w:r>
      <w:r>
        <w:rPr>
          <w:lang w:val="en-US"/>
        </w:rPr>
        <w:t>G. Zalm, interview, May 28 2020). However, sources indicate that</w:t>
      </w:r>
      <w:r w:rsidR="007A41DA">
        <w:rPr>
          <w:lang w:val="en-US"/>
        </w:rPr>
        <w:t xml:space="preserve"> outside of the PCG</w:t>
      </w:r>
      <w:r>
        <w:rPr>
          <w:lang w:val="en-US"/>
        </w:rPr>
        <w:t xml:space="preserve"> political agendas and egos made it difficult for the administration to speak with a unified voice on the matter (De Telegraaf, 2005c; Sprenger, 2016a).</w:t>
      </w:r>
    </w:p>
    <w:p w14:paraId="2A5BC4A6" w14:textId="4016788D" w:rsidR="00716930" w:rsidRPr="00A81153" w:rsidRDefault="00C06491" w:rsidP="00C06491">
      <w:pPr>
        <w:pStyle w:val="Kop3"/>
        <w:rPr>
          <w:rFonts w:eastAsia="Times New Roman"/>
          <w:color w:val="auto"/>
          <w:u w:val="single"/>
          <w:lang w:val="en-US" w:eastAsia="nl-NL"/>
        </w:rPr>
      </w:pPr>
      <w:bookmarkStart w:id="44" w:name="_Toc48891306"/>
      <w:r w:rsidRPr="00A81153">
        <w:rPr>
          <w:rFonts w:eastAsia="Times New Roman"/>
          <w:color w:val="auto"/>
          <w:u w:val="single"/>
          <w:lang w:val="en-US" w:eastAsia="nl-NL"/>
        </w:rPr>
        <w:t xml:space="preserve">4.2.4 </w:t>
      </w:r>
      <w:r w:rsidR="00716930" w:rsidRPr="00A81153">
        <w:rPr>
          <w:rFonts w:eastAsia="Times New Roman"/>
          <w:color w:val="auto"/>
          <w:u w:val="single"/>
          <w:lang w:val="en-US" w:eastAsia="nl-NL"/>
        </w:rPr>
        <w:t>Analysis</w:t>
      </w:r>
      <w:bookmarkEnd w:id="44"/>
    </w:p>
    <w:p w14:paraId="1D93D5DF" w14:textId="77777777" w:rsidR="00716930" w:rsidRDefault="00716930" w:rsidP="00716930">
      <w:pPr>
        <w:jc w:val="both"/>
        <w:rPr>
          <w:lang w:val="en-US"/>
        </w:rPr>
      </w:pPr>
      <w:r>
        <w:rPr>
          <w:lang w:val="en-US"/>
        </w:rPr>
        <w:t>The hypotheses on bureaucratic roles predicted that both rational pursuit of self-interest within the organizational context and a shared understanding of civil servants’ subservience to political actors would impact the decision-making process.</w:t>
      </w:r>
    </w:p>
    <w:p w14:paraId="4B807D04" w14:textId="77777777" w:rsidR="00716930" w:rsidRPr="00A81153" w:rsidRDefault="00716930" w:rsidP="00C06491">
      <w:pPr>
        <w:pStyle w:val="Kop4"/>
        <w:rPr>
          <w:color w:val="auto"/>
          <w:lang w:val="en-US"/>
        </w:rPr>
      </w:pPr>
      <w:r w:rsidRPr="00A81153">
        <w:rPr>
          <w:color w:val="auto"/>
          <w:lang w:val="en-US"/>
        </w:rPr>
        <w:t>Self-interest</w:t>
      </w:r>
    </w:p>
    <w:p w14:paraId="1B48D45A" w14:textId="72166884" w:rsidR="00716930" w:rsidRDefault="00716930" w:rsidP="00716930">
      <w:pPr>
        <w:jc w:val="both"/>
        <w:rPr>
          <w:lang w:val="en-US"/>
        </w:rPr>
      </w:pPr>
      <w:r>
        <w:rPr>
          <w:lang w:val="en-US"/>
        </w:rPr>
        <w:t>As predicted</w:t>
      </w:r>
      <w:r w:rsidR="00411F41">
        <w:rPr>
          <w:lang w:val="en-US"/>
        </w:rPr>
        <w:t xml:space="preserve"> by the hypothesis 1, bureaucratic actors pursued their self-interest by refraining from actions that have negative consequences for their career. P</w:t>
      </w:r>
      <w:r>
        <w:rPr>
          <w:lang w:val="en-US"/>
        </w:rPr>
        <w:t>olitical actors, who felt that the referendum campaign would be an uphill battle</w:t>
      </w:r>
      <w:r w:rsidR="00411F41">
        <w:rPr>
          <w:lang w:val="en-US"/>
        </w:rPr>
        <w:t xml:space="preserve"> that could hurt their image</w:t>
      </w:r>
      <w:r>
        <w:rPr>
          <w:lang w:val="en-US"/>
        </w:rPr>
        <w:t xml:space="preserve">, tried to avoid association by refraining from taking up more prominent roles both in preparing the campaign and in conducting it. While conflict was not as present in the PCG, private agendas did interfere with </w:t>
      </w:r>
      <w:r w:rsidR="00454AF1">
        <w:rPr>
          <w:lang w:val="en-US"/>
        </w:rPr>
        <w:t>cabinet members</w:t>
      </w:r>
      <w:r>
        <w:rPr>
          <w:lang w:val="en-US"/>
        </w:rPr>
        <w:t xml:space="preserve">’ adherence to the strategy in its execution. </w:t>
      </w:r>
    </w:p>
    <w:p w14:paraId="540748A0" w14:textId="45257421" w:rsidR="00716930" w:rsidRDefault="00716930" w:rsidP="00716930">
      <w:pPr>
        <w:jc w:val="both"/>
        <w:rPr>
          <w:lang w:val="en-US"/>
        </w:rPr>
      </w:pPr>
      <w:r>
        <w:rPr>
          <w:lang w:val="en-US"/>
        </w:rPr>
        <w:t>Civil servants in the TFR believed that the campaign was something that had to be done. While they did not adapt their substantive proposals to meet the demands of political leaders, they made considerable efforts to in</w:t>
      </w:r>
      <w:r w:rsidR="007A41DA">
        <w:rPr>
          <w:lang w:val="en-US"/>
        </w:rPr>
        <w:t xml:space="preserve">crease the likelihood of a soft </w:t>
      </w:r>
      <w:r>
        <w:rPr>
          <w:lang w:val="en-US"/>
        </w:rPr>
        <w:t>landing through a strategic composition of the TF</w:t>
      </w:r>
      <w:r w:rsidR="007A41DA">
        <w:rPr>
          <w:lang w:val="en-US"/>
        </w:rPr>
        <w:t>R and close cooperation with relevant policy departments across Ministries</w:t>
      </w:r>
      <w:r>
        <w:rPr>
          <w:lang w:val="en-US"/>
        </w:rPr>
        <w:t xml:space="preserve">. The TFR was focused on their procedural responsibility, strategically anticipating how </w:t>
      </w:r>
      <w:r w:rsidR="00411F41">
        <w:rPr>
          <w:lang w:val="en-US"/>
        </w:rPr>
        <w:t>it</w:t>
      </w:r>
      <w:r>
        <w:rPr>
          <w:lang w:val="en-US"/>
        </w:rPr>
        <w:t xml:space="preserve"> could increase </w:t>
      </w:r>
      <w:r w:rsidR="00411F41">
        <w:rPr>
          <w:lang w:val="en-US"/>
        </w:rPr>
        <w:t>its</w:t>
      </w:r>
      <w:r>
        <w:rPr>
          <w:lang w:val="en-US"/>
        </w:rPr>
        <w:t xml:space="preserve"> legitimacy within the organization and thus </w:t>
      </w:r>
      <w:r w:rsidR="00411F41">
        <w:rPr>
          <w:lang w:val="en-US"/>
        </w:rPr>
        <w:t>its</w:t>
      </w:r>
      <w:r>
        <w:rPr>
          <w:lang w:val="en-US"/>
        </w:rPr>
        <w:t xml:space="preserve"> chances of successful completion of the</w:t>
      </w:r>
      <w:r w:rsidR="00411F41">
        <w:rPr>
          <w:lang w:val="en-US"/>
        </w:rPr>
        <w:t xml:space="preserve"> assigned</w:t>
      </w:r>
      <w:r>
        <w:rPr>
          <w:lang w:val="en-US"/>
        </w:rPr>
        <w:t xml:space="preserve"> tasks. </w:t>
      </w:r>
    </w:p>
    <w:p w14:paraId="367A0A5A" w14:textId="77777777" w:rsidR="00716930" w:rsidRPr="00A81153" w:rsidRDefault="00716930" w:rsidP="00C06491">
      <w:pPr>
        <w:pStyle w:val="Kop4"/>
        <w:rPr>
          <w:color w:val="auto"/>
          <w:lang w:val="en-US"/>
        </w:rPr>
      </w:pPr>
      <w:r w:rsidRPr="00A81153">
        <w:rPr>
          <w:color w:val="auto"/>
          <w:lang w:val="en-US"/>
        </w:rPr>
        <w:t>Subservient civil service</w:t>
      </w:r>
    </w:p>
    <w:p w14:paraId="02EBEB93" w14:textId="50EE2934" w:rsidR="00716930" w:rsidRDefault="00716930" w:rsidP="00716930">
      <w:pPr>
        <w:jc w:val="both"/>
        <w:rPr>
          <w:lang w:val="en-US"/>
        </w:rPr>
      </w:pPr>
      <w:r>
        <w:rPr>
          <w:lang w:val="en-US"/>
        </w:rPr>
        <w:t xml:space="preserve">The TFR had considerable difficulty to keep </w:t>
      </w:r>
      <w:r w:rsidR="00454AF1">
        <w:rPr>
          <w:lang w:val="en-US"/>
        </w:rPr>
        <w:t>cabinet members</w:t>
      </w:r>
      <w:r>
        <w:rPr>
          <w:lang w:val="en-US"/>
        </w:rPr>
        <w:t xml:space="preserve"> in line with the agreed-upon strategy. The fact that </w:t>
      </w:r>
      <w:r w:rsidR="00454AF1">
        <w:rPr>
          <w:lang w:val="en-US"/>
        </w:rPr>
        <w:t>cabinet members</w:t>
      </w:r>
      <w:r>
        <w:rPr>
          <w:lang w:val="en-US"/>
        </w:rPr>
        <w:t xml:space="preserve"> decided their own paths in the campaign seems to indicate that they were not open to the suggestions of the TFR</w:t>
      </w:r>
      <w:r w:rsidR="007A41DA">
        <w:rPr>
          <w:lang w:val="en-US"/>
        </w:rPr>
        <w:t xml:space="preserve"> in the last phase of the campaign</w:t>
      </w:r>
      <w:r>
        <w:rPr>
          <w:lang w:val="en-US"/>
        </w:rPr>
        <w:t xml:space="preserve">. There are no indications as to whether this led the TFR to stop providing input. As for hypothesis 2A, the findings indicate that political actors felt that civil service was in the end subservient to them. </w:t>
      </w:r>
      <w:r w:rsidR="00454AF1">
        <w:rPr>
          <w:lang w:val="en-US"/>
        </w:rPr>
        <w:t>However</w:t>
      </w:r>
      <w:r>
        <w:rPr>
          <w:lang w:val="en-US"/>
        </w:rPr>
        <w:t xml:space="preserve">, no evidence was found </w:t>
      </w:r>
      <w:r w:rsidR="007A41DA">
        <w:rPr>
          <w:lang w:val="en-US"/>
        </w:rPr>
        <w:t>as to whether</w:t>
      </w:r>
      <w:r>
        <w:rPr>
          <w:lang w:val="en-US"/>
        </w:rPr>
        <w:t xml:space="preserve"> civil service shared this sentiment.</w:t>
      </w:r>
    </w:p>
    <w:p w14:paraId="2FB927D1" w14:textId="77777777" w:rsidR="00716930" w:rsidRDefault="00716930" w:rsidP="00716930">
      <w:pPr>
        <w:jc w:val="both"/>
        <w:rPr>
          <w:lang w:val="en-US"/>
        </w:rPr>
      </w:pPr>
      <w:r>
        <w:rPr>
          <w:lang w:val="en-US"/>
        </w:rPr>
        <w:t>The TFR opted for a rather nuanced tone in their campaign efforts. While awareness of political-administrative relations was deemed important, taking a stance was considered inappropriate for civil servants. Considerable research was done to inform the strategy, and criticism by political actors was incorporated in the messaging. These findings support hypothesis 2B, which stated that civil servants proliferate neutrality and resort to a more technical approach to mitigate political differences.</w:t>
      </w:r>
    </w:p>
    <w:p w14:paraId="6D39465B" w14:textId="359B12EF" w:rsidR="00716930" w:rsidRPr="00A81153" w:rsidRDefault="00716930" w:rsidP="00C06491">
      <w:pPr>
        <w:pStyle w:val="Kop2"/>
        <w:rPr>
          <w:color w:val="auto"/>
          <w:lang w:val="en-US"/>
        </w:rPr>
      </w:pPr>
      <w:bookmarkStart w:id="45" w:name="_Toc48891307"/>
      <w:r w:rsidRPr="00A81153">
        <w:rPr>
          <w:color w:val="auto"/>
          <w:lang w:val="en-US"/>
        </w:rPr>
        <w:t>4.</w:t>
      </w:r>
      <w:r w:rsidR="00C06491" w:rsidRPr="00A81153">
        <w:rPr>
          <w:color w:val="auto"/>
          <w:lang w:val="en-US"/>
        </w:rPr>
        <w:t>3</w:t>
      </w:r>
      <w:r w:rsidRPr="00A81153">
        <w:rPr>
          <w:color w:val="auto"/>
          <w:lang w:val="en-US"/>
        </w:rPr>
        <w:t xml:space="preserve"> Procedural scripts</w:t>
      </w:r>
      <w:bookmarkEnd w:id="45"/>
    </w:p>
    <w:p w14:paraId="494D0233" w14:textId="18A151B4" w:rsidR="00716930" w:rsidRPr="00A81153" w:rsidRDefault="00C06491" w:rsidP="00C06491">
      <w:pPr>
        <w:pStyle w:val="Kop3"/>
        <w:rPr>
          <w:rFonts w:eastAsia="Times New Roman"/>
          <w:color w:val="auto"/>
          <w:u w:val="single"/>
          <w:lang w:val="en-US" w:eastAsia="nl-NL"/>
        </w:rPr>
      </w:pPr>
      <w:bookmarkStart w:id="46" w:name="_Toc48891308"/>
      <w:r w:rsidRPr="00A81153">
        <w:rPr>
          <w:rFonts w:eastAsia="Times New Roman"/>
          <w:color w:val="auto"/>
          <w:u w:val="single"/>
          <w:lang w:val="en-US" w:eastAsia="nl-NL"/>
        </w:rPr>
        <w:t xml:space="preserve">4.3.1 </w:t>
      </w:r>
      <w:r w:rsidR="00716930" w:rsidRPr="00A81153">
        <w:rPr>
          <w:rFonts w:eastAsia="Times New Roman"/>
          <w:color w:val="auto"/>
          <w:u w:val="single"/>
          <w:lang w:val="en-US" w:eastAsia="nl-NL"/>
        </w:rPr>
        <w:t>Phase I</w:t>
      </w:r>
      <w:r w:rsidR="00683B03">
        <w:rPr>
          <w:rFonts w:eastAsia="Times New Roman"/>
          <w:color w:val="auto"/>
          <w:u w:val="single"/>
          <w:lang w:val="en-US" w:eastAsia="nl-NL"/>
        </w:rPr>
        <w:t>: Political and proportional campaign strategy</w:t>
      </w:r>
      <w:bookmarkEnd w:id="46"/>
    </w:p>
    <w:p w14:paraId="63CF2D32" w14:textId="77777777" w:rsidR="00716930" w:rsidRPr="00A81153" w:rsidRDefault="00716930" w:rsidP="00C06491">
      <w:pPr>
        <w:pStyle w:val="Kop4"/>
        <w:rPr>
          <w:color w:val="auto"/>
          <w:lang w:val="en-US"/>
        </w:rPr>
      </w:pPr>
      <w:r w:rsidRPr="00A81153">
        <w:rPr>
          <w:color w:val="auto"/>
          <w:lang w:val="en-US"/>
        </w:rPr>
        <w:t>Informing the public</w:t>
      </w:r>
    </w:p>
    <w:p w14:paraId="1E05C4F0" w14:textId="038F1203" w:rsidR="00716930" w:rsidRDefault="00716930" w:rsidP="00716930">
      <w:pPr>
        <w:jc w:val="both"/>
        <w:rPr>
          <w:lang w:val="en-US"/>
        </w:rPr>
      </w:pPr>
      <w:r>
        <w:rPr>
          <w:lang w:val="en-US"/>
        </w:rPr>
        <w:t xml:space="preserve">All interviewees emphasize the novelty of the national referendum in Dutch politics in 2005, and the inexperience with referendum-campaigns. Some organizational aspects of the referendum were outlined by the legislation on the referendum (Overheid.nl, 2005). The </w:t>
      </w:r>
      <w:r>
        <w:rPr>
          <w:i/>
          <w:iCs/>
          <w:lang w:val="en-US"/>
        </w:rPr>
        <w:t>Tweede Kamer</w:t>
      </w:r>
      <w:r>
        <w:rPr>
          <w:lang w:val="en-US"/>
        </w:rPr>
        <w:t xml:space="preserve"> would establish an independent referendum-committee, which determined the date and inquiry of the referendum. It would also divide €1 million in subsidies among civil society-campaigners, and provide a summary of the ECT. The legislation determined that the referendum should take place within five months after the independent committee was established</w:t>
      </w:r>
      <w:r w:rsidR="003A1399">
        <w:rPr>
          <w:lang w:val="en-US"/>
        </w:rPr>
        <w:t>.</w:t>
      </w:r>
    </w:p>
    <w:p w14:paraId="5E60E2A2" w14:textId="5BAF9844" w:rsidR="00716930" w:rsidRDefault="00716930" w:rsidP="00716930">
      <w:pPr>
        <w:jc w:val="both"/>
        <w:rPr>
          <w:lang w:val="en-US"/>
        </w:rPr>
      </w:pPr>
      <w:r>
        <w:rPr>
          <w:lang w:val="en-US"/>
        </w:rPr>
        <w:t>The November 2004 strategy possessed characteristics similar to information campaigns that the government had experience with. Firstly, the Ministry of Foreign Affairs would continue to run the pre-existing EU-information campaign “</w:t>
      </w:r>
      <w:r>
        <w:rPr>
          <w:i/>
          <w:iCs/>
          <w:lang w:val="en-US"/>
        </w:rPr>
        <w:t>Europa. Best Belangrijk</w:t>
      </w:r>
      <w:r>
        <w:rPr>
          <w:lang w:val="en-US"/>
        </w:rPr>
        <w:t xml:space="preserve">.” (“Europe. Pretty Important.) in the background of the campaign period (Ministry of General Affairs et al., 2004). Should the “no”-campaigners purchase publicity to great extent, this existing format could be used to scale up the government’s campaign proportionally in response (Ministry of General Affairs et al., 2004). </w:t>
      </w:r>
    </w:p>
    <w:p w14:paraId="45E34A93" w14:textId="47A33FC3" w:rsidR="00716930" w:rsidRDefault="00716930" w:rsidP="00716930">
      <w:pPr>
        <w:jc w:val="both"/>
        <w:rPr>
          <w:lang w:val="en-US"/>
        </w:rPr>
      </w:pPr>
      <w:r>
        <w:rPr>
          <w:lang w:val="en-US"/>
        </w:rPr>
        <w:t xml:space="preserve">Secondly, informing citizens about the main points of the campaign was outlined as a goal for both the cabinet’s campaign and independent referendum-committee, supported by the Ministry of the Interior (Ministry of General Affairs et al., 2004; Ministry of the Interior, 2004). The latter was responsible for communicating neutral information on the ECT. However, </w:t>
      </w:r>
      <w:r w:rsidR="007A41DA">
        <w:rPr>
          <w:lang w:val="en-US"/>
        </w:rPr>
        <w:t>besides</w:t>
      </w:r>
      <w:r>
        <w:rPr>
          <w:lang w:val="en-US"/>
        </w:rPr>
        <w:t xml:space="preserve"> the</w:t>
      </w:r>
      <w:r w:rsidR="007A41DA">
        <w:rPr>
          <w:lang w:val="en-US"/>
        </w:rPr>
        <w:t xml:space="preserve"> diffusion of the</w:t>
      </w:r>
      <w:r>
        <w:rPr>
          <w:lang w:val="en-US"/>
        </w:rPr>
        <w:t xml:space="preserve"> summary by the independent referendum-committee</w:t>
      </w:r>
      <w:r w:rsidR="007A41DA">
        <w:rPr>
          <w:lang w:val="en-US"/>
        </w:rPr>
        <w:t>, providing large-scale neutral information on the content of the ECT was not planned for</w:t>
      </w:r>
      <w:r>
        <w:rPr>
          <w:lang w:val="en-US"/>
        </w:rPr>
        <w:t>. The Ministry of Foreign Affairs’ campaign would be political, expressing the view of the administration. However, the strategy prescribed a nuanced tone that was not necessarily aimed at persuasion. It was believed that winning voters’ trust was essential, and that anticipating critical views on the EU would serve this purpose</w:t>
      </w:r>
      <w:r w:rsidR="007A41DA">
        <w:rPr>
          <w:lang w:val="en-US"/>
        </w:rPr>
        <w:t xml:space="preserve"> (Ministry of General Affairs et al., 2004)</w:t>
      </w:r>
      <w:r>
        <w:rPr>
          <w:lang w:val="en-US"/>
        </w:rPr>
        <w:t>.</w:t>
      </w:r>
    </w:p>
    <w:p w14:paraId="3BB0CE8E" w14:textId="77777777" w:rsidR="00716930" w:rsidRDefault="00716930" w:rsidP="00716930">
      <w:pPr>
        <w:jc w:val="both"/>
        <w:rPr>
          <w:lang w:val="en-US"/>
        </w:rPr>
      </w:pPr>
      <w:r>
        <w:rPr>
          <w:lang w:val="en-US"/>
        </w:rPr>
        <w:t>The strategy emphasized the importance of proportionality, describing access to information as a civil right and pillar of good democratic governance (Ministry of General Affairs et al., 2004). As the referendum concerned undecided and controversial policy, it was deemed appropriate that the government’s communication would be formal in tone and proportionate in costs and reach compared to others. The strategy interpreted this proportionality in two ways. First, it prescribed that the government could not use its resources to drown out other voices. Second, it legitimated upscaling of the campaign to provide a proportional answer to in the event of a mass-media “no”-campaign.</w:t>
      </w:r>
    </w:p>
    <w:p w14:paraId="08F0FFAC" w14:textId="77777777" w:rsidR="00716930" w:rsidRPr="00A81153" w:rsidRDefault="00716930" w:rsidP="00C06491">
      <w:pPr>
        <w:pStyle w:val="Kop4"/>
        <w:rPr>
          <w:color w:val="auto"/>
          <w:lang w:val="en-US"/>
        </w:rPr>
      </w:pPr>
      <w:r w:rsidRPr="00A81153">
        <w:rPr>
          <w:color w:val="auto"/>
          <w:lang w:val="en-US"/>
        </w:rPr>
        <w:t>Political elements</w:t>
      </w:r>
    </w:p>
    <w:p w14:paraId="208D140C" w14:textId="40EE6704" w:rsidR="00716930" w:rsidRDefault="00716930" w:rsidP="00716930">
      <w:pPr>
        <w:jc w:val="both"/>
        <w:rPr>
          <w:lang w:val="en-US"/>
        </w:rPr>
      </w:pPr>
      <w:r>
        <w:rPr>
          <w:lang w:val="en-US"/>
        </w:rPr>
        <w:t xml:space="preserve">While supportive of guidelines on government communication and proportionality, the administration </w:t>
      </w:r>
      <w:r w:rsidR="00B6060C">
        <w:rPr>
          <w:lang w:val="en-US"/>
        </w:rPr>
        <w:t>felt</w:t>
      </w:r>
      <w:r>
        <w:rPr>
          <w:lang w:val="en-US"/>
        </w:rPr>
        <w:t xml:space="preserve"> that it was justified to actively explain their views on the ECT to the public (Nicolaï, 2005a; Trouw, 2005a; Tweede Kamer, 200</w:t>
      </w:r>
      <w:r w:rsidR="00756929">
        <w:rPr>
          <w:lang w:val="en-US"/>
        </w:rPr>
        <w:t>3</w:t>
      </w:r>
      <w:r w:rsidR="004C7E34">
        <w:rPr>
          <w:lang w:val="en-US"/>
        </w:rPr>
        <w:t>a</w:t>
      </w:r>
      <w:r>
        <w:rPr>
          <w:lang w:val="en-US"/>
        </w:rPr>
        <w:t xml:space="preserve">). Central in this was free publicity generated by the public performances of </w:t>
      </w:r>
      <w:r w:rsidR="00454AF1">
        <w:rPr>
          <w:lang w:val="en-US"/>
        </w:rPr>
        <w:t>cabinet members</w:t>
      </w:r>
      <w:r>
        <w:rPr>
          <w:lang w:val="en-US"/>
        </w:rPr>
        <w:t xml:space="preserve"> (Goeijenbier, 2005; Ministry of General Affairs et al., 2004; Nicolaï, 2005a). </w:t>
      </w:r>
      <w:r w:rsidR="00454AF1">
        <w:rPr>
          <w:lang w:val="en-US"/>
        </w:rPr>
        <w:t>Cabinet members</w:t>
      </w:r>
      <w:r>
        <w:rPr>
          <w:lang w:val="en-US"/>
        </w:rPr>
        <w:t xml:space="preserve"> would thus use their public profile to generate attention for the importance of the ECT. The administration was supposed to express a nuanced yet positive message on the ECT in unison (Ministry of General Affairs et al., 2004). Free publicity generated through newsworthy events or media performances are regularly used by Dutch political parties in election campaigns, in part due to parties’ limited budgets (Andeweg &amp; Irwin, 2009, p. 89).</w:t>
      </w:r>
    </w:p>
    <w:p w14:paraId="5F46CA6D" w14:textId="154A668B" w:rsidR="00716930" w:rsidRDefault="00C84465" w:rsidP="00716930">
      <w:pPr>
        <w:jc w:val="both"/>
        <w:rPr>
          <w:lang w:val="en-US"/>
        </w:rPr>
      </w:pPr>
      <w:r>
        <w:rPr>
          <w:lang w:val="en-US"/>
        </w:rPr>
        <w:t>The</w:t>
      </w:r>
      <w:r w:rsidR="007A41DA">
        <w:rPr>
          <w:lang w:val="en-US"/>
        </w:rPr>
        <w:t xml:space="preserve"> November 2004 strategy outlined</w:t>
      </w:r>
      <w:r>
        <w:rPr>
          <w:lang w:val="en-US"/>
        </w:rPr>
        <w:t xml:space="preserve"> m</w:t>
      </w:r>
      <w:r w:rsidR="00716930">
        <w:rPr>
          <w:lang w:val="en-US"/>
        </w:rPr>
        <w:t>ultiple scenarios for the developments running up to the day of the referendum, with only a mass-media campaign instigated by</w:t>
      </w:r>
      <w:r w:rsidR="007A41DA">
        <w:rPr>
          <w:lang w:val="en-US"/>
        </w:rPr>
        <w:t xml:space="preserve"> “no”-supporters legitimating </w:t>
      </w:r>
      <w:r w:rsidR="00716930">
        <w:rPr>
          <w:lang w:val="en-US"/>
        </w:rPr>
        <w:t>scaling</w:t>
      </w:r>
      <w:r w:rsidR="007A41DA">
        <w:rPr>
          <w:lang w:val="en-US"/>
        </w:rPr>
        <w:t>-up</w:t>
      </w:r>
      <w:r w:rsidR="00716930">
        <w:rPr>
          <w:lang w:val="en-US"/>
        </w:rPr>
        <w:t xml:space="preserve"> the cabinet’s campaign (Ministry of General Affairs et al., 2004). In what was accepted as the most likely scenario, it was expected that this large campaign would not happen. It predicted that the results of the referendums in other EU-member states would be positive and that the debate running up to the referendum would focus on the ECT itself. The alternative scenarios assumed that additional media attention resulting from negative referendum-outcomes abroad, unexpected events, or debates focusing on subjects other than the ECT could be used to express the government’s position to the public without changes to the strategy. The cabinet’s message would only be altered should the opposition express falsehoods.</w:t>
      </w:r>
    </w:p>
    <w:p w14:paraId="39D0AF09" w14:textId="1C3B9833" w:rsidR="00716930" w:rsidRPr="00A81153" w:rsidRDefault="00C06491" w:rsidP="00C06491">
      <w:pPr>
        <w:pStyle w:val="Kop3"/>
        <w:rPr>
          <w:rFonts w:eastAsia="Times New Roman"/>
          <w:color w:val="auto"/>
          <w:u w:val="single"/>
          <w:lang w:val="en-US" w:eastAsia="nl-NL"/>
        </w:rPr>
      </w:pPr>
      <w:bookmarkStart w:id="47" w:name="_Toc48891309"/>
      <w:r w:rsidRPr="00A81153">
        <w:rPr>
          <w:rFonts w:eastAsia="Times New Roman"/>
          <w:color w:val="auto"/>
          <w:u w:val="single"/>
          <w:lang w:val="en-US" w:eastAsia="nl-NL"/>
        </w:rPr>
        <w:t xml:space="preserve">4.3.2 </w:t>
      </w:r>
      <w:r w:rsidR="00716930" w:rsidRPr="00A81153">
        <w:rPr>
          <w:rFonts w:eastAsia="Times New Roman"/>
          <w:color w:val="auto"/>
          <w:u w:val="single"/>
          <w:lang w:val="en-US" w:eastAsia="nl-NL"/>
        </w:rPr>
        <w:t>Phase II</w:t>
      </w:r>
      <w:r w:rsidR="00683B03">
        <w:rPr>
          <w:rFonts w:eastAsia="Times New Roman"/>
          <w:color w:val="auto"/>
          <w:u w:val="single"/>
          <w:lang w:val="en-US" w:eastAsia="nl-NL"/>
        </w:rPr>
        <w:t xml:space="preserve">: </w:t>
      </w:r>
      <w:r w:rsidR="006E657C">
        <w:rPr>
          <w:rFonts w:eastAsia="Times New Roman"/>
          <w:color w:val="auto"/>
          <w:u w:val="single"/>
          <w:lang w:val="en-US" w:eastAsia="nl-NL"/>
        </w:rPr>
        <w:t>Ad-hoc provision</w:t>
      </w:r>
      <w:r w:rsidR="002E4C58">
        <w:rPr>
          <w:rFonts w:eastAsia="Times New Roman"/>
          <w:color w:val="auto"/>
          <w:u w:val="single"/>
          <w:lang w:val="en-US" w:eastAsia="nl-NL"/>
        </w:rPr>
        <w:t xml:space="preserve"> of public information</w:t>
      </w:r>
      <w:bookmarkEnd w:id="47"/>
    </w:p>
    <w:p w14:paraId="15D7B447" w14:textId="537E04F3" w:rsidR="00716930" w:rsidRDefault="00716930" w:rsidP="00716930">
      <w:pPr>
        <w:jc w:val="both"/>
        <w:rPr>
          <w:lang w:val="en-US"/>
        </w:rPr>
      </w:pPr>
      <w:r>
        <w:rPr>
          <w:lang w:val="en-US"/>
        </w:rPr>
        <w:t>During this phase, the cabinet’s campaign was yet to start and no information on the ECT had been made available to the public yet</w:t>
      </w:r>
      <w:r w:rsidR="007A41DA">
        <w:rPr>
          <w:lang w:val="en-US"/>
        </w:rPr>
        <w:t xml:space="preserve"> (Goeijenbier, 2005; Parlementaire Monitor, 2005)</w:t>
      </w:r>
      <w:r>
        <w:rPr>
          <w:lang w:val="en-US"/>
        </w:rPr>
        <w:t xml:space="preserve">. As early opinion-research showed that citizens felt under-informed on the subject of the ECT, the government decided in March that it should provide in this demand for information, ultimately encouraged by the </w:t>
      </w:r>
      <w:r>
        <w:rPr>
          <w:i/>
          <w:iCs/>
          <w:lang w:val="en-US"/>
        </w:rPr>
        <w:t>Tweede Kamer</w:t>
      </w:r>
      <w:r>
        <w:rPr>
          <w:lang w:val="en-US"/>
        </w:rPr>
        <w:t xml:space="preserve"> (Goeijenbier, 2005; Parlementaire Monitor, 2005; Tweede Kamer, 2005</w:t>
      </w:r>
      <w:r w:rsidR="00756929">
        <w:rPr>
          <w:lang w:val="en-US"/>
        </w:rPr>
        <w:t>c</w:t>
      </w:r>
      <w:r>
        <w:rPr>
          <w:lang w:val="en-US"/>
        </w:rPr>
        <w:t xml:space="preserve">). </w:t>
      </w:r>
    </w:p>
    <w:p w14:paraId="0F2BD0A0" w14:textId="77777777" w:rsidR="00716930" w:rsidRPr="00665825" w:rsidRDefault="00716930" w:rsidP="00716930">
      <w:pPr>
        <w:jc w:val="both"/>
        <w:rPr>
          <w:lang w:val="en-US"/>
        </w:rPr>
      </w:pPr>
      <w:r>
        <w:rPr>
          <w:lang w:val="en-US"/>
        </w:rPr>
        <w:t xml:space="preserve">This led the TFR to develop the </w:t>
      </w:r>
      <w:r>
        <w:rPr>
          <w:i/>
          <w:iCs/>
          <w:lang w:val="en-US"/>
        </w:rPr>
        <w:t>Grondwetkrant</w:t>
      </w:r>
      <w:r>
        <w:rPr>
          <w:lang w:val="en-US"/>
        </w:rPr>
        <w:t xml:space="preserve">, a document presenting unaltered text of the ECT in the form of a tabloid-like paper. The paper was met with considerable critique from all sides (Schulte, 2005a; Van den Boogaard, 2005a). Experts called the text highly technocratic, and illegible even for the schooled reader (K. Aarts, interview, April 23 2020; R. Boudewijn, May 26 2020. </w:t>
      </w:r>
    </w:p>
    <w:p w14:paraId="1EEF52E2" w14:textId="618D31EE" w:rsidR="00716930" w:rsidRDefault="00716930" w:rsidP="00716930">
      <w:pPr>
        <w:jc w:val="both"/>
        <w:rPr>
          <w:lang w:val="en-US"/>
        </w:rPr>
      </w:pPr>
      <w:r>
        <w:rPr>
          <w:lang w:val="en-US"/>
        </w:rPr>
        <w:t>The decision to not alter the ECT text reflected the view of the government, and the Ministry of the Interior in particular, that the communication should be neutral (J. Goeijenbier, interview, May 12 2020; Ministry of General Affairs et al., 2004</w:t>
      </w:r>
      <w:r w:rsidR="00301E26">
        <w:rPr>
          <w:lang w:val="en-US"/>
        </w:rPr>
        <w:t>; A. Nicolaï, interview, May 18 2020</w:t>
      </w:r>
      <w:r>
        <w:rPr>
          <w:lang w:val="en-US"/>
        </w:rPr>
        <w:t xml:space="preserve">). Publishing a summary was deemed inappropriate, as the independent referendum-committee was already tasked with this (Goeijenbier, 2005). According to some, the publication of the </w:t>
      </w:r>
      <w:r>
        <w:rPr>
          <w:i/>
          <w:iCs/>
          <w:lang w:val="en-US"/>
        </w:rPr>
        <w:t>Grondwetkrant</w:t>
      </w:r>
      <w:r>
        <w:rPr>
          <w:lang w:val="en-US"/>
        </w:rPr>
        <w:t xml:space="preserve"> was not only an answer to a civilian demand for information, but also the product of a growing discontent within the Ministry of Foreign Affairs with the late distribution of the independent referendum-committee’s neutral summary</w:t>
      </w:r>
      <w:r w:rsidR="00454AF1">
        <w:rPr>
          <w:lang w:val="en-US"/>
        </w:rPr>
        <w:t xml:space="preserve"> (Giebels et al., 2005; Boudewijn &amp; Van Keulen, 2005)</w:t>
      </w:r>
      <w:r>
        <w:rPr>
          <w:lang w:val="en-US"/>
        </w:rPr>
        <w:t xml:space="preserve">. </w:t>
      </w:r>
    </w:p>
    <w:p w14:paraId="5E4B69E3" w14:textId="1862E6B2" w:rsidR="00716930" w:rsidRPr="00A81153" w:rsidRDefault="00C06491" w:rsidP="00C06491">
      <w:pPr>
        <w:pStyle w:val="Kop3"/>
        <w:rPr>
          <w:rFonts w:eastAsia="Times New Roman"/>
          <w:color w:val="auto"/>
          <w:u w:val="single"/>
          <w:lang w:val="en-US" w:eastAsia="nl-NL"/>
        </w:rPr>
      </w:pPr>
      <w:bookmarkStart w:id="48" w:name="_Toc48891310"/>
      <w:r w:rsidRPr="00A81153">
        <w:rPr>
          <w:rFonts w:eastAsia="Times New Roman"/>
          <w:color w:val="auto"/>
          <w:u w:val="single"/>
          <w:lang w:val="en-US" w:eastAsia="nl-NL"/>
        </w:rPr>
        <w:t xml:space="preserve">4.3.3 </w:t>
      </w:r>
      <w:r w:rsidR="00716930" w:rsidRPr="00A81153">
        <w:rPr>
          <w:rFonts w:eastAsia="Times New Roman"/>
          <w:color w:val="auto"/>
          <w:u w:val="single"/>
          <w:lang w:val="en-US" w:eastAsia="nl-NL"/>
        </w:rPr>
        <w:t>Phase III</w:t>
      </w:r>
      <w:r w:rsidR="002E4C58">
        <w:rPr>
          <w:rFonts w:eastAsia="Times New Roman"/>
          <w:color w:val="auto"/>
          <w:u w:val="single"/>
          <w:lang w:val="en-US" w:eastAsia="nl-NL"/>
        </w:rPr>
        <w:t xml:space="preserve">: </w:t>
      </w:r>
      <w:r w:rsidR="002C75A8">
        <w:rPr>
          <w:rFonts w:eastAsia="Times New Roman"/>
          <w:color w:val="auto"/>
          <w:u w:val="single"/>
          <w:lang w:val="en-US" w:eastAsia="nl-NL"/>
        </w:rPr>
        <w:t>Inter-departmental tensions and political campaigning</w:t>
      </w:r>
      <w:bookmarkEnd w:id="48"/>
    </w:p>
    <w:p w14:paraId="7F90B931" w14:textId="77777777" w:rsidR="00716930" w:rsidRDefault="00716930" w:rsidP="00C06491">
      <w:pPr>
        <w:pStyle w:val="Kop4"/>
        <w:rPr>
          <w:lang w:val="en-US"/>
        </w:rPr>
      </w:pPr>
      <w:r w:rsidRPr="00A81153">
        <w:rPr>
          <w:color w:val="auto"/>
          <w:lang w:val="en-US"/>
        </w:rPr>
        <w:t>Competing to provide information</w:t>
      </w:r>
    </w:p>
    <w:p w14:paraId="6E1D7C37" w14:textId="5F782F4C" w:rsidR="00716930" w:rsidRDefault="00716930" w:rsidP="00716930">
      <w:pPr>
        <w:jc w:val="both"/>
        <w:rPr>
          <w:lang w:val="en-US"/>
        </w:rPr>
      </w:pPr>
      <w:r>
        <w:rPr>
          <w:lang w:val="en-US"/>
        </w:rPr>
        <w:t xml:space="preserve">Whereas the </w:t>
      </w:r>
      <w:r>
        <w:rPr>
          <w:i/>
          <w:iCs/>
          <w:lang w:val="en-US"/>
        </w:rPr>
        <w:t xml:space="preserve">Grondwetkrant </w:t>
      </w:r>
      <w:r>
        <w:rPr>
          <w:lang w:val="en-US"/>
        </w:rPr>
        <w:t xml:space="preserve">was a neutral source of information, later public information distributed by the TFR more explicitly motivated the government’s stance. In May, an additional €3,5 million in funding was </w:t>
      </w:r>
      <w:r w:rsidR="0066270A">
        <w:rPr>
          <w:lang w:val="en-US"/>
        </w:rPr>
        <w:t>earmarked</w:t>
      </w:r>
      <w:r>
        <w:rPr>
          <w:lang w:val="en-US"/>
        </w:rPr>
        <w:t xml:space="preserve"> to scale-up the government’s campaign</w:t>
      </w:r>
      <w:r w:rsidR="00F5174A">
        <w:rPr>
          <w:lang w:val="en-US"/>
        </w:rPr>
        <w:t xml:space="preserve"> (Goeijenbier, 2005</w:t>
      </w:r>
      <w:r w:rsidR="0066270A">
        <w:rPr>
          <w:lang w:val="en-US"/>
        </w:rPr>
        <w:t>, p. 12). Another</w:t>
      </w:r>
      <w:r>
        <w:rPr>
          <w:lang w:val="en-US"/>
        </w:rPr>
        <w:t xml:space="preserve"> folder was published, summarizing the ECT and providing citizens with more accessible information on the ECT. Additionally, radio commercials and newspaper ads were used to promote the Treaty. The “no”-campaign had not made use of purchased publicity on large scale. However, the cabinet defended the additional funding by arguing that the public felt under-informed and that the </w:t>
      </w:r>
      <w:r>
        <w:rPr>
          <w:i/>
          <w:iCs/>
          <w:lang w:val="en-US"/>
        </w:rPr>
        <w:t>Tweede Kamer</w:t>
      </w:r>
      <w:r>
        <w:rPr>
          <w:lang w:val="en-US"/>
        </w:rPr>
        <w:t xml:space="preserve"> had called for more accessible information (Tweede Kamer, 2005c).</w:t>
      </w:r>
    </w:p>
    <w:p w14:paraId="7C334E13" w14:textId="1F385533" w:rsidR="00716930" w:rsidRDefault="00716930" w:rsidP="00716930">
      <w:pPr>
        <w:jc w:val="both"/>
        <w:rPr>
          <w:lang w:val="en-US"/>
        </w:rPr>
      </w:pPr>
      <w:r>
        <w:rPr>
          <w:lang w:val="en-US"/>
        </w:rPr>
        <w:t>During the last phase, The Ministries of Foreign Affairs and the Interior were allegedly competing to provide public information. Civil servants of the Ministry of Foreign Affairs referred to the summary of the independent referendum-committee as the “prawn paper” (“</w:t>
      </w:r>
      <w:r>
        <w:rPr>
          <w:i/>
          <w:iCs/>
          <w:lang w:val="en-US"/>
        </w:rPr>
        <w:t>garnalenkrantje”</w:t>
      </w:r>
      <w:r>
        <w:rPr>
          <w:lang w:val="en-US"/>
        </w:rPr>
        <w:t>), as writer Bart Chabot stated that showing the question mark-shaped “R” on the cover of the summary got him served prawns in two different Chinese restaurants (Barend &amp; Van Dorp, 2005; Boudewijn &amp; Van Keulen, 2005; Giebels et al., 2005). A flyer published by the Ministry of Foreign Affairs in May was called the “Zwitsal-flyer” (“</w:t>
      </w:r>
      <w:r>
        <w:rPr>
          <w:i/>
          <w:iCs/>
          <w:lang w:val="en-US"/>
        </w:rPr>
        <w:t xml:space="preserve">Zwitsalfolder”) </w:t>
      </w:r>
      <w:r>
        <w:rPr>
          <w:lang w:val="en-US"/>
        </w:rPr>
        <w:t xml:space="preserve">by civil servants of the Ministry of the Interior due to its use of a picture of a sleeping baby. The summary of the independent referendum-committee also led to conflict between the departments, as it stated that the ECT would result in European law standing above national law. </w:t>
      </w:r>
      <w:r w:rsidR="0066270A">
        <w:rPr>
          <w:lang w:val="en-US"/>
        </w:rPr>
        <w:t xml:space="preserve">This statement contributed to the “no”-campaign’s frame of the European super-state and diminishing national sovereignty. </w:t>
      </w:r>
      <w:r>
        <w:rPr>
          <w:lang w:val="en-US"/>
        </w:rPr>
        <w:t>Nicolaï publicly expressed his disapproval, stating that this had already been the case (</w:t>
      </w:r>
      <w:r w:rsidR="0066270A">
        <w:rPr>
          <w:lang w:val="en-US"/>
        </w:rPr>
        <w:t xml:space="preserve">Barend &amp; Van Dorp, 2005; </w:t>
      </w:r>
      <w:r>
        <w:rPr>
          <w:lang w:val="en-US"/>
        </w:rPr>
        <w:t>A. Nicolaï, interview, May 18 2020)</w:t>
      </w:r>
    </w:p>
    <w:p w14:paraId="57473818" w14:textId="77777777" w:rsidR="00716930" w:rsidRPr="00A81153" w:rsidRDefault="00716930" w:rsidP="00C06491">
      <w:pPr>
        <w:pStyle w:val="Kop4"/>
        <w:rPr>
          <w:color w:val="auto"/>
          <w:lang w:val="en-US"/>
        </w:rPr>
      </w:pPr>
      <w:r w:rsidRPr="00A81153">
        <w:rPr>
          <w:color w:val="auto"/>
          <w:lang w:val="en-US"/>
        </w:rPr>
        <w:t>Political campaigning</w:t>
      </w:r>
    </w:p>
    <w:p w14:paraId="134D579A" w14:textId="4488D1F2" w:rsidR="00092D18" w:rsidRDefault="00716930" w:rsidP="00716930">
      <w:pPr>
        <w:jc w:val="both"/>
        <w:rPr>
          <w:lang w:val="en-US"/>
        </w:rPr>
      </w:pPr>
      <w:r>
        <w:rPr>
          <w:lang w:val="en-US"/>
        </w:rPr>
        <w:t>The last phase of the campaign bore resemblance to a regular election campaign. The administration’s strategy, determined on April 7</w:t>
      </w:r>
      <w:r w:rsidRPr="002C5B5A">
        <w:rPr>
          <w:vertAlign w:val="superscript"/>
          <w:lang w:val="en-US"/>
        </w:rPr>
        <w:t>th</w:t>
      </w:r>
      <w:r>
        <w:rPr>
          <w:lang w:val="en-US"/>
        </w:rPr>
        <w:t xml:space="preserve">, called upon </w:t>
      </w:r>
      <w:r w:rsidR="00454AF1">
        <w:rPr>
          <w:lang w:val="en-US"/>
        </w:rPr>
        <w:t>cabinet members</w:t>
      </w:r>
      <w:r>
        <w:rPr>
          <w:lang w:val="en-US"/>
        </w:rPr>
        <w:t xml:space="preserve"> to clear their agendas for the campaign from May 9</w:t>
      </w:r>
      <w:r w:rsidRPr="002C5B5A">
        <w:rPr>
          <w:vertAlign w:val="superscript"/>
          <w:lang w:val="en-US"/>
        </w:rPr>
        <w:t>th</w:t>
      </w:r>
      <w:r>
        <w:rPr>
          <w:lang w:val="en-US"/>
        </w:rPr>
        <w:t xml:space="preserve"> onward</w:t>
      </w:r>
      <w:r w:rsidR="008F3ACE">
        <w:rPr>
          <w:lang w:val="en-US"/>
        </w:rPr>
        <w:t xml:space="preserve"> (Goeijenbier, 2005)</w:t>
      </w:r>
      <w:r>
        <w:rPr>
          <w:lang w:val="en-US"/>
        </w:rPr>
        <w:t>. Due to Parliament’s spring break, the campaign fully commenced on May 18</w:t>
      </w:r>
      <w:r w:rsidRPr="00BF28EE">
        <w:rPr>
          <w:vertAlign w:val="superscript"/>
          <w:lang w:val="en-US"/>
        </w:rPr>
        <w:t>th</w:t>
      </w:r>
      <w:r w:rsidR="008F3ACE">
        <w:rPr>
          <w:lang w:val="en-US"/>
        </w:rPr>
        <w:t xml:space="preserve"> (Giebels et al., 2005; </w:t>
      </w:r>
      <w:r w:rsidR="00AE15BC">
        <w:rPr>
          <w:lang w:val="en-US"/>
        </w:rPr>
        <w:t>Europa Nu</w:t>
      </w:r>
      <w:r w:rsidR="00197576">
        <w:rPr>
          <w:lang w:val="en-US"/>
        </w:rPr>
        <w:t>, n.d.</w:t>
      </w:r>
      <w:r w:rsidR="00163579">
        <w:rPr>
          <w:lang w:val="en-US"/>
        </w:rPr>
        <w:t>c</w:t>
      </w:r>
      <w:r w:rsidR="00197576">
        <w:rPr>
          <w:lang w:val="en-US"/>
        </w:rPr>
        <w:t>)</w:t>
      </w:r>
      <w:r>
        <w:rPr>
          <w:lang w:val="en-US"/>
        </w:rPr>
        <w:t xml:space="preserve">.  This strategy reflects normal practice in Dutch election campaigns, which are relatively short and in which more prominent political figures are actively engaged in the last few weeks only (Goeijenbier, 2005; Peeperkorn, 2005a; T. van der Plas, interview, May 8 2020; G. Zalm, interview, May 28 2020). </w:t>
      </w:r>
    </w:p>
    <w:p w14:paraId="623FE109" w14:textId="294E0F73" w:rsidR="00716930" w:rsidRDefault="00716930" w:rsidP="00716930">
      <w:pPr>
        <w:jc w:val="both"/>
        <w:rPr>
          <w:lang w:val="en-US"/>
        </w:rPr>
      </w:pPr>
      <w:r>
        <w:rPr>
          <w:lang w:val="en-US"/>
        </w:rPr>
        <w:t xml:space="preserve">The strategy assumed that voters would make up their mind shortly before the referendum, comparable to elections. However, whereas citizens tend to have some general knowledge about political parties, this was not the case for the ECT and EU. “No”-campaigners </w:t>
      </w:r>
      <w:r w:rsidR="00092D18">
        <w:rPr>
          <w:lang w:val="en-US"/>
        </w:rPr>
        <w:t>did not adhere to the</w:t>
      </w:r>
      <w:r w:rsidR="000A2F29">
        <w:rPr>
          <w:lang w:val="en-US"/>
        </w:rPr>
        <w:t xml:space="preserve"> election-script, and </w:t>
      </w:r>
      <w:r>
        <w:rPr>
          <w:lang w:val="en-US"/>
        </w:rPr>
        <w:t>started their campaign considerably earlier than the administration, which allowed them to determine the main topics of the public debate (</w:t>
      </w:r>
      <w:r w:rsidR="0074706F">
        <w:rPr>
          <w:lang w:val="en-US"/>
        </w:rPr>
        <w:t xml:space="preserve">Goeijenbier, 2005; </w:t>
      </w:r>
      <w:r w:rsidR="00FC159D">
        <w:rPr>
          <w:lang w:val="en-US"/>
        </w:rPr>
        <w:t xml:space="preserve">Moerland, 2005; </w:t>
      </w:r>
      <w:r>
        <w:rPr>
          <w:lang w:val="en-US"/>
        </w:rPr>
        <w:t>Rusman, 2015; Schulte, 2005b).</w:t>
      </w:r>
    </w:p>
    <w:p w14:paraId="47A8FAD3" w14:textId="04425FBC" w:rsidR="00716930" w:rsidRDefault="00716930" w:rsidP="00716930">
      <w:pPr>
        <w:jc w:val="both"/>
        <w:rPr>
          <w:lang w:val="en-US"/>
        </w:rPr>
      </w:pPr>
      <w:r>
        <w:rPr>
          <w:lang w:val="en-US"/>
        </w:rPr>
        <w:t xml:space="preserve">In regular election campaigns, parties appoint a campaign leader whose instructions are diligently followed. Politicians comply with the instructions on where to go and keep their statements in line with the party’s program (T. van der Plas, interview, May 8 2020). However, no one in the TFR seemingly had this authority with </w:t>
      </w:r>
      <w:r w:rsidR="00454AF1">
        <w:rPr>
          <w:lang w:val="en-US"/>
        </w:rPr>
        <w:t>cabinet members</w:t>
      </w:r>
      <w:r>
        <w:rPr>
          <w:lang w:val="en-US"/>
        </w:rPr>
        <w:t xml:space="preserve">. As stated earlier, they were unable to get members of the administration to adhere to the agreed-upon strategy (T. van der Plas, interview, May 8 2020; J. Sprenger, interview, May 4 2020). Despite the agreements made, interviews and speeches mentioning the ECT were not always ran past the TFR to check for consistency in the messaging (J. Goeijenbier, interview, May 12 2020; T. van der Plas, interview, May 8 2020). </w:t>
      </w:r>
    </w:p>
    <w:p w14:paraId="38AB415A" w14:textId="409CD749" w:rsidR="00716930" w:rsidRDefault="00716930" w:rsidP="00716930">
      <w:pPr>
        <w:jc w:val="both"/>
        <w:rPr>
          <w:lang w:val="en-US"/>
        </w:rPr>
      </w:pPr>
      <w:r>
        <w:rPr>
          <w:lang w:val="en-US"/>
        </w:rPr>
        <w:t xml:space="preserve">Additionally, a coalition government substantially differs from political parties in terms of unity. Campaigns require consistent messaging. Within a coalition government, there are more diverging opinions and interests that complicate unity (K. Berghuis, interview, May 28 2020; J. Sprenger, interview, May 4 2020). A greater variety in messengers increases the risk of diverging statements and contradictions within the campaign. </w:t>
      </w:r>
      <w:r w:rsidR="00454AF1">
        <w:rPr>
          <w:lang w:val="en-US"/>
        </w:rPr>
        <w:t>Cabinet members</w:t>
      </w:r>
      <w:r>
        <w:rPr>
          <w:lang w:val="en-US"/>
        </w:rPr>
        <w:t xml:space="preserve"> went their own way in the campaign, criticizing each other in the press</w:t>
      </w:r>
      <w:r w:rsidR="00CE6D68">
        <w:rPr>
          <w:lang w:val="en-US"/>
        </w:rPr>
        <w:t xml:space="preserve"> as well</w:t>
      </w:r>
      <w:r>
        <w:rPr>
          <w:lang w:val="en-US"/>
        </w:rPr>
        <w:t xml:space="preserve"> (De Telegraaf, 2005b). The result was a campaign that lacked the desired cohesion and unity (Goeijenbier, 2005; Sprenger, 2016a).</w:t>
      </w:r>
    </w:p>
    <w:p w14:paraId="1CF6E53A" w14:textId="39342E69" w:rsidR="00716930" w:rsidRPr="00A81153" w:rsidRDefault="00C06491" w:rsidP="00C06491">
      <w:pPr>
        <w:pStyle w:val="Kop3"/>
        <w:rPr>
          <w:rFonts w:eastAsia="Times New Roman"/>
          <w:color w:val="auto"/>
          <w:u w:val="single"/>
          <w:lang w:val="en-US" w:eastAsia="nl-NL"/>
        </w:rPr>
      </w:pPr>
      <w:bookmarkStart w:id="49" w:name="_Toc48891311"/>
      <w:r w:rsidRPr="00A81153">
        <w:rPr>
          <w:rFonts w:eastAsia="Times New Roman"/>
          <w:color w:val="auto"/>
          <w:u w:val="single"/>
          <w:lang w:val="en-US" w:eastAsia="nl-NL"/>
        </w:rPr>
        <w:t xml:space="preserve">4.3.4 </w:t>
      </w:r>
      <w:r w:rsidR="00716930" w:rsidRPr="00A81153">
        <w:rPr>
          <w:rFonts w:eastAsia="Times New Roman"/>
          <w:color w:val="auto"/>
          <w:u w:val="single"/>
          <w:lang w:val="en-US" w:eastAsia="nl-NL"/>
        </w:rPr>
        <w:t>Analysis</w:t>
      </w:r>
      <w:bookmarkEnd w:id="49"/>
      <w:r w:rsidRPr="00A81153">
        <w:rPr>
          <w:rFonts w:eastAsia="Times New Roman"/>
          <w:color w:val="auto"/>
          <w:u w:val="single"/>
          <w:lang w:val="en-US" w:eastAsia="nl-NL"/>
        </w:rPr>
        <w:t xml:space="preserve"> </w:t>
      </w:r>
    </w:p>
    <w:p w14:paraId="46C49924" w14:textId="474D7EC7" w:rsidR="00716930" w:rsidRDefault="00716930" w:rsidP="00716930">
      <w:pPr>
        <w:jc w:val="both"/>
        <w:rPr>
          <w:lang w:val="en-US"/>
        </w:rPr>
      </w:pPr>
      <w:r>
        <w:rPr>
          <w:lang w:val="en-US"/>
        </w:rPr>
        <w:t xml:space="preserve">Hypothesis 3 stated that bureaucratic actors use procedural scripts, and would rely upon their closest experience if such a script does not exist for a policy-problem. Civil servants were expected to depend upon their experience with informative campaigns, while political actors would base their actions on their experience with election campaigns. </w:t>
      </w:r>
    </w:p>
    <w:p w14:paraId="7F33E752" w14:textId="77777777" w:rsidR="00716930" w:rsidRDefault="00716930" w:rsidP="00716930">
      <w:pPr>
        <w:jc w:val="both"/>
        <w:rPr>
          <w:lang w:val="en-US"/>
        </w:rPr>
      </w:pPr>
      <w:r>
        <w:rPr>
          <w:lang w:val="en-US"/>
        </w:rPr>
        <w:t>The empirical evidence shows use of both scripts, but does not necessarily link them to one actor or the other. However, it can be observed that the emphasis on formality, nuance, and proportionality associated with informative campaigns was more prevalent in the first two phases, in which civil servants were predominantly involved. From the start, elements of political scripts were present as well: political actors planned upon campaigning for a short period of time, and free publicity was a main element in the campaign strategy.</w:t>
      </w:r>
    </w:p>
    <w:p w14:paraId="0B2A4E5A" w14:textId="7594C686" w:rsidR="00494EF4" w:rsidRPr="00F31F20" w:rsidRDefault="00716930" w:rsidP="00C06491">
      <w:pPr>
        <w:pStyle w:val="Kop2"/>
        <w:rPr>
          <w:lang w:val="en-US"/>
        </w:rPr>
      </w:pPr>
      <w:bookmarkStart w:id="50" w:name="_Toc48891312"/>
      <w:r w:rsidRPr="00A81153">
        <w:rPr>
          <w:color w:val="auto"/>
          <w:lang w:val="en-US"/>
        </w:rPr>
        <w:t>4.</w:t>
      </w:r>
      <w:r w:rsidR="00C06491" w:rsidRPr="00A81153">
        <w:rPr>
          <w:color w:val="auto"/>
          <w:lang w:val="en-US"/>
        </w:rPr>
        <w:t>4</w:t>
      </w:r>
      <w:r w:rsidRPr="00A81153">
        <w:rPr>
          <w:color w:val="auto"/>
          <w:lang w:val="en-US"/>
        </w:rPr>
        <w:t xml:space="preserve"> Cultural rationales</w:t>
      </w:r>
      <w:bookmarkEnd w:id="50"/>
    </w:p>
    <w:p w14:paraId="3D8C9125" w14:textId="091F512A" w:rsidR="00716930" w:rsidRPr="00A81153" w:rsidRDefault="00C06491" w:rsidP="00C06491">
      <w:pPr>
        <w:pStyle w:val="Kop3"/>
        <w:rPr>
          <w:rFonts w:eastAsia="Times New Roman"/>
          <w:color w:val="auto"/>
          <w:u w:val="single"/>
          <w:lang w:val="en-US" w:eastAsia="nl-NL"/>
        </w:rPr>
      </w:pPr>
      <w:bookmarkStart w:id="51" w:name="_Toc48891313"/>
      <w:r w:rsidRPr="00A81153">
        <w:rPr>
          <w:rFonts w:eastAsia="Times New Roman"/>
          <w:color w:val="auto"/>
          <w:u w:val="single"/>
          <w:lang w:val="en-US" w:eastAsia="nl-NL"/>
        </w:rPr>
        <w:t xml:space="preserve">4.4.1 </w:t>
      </w:r>
      <w:r w:rsidR="00716930" w:rsidRPr="00A81153">
        <w:rPr>
          <w:rFonts w:eastAsia="Times New Roman"/>
          <w:color w:val="auto"/>
          <w:u w:val="single"/>
          <w:lang w:val="en-US" w:eastAsia="nl-NL"/>
        </w:rPr>
        <w:t>Phase I</w:t>
      </w:r>
      <w:r w:rsidR="00B372B7">
        <w:rPr>
          <w:rFonts w:eastAsia="Times New Roman"/>
          <w:color w:val="auto"/>
          <w:u w:val="single"/>
          <w:lang w:val="en-US" w:eastAsia="nl-NL"/>
        </w:rPr>
        <w:t xml:space="preserve">: </w:t>
      </w:r>
      <w:r w:rsidR="0095320D">
        <w:rPr>
          <w:rFonts w:eastAsia="Times New Roman"/>
          <w:color w:val="auto"/>
          <w:u w:val="single"/>
          <w:lang w:val="en-US" w:eastAsia="nl-NL"/>
        </w:rPr>
        <w:t>Positive messaging and modest budgets</w:t>
      </w:r>
      <w:bookmarkEnd w:id="51"/>
    </w:p>
    <w:p w14:paraId="78110348" w14:textId="16629E3C" w:rsidR="003E4F9E" w:rsidRPr="00A81153" w:rsidRDefault="003E4F9E" w:rsidP="00C06491">
      <w:pPr>
        <w:pStyle w:val="Kop4"/>
        <w:rPr>
          <w:color w:val="auto"/>
          <w:lang w:val="en-US"/>
        </w:rPr>
      </w:pPr>
      <w:r w:rsidRPr="00A81153">
        <w:rPr>
          <w:color w:val="auto"/>
          <w:lang w:val="en-US"/>
        </w:rPr>
        <w:t xml:space="preserve">Discourse on EU-integration </w:t>
      </w:r>
    </w:p>
    <w:p w14:paraId="605D2AAD" w14:textId="3E967176" w:rsidR="003E4F9E" w:rsidRDefault="003E4F9E" w:rsidP="00716930">
      <w:pPr>
        <w:jc w:val="both"/>
        <w:rPr>
          <w:lang w:val="en-US"/>
        </w:rPr>
      </w:pPr>
      <w:r w:rsidRPr="003E4F9E">
        <w:rPr>
          <w:lang w:val="en-US"/>
        </w:rPr>
        <w:t>In the November 2004 stra</w:t>
      </w:r>
      <w:r>
        <w:rPr>
          <w:lang w:val="en-US"/>
        </w:rPr>
        <w:t xml:space="preserve">tegy, </w:t>
      </w:r>
      <w:r w:rsidR="00881FB6">
        <w:rPr>
          <w:lang w:val="en-US"/>
        </w:rPr>
        <w:t xml:space="preserve">the core message for the </w:t>
      </w:r>
      <w:r w:rsidR="00241555">
        <w:rPr>
          <w:lang w:val="en-US"/>
        </w:rPr>
        <w:t xml:space="preserve">government’s campaign consisted of pointing out the </w:t>
      </w:r>
      <w:r w:rsidR="00BA0A44">
        <w:rPr>
          <w:lang w:val="en-US"/>
        </w:rPr>
        <w:t>valuable assets the EU had brought the</w:t>
      </w:r>
      <w:r w:rsidR="00EE3D75">
        <w:rPr>
          <w:lang w:val="en-US"/>
        </w:rPr>
        <w:t xml:space="preserve"> Netherlands over the last fifty years</w:t>
      </w:r>
      <w:r w:rsidR="00350A94">
        <w:rPr>
          <w:lang w:val="en-US"/>
        </w:rPr>
        <w:t xml:space="preserve"> (Ministry of General Affairs et al., 2004)</w:t>
      </w:r>
      <w:r w:rsidR="00EE3D75">
        <w:rPr>
          <w:lang w:val="en-US"/>
        </w:rPr>
        <w:t xml:space="preserve">. </w:t>
      </w:r>
      <w:r w:rsidR="00CE6EF9">
        <w:rPr>
          <w:lang w:val="en-US"/>
        </w:rPr>
        <w:t xml:space="preserve">The three </w:t>
      </w:r>
      <w:r w:rsidR="00350A94">
        <w:rPr>
          <w:lang w:val="en-US"/>
        </w:rPr>
        <w:t>elements that were highlighted</w:t>
      </w:r>
      <w:r w:rsidR="00CE6EF9">
        <w:rPr>
          <w:lang w:val="en-US"/>
        </w:rPr>
        <w:t xml:space="preserve"> were the p</w:t>
      </w:r>
      <w:r w:rsidR="00EE3D75">
        <w:rPr>
          <w:lang w:val="en-US"/>
        </w:rPr>
        <w:t xml:space="preserve">rosperity </w:t>
      </w:r>
      <w:r w:rsidR="009578E8">
        <w:rPr>
          <w:lang w:val="en-US"/>
        </w:rPr>
        <w:t>for the Dutch people, the safety and stability the EU had brought to Europe, and the hope and confidence to guar</w:t>
      </w:r>
      <w:r w:rsidR="00CE6EF9">
        <w:rPr>
          <w:lang w:val="en-US"/>
        </w:rPr>
        <w:t>antee this for the future with the ECT</w:t>
      </w:r>
      <w:r w:rsidR="00350A94">
        <w:rPr>
          <w:lang w:val="en-US"/>
        </w:rPr>
        <w:t>.</w:t>
      </w:r>
      <w:r w:rsidR="0057575F">
        <w:rPr>
          <w:lang w:val="en-US"/>
        </w:rPr>
        <w:t xml:space="preserve"> The initial strategy recognized that some citizens</w:t>
      </w:r>
      <w:r w:rsidR="000C3AE9">
        <w:rPr>
          <w:lang w:val="en-US"/>
        </w:rPr>
        <w:t xml:space="preserve"> cared little about the subject or were critical of the EU. It felt that Euroscepticism could be countered with </w:t>
      </w:r>
      <w:r w:rsidR="007B71BC">
        <w:rPr>
          <w:lang w:val="en-US"/>
        </w:rPr>
        <w:t>nuanced argumentation that sh</w:t>
      </w:r>
      <w:r w:rsidR="000E0D4F">
        <w:rPr>
          <w:lang w:val="en-US"/>
        </w:rPr>
        <w:t xml:space="preserve">owed that the ECT would </w:t>
      </w:r>
      <w:r w:rsidR="003A7580">
        <w:rPr>
          <w:lang w:val="en-US"/>
        </w:rPr>
        <w:t>improve the</w:t>
      </w:r>
      <w:r w:rsidR="000E0D4F">
        <w:rPr>
          <w:lang w:val="en-US"/>
        </w:rPr>
        <w:t xml:space="preserve"> subsidiarity, </w:t>
      </w:r>
      <w:r w:rsidR="003A7580">
        <w:rPr>
          <w:lang w:val="en-US"/>
        </w:rPr>
        <w:t>transparency, and democracy of the EU, and that it would not i</w:t>
      </w:r>
      <w:r w:rsidR="003253F6">
        <w:rPr>
          <w:lang w:val="en-US"/>
        </w:rPr>
        <w:t>nfringe on the national constitution</w:t>
      </w:r>
      <w:r w:rsidR="0066270A">
        <w:rPr>
          <w:lang w:val="en-US"/>
        </w:rPr>
        <w:t xml:space="preserve"> (Ministry of General Affairs et al., 2004</w:t>
      </w:r>
      <w:r w:rsidR="003253F6">
        <w:rPr>
          <w:lang w:val="en-US"/>
        </w:rPr>
        <w:t>.</w:t>
      </w:r>
    </w:p>
    <w:p w14:paraId="1A84AF55" w14:textId="6D75B25D" w:rsidR="003253F6" w:rsidRDefault="005A48A3" w:rsidP="00716930">
      <w:pPr>
        <w:jc w:val="both"/>
        <w:rPr>
          <w:lang w:val="en-US"/>
        </w:rPr>
      </w:pPr>
      <w:r w:rsidRPr="005A48A3">
        <w:rPr>
          <w:lang w:val="en-US"/>
        </w:rPr>
        <w:t xml:space="preserve">Political parties, including those </w:t>
      </w:r>
      <w:r>
        <w:rPr>
          <w:lang w:val="en-US"/>
        </w:rPr>
        <w:t>represented within the administration, had consistently criticized European integration over the last decades</w:t>
      </w:r>
      <w:r w:rsidR="00D845CD">
        <w:rPr>
          <w:lang w:val="en-US"/>
        </w:rPr>
        <w:t>. An often-cited objection was tha</w:t>
      </w:r>
      <w:r w:rsidR="0066270A">
        <w:rPr>
          <w:lang w:val="en-US"/>
        </w:rPr>
        <w:t xml:space="preserve">t the Netherlands contributed disproportionately </w:t>
      </w:r>
      <w:r w:rsidR="00E50B92">
        <w:rPr>
          <w:lang w:val="en-US"/>
        </w:rPr>
        <w:t xml:space="preserve">to the EU, being one of few net-contributors </w:t>
      </w:r>
      <w:r>
        <w:rPr>
          <w:lang w:val="en-US"/>
        </w:rPr>
        <w:t xml:space="preserve">(R. Boudewijn, interview, </w:t>
      </w:r>
      <w:r w:rsidR="00D845CD">
        <w:rPr>
          <w:lang w:val="en-US"/>
        </w:rPr>
        <w:t>May 26 2020</w:t>
      </w:r>
      <w:r w:rsidR="00E50B92">
        <w:rPr>
          <w:lang w:val="en-US"/>
        </w:rPr>
        <w:t xml:space="preserve">; </w:t>
      </w:r>
      <w:r w:rsidR="006F47AC">
        <w:rPr>
          <w:lang w:val="en-US"/>
        </w:rPr>
        <w:t>J. van Aartsen, interview, May 22 2020)</w:t>
      </w:r>
      <w:r w:rsidR="00AC4E5E">
        <w:rPr>
          <w:lang w:val="en-US"/>
        </w:rPr>
        <w:t xml:space="preserve">. </w:t>
      </w:r>
      <w:r w:rsidR="00406D3C">
        <w:rPr>
          <w:lang w:val="en-US"/>
        </w:rPr>
        <w:t xml:space="preserve">There </w:t>
      </w:r>
      <w:r w:rsidR="00D815F8">
        <w:rPr>
          <w:lang w:val="en-US"/>
        </w:rPr>
        <w:t xml:space="preserve">were </w:t>
      </w:r>
      <w:r w:rsidR="006C25F1">
        <w:rPr>
          <w:lang w:val="en-US"/>
        </w:rPr>
        <w:t>different views on European integration within the administration</w:t>
      </w:r>
      <w:r w:rsidR="00A30E5C">
        <w:rPr>
          <w:lang w:val="en-US"/>
        </w:rPr>
        <w:t xml:space="preserve"> (K. Berghuis, interview, May 28 2020; A. Nicolaï, interview, May 18 2020; J. Sprenger, interview, May 4 2020; G. Zalm, interview, May 28 2020).</w:t>
      </w:r>
      <w:r w:rsidR="006C25F1">
        <w:rPr>
          <w:lang w:val="en-US"/>
        </w:rPr>
        <w:t xml:space="preserve"> </w:t>
      </w:r>
      <w:r w:rsidR="00BD3E57">
        <w:rPr>
          <w:lang w:val="en-US"/>
        </w:rPr>
        <w:t>D66 was known as Europhile, whereas VVD was internally divided on the matte</w:t>
      </w:r>
      <w:r w:rsidR="006C0C47">
        <w:rPr>
          <w:lang w:val="en-US"/>
        </w:rPr>
        <w:t>r and was openly critical about some aspects of European integration</w:t>
      </w:r>
      <w:r w:rsidR="00A30E5C">
        <w:rPr>
          <w:lang w:val="en-US"/>
        </w:rPr>
        <w:t>.</w:t>
      </w:r>
      <w:r w:rsidR="00DD6CA6">
        <w:rPr>
          <w:lang w:val="en-US"/>
        </w:rPr>
        <w:t xml:space="preserve"> In his memoirs, Bot recalls administration as relatively Eurosceptical, stating that he was one of three devoted Europhile ministers in the cabinet (Bot, 2016, p. 263).</w:t>
      </w:r>
    </w:p>
    <w:p w14:paraId="66CE9DC7" w14:textId="2881924F" w:rsidR="00FB1E57" w:rsidRPr="00A81153" w:rsidRDefault="00FB1E57" w:rsidP="00C06491">
      <w:pPr>
        <w:pStyle w:val="Kop4"/>
        <w:rPr>
          <w:color w:val="auto"/>
          <w:lang w:val="en-US"/>
        </w:rPr>
      </w:pPr>
      <w:r w:rsidRPr="00A81153">
        <w:rPr>
          <w:color w:val="auto"/>
          <w:lang w:val="en-US"/>
        </w:rPr>
        <w:t>Focus on proportionality</w:t>
      </w:r>
    </w:p>
    <w:p w14:paraId="32FD3452" w14:textId="4E15B9E9" w:rsidR="009A7A09" w:rsidRDefault="003F0CDA" w:rsidP="00716930">
      <w:pPr>
        <w:jc w:val="both"/>
        <w:rPr>
          <w:lang w:val="en-US"/>
        </w:rPr>
      </w:pPr>
      <w:r>
        <w:rPr>
          <w:lang w:val="en-US"/>
        </w:rPr>
        <w:t xml:space="preserve">In 2003, during the debates in the </w:t>
      </w:r>
      <w:r>
        <w:rPr>
          <w:i/>
          <w:iCs/>
          <w:lang w:val="en-US"/>
        </w:rPr>
        <w:t>Tweede Kamer</w:t>
      </w:r>
      <w:r>
        <w:rPr>
          <w:lang w:val="en-US"/>
        </w:rPr>
        <w:t xml:space="preserve"> on the proposal to hold a referendum on the ECT, the partial role of the administration was subject of discussion</w:t>
      </w:r>
      <w:r w:rsidR="00D14EC4">
        <w:rPr>
          <w:lang w:val="en-US"/>
        </w:rPr>
        <w:t xml:space="preserve"> (Tweede Kamer, 2003</w:t>
      </w:r>
      <w:r w:rsidR="004C7E34">
        <w:rPr>
          <w:lang w:val="en-US"/>
        </w:rPr>
        <w:t>a</w:t>
      </w:r>
      <w:r w:rsidR="00D14EC4">
        <w:rPr>
          <w:lang w:val="en-US"/>
        </w:rPr>
        <w:t xml:space="preserve">). </w:t>
      </w:r>
      <w:r w:rsidR="00D72E99">
        <w:rPr>
          <w:lang w:val="en-US"/>
        </w:rPr>
        <w:t>It was debated to what extent the government could express its support for the ECT</w:t>
      </w:r>
      <w:r w:rsidR="004F16A1">
        <w:rPr>
          <w:lang w:val="en-US"/>
        </w:rPr>
        <w:t xml:space="preserve">. </w:t>
      </w:r>
      <w:r w:rsidR="006F5121">
        <w:rPr>
          <w:lang w:val="en-US"/>
        </w:rPr>
        <w:t xml:space="preserve">The administration </w:t>
      </w:r>
      <w:r w:rsidR="00EC51D3">
        <w:rPr>
          <w:lang w:val="en-US"/>
        </w:rPr>
        <w:t>responded</w:t>
      </w:r>
      <w:r w:rsidR="006F5121">
        <w:rPr>
          <w:lang w:val="en-US"/>
        </w:rPr>
        <w:t xml:space="preserve"> that should it sign the ECT, it would fiercely defend it.</w:t>
      </w:r>
      <w:r w:rsidR="00A93B19">
        <w:rPr>
          <w:lang w:val="en-US"/>
        </w:rPr>
        <w:t xml:space="preserve"> </w:t>
      </w:r>
      <w:r w:rsidR="004F16A1">
        <w:rPr>
          <w:lang w:val="en-US"/>
        </w:rPr>
        <w:t xml:space="preserve">However, the options considered by the government were </w:t>
      </w:r>
      <w:r w:rsidR="0039679E">
        <w:rPr>
          <w:lang w:val="en-US"/>
        </w:rPr>
        <w:t xml:space="preserve">informed by the notion that its campaign could not be too outspoken or </w:t>
      </w:r>
      <w:r w:rsidR="00801689">
        <w:rPr>
          <w:lang w:val="en-US"/>
        </w:rPr>
        <w:t>expensive</w:t>
      </w:r>
      <w:r w:rsidR="003F450E">
        <w:rPr>
          <w:lang w:val="en-US"/>
        </w:rPr>
        <w:t xml:space="preserve"> (</w:t>
      </w:r>
      <w:r w:rsidR="00D87E75">
        <w:rPr>
          <w:lang w:val="en-US"/>
        </w:rPr>
        <w:t xml:space="preserve">Ministry of General Affairs et al., 2004; </w:t>
      </w:r>
      <w:r w:rsidR="003F450E">
        <w:rPr>
          <w:lang w:val="en-US"/>
        </w:rPr>
        <w:t>A. Nicolaï, interview, May 18 2020</w:t>
      </w:r>
      <w:r w:rsidR="0068316C">
        <w:rPr>
          <w:lang w:val="en-US"/>
        </w:rPr>
        <w:t>)</w:t>
      </w:r>
      <w:r w:rsidR="00801689">
        <w:rPr>
          <w:lang w:val="en-US"/>
        </w:rPr>
        <w:t xml:space="preserve">. While outsourcing the campaign to a firm was considered, it was ultimately decided that this was too expensive. Hiring a professional campaign leader was seen as </w:t>
      </w:r>
      <w:r w:rsidR="00C80750">
        <w:rPr>
          <w:lang w:val="en-US"/>
        </w:rPr>
        <w:t>a reasonable compromise (A. Nicolaï, interview, May 18 2020).</w:t>
      </w:r>
      <w:r w:rsidR="0068316C">
        <w:rPr>
          <w:lang w:val="en-US"/>
        </w:rPr>
        <w:t xml:space="preserve"> </w:t>
      </w:r>
    </w:p>
    <w:p w14:paraId="666EDF67" w14:textId="29A4471D" w:rsidR="004F16A1" w:rsidRDefault="0066270A" w:rsidP="00716930">
      <w:pPr>
        <w:jc w:val="both"/>
        <w:rPr>
          <w:lang w:val="en-US"/>
        </w:rPr>
      </w:pPr>
      <w:r>
        <w:rPr>
          <w:lang w:val="en-US"/>
        </w:rPr>
        <w:t>While modesty and proportionality are heralded as democratic values in the November 2004 strategy</w:t>
      </w:r>
      <w:r w:rsidR="0068316C">
        <w:rPr>
          <w:lang w:val="en-US"/>
        </w:rPr>
        <w:t xml:space="preserve">, </w:t>
      </w:r>
      <w:r w:rsidR="00D05C1F">
        <w:rPr>
          <w:lang w:val="en-US"/>
        </w:rPr>
        <w:t xml:space="preserve">the limited budget and time may also be a consequence of the administration’s initial </w:t>
      </w:r>
      <w:r w:rsidR="009A7A09">
        <w:rPr>
          <w:lang w:val="en-US"/>
        </w:rPr>
        <w:t>reluctance to engage with the campaign. Some</w:t>
      </w:r>
      <w:r w:rsidR="0068316C">
        <w:rPr>
          <w:lang w:val="en-US"/>
        </w:rPr>
        <w:t xml:space="preserve"> believe that the government could have </w:t>
      </w:r>
      <w:r w:rsidR="00750D95">
        <w:rPr>
          <w:lang w:val="en-US"/>
        </w:rPr>
        <w:t>made an effort to increase the available budget would they have felt more urgency to engage with the matter in this stage (K. Aarts, interview, April 23; J.</w:t>
      </w:r>
      <w:r w:rsidR="00105E48">
        <w:rPr>
          <w:lang w:val="en-US"/>
        </w:rPr>
        <w:t xml:space="preserve"> van Aartsen, May 22 2020).</w:t>
      </w:r>
      <w:r w:rsidR="00CE3BF5">
        <w:rPr>
          <w:lang w:val="en-US"/>
        </w:rPr>
        <w:t xml:space="preserve"> </w:t>
      </w:r>
    </w:p>
    <w:p w14:paraId="28FDEEA5" w14:textId="2341678C" w:rsidR="00A93B19" w:rsidRDefault="00FB1E57" w:rsidP="00716930">
      <w:pPr>
        <w:jc w:val="both"/>
        <w:rPr>
          <w:lang w:val="en-US"/>
        </w:rPr>
      </w:pPr>
      <w:r w:rsidRPr="00FB1E57">
        <w:rPr>
          <w:lang w:val="en-US"/>
        </w:rPr>
        <w:t>The No</w:t>
      </w:r>
      <w:r>
        <w:rPr>
          <w:lang w:val="en-US"/>
        </w:rPr>
        <w:t>vember 2004 strategy</w:t>
      </w:r>
      <w:r w:rsidR="003B0D00">
        <w:rPr>
          <w:lang w:val="en-US"/>
        </w:rPr>
        <w:t xml:space="preserve">, emphasizing the need for proportionality and </w:t>
      </w:r>
      <w:r w:rsidR="00865570">
        <w:rPr>
          <w:lang w:val="en-US"/>
        </w:rPr>
        <w:t>a</w:t>
      </w:r>
      <w:r w:rsidR="008A7DC8">
        <w:rPr>
          <w:lang w:val="en-US"/>
        </w:rPr>
        <w:t xml:space="preserve"> reserved </w:t>
      </w:r>
      <w:r w:rsidR="0071038B">
        <w:rPr>
          <w:lang w:val="en-US"/>
        </w:rPr>
        <w:t>approach by the administration,</w:t>
      </w:r>
      <w:r>
        <w:rPr>
          <w:lang w:val="en-US"/>
        </w:rPr>
        <w:t xml:space="preserve"> </w:t>
      </w:r>
      <w:r w:rsidR="00D00D8C">
        <w:rPr>
          <w:lang w:val="en-US"/>
        </w:rPr>
        <w:t>recommended</w:t>
      </w:r>
      <w:r>
        <w:rPr>
          <w:lang w:val="en-US"/>
        </w:rPr>
        <w:t xml:space="preserve"> a</w:t>
      </w:r>
      <w:r w:rsidR="006C0DF8">
        <w:rPr>
          <w:lang w:val="en-US"/>
        </w:rPr>
        <w:t xml:space="preserve"> relatively</w:t>
      </w:r>
      <w:r>
        <w:rPr>
          <w:lang w:val="en-US"/>
        </w:rPr>
        <w:t xml:space="preserve"> small budget</w:t>
      </w:r>
      <w:r w:rsidR="006C0DF8">
        <w:rPr>
          <w:lang w:val="en-US"/>
        </w:rPr>
        <w:t xml:space="preserve"> </w:t>
      </w:r>
      <w:r w:rsidR="003B0D00">
        <w:rPr>
          <w:lang w:val="en-US"/>
        </w:rPr>
        <w:t>for the cabinet campaign</w:t>
      </w:r>
      <w:r w:rsidR="00F92B92">
        <w:rPr>
          <w:lang w:val="en-US"/>
        </w:rPr>
        <w:t xml:space="preserve"> (Ministry of General</w:t>
      </w:r>
      <w:r w:rsidR="00D00D8C">
        <w:rPr>
          <w:lang w:val="en-US"/>
        </w:rPr>
        <w:t xml:space="preserve"> Affairs et al., 2004, p. 19). </w:t>
      </w:r>
      <w:r w:rsidR="00EF00B5">
        <w:rPr>
          <w:lang w:val="en-US"/>
        </w:rPr>
        <w:t xml:space="preserve">While an earlier proposal had </w:t>
      </w:r>
      <w:r w:rsidR="002A38E6">
        <w:rPr>
          <w:lang w:val="en-US"/>
        </w:rPr>
        <w:t xml:space="preserve">estimated </w:t>
      </w:r>
      <w:r w:rsidR="009131AC">
        <w:rPr>
          <w:lang w:val="en-US"/>
        </w:rPr>
        <w:t xml:space="preserve">a budget of </w:t>
      </w:r>
      <w:r w:rsidR="002A38E6">
        <w:rPr>
          <w:lang w:val="en-US"/>
        </w:rPr>
        <w:t>€</w:t>
      </w:r>
      <w:r w:rsidR="009131AC">
        <w:rPr>
          <w:lang w:val="en-US"/>
        </w:rPr>
        <w:t>2 million for a “yes”</w:t>
      </w:r>
      <w:r w:rsidR="003F450E">
        <w:rPr>
          <w:lang w:val="en-US"/>
        </w:rPr>
        <w:t>-campaign, this was now deemed unnecessarily high. A</w:t>
      </w:r>
      <w:r w:rsidR="00321587">
        <w:rPr>
          <w:lang w:val="en-US"/>
        </w:rPr>
        <w:t xml:space="preserve"> core element of the </w:t>
      </w:r>
      <w:r w:rsidR="003F450E">
        <w:rPr>
          <w:lang w:val="en-US"/>
        </w:rPr>
        <w:t>strategy</w:t>
      </w:r>
      <w:r w:rsidR="00321587">
        <w:rPr>
          <w:lang w:val="en-US"/>
        </w:rPr>
        <w:t xml:space="preserve"> was free publicity. Some </w:t>
      </w:r>
      <w:r w:rsidR="00A245D5">
        <w:rPr>
          <w:lang w:val="en-US"/>
        </w:rPr>
        <w:t xml:space="preserve">€200.000 was reserved for in-house development of supporting campaign material. Additionally, </w:t>
      </w:r>
      <w:r w:rsidR="001A02EA">
        <w:rPr>
          <w:lang w:val="en-US"/>
        </w:rPr>
        <w:t>it was estimated that €250.000 was needed for research. To provide proportional answer to potential mass-media campaign</w:t>
      </w:r>
      <w:r w:rsidR="005849B2">
        <w:rPr>
          <w:lang w:val="en-US"/>
        </w:rPr>
        <w:t xml:space="preserve">s against the ECT, it was deemed wise to reserve up to €1,5 million for </w:t>
      </w:r>
      <w:r w:rsidR="00D62FCB">
        <w:rPr>
          <w:lang w:val="en-US"/>
        </w:rPr>
        <w:t>a potential scaling-up of the campaign.</w:t>
      </w:r>
      <w:r w:rsidR="007305D9">
        <w:rPr>
          <w:lang w:val="en-US"/>
        </w:rPr>
        <w:t xml:space="preserve"> </w:t>
      </w:r>
      <w:r w:rsidR="002B7CCC">
        <w:rPr>
          <w:lang w:val="en-US"/>
        </w:rPr>
        <w:t xml:space="preserve">The small budget and timeframe for the campaign were the result of </w:t>
      </w:r>
      <w:r w:rsidR="00D72E99">
        <w:rPr>
          <w:lang w:val="en-US"/>
        </w:rPr>
        <w:t xml:space="preserve">the perceived necessity for </w:t>
      </w:r>
    </w:p>
    <w:p w14:paraId="77C3D435" w14:textId="5066DF46" w:rsidR="00A93B19" w:rsidRDefault="00A93B19" w:rsidP="00716930">
      <w:pPr>
        <w:jc w:val="both"/>
        <w:rPr>
          <w:lang w:val="en-US"/>
        </w:rPr>
      </w:pPr>
      <w:r>
        <w:rPr>
          <w:lang w:val="en-US"/>
        </w:rPr>
        <w:t>On February 7</w:t>
      </w:r>
      <w:r w:rsidRPr="00A93B19">
        <w:rPr>
          <w:vertAlign w:val="superscript"/>
          <w:lang w:val="en-US"/>
        </w:rPr>
        <w:t>th</w:t>
      </w:r>
      <w:r>
        <w:rPr>
          <w:lang w:val="en-US"/>
        </w:rPr>
        <w:t xml:space="preserve">, the government’s strategy and the estimated cost of it were </w:t>
      </w:r>
      <w:r w:rsidR="007305D9">
        <w:rPr>
          <w:lang w:val="en-US"/>
        </w:rPr>
        <w:t xml:space="preserve">presented to the </w:t>
      </w:r>
      <w:r w:rsidR="007305D9">
        <w:rPr>
          <w:i/>
          <w:iCs/>
          <w:lang w:val="en-US"/>
        </w:rPr>
        <w:t>Tweede Kamer</w:t>
      </w:r>
      <w:r w:rsidR="00242D2D">
        <w:rPr>
          <w:i/>
          <w:iCs/>
          <w:lang w:val="en-US"/>
        </w:rPr>
        <w:t xml:space="preserve"> </w:t>
      </w:r>
      <w:r w:rsidR="00242D2D">
        <w:rPr>
          <w:iCs/>
          <w:lang w:val="en-US"/>
        </w:rPr>
        <w:t>(Nicolaï. 2005a)</w:t>
      </w:r>
      <w:r w:rsidR="007305D9">
        <w:rPr>
          <w:i/>
          <w:iCs/>
          <w:lang w:val="en-US"/>
        </w:rPr>
        <w:t xml:space="preserve">. </w:t>
      </w:r>
      <w:r w:rsidR="003D381B">
        <w:rPr>
          <w:lang w:val="en-US"/>
        </w:rPr>
        <w:t xml:space="preserve">The estimated €1.5 million to </w:t>
      </w:r>
      <w:r w:rsidR="00191631">
        <w:rPr>
          <w:lang w:val="en-US"/>
        </w:rPr>
        <w:t xml:space="preserve">finance a potential scaling-up of the campaign in the wake of </w:t>
      </w:r>
      <w:r w:rsidR="00F23D6C">
        <w:rPr>
          <w:lang w:val="en-US"/>
        </w:rPr>
        <w:t>a mass-media “no”-campaign was seen as a</w:t>
      </w:r>
      <w:r w:rsidR="00275E85">
        <w:rPr>
          <w:lang w:val="en-US"/>
        </w:rPr>
        <w:t xml:space="preserve"> secret</w:t>
      </w:r>
      <w:r w:rsidR="00F23D6C">
        <w:rPr>
          <w:lang w:val="en-US"/>
        </w:rPr>
        <w:t xml:space="preserve"> </w:t>
      </w:r>
      <w:r w:rsidR="00541A05">
        <w:rPr>
          <w:lang w:val="en-US"/>
        </w:rPr>
        <w:t xml:space="preserve">war chest that the government would use to buy electoral support at the expense of the </w:t>
      </w:r>
      <w:r w:rsidR="00A44E2C">
        <w:rPr>
          <w:lang w:val="en-US"/>
        </w:rPr>
        <w:t>underdog “no”-campaign</w:t>
      </w:r>
      <w:r w:rsidR="000E4C36">
        <w:rPr>
          <w:lang w:val="en-US"/>
        </w:rPr>
        <w:t xml:space="preserve"> (Tweede Kamer, 2005b)</w:t>
      </w:r>
      <w:r w:rsidR="00A44E2C">
        <w:rPr>
          <w:lang w:val="en-US"/>
        </w:rPr>
        <w:t>.</w:t>
      </w:r>
      <w:r w:rsidR="00AE4215">
        <w:rPr>
          <w:lang w:val="en-US"/>
        </w:rPr>
        <w:t xml:space="preserve"> The </w:t>
      </w:r>
      <w:r w:rsidR="005C000B">
        <w:rPr>
          <w:lang w:val="en-US"/>
        </w:rPr>
        <w:t>campaign strategy sent to Parliament</w:t>
      </w:r>
      <w:r w:rsidR="00AE4215">
        <w:rPr>
          <w:lang w:val="en-US"/>
        </w:rPr>
        <w:t xml:space="preserve"> argued that the €1.5 million had not been reserved yet, and </w:t>
      </w:r>
      <w:r w:rsidR="000C37A2">
        <w:rPr>
          <w:lang w:val="en-US"/>
        </w:rPr>
        <w:t xml:space="preserve">that the campaign’s costs </w:t>
      </w:r>
      <w:r w:rsidR="00AE4215">
        <w:rPr>
          <w:lang w:val="en-US"/>
        </w:rPr>
        <w:t xml:space="preserve">would be presented to the </w:t>
      </w:r>
      <w:r w:rsidR="00AE4215">
        <w:rPr>
          <w:i/>
          <w:iCs/>
          <w:lang w:val="en-US"/>
        </w:rPr>
        <w:t>Tweede Kamer</w:t>
      </w:r>
      <w:r w:rsidR="00AE4215">
        <w:rPr>
          <w:lang w:val="en-US"/>
        </w:rPr>
        <w:t xml:space="preserve"> in the</w:t>
      </w:r>
      <w:r w:rsidR="00160DB6">
        <w:rPr>
          <w:lang w:val="en-US"/>
        </w:rPr>
        <w:t xml:space="preserve"> Spring Memorandum (</w:t>
      </w:r>
      <w:r w:rsidR="00160DB6">
        <w:rPr>
          <w:i/>
          <w:iCs/>
          <w:lang w:val="en-US"/>
        </w:rPr>
        <w:t>Voorjaarsnota</w:t>
      </w:r>
      <w:r w:rsidR="00160DB6">
        <w:rPr>
          <w:lang w:val="en-US"/>
        </w:rPr>
        <w:t>)</w:t>
      </w:r>
      <w:r w:rsidR="005C000B">
        <w:rPr>
          <w:lang w:val="en-US"/>
        </w:rPr>
        <w:t xml:space="preserve">. This </w:t>
      </w:r>
      <w:r w:rsidR="00627D1B">
        <w:rPr>
          <w:lang w:val="en-US"/>
        </w:rPr>
        <w:t xml:space="preserve">would allow Parliament to comment on the spending and </w:t>
      </w:r>
      <w:r w:rsidR="004828C2">
        <w:rPr>
          <w:lang w:val="en-US"/>
        </w:rPr>
        <w:t xml:space="preserve">propose amendments </w:t>
      </w:r>
      <w:r w:rsidR="0083114E">
        <w:rPr>
          <w:lang w:val="en-US"/>
        </w:rPr>
        <w:t>(Nicolaï, 2005a).</w:t>
      </w:r>
    </w:p>
    <w:p w14:paraId="2FB8AFFA" w14:textId="6D64B66C" w:rsidR="0083114E" w:rsidRPr="00A81153" w:rsidRDefault="00C06491" w:rsidP="00C06491">
      <w:pPr>
        <w:pStyle w:val="Kop3"/>
        <w:rPr>
          <w:rFonts w:eastAsia="Times New Roman"/>
          <w:color w:val="auto"/>
          <w:u w:val="single"/>
          <w:lang w:val="en-US" w:eastAsia="nl-NL"/>
        </w:rPr>
      </w:pPr>
      <w:bookmarkStart w:id="52" w:name="_Toc48891314"/>
      <w:r w:rsidRPr="00A81153">
        <w:rPr>
          <w:rFonts w:eastAsia="Times New Roman"/>
          <w:color w:val="auto"/>
          <w:u w:val="single"/>
          <w:lang w:val="en-US" w:eastAsia="nl-NL"/>
        </w:rPr>
        <w:t xml:space="preserve">4.4.2 </w:t>
      </w:r>
      <w:r w:rsidR="0083114E" w:rsidRPr="00A81153">
        <w:rPr>
          <w:rFonts w:eastAsia="Times New Roman"/>
          <w:color w:val="auto"/>
          <w:u w:val="single"/>
          <w:lang w:val="en-US" w:eastAsia="nl-NL"/>
        </w:rPr>
        <w:t>Phase II</w:t>
      </w:r>
      <w:r w:rsidR="0095320D">
        <w:rPr>
          <w:rFonts w:eastAsia="Times New Roman"/>
          <w:color w:val="auto"/>
          <w:u w:val="single"/>
          <w:lang w:val="en-US" w:eastAsia="nl-NL"/>
        </w:rPr>
        <w:t xml:space="preserve">: </w:t>
      </w:r>
      <w:r w:rsidR="005665A4">
        <w:rPr>
          <w:rFonts w:eastAsia="Times New Roman"/>
          <w:color w:val="auto"/>
          <w:u w:val="single"/>
          <w:lang w:val="en-US" w:eastAsia="nl-NL"/>
        </w:rPr>
        <w:t>Nuanced messaging and providing information</w:t>
      </w:r>
      <w:bookmarkEnd w:id="52"/>
    </w:p>
    <w:p w14:paraId="01497865" w14:textId="2BD7D6D3" w:rsidR="00931DE5" w:rsidRPr="00A81153" w:rsidRDefault="008503DD" w:rsidP="00A81153">
      <w:pPr>
        <w:pStyle w:val="Kop4"/>
        <w:rPr>
          <w:color w:val="auto"/>
          <w:lang w:val="en-US"/>
        </w:rPr>
      </w:pPr>
      <w:r w:rsidRPr="00A81153">
        <w:rPr>
          <w:color w:val="auto"/>
          <w:lang w:val="en-US"/>
        </w:rPr>
        <w:t>Perceptions on European integration</w:t>
      </w:r>
    </w:p>
    <w:p w14:paraId="125938AB" w14:textId="76C98C27" w:rsidR="008503DD" w:rsidRDefault="007B14B7" w:rsidP="00716930">
      <w:pPr>
        <w:jc w:val="both"/>
        <w:rPr>
          <w:lang w:val="en-US"/>
        </w:rPr>
      </w:pPr>
      <w:r>
        <w:rPr>
          <w:lang w:val="en-US"/>
        </w:rPr>
        <w:t>The</w:t>
      </w:r>
      <w:r w:rsidR="00967554">
        <w:rPr>
          <w:lang w:val="en-US"/>
        </w:rPr>
        <w:t xml:space="preserve"> initial</w:t>
      </w:r>
      <w:r>
        <w:rPr>
          <w:lang w:val="en-US"/>
        </w:rPr>
        <w:t xml:space="preserve"> core messages for the cabinet’s campaign developed by the TFR </w:t>
      </w:r>
      <w:r w:rsidR="00284D6A">
        <w:rPr>
          <w:lang w:val="en-US"/>
        </w:rPr>
        <w:t>resembled those outlined in the November 2004 strategy.</w:t>
      </w:r>
      <w:r w:rsidR="00E179F6">
        <w:rPr>
          <w:lang w:val="en-US"/>
        </w:rPr>
        <w:t xml:space="preserve"> Th</w:t>
      </w:r>
      <w:r w:rsidR="00EA093D">
        <w:rPr>
          <w:lang w:val="en-US"/>
        </w:rPr>
        <w:t xml:space="preserve">e central argumentation of the cabinet was that Europe had provided the Netherlands with </w:t>
      </w:r>
      <w:r w:rsidR="00967554">
        <w:rPr>
          <w:lang w:val="en-US"/>
        </w:rPr>
        <w:t xml:space="preserve">peace, safety, and prosperity for the last sixty years (Goeijenbier, 2005). Within the Ministry of Foreign Affairs, </w:t>
      </w:r>
      <w:r w:rsidR="00DC6A77">
        <w:rPr>
          <w:lang w:val="en-US"/>
        </w:rPr>
        <w:t>civil servants generally</w:t>
      </w:r>
      <w:r w:rsidR="0098796C">
        <w:rPr>
          <w:lang w:val="en-US"/>
        </w:rPr>
        <w:t xml:space="preserve"> shared the perspective that the </w:t>
      </w:r>
      <w:r w:rsidR="002D20D5">
        <w:rPr>
          <w:lang w:val="en-US"/>
        </w:rPr>
        <w:t xml:space="preserve">EU </w:t>
      </w:r>
      <w:r w:rsidR="009C0880">
        <w:rPr>
          <w:lang w:val="en-US"/>
        </w:rPr>
        <w:t>was valuable and that citizens would understand this (</w:t>
      </w:r>
      <w:r w:rsidR="00441A8B">
        <w:rPr>
          <w:lang w:val="en-US"/>
        </w:rPr>
        <w:t xml:space="preserve">J. Goeijenbier, </w:t>
      </w:r>
      <w:r w:rsidR="0098796C">
        <w:rPr>
          <w:lang w:val="en-US"/>
        </w:rPr>
        <w:t>interview, May 12 2020</w:t>
      </w:r>
      <w:r w:rsidR="001F0D85">
        <w:rPr>
          <w:lang w:val="en-US"/>
        </w:rPr>
        <w:t xml:space="preserve">; </w:t>
      </w:r>
      <w:r w:rsidR="009C0880">
        <w:rPr>
          <w:lang w:val="en-US"/>
        </w:rPr>
        <w:t>A. Nicolaï, interview, May 18 2020)</w:t>
      </w:r>
      <w:r w:rsidR="001F0D85">
        <w:rPr>
          <w:lang w:val="en-US"/>
        </w:rPr>
        <w:t xml:space="preserve">. </w:t>
      </w:r>
      <w:r w:rsidR="00B72FE2">
        <w:rPr>
          <w:lang w:val="en-US"/>
        </w:rPr>
        <w:t xml:space="preserve">However, </w:t>
      </w:r>
      <w:r w:rsidR="00B07E72">
        <w:rPr>
          <w:lang w:val="en-US"/>
        </w:rPr>
        <w:t xml:space="preserve">shared perspectives on the merit of European integration are not believed to have greatly impacted </w:t>
      </w:r>
      <w:r w:rsidR="000F10A9">
        <w:rPr>
          <w:lang w:val="en-US"/>
        </w:rPr>
        <w:t>the campaign</w:t>
      </w:r>
      <w:r w:rsidR="005E3D2F">
        <w:rPr>
          <w:lang w:val="en-US"/>
        </w:rPr>
        <w:t xml:space="preserve">, due to the </w:t>
      </w:r>
      <w:r w:rsidR="004922D7">
        <w:rPr>
          <w:lang w:val="en-US"/>
        </w:rPr>
        <w:t>performance of open-minded members of the TFR (J. Goeijenbier, interview, May 12 2020; A. Nicolaï, May 18 2020).</w:t>
      </w:r>
    </w:p>
    <w:p w14:paraId="574CF593" w14:textId="5E3FD699" w:rsidR="00B503A9" w:rsidRDefault="00B875C3" w:rsidP="00716930">
      <w:pPr>
        <w:jc w:val="both"/>
        <w:rPr>
          <w:lang w:val="en-US"/>
        </w:rPr>
      </w:pPr>
      <w:r>
        <w:rPr>
          <w:lang w:val="en-US"/>
        </w:rPr>
        <w:t>On March 18</w:t>
      </w:r>
      <w:r w:rsidRPr="00B875C3">
        <w:rPr>
          <w:vertAlign w:val="superscript"/>
          <w:lang w:val="en-US"/>
        </w:rPr>
        <w:t>th</w:t>
      </w:r>
      <w:r>
        <w:rPr>
          <w:lang w:val="en-US"/>
        </w:rPr>
        <w:t xml:space="preserve">, Goeijenbier presented the developed core messages to the administration. Minister of Justice Donner argued that the </w:t>
      </w:r>
      <w:r w:rsidR="00A21734">
        <w:rPr>
          <w:lang w:val="en-US"/>
        </w:rPr>
        <w:t>messages were too positive, and that criticism should be incorporated in the message (Giebels et al., 2005</w:t>
      </w:r>
      <w:r w:rsidR="00A57D42">
        <w:rPr>
          <w:lang w:val="en-US"/>
        </w:rPr>
        <w:t>; Goeijenbier, 2005; J. Goeij</w:t>
      </w:r>
      <w:r w:rsidR="00242D2D">
        <w:rPr>
          <w:lang w:val="en-US"/>
        </w:rPr>
        <w:t>enbier, interview, May 12 2020)</w:t>
      </w:r>
      <w:r w:rsidR="00A21734">
        <w:rPr>
          <w:lang w:val="en-US"/>
        </w:rPr>
        <w:t>. This reflected the administration</w:t>
      </w:r>
      <w:r w:rsidR="00A57D42">
        <w:rPr>
          <w:lang w:val="en-US"/>
        </w:rPr>
        <w:t>’s nuanced position on the E</w:t>
      </w:r>
      <w:r w:rsidR="0027237E">
        <w:rPr>
          <w:lang w:val="en-US"/>
        </w:rPr>
        <w:t xml:space="preserve">U. While the administration </w:t>
      </w:r>
      <w:r w:rsidR="00815A75">
        <w:rPr>
          <w:lang w:val="en-US"/>
        </w:rPr>
        <w:t>supported the ECT, it was not unequivocally pro-European</w:t>
      </w:r>
      <w:r w:rsidR="007F76AF">
        <w:rPr>
          <w:lang w:val="en-US"/>
        </w:rPr>
        <w:t xml:space="preserve"> and wanted a nuanced campaign</w:t>
      </w:r>
      <w:r w:rsidR="00815A75">
        <w:rPr>
          <w:lang w:val="en-US"/>
        </w:rPr>
        <w:t xml:space="preserve"> (</w:t>
      </w:r>
      <w:r w:rsidR="00233DDF">
        <w:rPr>
          <w:lang w:val="en-US"/>
        </w:rPr>
        <w:t>A. Nicolaï</w:t>
      </w:r>
      <w:r w:rsidR="003E2ADA">
        <w:rPr>
          <w:lang w:val="en-US"/>
        </w:rPr>
        <w:t>, i</w:t>
      </w:r>
      <w:r w:rsidR="00233DDF">
        <w:rPr>
          <w:lang w:val="en-US"/>
        </w:rPr>
        <w:t>nterview, May 18 2020</w:t>
      </w:r>
      <w:r w:rsidR="003E2ADA">
        <w:rPr>
          <w:lang w:val="en-US"/>
        </w:rPr>
        <w:t xml:space="preserve">; G. Zalm, interview, May </w:t>
      </w:r>
      <w:r w:rsidR="00066C47">
        <w:rPr>
          <w:lang w:val="en-US"/>
        </w:rPr>
        <w:t>28 2020</w:t>
      </w:r>
      <w:r w:rsidR="00233DDF">
        <w:rPr>
          <w:lang w:val="en-US"/>
        </w:rPr>
        <w:t>)</w:t>
      </w:r>
      <w:r w:rsidR="00066C47">
        <w:rPr>
          <w:lang w:val="en-US"/>
        </w:rPr>
        <w:t xml:space="preserve">. </w:t>
      </w:r>
      <w:r w:rsidR="008C634F">
        <w:rPr>
          <w:lang w:val="en-US"/>
        </w:rPr>
        <w:t>At least part of the</w:t>
      </w:r>
      <w:r w:rsidR="00066C47">
        <w:rPr>
          <w:lang w:val="en-US"/>
        </w:rPr>
        <w:t xml:space="preserve"> administration believed that citizens we</w:t>
      </w:r>
      <w:r w:rsidR="008C634F">
        <w:rPr>
          <w:lang w:val="en-US"/>
        </w:rPr>
        <w:t xml:space="preserve">re critical about the EU, and that overly positive messaging would not be convincing. </w:t>
      </w:r>
    </w:p>
    <w:p w14:paraId="649582E8" w14:textId="77857A3B" w:rsidR="004B1B0A" w:rsidRPr="00A81153" w:rsidRDefault="004B1B0A" w:rsidP="00A81153">
      <w:pPr>
        <w:pStyle w:val="Kop4"/>
        <w:rPr>
          <w:color w:val="auto"/>
          <w:lang w:val="en-US"/>
        </w:rPr>
      </w:pPr>
      <w:r w:rsidRPr="00A81153">
        <w:rPr>
          <w:color w:val="auto"/>
          <w:lang w:val="en-US"/>
        </w:rPr>
        <w:t>Increasing budgets</w:t>
      </w:r>
    </w:p>
    <w:p w14:paraId="7BC14F0E" w14:textId="77777777" w:rsidR="00E93F8B" w:rsidRDefault="005A7060" w:rsidP="00716930">
      <w:pPr>
        <w:jc w:val="both"/>
        <w:rPr>
          <w:lang w:val="en-US"/>
        </w:rPr>
      </w:pPr>
      <w:r>
        <w:rPr>
          <w:lang w:val="en-US"/>
        </w:rPr>
        <w:t>In March, the government decided that information on the ECT should be provided to the public</w:t>
      </w:r>
      <w:r w:rsidR="0024577F">
        <w:rPr>
          <w:lang w:val="en-US"/>
        </w:rPr>
        <w:t xml:space="preserve">, supported by the </w:t>
      </w:r>
      <w:r w:rsidR="0024577F">
        <w:rPr>
          <w:i/>
          <w:iCs/>
          <w:lang w:val="en-US"/>
        </w:rPr>
        <w:t>Tweede Kamer</w:t>
      </w:r>
      <w:r w:rsidR="0024577F">
        <w:rPr>
          <w:lang w:val="en-US"/>
        </w:rPr>
        <w:t xml:space="preserve"> (</w:t>
      </w:r>
      <w:r w:rsidR="00834465">
        <w:rPr>
          <w:lang w:val="en-US"/>
        </w:rPr>
        <w:t>Parlementaire Monitor, 2005; Tweede Kamer, 2005c)</w:t>
      </w:r>
      <w:r w:rsidR="00172E7B">
        <w:rPr>
          <w:lang w:val="en-US"/>
        </w:rPr>
        <w:t xml:space="preserve">. The </w:t>
      </w:r>
      <w:r w:rsidR="00172E7B">
        <w:rPr>
          <w:i/>
          <w:iCs/>
          <w:lang w:val="en-US"/>
        </w:rPr>
        <w:t>Grondwetkrant</w:t>
      </w:r>
      <w:r w:rsidR="00172E7B">
        <w:rPr>
          <w:lang w:val="en-US"/>
        </w:rPr>
        <w:t xml:space="preserve"> served to make the text of the ECT available to the general public. </w:t>
      </w:r>
      <w:r w:rsidR="00AF4A97">
        <w:rPr>
          <w:lang w:val="en-US"/>
        </w:rPr>
        <w:t>The creation and distribution of the paper was costly, and was not accounted for in the November 2004 strategy</w:t>
      </w:r>
      <w:r w:rsidR="00834465">
        <w:rPr>
          <w:lang w:val="en-US"/>
        </w:rPr>
        <w:t xml:space="preserve"> (Goeijenbier, 2005)</w:t>
      </w:r>
      <w:r w:rsidR="00AF4A97">
        <w:rPr>
          <w:lang w:val="en-US"/>
        </w:rPr>
        <w:t xml:space="preserve">. </w:t>
      </w:r>
      <w:r w:rsidR="00D4312C">
        <w:rPr>
          <w:lang w:val="en-US"/>
        </w:rPr>
        <w:t>An additional €2.3 million was arranged to finance the paper.</w:t>
      </w:r>
      <w:r w:rsidR="00B67B21">
        <w:rPr>
          <w:lang w:val="en-US"/>
        </w:rPr>
        <w:t xml:space="preserve"> To legitimize this decision, the paper had to be neutral (</w:t>
      </w:r>
      <w:r w:rsidR="0024577F">
        <w:rPr>
          <w:lang w:val="en-US"/>
        </w:rPr>
        <w:t xml:space="preserve">J. Goeijenbier, interview, May 12 2020; </w:t>
      </w:r>
      <w:r w:rsidR="00B67B21">
        <w:rPr>
          <w:lang w:val="en-US"/>
        </w:rPr>
        <w:t xml:space="preserve">A. </w:t>
      </w:r>
      <w:r w:rsidR="005B6D1C">
        <w:rPr>
          <w:lang w:val="en-US"/>
        </w:rPr>
        <w:t xml:space="preserve">Nicolaï, interview, </w:t>
      </w:r>
      <w:r w:rsidR="00F755FB">
        <w:rPr>
          <w:lang w:val="en-US"/>
        </w:rPr>
        <w:t xml:space="preserve">May 18 2020). </w:t>
      </w:r>
      <w:r w:rsidR="0024577F">
        <w:rPr>
          <w:lang w:val="en-US"/>
        </w:rPr>
        <w:t>The 2005 Spring Memorandum</w:t>
      </w:r>
      <w:r w:rsidR="00834465">
        <w:rPr>
          <w:lang w:val="en-US"/>
        </w:rPr>
        <w:t xml:space="preserve"> explicitly mentions th</w:t>
      </w:r>
      <w:r w:rsidR="00E62CF6">
        <w:rPr>
          <w:lang w:val="en-US"/>
        </w:rPr>
        <w:t>at the €2,3 million is meant to provide citizens with information on the ECT and the referendum (Bot</w:t>
      </w:r>
      <w:r w:rsidR="00BB5B3F">
        <w:rPr>
          <w:lang w:val="en-US"/>
        </w:rPr>
        <w:t xml:space="preserve"> &amp; Van Ardenne-Van der Hoeven, 2005, p. 12).</w:t>
      </w:r>
      <w:r w:rsidR="00031387">
        <w:rPr>
          <w:lang w:val="en-US"/>
        </w:rPr>
        <w:t xml:space="preserve"> </w:t>
      </w:r>
    </w:p>
    <w:p w14:paraId="52EB1599" w14:textId="5E47D0B0" w:rsidR="004B1B0A" w:rsidRDefault="00031387" w:rsidP="00716930">
      <w:pPr>
        <w:jc w:val="both"/>
        <w:rPr>
          <w:lang w:val="en-US"/>
        </w:rPr>
      </w:pPr>
      <w:r>
        <w:rPr>
          <w:lang w:val="en-US"/>
        </w:rPr>
        <w:t xml:space="preserve">While </w:t>
      </w:r>
      <w:r w:rsidR="00866A8D">
        <w:rPr>
          <w:lang w:val="en-US"/>
        </w:rPr>
        <w:t>the increased budget was communicated to Parliament</w:t>
      </w:r>
      <w:r w:rsidR="00E93F8B">
        <w:rPr>
          <w:lang w:val="en-US"/>
        </w:rPr>
        <w:t xml:space="preserve"> and the </w:t>
      </w:r>
      <w:r w:rsidR="00E93F8B">
        <w:rPr>
          <w:i/>
          <w:iCs/>
          <w:lang w:val="en-US"/>
        </w:rPr>
        <w:t>Tweede Kamer</w:t>
      </w:r>
      <w:r w:rsidR="00E93F8B">
        <w:rPr>
          <w:lang w:val="en-US"/>
        </w:rPr>
        <w:t xml:space="preserve"> called upon the government to provide accessible information on the ECT to citizens</w:t>
      </w:r>
      <w:r w:rsidR="00866A8D">
        <w:rPr>
          <w:lang w:val="en-US"/>
        </w:rPr>
        <w:t xml:space="preserve">, </w:t>
      </w:r>
      <w:r w:rsidR="00E93F8B">
        <w:rPr>
          <w:lang w:val="en-US"/>
        </w:rPr>
        <w:t>the government did not seek ex</w:t>
      </w:r>
      <w:r w:rsidR="00242D2D">
        <w:rPr>
          <w:lang w:val="en-US"/>
        </w:rPr>
        <w:t>plicit Parliamentary approval before earmarking the budget</w:t>
      </w:r>
      <w:r w:rsidR="00E93F8B">
        <w:rPr>
          <w:lang w:val="en-US"/>
        </w:rPr>
        <w:t xml:space="preserve"> (Tweede Kamer, 2005c).</w:t>
      </w:r>
      <w:r w:rsidR="003847CE">
        <w:rPr>
          <w:lang w:val="en-US"/>
        </w:rPr>
        <w:t xml:space="preserve"> </w:t>
      </w:r>
      <w:r w:rsidR="00411F41">
        <w:rPr>
          <w:lang w:val="en-US"/>
        </w:rPr>
        <w:t xml:space="preserve">Instead, the </w:t>
      </w:r>
      <w:r w:rsidR="00411F41">
        <w:rPr>
          <w:i/>
          <w:lang w:val="en-US"/>
        </w:rPr>
        <w:t>Tweede Kamer</w:t>
      </w:r>
      <w:r w:rsidR="00411F41">
        <w:rPr>
          <w:lang w:val="en-US"/>
        </w:rPr>
        <w:t xml:space="preserve"> was informed on the matter and could respond at later time during the parliamentary discussion of the Spring Memorandum.</w:t>
      </w:r>
    </w:p>
    <w:p w14:paraId="5C52C2CA" w14:textId="1428FEE3" w:rsidR="00A2529F" w:rsidRPr="00A81153" w:rsidRDefault="000900EF" w:rsidP="000900EF">
      <w:pPr>
        <w:pStyle w:val="Kop3"/>
        <w:rPr>
          <w:rFonts w:eastAsia="Times New Roman"/>
          <w:color w:val="auto"/>
          <w:u w:val="single"/>
          <w:lang w:val="en-US" w:eastAsia="nl-NL"/>
        </w:rPr>
      </w:pPr>
      <w:bookmarkStart w:id="53" w:name="_Toc48891315"/>
      <w:r w:rsidRPr="00A81153">
        <w:rPr>
          <w:rFonts w:eastAsia="Times New Roman"/>
          <w:color w:val="auto"/>
          <w:u w:val="single"/>
          <w:lang w:val="en-US" w:eastAsia="nl-NL"/>
        </w:rPr>
        <w:t xml:space="preserve">4.4.3 </w:t>
      </w:r>
      <w:r w:rsidR="00A2529F" w:rsidRPr="00A81153">
        <w:rPr>
          <w:rFonts w:eastAsia="Times New Roman"/>
          <w:color w:val="auto"/>
          <w:u w:val="single"/>
          <w:lang w:val="en-US" w:eastAsia="nl-NL"/>
        </w:rPr>
        <w:t>Phase III</w:t>
      </w:r>
      <w:r w:rsidR="00450CD8">
        <w:rPr>
          <w:rFonts w:eastAsia="Times New Roman"/>
          <w:color w:val="auto"/>
          <w:u w:val="single"/>
          <w:lang w:val="en-US" w:eastAsia="nl-NL"/>
        </w:rPr>
        <w:t xml:space="preserve">: Incorporating counter-arguments and </w:t>
      </w:r>
      <w:r w:rsidR="00366727">
        <w:rPr>
          <w:rFonts w:eastAsia="Times New Roman"/>
          <w:color w:val="auto"/>
          <w:u w:val="single"/>
          <w:lang w:val="en-US" w:eastAsia="nl-NL"/>
        </w:rPr>
        <w:t>purchasing publicity</w:t>
      </w:r>
      <w:bookmarkEnd w:id="53"/>
    </w:p>
    <w:p w14:paraId="2194DD3F" w14:textId="15F1D469" w:rsidR="00C06DCD" w:rsidRPr="00A81153" w:rsidRDefault="00C06DCD" w:rsidP="000900EF">
      <w:pPr>
        <w:pStyle w:val="Kop4"/>
        <w:rPr>
          <w:color w:val="auto"/>
          <w:lang w:val="en-US"/>
        </w:rPr>
      </w:pPr>
      <w:r w:rsidRPr="00A81153">
        <w:rPr>
          <w:color w:val="auto"/>
          <w:lang w:val="en-US"/>
        </w:rPr>
        <w:t>Civilian discontent</w:t>
      </w:r>
    </w:p>
    <w:p w14:paraId="37C58F17" w14:textId="77777777" w:rsidR="00340A1E" w:rsidRDefault="0000161A" w:rsidP="00A23B4C">
      <w:pPr>
        <w:jc w:val="both"/>
        <w:rPr>
          <w:lang w:val="en-US"/>
        </w:rPr>
      </w:pPr>
      <w:r>
        <w:rPr>
          <w:lang w:val="en-US"/>
        </w:rPr>
        <w:t xml:space="preserve">The </w:t>
      </w:r>
      <w:r w:rsidR="00EF2F14">
        <w:rPr>
          <w:lang w:val="en-US"/>
        </w:rPr>
        <w:t xml:space="preserve">response to </w:t>
      </w:r>
      <w:r w:rsidR="00454AF1">
        <w:rPr>
          <w:lang w:val="en-US"/>
        </w:rPr>
        <w:t>cabinet members</w:t>
      </w:r>
      <w:r w:rsidR="00EF2F14">
        <w:rPr>
          <w:lang w:val="en-US"/>
        </w:rPr>
        <w:t>’ public performances, and the</w:t>
      </w:r>
      <w:r w:rsidR="00340A1E">
        <w:rPr>
          <w:lang w:val="en-US"/>
        </w:rPr>
        <w:t xml:space="preserve"> outcome of the</w:t>
      </w:r>
      <w:r w:rsidR="000F7E69">
        <w:rPr>
          <w:lang w:val="en-US"/>
        </w:rPr>
        <w:t xml:space="preserve"> commissioned </w:t>
      </w:r>
      <w:r w:rsidR="00340A1E">
        <w:rPr>
          <w:lang w:val="en-US"/>
        </w:rPr>
        <w:t xml:space="preserve">opinion </w:t>
      </w:r>
      <w:r w:rsidR="000F7E69">
        <w:rPr>
          <w:lang w:val="en-US"/>
        </w:rPr>
        <w:t xml:space="preserve">research </w:t>
      </w:r>
      <w:r w:rsidR="009B23FB">
        <w:rPr>
          <w:lang w:val="en-US"/>
        </w:rPr>
        <w:t>showed the TFR t</w:t>
      </w:r>
      <w:r w:rsidR="008B3071">
        <w:rPr>
          <w:lang w:val="en-US"/>
        </w:rPr>
        <w:t>he full extent of negative sentiments present among citizens (</w:t>
      </w:r>
      <w:r w:rsidR="00823B6C">
        <w:rPr>
          <w:lang w:val="en-US"/>
        </w:rPr>
        <w:t xml:space="preserve">J. Goeijenbier, interview, May 12 2020; </w:t>
      </w:r>
      <w:r w:rsidR="008B3071">
        <w:rPr>
          <w:lang w:val="en-US"/>
        </w:rPr>
        <w:t>T. van der Plas, interview, May 8 2020</w:t>
      </w:r>
      <w:r w:rsidR="004A6648">
        <w:rPr>
          <w:lang w:val="en-US"/>
        </w:rPr>
        <w:t>)</w:t>
      </w:r>
      <w:r w:rsidR="00823B6C">
        <w:rPr>
          <w:lang w:val="en-US"/>
        </w:rPr>
        <w:t xml:space="preserve">. </w:t>
      </w:r>
      <w:r w:rsidR="00340A1E">
        <w:rPr>
          <w:lang w:val="en-US"/>
        </w:rPr>
        <w:t xml:space="preserve">The “no”-campaign was taken seriously by the TFR and PCG (A. Nicolaï, interview, May 18 2020; R. Passchier, interview, May 1 2020). While they felt that their frame of the “super-state” did not correspond with reality, they acknowledged that it was effective and set the tone of the debate (J. Goeijenbier, interview, May 12 2020; A. Nicolaï, interview, May 18 2020; T. van der Plas, interview, May 8 2020). </w:t>
      </w:r>
    </w:p>
    <w:p w14:paraId="7EF71612" w14:textId="3F458ABB" w:rsidR="00026DEE" w:rsidRDefault="00340A1E" w:rsidP="00026DEE">
      <w:pPr>
        <w:jc w:val="both"/>
        <w:rPr>
          <w:lang w:val="en-US"/>
        </w:rPr>
      </w:pPr>
      <w:r>
        <w:rPr>
          <w:lang w:val="en-US"/>
        </w:rPr>
        <w:t xml:space="preserve">As they saw that their messages could not take away the concerns and skepticism citizens had, the campaign started to acknowledge the downside of European integration. The messaging now emphasized that Europe had its pros and cons, but that the net-result was positive for the Netherlands (J. Goeijenbier, interview, May 12 2020; T. van der Plas, May 8 2020). </w:t>
      </w:r>
      <w:r w:rsidR="00026DEE">
        <w:rPr>
          <w:lang w:val="en-US"/>
        </w:rPr>
        <w:t xml:space="preserve">Ministers were provided with a set of 39 plasticized cards with arguments in favor of the ECT (Peeperkorn, 2005b; Van der Hoeven, 2005). The cards presented responses that </w:t>
      </w:r>
      <w:r w:rsidR="00454AF1">
        <w:rPr>
          <w:lang w:val="en-US"/>
        </w:rPr>
        <w:t>cabinet members</w:t>
      </w:r>
      <w:r w:rsidR="00026DEE">
        <w:rPr>
          <w:lang w:val="en-US"/>
        </w:rPr>
        <w:t xml:space="preserve"> could give when presented with critical arguments against European integration. The messages emphasized that the Netherlands profited from the EU, that the ECT would not take away its sovereignty, and that the cost of EU-membership was well worth it considering its advantages.</w:t>
      </w:r>
    </w:p>
    <w:p w14:paraId="722D174D" w14:textId="25E0B801" w:rsidR="00866AFF" w:rsidRPr="00A81153" w:rsidRDefault="00912B38" w:rsidP="000900EF">
      <w:pPr>
        <w:pStyle w:val="Kop4"/>
        <w:rPr>
          <w:color w:val="auto"/>
          <w:lang w:val="en-US"/>
        </w:rPr>
      </w:pPr>
      <w:r w:rsidRPr="00A81153">
        <w:rPr>
          <w:color w:val="auto"/>
          <w:lang w:val="en-US"/>
        </w:rPr>
        <w:t>S</w:t>
      </w:r>
      <w:r w:rsidR="00866AFF" w:rsidRPr="00A81153">
        <w:rPr>
          <w:color w:val="auto"/>
          <w:lang w:val="en-US"/>
        </w:rPr>
        <w:t>caling</w:t>
      </w:r>
      <w:r w:rsidRPr="00A81153">
        <w:rPr>
          <w:color w:val="auto"/>
          <w:lang w:val="en-US"/>
        </w:rPr>
        <w:t>-up</w:t>
      </w:r>
      <w:r w:rsidR="00866AFF" w:rsidRPr="00A81153">
        <w:rPr>
          <w:color w:val="auto"/>
          <w:lang w:val="en-US"/>
        </w:rPr>
        <w:t xml:space="preserve"> the campaign</w:t>
      </w:r>
    </w:p>
    <w:p w14:paraId="41062151" w14:textId="603E73E7" w:rsidR="00866AFF" w:rsidRDefault="008A6E55" w:rsidP="00026DEE">
      <w:pPr>
        <w:jc w:val="both"/>
        <w:rPr>
          <w:lang w:val="en-US"/>
        </w:rPr>
      </w:pPr>
      <w:r>
        <w:rPr>
          <w:lang w:val="en-US"/>
        </w:rPr>
        <w:t>At the last stage of the campaign, an additional €3,5 million was used to finance both a folder and a mass-media campaign, using radio- and newspaper advertisement (Goeijenbier, 2005).</w:t>
      </w:r>
      <w:r w:rsidR="005426EE">
        <w:rPr>
          <w:lang w:val="en-US"/>
        </w:rPr>
        <w:t xml:space="preserve"> This </w:t>
      </w:r>
      <w:r w:rsidR="003B7DE6">
        <w:rPr>
          <w:lang w:val="en-US"/>
        </w:rPr>
        <w:t>flyer</w:t>
      </w:r>
      <w:r w:rsidR="005426EE">
        <w:rPr>
          <w:lang w:val="en-US"/>
        </w:rPr>
        <w:t xml:space="preserve"> was in part a response to the </w:t>
      </w:r>
      <w:r w:rsidR="005426EE">
        <w:rPr>
          <w:i/>
          <w:iCs/>
          <w:lang w:val="en-US"/>
        </w:rPr>
        <w:t>Tweede Kamer’s</w:t>
      </w:r>
      <w:r w:rsidR="005426EE">
        <w:rPr>
          <w:lang w:val="en-US"/>
        </w:rPr>
        <w:t xml:space="preserve"> request for more accessible information on the ECT</w:t>
      </w:r>
      <w:r w:rsidR="00340A1E">
        <w:rPr>
          <w:lang w:val="en-US"/>
        </w:rPr>
        <w:t>,</w:t>
      </w:r>
      <w:r w:rsidR="005426EE">
        <w:rPr>
          <w:lang w:val="en-US"/>
        </w:rPr>
        <w:t xml:space="preserve"> after the </w:t>
      </w:r>
      <w:r w:rsidR="005426EE">
        <w:rPr>
          <w:i/>
          <w:iCs/>
          <w:lang w:val="en-US"/>
        </w:rPr>
        <w:t>Grondwetkrant</w:t>
      </w:r>
      <w:r w:rsidR="005426EE">
        <w:rPr>
          <w:lang w:val="en-US"/>
        </w:rPr>
        <w:t xml:space="preserve"> and the independent referendum-committee’s summary</w:t>
      </w:r>
      <w:r w:rsidR="00FD6ADA">
        <w:rPr>
          <w:lang w:val="en-US"/>
        </w:rPr>
        <w:t xml:space="preserve"> </w:t>
      </w:r>
      <w:r w:rsidR="00340A1E">
        <w:rPr>
          <w:lang w:val="en-US"/>
        </w:rPr>
        <w:t xml:space="preserve">were deemed inaccessible to the average citizen </w:t>
      </w:r>
      <w:r w:rsidR="00FD6ADA">
        <w:rPr>
          <w:lang w:val="en-US"/>
        </w:rPr>
        <w:t>(Goeijenbier, 2005</w:t>
      </w:r>
      <w:r w:rsidR="004D76D5">
        <w:rPr>
          <w:lang w:val="en-US"/>
        </w:rPr>
        <w:t>; Nicolaï, 2005</w:t>
      </w:r>
      <w:r w:rsidR="0059394B">
        <w:rPr>
          <w:lang w:val="en-US"/>
        </w:rPr>
        <w:t>d)</w:t>
      </w:r>
      <w:r w:rsidR="003B7DE6">
        <w:rPr>
          <w:lang w:val="en-US"/>
        </w:rPr>
        <w:t xml:space="preserve">. </w:t>
      </w:r>
      <w:r w:rsidR="0059394B">
        <w:rPr>
          <w:lang w:val="en-US"/>
        </w:rPr>
        <w:t xml:space="preserve">The </w:t>
      </w:r>
      <w:r w:rsidR="0059394B">
        <w:rPr>
          <w:i/>
          <w:iCs/>
          <w:lang w:val="en-US"/>
        </w:rPr>
        <w:t>Tweede Kamer</w:t>
      </w:r>
      <w:r w:rsidR="00D3560E">
        <w:rPr>
          <w:lang w:val="en-US"/>
        </w:rPr>
        <w:t xml:space="preserve"> was informed by Nicolaï (2005d</w:t>
      </w:r>
      <w:r w:rsidR="00B57B4D">
        <w:rPr>
          <w:lang w:val="en-US"/>
        </w:rPr>
        <w:t>) through a letter to Parliament. The letter and the subsequent discussion of the increased budget were deemed appropriate by the administration: while the budget would be noted in the Autumn Memorandum (</w:t>
      </w:r>
      <w:r w:rsidR="00B57B4D">
        <w:rPr>
          <w:i/>
          <w:lang w:val="en-US"/>
        </w:rPr>
        <w:t>Najaarsnota</w:t>
      </w:r>
      <w:r w:rsidR="00B57B4D">
        <w:rPr>
          <w:lang w:val="en-US"/>
        </w:rPr>
        <w:t>), it would already have been spent by then (Nicolaï, 2005d).</w:t>
      </w:r>
    </w:p>
    <w:p w14:paraId="7BB77747" w14:textId="555FAAAE" w:rsidR="00B818F9" w:rsidRPr="00AD732F" w:rsidRDefault="00B818F9" w:rsidP="00026DEE">
      <w:pPr>
        <w:jc w:val="both"/>
        <w:rPr>
          <w:lang w:val="en-US"/>
        </w:rPr>
      </w:pPr>
      <w:r>
        <w:rPr>
          <w:lang w:val="en-US"/>
        </w:rPr>
        <w:t xml:space="preserve">Whereas the government had stated in February that it would only purchase up to €1.5 million worth of publicity in case of a mass-media “no”-campaign, it now </w:t>
      </w:r>
      <w:r w:rsidR="0020707C">
        <w:rPr>
          <w:lang w:val="en-US"/>
        </w:rPr>
        <w:t xml:space="preserve">intended to spend €2 million on </w:t>
      </w:r>
      <w:r w:rsidR="00EF22F6">
        <w:rPr>
          <w:lang w:val="en-US"/>
        </w:rPr>
        <w:t xml:space="preserve">advertisement (Nicolaï. 2005a; Nicolaï, 2005d). This </w:t>
      </w:r>
      <w:r w:rsidR="009D0AD4">
        <w:rPr>
          <w:lang w:val="en-US"/>
        </w:rPr>
        <w:t xml:space="preserve">turn came shortly before the referendum, </w:t>
      </w:r>
      <w:r w:rsidR="00532069">
        <w:rPr>
          <w:lang w:val="en-US"/>
        </w:rPr>
        <w:t>as polls indicated a victory for the “no”-campaigners.</w:t>
      </w:r>
      <w:r w:rsidR="00E61549">
        <w:rPr>
          <w:lang w:val="en-US"/>
        </w:rPr>
        <w:t xml:space="preserve"> This caused</w:t>
      </w:r>
      <w:r w:rsidR="008F526F">
        <w:rPr>
          <w:lang w:val="en-US"/>
        </w:rPr>
        <w:t xml:space="preserve"> commotion in the </w:t>
      </w:r>
      <w:r w:rsidR="008F526F">
        <w:rPr>
          <w:i/>
          <w:iCs/>
          <w:lang w:val="en-US"/>
        </w:rPr>
        <w:t>Tweede Kamer</w:t>
      </w:r>
      <w:r w:rsidR="00AD732F">
        <w:rPr>
          <w:lang w:val="en-US"/>
        </w:rPr>
        <w:t xml:space="preserve"> (Tweede Kamer, 2005d). Nicolaï was accused</w:t>
      </w:r>
      <w:r w:rsidR="00F04AD1">
        <w:rPr>
          <w:lang w:val="en-US"/>
        </w:rPr>
        <w:t xml:space="preserve"> by some</w:t>
      </w:r>
      <w:r w:rsidR="00AD732F">
        <w:rPr>
          <w:lang w:val="en-US"/>
        </w:rPr>
        <w:t xml:space="preserve"> of trying to buy the vote</w:t>
      </w:r>
      <w:r w:rsidR="00F04AD1">
        <w:rPr>
          <w:lang w:val="en-US"/>
        </w:rPr>
        <w:t>, as the intended</w:t>
      </w:r>
      <w:r w:rsidR="00D62A8A">
        <w:rPr>
          <w:lang w:val="en-US"/>
        </w:rPr>
        <w:t xml:space="preserve"> resources were perceived as disproportionate compared to the “no”-campaign. </w:t>
      </w:r>
      <w:r w:rsidR="00F97EBC">
        <w:rPr>
          <w:lang w:val="en-US"/>
        </w:rPr>
        <w:t xml:space="preserve">Nicolaï argued that </w:t>
      </w:r>
      <w:r w:rsidR="006411C4">
        <w:rPr>
          <w:lang w:val="en-US"/>
        </w:rPr>
        <w:t>the plans were proportional, as civilians remained largely uninformed on the content of the ECT</w:t>
      </w:r>
      <w:r w:rsidR="00242D2D">
        <w:rPr>
          <w:lang w:val="en-US"/>
        </w:rPr>
        <w:t xml:space="preserve"> (Tweede Kamer, 2005d</w:t>
      </w:r>
      <w:r w:rsidR="006411C4">
        <w:rPr>
          <w:lang w:val="en-US"/>
        </w:rPr>
        <w:t xml:space="preserve">. Additionally, he argued that the </w:t>
      </w:r>
      <w:r w:rsidR="004A2BFE">
        <w:rPr>
          <w:lang w:val="en-US"/>
        </w:rPr>
        <w:t>purchasing of publicity was in line with the guidelines on proportionality, as the tone of communication was factual</w:t>
      </w:r>
      <w:r w:rsidR="00912B38">
        <w:rPr>
          <w:lang w:val="en-US"/>
        </w:rPr>
        <w:t>.</w:t>
      </w:r>
    </w:p>
    <w:p w14:paraId="6122612E" w14:textId="48935AE4" w:rsidR="00026DEE" w:rsidRPr="00A81153" w:rsidRDefault="00626775" w:rsidP="00626775">
      <w:pPr>
        <w:pStyle w:val="Kop3"/>
        <w:rPr>
          <w:rFonts w:eastAsia="Times New Roman"/>
          <w:color w:val="auto"/>
          <w:u w:val="single"/>
          <w:lang w:val="en-US" w:eastAsia="nl-NL"/>
        </w:rPr>
      </w:pPr>
      <w:bookmarkStart w:id="54" w:name="_Toc48891316"/>
      <w:r w:rsidRPr="00A81153">
        <w:rPr>
          <w:rFonts w:eastAsia="Times New Roman"/>
          <w:color w:val="auto"/>
          <w:u w:val="single"/>
          <w:lang w:val="en-US" w:eastAsia="nl-NL"/>
        </w:rPr>
        <w:t xml:space="preserve">4.4.4 </w:t>
      </w:r>
      <w:r w:rsidR="001649D0" w:rsidRPr="00A81153">
        <w:rPr>
          <w:rFonts w:eastAsia="Times New Roman"/>
          <w:color w:val="auto"/>
          <w:u w:val="single"/>
          <w:lang w:val="en-US" w:eastAsia="nl-NL"/>
        </w:rPr>
        <w:t>Analysis</w:t>
      </w:r>
      <w:bookmarkEnd w:id="54"/>
    </w:p>
    <w:p w14:paraId="5EC07F89" w14:textId="2C4B5F07" w:rsidR="00EA589B" w:rsidRDefault="00CD689D" w:rsidP="00A23B4C">
      <w:pPr>
        <w:jc w:val="both"/>
        <w:rPr>
          <w:lang w:val="en-US"/>
        </w:rPr>
      </w:pPr>
      <w:r>
        <w:rPr>
          <w:lang w:val="en-US"/>
        </w:rPr>
        <w:t xml:space="preserve">Hypothesis </w:t>
      </w:r>
      <w:r w:rsidR="00B57B4D">
        <w:rPr>
          <w:lang w:val="en-US"/>
        </w:rPr>
        <w:t>4</w:t>
      </w:r>
      <w:r>
        <w:rPr>
          <w:lang w:val="en-US"/>
        </w:rPr>
        <w:t xml:space="preserve"> predicted that </w:t>
      </w:r>
      <w:r w:rsidR="00341B15">
        <w:rPr>
          <w:lang w:val="en-US"/>
        </w:rPr>
        <w:t xml:space="preserve">bureaucratic actors shared ritualistic notions that potentially lead to distorted perceptions of the policy-issue. It was assumed that </w:t>
      </w:r>
      <w:r w:rsidR="00EE48D5">
        <w:rPr>
          <w:lang w:val="en-US"/>
        </w:rPr>
        <w:t xml:space="preserve">a ritualistic discourse on European integration and </w:t>
      </w:r>
      <w:r w:rsidR="00AD053C">
        <w:rPr>
          <w:lang w:val="en-US"/>
        </w:rPr>
        <w:t>a ritualistic notion of modesty would impact policy-makers’ decisions.</w:t>
      </w:r>
    </w:p>
    <w:p w14:paraId="37BF12D5" w14:textId="440326FF" w:rsidR="00AD053C" w:rsidRDefault="00AD053C" w:rsidP="00A23B4C">
      <w:pPr>
        <w:jc w:val="both"/>
        <w:rPr>
          <w:lang w:val="en-US"/>
        </w:rPr>
      </w:pPr>
      <w:r>
        <w:rPr>
          <w:lang w:val="en-US"/>
        </w:rPr>
        <w:t xml:space="preserve">The empirical evidence shows that while </w:t>
      </w:r>
      <w:r w:rsidR="003F2002">
        <w:rPr>
          <w:lang w:val="en-US"/>
        </w:rPr>
        <w:t xml:space="preserve">the peace and prosperity resulting from </w:t>
      </w:r>
      <w:r w:rsidR="00CA2DDF">
        <w:rPr>
          <w:lang w:val="en-US"/>
        </w:rPr>
        <w:t>the EU were the administration’s core arguments in favor of the ECT, th</w:t>
      </w:r>
      <w:r w:rsidR="000238FE">
        <w:rPr>
          <w:lang w:val="en-US"/>
        </w:rPr>
        <w:t>ere was not necessarily a shared vision upon European integration. Political actors were openly critical of the EU.</w:t>
      </w:r>
      <w:r w:rsidR="00AE0259">
        <w:rPr>
          <w:lang w:val="en-US"/>
        </w:rPr>
        <w:t xml:space="preserve"> Additionally, took the arguments of their opponents seriously, and adapted their messages to</w:t>
      </w:r>
      <w:r w:rsidR="00F66E8E">
        <w:rPr>
          <w:lang w:val="en-US"/>
        </w:rPr>
        <w:t xml:space="preserve"> acknowledge experienced down-sides of European integration.</w:t>
      </w:r>
    </w:p>
    <w:p w14:paraId="47FBD2DD" w14:textId="0580CE3C" w:rsidR="00F66E8E" w:rsidRDefault="005972F2" w:rsidP="00A23B4C">
      <w:pPr>
        <w:jc w:val="both"/>
        <w:rPr>
          <w:lang w:val="en-US"/>
        </w:rPr>
      </w:pPr>
      <w:r>
        <w:rPr>
          <w:lang w:val="en-US"/>
        </w:rPr>
        <w:t>The ritualistic notion on modesty can be observed</w:t>
      </w:r>
      <w:r w:rsidR="00F20388">
        <w:rPr>
          <w:lang w:val="en-US"/>
        </w:rPr>
        <w:t xml:space="preserve"> to some extent</w:t>
      </w:r>
      <w:r>
        <w:rPr>
          <w:lang w:val="en-US"/>
        </w:rPr>
        <w:t>.</w:t>
      </w:r>
      <w:r w:rsidR="00F20388">
        <w:rPr>
          <w:lang w:val="en-US"/>
        </w:rPr>
        <w:t xml:space="preserve"> Particularly in the beginning, the </w:t>
      </w:r>
      <w:r w:rsidR="00121CC7">
        <w:rPr>
          <w:lang w:val="en-US"/>
        </w:rPr>
        <w:t xml:space="preserve">government emphasized proportionality and supported a small budget and limited time-frame for the campaign. </w:t>
      </w:r>
      <w:r>
        <w:rPr>
          <w:lang w:val="en-US"/>
        </w:rPr>
        <w:t xml:space="preserve"> The</w:t>
      </w:r>
      <w:r w:rsidR="001A7276">
        <w:rPr>
          <w:lang w:val="en-US"/>
        </w:rPr>
        <w:t xml:space="preserve"> TFR and PCG </w:t>
      </w:r>
      <w:r w:rsidR="00B57B4D">
        <w:rPr>
          <w:lang w:val="en-US"/>
        </w:rPr>
        <w:t>explicitly referred to</w:t>
      </w:r>
      <w:r w:rsidR="001A7276">
        <w:rPr>
          <w:lang w:val="en-US"/>
        </w:rPr>
        <w:t xml:space="preserve"> Parliamentary support</w:t>
      </w:r>
      <w:r w:rsidR="00B57B4D">
        <w:rPr>
          <w:lang w:val="en-US"/>
        </w:rPr>
        <w:t xml:space="preserve"> for additional public information on the ECT to legitimize the increasing budgets. The administration clearly communicated intended budget increases in letters to Parliament and Memorandums</w:t>
      </w:r>
      <w:r w:rsidR="005943CB">
        <w:rPr>
          <w:lang w:val="en-US"/>
        </w:rPr>
        <w:t xml:space="preserve">. </w:t>
      </w:r>
    </w:p>
    <w:p w14:paraId="1396A0F1" w14:textId="58B64D06" w:rsidR="00626775" w:rsidRPr="00A81153" w:rsidRDefault="00626775" w:rsidP="00626775">
      <w:pPr>
        <w:pStyle w:val="Kop2"/>
        <w:rPr>
          <w:color w:val="auto"/>
          <w:lang w:val="en-US"/>
        </w:rPr>
      </w:pPr>
      <w:bookmarkStart w:id="55" w:name="_Toc48891317"/>
      <w:r w:rsidRPr="00A81153">
        <w:rPr>
          <w:color w:val="auto"/>
          <w:lang w:val="en-US"/>
        </w:rPr>
        <w:t>4.5 Defective decision-making</w:t>
      </w:r>
      <w:bookmarkEnd w:id="55"/>
    </w:p>
    <w:p w14:paraId="3CC7216C" w14:textId="3FD91144" w:rsidR="003F5A4F" w:rsidRPr="00FB3AEC" w:rsidRDefault="0080203F" w:rsidP="006161EA">
      <w:pPr>
        <w:jc w:val="both"/>
        <w:rPr>
          <w:lang w:val="en-US"/>
        </w:rPr>
      </w:pPr>
      <w:r w:rsidRPr="00FB3AEC">
        <w:rPr>
          <w:lang w:val="en-US"/>
        </w:rPr>
        <w:t xml:space="preserve">Several symptoms of defective decision-making can be identified in the </w:t>
      </w:r>
      <w:r w:rsidR="00FD1E1C" w:rsidRPr="00FB3AEC">
        <w:rPr>
          <w:lang w:val="en-US"/>
        </w:rPr>
        <w:t>decision-making processes between November 2004 and June 1</w:t>
      </w:r>
      <w:r w:rsidR="00FD1E1C" w:rsidRPr="00FB3AEC">
        <w:rPr>
          <w:vertAlign w:val="superscript"/>
          <w:lang w:val="en-US"/>
        </w:rPr>
        <w:t>st</w:t>
      </w:r>
      <w:r w:rsidR="00FD1E1C" w:rsidRPr="00FB3AEC">
        <w:rPr>
          <w:lang w:val="en-US"/>
        </w:rPr>
        <w:t xml:space="preserve"> 2005.</w:t>
      </w:r>
      <w:r w:rsidR="008666D2" w:rsidRPr="00FB3AEC">
        <w:rPr>
          <w:lang w:val="en-US"/>
        </w:rPr>
        <w:t xml:space="preserve"> These symptoms are most prevalent in the</w:t>
      </w:r>
      <w:r w:rsidR="00B84A63" w:rsidRPr="00FB3AEC">
        <w:rPr>
          <w:lang w:val="en-US"/>
        </w:rPr>
        <w:t xml:space="preserve"> initial plan</w:t>
      </w:r>
      <w:r w:rsidR="00CA0269" w:rsidRPr="00FB3AEC">
        <w:rPr>
          <w:lang w:val="en-US"/>
        </w:rPr>
        <w:t>ning of the campaign</w:t>
      </w:r>
      <w:r w:rsidR="00461B49" w:rsidRPr="00FB3AEC">
        <w:rPr>
          <w:lang w:val="en-US"/>
        </w:rPr>
        <w:t>, but their consequences are visible throughout the campaign.</w:t>
      </w:r>
    </w:p>
    <w:p w14:paraId="1B67ED44" w14:textId="58C84288" w:rsidR="00F9363D" w:rsidRPr="00FB3AEC" w:rsidRDefault="00F9363D" w:rsidP="006161EA">
      <w:pPr>
        <w:jc w:val="both"/>
        <w:rPr>
          <w:lang w:val="en-US"/>
        </w:rPr>
      </w:pPr>
      <w:r w:rsidRPr="00FB3AEC">
        <w:rPr>
          <w:lang w:val="en-US"/>
        </w:rPr>
        <w:t xml:space="preserve">Firstly, </w:t>
      </w:r>
      <w:r w:rsidR="00EB7E74" w:rsidRPr="00FB3AEC">
        <w:rPr>
          <w:lang w:val="en-US"/>
        </w:rPr>
        <w:t xml:space="preserve">empirical evidence indicates that in the initial set-up of the campaign in 2004, </w:t>
      </w:r>
      <w:r w:rsidR="003E2A69" w:rsidRPr="00FB3AEC">
        <w:rPr>
          <w:lang w:val="en-US"/>
        </w:rPr>
        <w:t>the alternatives considered were limited due to the notion that the government should be modest in its spending of public money</w:t>
      </w:r>
      <w:r w:rsidR="00C5209B" w:rsidRPr="00FB3AEC">
        <w:rPr>
          <w:lang w:val="en-US"/>
        </w:rPr>
        <w:t>. The initial budget estimated for the campaign was relatively small</w:t>
      </w:r>
      <w:r w:rsidR="00FA04A3" w:rsidRPr="00FB3AEC">
        <w:rPr>
          <w:lang w:val="en-US"/>
        </w:rPr>
        <w:t xml:space="preserve"> as it was considered “not done” for the government to run </w:t>
      </w:r>
      <w:r w:rsidR="006161EA" w:rsidRPr="00FB3AEC">
        <w:rPr>
          <w:lang w:val="en-US"/>
        </w:rPr>
        <w:t>a more expensive campaign.</w:t>
      </w:r>
      <w:r w:rsidR="0087327B" w:rsidRPr="00FB3AEC">
        <w:rPr>
          <w:lang w:val="en-US"/>
        </w:rPr>
        <w:t xml:space="preserve"> </w:t>
      </w:r>
      <w:r w:rsidR="006161EA" w:rsidRPr="00FB3AEC">
        <w:rPr>
          <w:lang w:val="en-US"/>
        </w:rPr>
        <w:t>Y</w:t>
      </w:r>
      <w:r w:rsidR="0087327B" w:rsidRPr="00FB3AEC">
        <w:rPr>
          <w:lang w:val="en-US"/>
        </w:rPr>
        <w:t xml:space="preserve">et later budget increases </w:t>
      </w:r>
      <w:r w:rsidR="00635512" w:rsidRPr="00FB3AEC">
        <w:rPr>
          <w:lang w:val="en-US"/>
        </w:rPr>
        <w:t xml:space="preserve">supported by Parliament </w:t>
      </w:r>
      <w:r w:rsidR="0087327B" w:rsidRPr="00FB3AEC">
        <w:rPr>
          <w:lang w:val="en-US"/>
        </w:rPr>
        <w:t>suggest that</w:t>
      </w:r>
      <w:r w:rsidR="006161EA" w:rsidRPr="00FB3AEC">
        <w:rPr>
          <w:lang w:val="en-US"/>
        </w:rPr>
        <w:t xml:space="preserve"> the cabinet might have </w:t>
      </w:r>
      <w:r w:rsidR="00684993" w:rsidRPr="00FB3AEC">
        <w:rPr>
          <w:lang w:val="en-US"/>
        </w:rPr>
        <w:t>attracted support fo</w:t>
      </w:r>
      <w:r w:rsidR="00416B70" w:rsidRPr="00FB3AEC">
        <w:rPr>
          <w:lang w:val="en-US"/>
        </w:rPr>
        <w:t>r a</w:t>
      </w:r>
      <w:r w:rsidR="00635512" w:rsidRPr="00FB3AEC">
        <w:rPr>
          <w:lang w:val="en-US"/>
        </w:rPr>
        <w:t xml:space="preserve"> higher budget if it would have wanted to make an effort for it.</w:t>
      </w:r>
      <w:r w:rsidR="00801B6A" w:rsidRPr="00FB3AEC">
        <w:rPr>
          <w:lang w:val="en-US"/>
        </w:rPr>
        <w:t xml:space="preserve"> The small budget led t</w:t>
      </w:r>
      <w:r w:rsidR="001A20DC" w:rsidRPr="00FB3AEC">
        <w:rPr>
          <w:lang w:val="en-US"/>
        </w:rPr>
        <w:t>o</w:t>
      </w:r>
      <w:r w:rsidR="00A90C5A" w:rsidRPr="00FB3AEC">
        <w:rPr>
          <w:lang w:val="en-US"/>
        </w:rPr>
        <w:t xml:space="preserve"> what was</w:t>
      </w:r>
      <w:r w:rsidR="001A20DC" w:rsidRPr="00FB3AEC">
        <w:rPr>
          <w:lang w:val="en-US"/>
        </w:rPr>
        <w:t xml:space="preserve"> in hindsight a risky campaign strategy: </w:t>
      </w:r>
      <w:r w:rsidR="00FB7D8E" w:rsidRPr="00FB3AEC">
        <w:rPr>
          <w:lang w:val="en-US"/>
        </w:rPr>
        <w:t xml:space="preserve">free publicity generated by the public performances of a highly unpopular administration, and </w:t>
      </w:r>
      <w:r w:rsidR="00B644A8" w:rsidRPr="00FB3AEC">
        <w:rPr>
          <w:lang w:val="en-US"/>
        </w:rPr>
        <w:t xml:space="preserve">intended cooperation with civil society organizations and the business community, who turned out to be </w:t>
      </w:r>
      <w:r w:rsidR="008A649C" w:rsidRPr="00FB3AEC">
        <w:rPr>
          <w:lang w:val="en-US"/>
        </w:rPr>
        <w:t>hesitant to collaborate</w:t>
      </w:r>
      <w:r w:rsidR="00755FD9" w:rsidRPr="00FB3AEC">
        <w:rPr>
          <w:lang w:val="en-US"/>
        </w:rPr>
        <w:t>.</w:t>
      </w:r>
      <w:r w:rsidR="00B86001" w:rsidRPr="00FB3AEC">
        <w:rPr>
          <w:lang w:val="en-US"/>
        </w:rPr>
        <w:t xml:space="preserve"> Additionally, the repeated increases in budgets </w:t>
      </w:r>
      <w:r w:rsidR="0067170B" w:rsidRPr="00FB3AEC">
        <w:rPr>
          <w:lang w:val="en-US"/>
        </w:rPr>
        <w:t>provided the image of a government with a s</w:t>
      </w:r>
      <w:r w:rsidR="00BA2096" w:rsidRPr="00FB3AEC">
        <w:rPr>
          <w:lang w:val="en-US"/>
        </w:rPr>
        <w:t>ecret war chest, able to buy the vote at the expense of small parties. This was the opposite of what the government aimed to establish.</w:t>
      </w:r>
    </w:p>
    <w:p w14:paraId="790B6705" w14:textId="39F6521C" w:rsidR="000A33A1" w:rsidRPr="00FB3AEC" w:rsidRDefault="000A33A1" w:rsidP="006161EA">
      <w:pPr>
        <w:jc w:val="both"/>
        <w:rPr>
          <w:lang w:val="en-US"/>
        </w:rPr>
      </w:pPr>
      <w:r w:rsidRPr="00FB3AEC">
        <w:rPr>
          <w:lang w:val="en-US"/>
        </w:rPr>
        <w:t xml:space="preserve">Secondly, </w:t>
      </w:r>
      <w:r w:rsidR="00585755" w:rsidRPr="00FB3AEC">
        <w:rPr>
          <w:lang w:val="en-US"/>
        </w:rPr>
        <w:t>the objectiv</w:t>
      </w:r>
      <w:r w:rsidR="00BC0ACD" w:rsidRPr="00FB3AEC">
        <w:rPr>
          <w:lang w:val="en-US"/>
        </w:rPr>
        <w:t xml:space="preserve">es to be accomplished and the implications of the </w:t>
      </w:r>
      <w:r w:rsidR="005928BA" w:rsidRPr="00FB3AEC">
        <w:rPr>
          <w:lang w:val="en-US"/>
        </w:rPr>
        <w:t>option for this strategy were not fully examined and articulated</w:t>
      </w:r>
      <w:r w:rsidR="0016007B" w:rsidRPr="00FB3AEC">
        <w:rPr>
          <w:lang w:val="en-US"/>
        </w:rPr>
        <w:t xml:space="preserve"> in the initial phase of planning</w:t>
      </w:r>
      <w:r w:rsidR="005928BA" w:rsidRPr="00FB3AEC">
        <w:rPr>
          <w:lang w:val="en-US"/>
        </w:rPr>
        <w:t>. Informing the public on the main points of the ECT was seen as a goal for both the referendum-committee and the cab</w:t>
      </w:r>
      <w:r w:rsidR="000C55FE" w:rsidRPr="00FB3AEC">
        <w:rPr>
          <w:lang w:val="en-US"/>
        </w:rPr>
        <w:t xml:space="preserve">inet. However, the division of labor did not account for </w:t>
      </w:r>
      <w:r w:rsidR="00502859" w:rsidRPr="00FB3AEC">
        <w:rPr>
          <w:lang w:val="en-US"/>
        </w:rPr>
        <w:t>the provision of neutral information on the content of the ECT, other than the summary of the independent referendum-committee.</w:t>
      </w:r>
      <w:r w:rsidR="0016007B" w:rsidRPr="00FB3AEC">
        <w:rPr>
          <w:lang w:val="en-US"/>
        </w:rPr>
        <w:t xml:space="preserve"> This is also visible in the small budget of €400,000 estimated for the </w:t>
      </w:r>
      <w:r w:rsidR="005D552D" w:rsidRPr="00FB3AEC">
        <w:rPr>
          <w:lang w:val="en-US"/>
        </w:rPr>
        <w:t xml:space="preserve">referendum-committee (Ministry of </w:t>
      </w:r>
      <w:r w:rsidR="005651C7" w:rsidRPr="00FB3AEC">
        <w:rPr>
          <w:lang w:val="en-US"/>
        </w:rPr>
        <w:t xml:space="preserve">the Interior. 2005, p.11). </w:t>
      </w:r>
      <w:r w:rsidR="00502859" w:rsidRPr="00FB3AEC">
        <w:rPr>
          <w:lang w:val="en-US"/>
        </w:rPr>
        <w:t xml:space="preserve"> </w:t>
      </w:r>
      <w:r w:rsidR="00BD0704" w:rsidRPr="00FB3AEC">
        <w:rPr>
          <w:lang w:val="en-US"/>
        </w:rPr>
        <w:t xml:space="preserve">When public opinion-polls showed that citizens wanted additional information on the ECT, this was not accounted for. The government, which could not </w:t>
      </w:r>
      <w:r w:rsidR="004465E8" w:rsidRPr="00FB3AEC">
        <w:rPr>
          <w:lang w:val="en-US"/>
        </w:rPr>
        <w:t xml:space="preserve">impose tasks on the independent committee, decided it </w:t>
      </w:r>
      <w:r w:rsidR="00A1558B" w:rsidRPr="00FB3AEC">
        <w:rPr>
          <w:lang w:val="en-US"/>
        </w:rPr>
        <w:t>needed to meet this demand. This led the Ministry of Foreign Affairs to take up the task of producing neutral information, allegedly leading</w:t>
      </w:r>
      <w:r w:rsidR="000B7D4E" w:rsidRPr="00FB3AEC">
        <w:rPr>
          <w:lang w:val="en-US"/>
        </w:rPr>
        <w:t xml:space="preserve"> to tensions between </w:t>
      </w:r>
      <w:r w:rsidR="00A1558B" w:rsidRPr="00FB3AEC">
        <w:rPr>
          <w:lang w:val="en-US"/>
        </w:rPr>
        <w:t xml:space="preserve">the two </w:t>
      </w:r>
      <w:r w:rsidR="000B7D4E" w:rsidRPr="00FB3AEC">
        <w:rPr>
          <w:lang w:val="en-US"/>
        </w:rPr>
        <w:t>departments</w:t>
      </w:r>
      <w:r w:rsidR="00C44590" w:rsidRPr="00FB3AEC">
        <w:rPr>
          <w:lang w:val="en-US"/>
        </w:rPr>
        <w:t xml:space="preserve"> and sub-optimal campaign material which was the result of compromising between them.</w:t>
      </w:r>
    </w:p>
    <w:p w14:paraId="2B3777D0" w14:textId="3001D5F8" w:rsidR="00592419" w:rsidRPr="00FB3AEC" w:rsidRDefault="00592419" w:rsidP="006161EA">
      <w:pPr>
        <w:jc w:val="both"/>
        <w:rPr>
          <w:lang w:val="en-US"/>
        </w:rPr>
      </w:pPr>
      <w:r w:rsidRPr="00FB3AEC">
        <w:rPr>
          <w:lang w:val="en-US"/>
        </w:rPr>
        <w:t xml:space="preserve">Thirdly, </w:t>
      </w:r>
      <w:r w:rsidR="00374AE5" w:rsidRPr="00FB3AEC">
        <w:rPr>
          <w:lang w:val="en-US"/>
        </w:rPr>
        <w:t xml:space="preserve">adherence to familiar procedural scripts led to </w:t>
      </w:r>
      <w:r w:rsidR="0040546C" w:rsidRPr="00FB3AEC">
        <w:rPr>
          <w:lang w:val="en-US"/>
        </w:rPr>
        <w:t>insufficient examination of the risk of the strategy of starting a late campaign</w:t>
      </w:r>
      <w:r w:rsidR="00A67537" w:rsidRPr="00FB3AEC">
        <w:rPr>
          <w:lang w:val="en-US"/>
        </w:rPr>
        <w:t>, dependent on support from civil society</w:t>
      </w:r>
      <w:r w:rsidR="00373702" w:rsidRPr="00FB3AEC">
        <w:rPr>
          <w:lang w:val="en-US"/>
        </w:rPr>
        <w:t xml:space="preserve"> organizations</w:t>
      </w:r>
      <w:r w:rsidR="00A67537" w:rsidRPr="00FB3AEC">
        <w:rPr>
          <w:lang w:val="en-US"/>
        </w:rPr>
        <w:t xml:space="preserve"> and free publicity generated by public performances.</w:t>
      </w:r>
      <w:r w:rsidR="00BB349D" w:rsidRPr="00FB3AEC">
        <w:rPr>
          <w:lang w:val="en-US"/>
        </w:rPr>
        <w:t xml:space="preserve"> </w:t>
      </w:r>
      <w:r w:rsidR="00493EA1" w:rsidRPr="00FB3AEC">
        <w:rPr>
          <w:lang w:val="en-US"/>
        </w:rPr>
        <w:t>It was expected that citizens would decide on their vote in the last few week</w:t>
      </w:r>
      <w:r w:rsidR="00585F31" w:rsidRPr="00FB3AEC">
        <w:rPr>
          <w:lang w:val="en-US"/>
        </w:rPr>
        <w:t>s. This led to a limited time-frame for the actual campaign</w:t>
      </w:r>
      <w:r w:rsidR="00BB349D" w:rsidRPr="00FB3AEC">
        <w:rPr>
          <w:lang w:val="en-US"/>
        </w:rPr>
        <w:t>.</w:t>
      </w:r>
      <w:r w:rsidR="00287485" w:rsidRPr="00FB3AEC">
        <w:rPr>
          <w:lang w:val="en-US"/>
        </w:rPr>
        <w:t xml:space="preserve"> </w:t>
      </w:r>
      <w:r w:rsidR="00777DCD" w:rsidRPr="00FB3AEC">
        <w:rPr>
          <w:lang w:val="en-US"/>
        </w:rPr>
        <w:t>It turned out that an early start helped the opposition set the tone for the debate, and that citizen</w:t>
      </w:r>
      <w:r w:rsidR="00890CCB" w:rsidRPr="00FB3AEC">
        <w:rPr>
          <w:lang w:val="en-US"/>
        </w:rPr>
        <w:t>s were considerably more negative about EU-integration than expected.</w:t>
      </w:r>
      <w:r w:rsidR="000B4E80" w:rsidRPr="00FB3AEC">
        <w:rPr>
          <w:lang w:val="en-US"/>
        </w:rPr>
        <w:t xml:space="preserve"> The government was forced to play defense and did not succeed in </w:t>
      </w:r>
      <w:r w:rsidR="00802530" w:rsidRPr="00FB3AEC">
        <w:rPr>
          <w:lang w:val="en-US"/>
        </w:rPr>
        <w:t xml:space="preserve">bringing their message across to the general public. </w:t>
      </w:r>
      <w:r w:rsidR="00135325" w:rsidRPr="00FB3AEC">
        <w:rPr>
          <w:lang w:val="en-US"/>
        </w:rPr>
        <w:t>The government did adjust its messaging to account for the sentiments in society once the campaign commenced.</w:t>
      </w:r>
      <w:r w:rsidR="00890CCB" w:rsidRPr="00FB3AEC">
        <w:rPr>
          <w:lang w:val="en-US"/>
        </w:rPr>
        <w:t xml:space="preserve"> However, by then, </w:t>
      </w:r>
      <w:r w:rsidR="00826340" w:rsidRPr="00FB3AEC">
        <w:rPr>
          <w:lang w:val="en-US"/>
        </w:rPr>
        <w:t>there was no time</w:t>
      </w:r>
      <w:r w:rsidR="00A36AAF" w:rsidRPr="00FB3AEC">
        <w:rPr>
          <w:lang w:val="en-US"/>
        </w:rPr>
        <w:t xml:space="preserve"> for the government</w:t>
      </w:r>
      <w:r w:rsidR="00826340" w:rsidRPr="00FB3AEC">
        <w:rPr>
          <w:lang w:val="en-US"/>
        </w:rPr>
        <w:t xml:space="preserve"> to substantively alter the </w:t>
      </w:r>
      <w:r w:rsidR="00A36AAF" w:rsidRPr="00FB3AEC">
        <w:rPr>
          <w:lang w:val="en-US"/>
        </w:rPr>
        <w:t>strategy and turn the tide.</w:t>
      </w:r>
    </w:p>
    <w:p w14:paraId="2E2876CE" w14:textId="25A9DE79" w:rsidR="008A649C" w:rsidRPr="00FB3AEC" w:rsidRDefault="008A649C" w:rsidP="006161EA">
      <w:pPr>
        <w:jc w:val="both"/>
        <w:rPr>
          <w:lang w:val="en-US"/>
        </w:rPr>
      </w:pPr>
      <w:r w:rsidRPr="00FB3AEC">
        <w:rPr>
          <w:lang w:val="en-US"/>
        </w:rPr>
        <w:t xml:space="preserve">Lastly, </w:t>
      </w:r>
      <w:r w:rsidR="004E2F48" w:rsidRPr="00FB3AEC">
        <w:rPr>
          <w:lang w:val="en-US"/>
        </w:rPr>
        <w:t xml:space="preserve">while contingency plans dealing with external factors were developed in the </w:t>
      </w:r>
      <w:r w:rsidR="00F668DA" w:rsidRPr="00FB3AEC">
        <w:rPr>
          <w:lang w:val="en-US"/>
        </w:rPr>
        <w:t>November 2004 strategy, foreseeable set-backs withi</w:t>
      </w:r>
      <w:r w:rsidR="00EC61BA" w:rsidRPr="00FB3AEC">
        <w:rPr>
          <w:lang w:val="en-US"/>
        </w:rPr>
        <w:t>n the government itself were not considered.</w:t>
      </w:r>
      <w:r w:rsidR="00DA7617" w:rsidRPr="00FB3AEC">
        <w:rPr>
          <w:lang w:val="en-US"/>
        </w:rPr>
        <w:t xml:space="preserve"> The </w:t>
      </w:r>
      <w:r w:rsidR="005C2DC8" w:rsidRPr="00FB3AEC">
        <w:rPr>
          <w:lang w:val="en-US"/>
        </w:rPr>
        <w:t xml:space="preserve">scenario that was accepted as the most likely had a rather positive outlook on the situation, assuming that the </w:t>
      </w:r>
      <w:r w:rsidR="00FA228E" w:rsidRPr="00FB3AEC">
        <w:rPr>
          <w:lang w:val="en-US"/>
        </w:rPr>
        <w:t xml:space="preserve">“no”-campaign would remain small, other EU-referendums would have positive outcomes, and the debate would </w:t>
      </w:r>
      <w:r w:rsidR="0040034F" w:rsidRPr="00FB3AEC">
        <w:rPr>
          <w:lang w:val="en-US"/>
        </w:rPr>
        <w:t xml:space="preserve">concern the substance of the ECT. While contingency plans were worked out for deviations from this scenario, </w:t>
      </w:r>
      <w:r w:rsidR="00E95395" w:rsidRPr="00FB3AEC">
        <w:rPr>
          <w:lang w:val="en-US"/>
        </w:rPr>
        <w:t xml:space="preserve">possible internal struggles relating to the bureaucratic organizations in charge of the campaigns were not taken into account. The strategy assumed that political actors would be willing to campaign for the ECT and would listen to </w:t>
      </w:r>
      <w:r w:rsidR="00F60494" w:rsidRPr="00FB3AEC">
        <w:rPr>
          <w:lang w:val="en-US"/>
        </w:rPr>
        <w:t>the civil servants of the Taskforce who worked on the content of the campaign.</w:t>
      </w:r>
      <w:r w:rsidR="00EC61BA" w:rsidRPr="00FB3AEC">
        <w:rPr>
          <w:lang w:val="en-US"/>
        </w:rPr>
        <w:t xml:space="preserve"> </w:t>
      </w:r>
      <w:r w:rsidR="00F60494" w:rsidRPr="00FB3AEC">
        <w:rPr>
          <w:lang w:val="en-US"/>
        </w:rPr>
        <w:t>Risk-averse avoidance of accountability by cabinet members and the</w:t>
      </w:r>
      <w:r w:rsidR="00EC61BA" w:rsidRPr="00FB3AEC">
        <w:rPr>
          <w:lang w:val="en-US"/>
        </w:rPr>
        <w:t xml:space="preserve"> limited authority </w:t>
      </w:r>
      <w:r w:rsidR="008D10EF" w:rsidRPr="00FB3AEC">
        <w:rPr>
          <w:lang w:val="en-US"/>
        </w:rPr>
        <w:t xml:space="preserve">civil servants had with political actors, who believed them to be </w:t>
      </w:r>
      <w:r w:rsidR="004525C3" w:rsidRPr="00FB3AEC">
        <w:rPr>
          <w:lang w:val="en-US"/>
        </w:rPr>
        <w:t>subservient, w</w:t>
      </w:r>
      <w:r w:rsidR="00FB3AEC" w:rsidRPr="00FB3AEC">
        <w:rPr>
          <w:lang w:val="en-US"/>
        </w:rPr>
        <w:t>ere</w:t>
      </w:r>
      <w:r w:rsidR="004525C3" w:rsidRPr="00FB3AEC">
        <w:rPr>
          <w:lang w:val="en-US"/>
        </w:rPr>
        <w:t xml:space="preserve"> not considered. There was no plan on what to do if </w:t>
      </w:r>
      <w:r w:rsidR="00565473" w:rsidRPr="00FB3AEC">
        <w:rPr>
          <w:lang w:val="en-US"/>
        </w:rPr>
        <w:t>political actors were reluctant to campaign or to adher</w:t>
      </w:r>
      <w:r w:rsidR="006B5ECA" w:rsidRPr="00FB3AEC">
        <w:rPr>
          <w:lang w:val="en-US"/>
        </w:rPr>
        <w:t>e to the campaign’s message.</w:t>
      </w:r>
    </w:p>
    <w:p w14:paraId="7C342416" w14:textId="06FC77B9" w:rsidR="00632B6B" w:rsidRPr="00EE67CD" w:rsidRDefault="00632B6B" w:rsidP="00B109A7">
      <w:pPr>
        <w:jc w:val="both"/>
        <w:rPr>
          <w:lang w:val="en-US"/>
        </w:rPr>
      </w:pPr>
    </w:p>
    <w:p w14:paraId="0D4968D6" w14:textId="1F4DEDB5" w:rsidR="00A56362" w:rsidRPr="00EE67CD" w:rsidRDefault="00A56362" w:rsidP="00B109A7">
      <w:pPr>
        <w:jc w:val="both"/>
        <w:rPr>
          <w:lang w:val="en-US"/>
        </w:rPr>
      </w:pPr>
      <w:r w:rsidRPr="00EE67CD">
        <w:rPr>
          <w:lang w:val="en-US"/>
        </w:rPr>
        <w:t xml:space="preserve"> </w:t>
      </w:r>
    </w:p>
    <w:p w14:paraId="73499E3C" w14:textId="77777777" w:rsidR="00165D9B" w:rsidRPr="00EE67CD" w:rsidRDefault="00165D9B">
      <w:pPr>
        <w:rPr>
          <w:lang w:val="en-US"/>
        </w:rPr>
      </w:pPr>
      <w:r w:rsidRPr="00EE67CD">
        <w:rPr>
          <w:lang w:val="en-US"/>
        </w:rPr>
        <w:br w:type="page"/>
      </w:r>
    </w:p>
    <w:p w14:paraId="71B22AEF" w14:textId="33F44432" w:rsidR="00363BC9" w:rsidRPr="00A81153" w:rsidRDefault="00D241BF" w:rsidP="00A81153">
      <w:pPr>
        <w:pStyle w:val="Kop1"/>
        <w:jc w:val="center"/>
        <w:rPr>
          <w:b/>
          <w:bCs/>
          <w:color w:val="auto"/>
          <w:lang w:val="en-US"/>
        </w:rPr>
      </w:pPr>
      <w:bookmarkStart w:id="56" w:name="_Toc48891318"/>
      <w:r w:rsidRPr="00A81153">
        <w:rPr>
          <w:b/>
          <w:bCs/>
          <w:color w:val="auto"/>
          <w:lang w:val="en-US"/>
        </w:rPr>
        <w:t xml:space="preserve">5. </w:t>
      </w:r>
      <w:r w:rsidR="00FA19C1" w:rsidRPr="00A81153">
        <w:rPr>
          <w:b/>
          <w:bCs/>
          <w:color w:val="auto"/>
          <w:lang w:val="en-US"/>
        </w:rPr>
        <w:t>Conclusion</w:t>
      </w:r>
      <w:bookmarkEnd w:id="56"/>
    </w:p>
    <w:p w14:paraId="746333C5" w14:textId="77777777" w:rsidR="00A81153" w:rsidRDefault="00A81153" w:rsidP="00567D25">
      <w:pPr>
        <w:jc w:val="both"/>
        <w:rPr>
          <w:lang w:val="en-US"/>
        </w:rPr>
      </w:pPr>
      <w:bookmarkStart w:id="57" w:name="_Hlk48724135"/>
    </w:p>
    <w:p w14:paraId="3CE911EC" w14:textId="1669D027" w:rsidR="00E87FF0" w:rsidRDefault="00E87FF0" w:rsidP="00567D25">
      <w:pPr>
        <w:jc w:val="both"/>
        <w:rPr>
          <w:lang w:val="en-US"/>
        </w:rPr>
      </w:pPr>
      <w:r>
        <w:rPr>
          <w:lang w:val="en-US"/>
        </w:rPr>
        <w:t>This final chapter will provide a</w:t>
      </w:r>
      <w:r w:rsidR="00567D25">
        <w:rPr>
          <w:lang w:val="en-US"/>
        </w:rPr>
        <w:t>n answer to the research question posed in the introduction. It summarizes the findings of the empirical analysis and reflects upon their theoretical implications. Subsequently, the strengths and weaknesses of the theoretical model and methodological approach are discussed. The thesis concludes with recommendations for further research.</w:t>
      </w:r>
    </w:p>
    <w:p w14:paraId="0B259C91" w14:textId="34BCF35C" w:rsidR="00567D25" w:rsidRPr="00A81153" w:rsidRDefault="00567D25" w:rsidP="00567D25">
      <w:pPr>
        <w:pStyle w:val="Kop2"/>
        <w:rPr>
          <w:color w:val="auto"/>
          <w:lang w:val="en-US"/>
        </w:rPr>
      </w:pPr>
      <w:bookmarkStart w:id="58" w:name="_Toc48891319"/>
      <w:bookmarkEnd w:id="57"/>
      <w:r w:rsidRPr="00A81153">
        <w:rPr>
          <w:color w:val="auto"/>
          <w:lang w:val="en-US"/>
        </w:rPr>
        <w:t>5.1 Answering the research question</w:t>
      </w:r>
      <w:bookmarkEnd w:id="58"/>
    </w:p>
    <w:p w14:paraId="22040BF3" w14:textId="77777777" w:rsidR="0091739F" w:rsidRDefault="0091739F" w:rsidP="0091739F">
      <w:pPr>
        <w:jc w:val="both"/>
        <w:rPr>
          <w:lang w:val="en-US"/>
        </w:rPr>
      </w:pPr>
      <w:r w:rsidRPr="00504F74">
        <w:rPr>
          <w:lang w:val="en-US"/>
        </w:rPr>
        <w:t>This study lo</w:t>
      </w:r>
      <w:r>
        <w:rPr>
          <w:lang w:val="en-US"/>
        </w:rPr>
        <w:t xml:space="preserve">oked to explain the decision-making process within the Dutch government leading to the 2005 campaign to defend the European Constitutional Treaty. Whereas early polls showed considerable public support for the Treaty, it was ultimately rejected by 61.5% of voters, with a rather large voter turn-out of 63.3% (Kiesraad, 2005). The government’s campaign attracted considerable criticism, with some believing that the campaign itself contributed to the negative referendum-outcome. The administration supported the ECT and had already signed it: it was in their objective to have this bill ratified. This research aimed to shine a light on how bureaucratic actors decided upon a campaign strategy that cannot be seen as a consistent utility-maximizing pursuit of the predetermined goal of ratification of the ECT. </w:t>
      </w:r>
    </w:p>
    <w:p w14:paraId="104B223A" w14:textId="77777777" w:rsidR="0091739F" w:rsidRDefault="0091739F" w:rsidP="0091739F">
      <w:pPr>
        <w:jc w:val="both"/>
        <w:rPr>
          <w:lang w:val="en-US"/>
        </w:rPr>
      </w:pPr>
      <w:r>
        <w:rPr>
          <w:lang w:val="en-US"/>
        </w:rPr>
        <w:t xml:space="preserve">An integrated model combining the assets of Allison’s bureaucratic politics model and organizational process model was introduced to provide an explanation for non-rational policy-outcomes. This model, based on Ripley (1995), predicted that bureaucratic actors such as cabinet members and civil servants rationally pursue their personal interest within the specific context of their organization. The utility-maximizing behavior by individual actors was thought to lead to non-rational decisions at the collective level. Three bureaucratic elements were identified and expected to structure decision-making processes and notions of appropriateness among bureaucratic actors: bureaucratic roles, procedural scripts, and cultural rationales. This led to the following research question:  </w:t>
      </w:r>
    </w:p>
    <w:p w14:paraId="2D6CC059" w14:textId="77777777" w:rsidR="0091739F" w:rsidRDefault="0091739F" w:rsidP="0091739F">
      <w:pPr>
        <w:pStyle w:val="paragraph"/>
        <w:spacing w:before="0" w:beforeAutospacing="0" w:after="0" w:afterAutospacing="0"/>
        <w:ind w:left="705"/>
        <w:jc w:val="both"/>
        <w:textAlignment w:val="baseline"/>
        <w:rPr>
          <w:rStyle w:val="normaltextrun"/>
          <w:rFonts w:ascii="Calibri" w:hAnsi="Calibri" w:cs="Calibri"/>
          <w:i/>
          <w:iCs/>
          <w:sz w:val="22"/>
          <w:szCs w:val="22"/>
          <w:lang w:val="en-US"/>
        </w:rPr>
      </w:pPr>
      <w:r w:rsidRPr="009D4158">
        <w:rPr>
          <w:rStyle w:val="normaltextrun"/>
          <w:rFonts w:ascii="Calibri" w:hAnsi="Calibri" w:cs="Calibri"/>
          <w:i/>
          <w:iCs/>
          <w:sz w:val="22"/>
          <w:szCs w:val="22"/>
          <w:lang w:val="en-US"/>
        </w:rPr>
        <w:t>To what extent can the Dutch governmental campaign for the 2005 referendum  the European Constitutional Treaty be explained by the bureaucratic roles, procedural scripts and cultural rationales employed by decision-makers?</w:t>
      </w:r>
    </w:p>
    <w:p w14:paraId="401BCF6D" w14:textId="77777777" w:rsidR="0091739F" w:rsidRDefault="0091739F" w:rsidP="0091739F">
      <w:pPr>
        <w:pStyle w:val="paragraph"/>
        <w:spacing w:before="0" w:beforeAutospacing="0" w:after="0" w:afterAutospacing="0"/>
        <w:jc w:val="both"/>
        <w:textAlignment w:val="baseline"/>
        <w:rPr>
          <w:rStyle w:val="normaltextrun"/>
          <w:rFonts w:ascii="Calibri" w:hAnsi="Calibri" w:cs="Calibri"/>
          <w:sz w:val="22"/>
          <w:szCs w:val="22"/>
          <w:lang w:val="en-US"/>
        </w:rPr>
      </w:pPr>
    </w:p>
    <w:p w14:paraId="05F1722D" w14:textId="2F59831E" w:rsidR="0091739F" w:rsidRDefault="0091739F" w:rsidP="0091739F">
      <w:pPr>
        <w:pStyle w:val="paragraph"/>
        <w:spacing w:before="0" w:beforeAutospacing="0" w:after="0" w:afterAutospacing="0"/>
        <w:jc w:val="both"/>
        <w:textAlignment w:val="baseline"/>
        <w:rPr>
          <w:rStyle w:val="normaltextrun"/>
          <w:rFonts w:ascii="Calibri" w:hAnsi="Calibri" w:cs="Calibri"/>
          <w:sz w:val="22"/>
          <w:szCs w:val="22"/>
          <w:lang w:val="en-US"/>
        </w:rPr>
      </w:pPr>
      <w:r>
        <w:rPr>
          <w:rStyle w:val="normaltextrun"/>
          <w:rFonts w:ascii="Calibri" w:hAnsi="Calibri" w:cs="Calibri"/>
          <w:sz w:val="22"/>
          <w:szCs w:val="22"/>
          <w:lang w:val="en-US"/>
        </w:rPr>
        <w:t>Process-tracing was used to test for the presence of these bureaucratic elements in the three phases of the campaign: the phase of initial planning running from November 2004 until February 10</w:t>
      </w:r>
      <w:r w:rsidRPr="003229F7">
        <w:rPr>
          <w:rStyle w:val="normaltextrun"/>
          <w:rFonts w:ascii="Calibri" w:hAnsi="Calibri" w:cs="Calibri"/>
          <w:sz w:val="22"/>
          <w:szCs w:val="22"/>
          <w:vertAlign w:val="superscript"/>
          <w:lang w:val="en-US"/>
        </w:rPr>
        <w:t>th</w:t>
      </w:r>
      <w:r>
        <w:rPr>
          <w:rStyle w:val="normaltextrun"/>
          <w:rFonts w:ascii="Calibri" w:hAnsi="Calibri" w:cs="Calibri"/>
          <w:sz w:val="22"/>
          <w:szCs w:val="22"/>
          <w:lang w:val="en-US"/>
        </w:rPr>
        <w:t xml:space="preserve"> 2005, the phase in which the campaign strategy was determined by the Taskforce and Political Control Group running from February 10</w:t>
      </w:r>
      <w:r w:rsidRPr="003229F7">
        <w:rPr>
          <w:rStyle w:val="normaltextrun"/>
          <w:rFonts w:ascii="Calibri" w:hAnsi="Calibri" w:cs="Calibri"/>
          <w:sz w:val="22"/>
          <w:szCs w:val="22"/>
          <w:vertAlign w:val="superscript"/>
          <w:lang w:val="en-US"/>
        </w:rPr>
        <w:t>th</w:t>
      </w:r>
      <w:r>
        <w:rPr>
          <w:rStyle w:val="normaltextrun"/>
          <w:rFonts w:ascii="Calibri" w:hAnsi="Calibri" w:cs="Calibri"/>
          <w:sz w:val="22"/>
          <w:szCs w:val="22"/>
          <w:lang w:val="en-US"/>
        </w:rPr>
        <w:t xml:space="preserve"> 2005 until April 7</w:t>
      </w:r>
      <w:r w:rsidRPr="003229F7">
        <w:rPr>
          <w:rStyle w:val="normaltextrun"/>
          <w:rFonts w:ascii="Calibri" w:hAnsi="Calibri" w:cs="Calibri"/>
          <w:sz w:val="22"/>
          <w:szCs w:val="22"/>
          <w:vertAlign w:val="superscript"/>
          <w:lang w:val="en-US"/>
        </w:rPr>
        <w:t>th</w:t>
      </w:r>
      <w:r>
        <w:rPr>
          <w:rStyle w:val="normaltextrun"/>
          <w:rFonts w:ascii="Calibri" w:hAnsi="Calibri" w:cs="Calibri"/>
          <w:sz w:val="22"/>
          <w:szCs w:val="22"/>
          <w:lang w:val="en-US"/>
        </w:rPr>
        <w:t xml:space="preserve"> 2005, and the phase in which the campaign itself was conducted running April 7</w:t>
      </w:r>
      <w:r w:rsidRPr="003229F7">
        <w:rPr>
          <w:rStyle w:val="normaltextrun"/>
          <w:rFonts w:ascii="Calibri" w:hAnsi="Calibri" w:cs="Calibri"/>
          <w:sz w:val="22"/>
          <w:szCs w:val="22"/>
          <w:vertAlign w:val="superscript"/>
          <w:lang w:val="en-US"/>
        </w:rPr>
        <w:t>th</w:t>
      </w:r>
      <w:r>
        <w:rPr>
          <w:rStyle w:val="normaltextrun"/>
          <w:rFonts w:ascii="Calibri" w:hAnsi="Calibri" w:cs="Calibri"/>
          <w:sz w:val="22"/>
          <w:szCs w:val="22"/>
          <w:lang w:val="en-US"/>
        </w:rPr>
        <w:t xml:space="preserve"> 2005 until June 1</w:t>
      </w:r>
      <w:r w:rsidRPr="003229F7">
        <w:rPr>
          <w:rStyle w:val="normaltextrun"/>
          <w:rFonts w:ascii="Calibri" w:hAnsi="Calibri" w:cs="Calibri"/>
          <w:sz w:val="22"/>
          <w:szCs w:val="22"/>
          <w:vertAlign w:val="superscript"/>
          <w:lang w:val="en-US"/>
        </w:rPr>
        <w:t>st</w:t>
      </w:r>
      <w:r>
        <w:rPr>
          <w:rStyle w:val="normaltextrun"/>
          <w:rFonts w:ascii="Calibri" w:hAnsi="Calibri" w:cs="Calibri"/>
          <w:sz w:val="22"/>
          <w:szCs w:val="22"/>
          <w:lang w:val="en-US"/>
        </w:rPr>
        <w:t xml:space="preserve"> 2005. The main source of evidence was posed by twelve semi-structured in-depth interviews with bureaucratic actors involved with the campaign, and  various experts from different professional fields. Newspaper articles, documentaries, Parliamentary documents, and some internal documents were used as additional sources. Data-triangulation was applied to account for flaws in interviewees recollection of events, increasing the reliability of the research.</w:t>
      </w:r>
    </w:p>
    <w:p w14:paraId="1807D4FE" w14:textId="77777777" w:rsidR="006B303A" w:rsidRDefault="006B303A" w:rsidP="0091739F">
      <w:pPr>
        <w:pStyle w:val="paragraph"/>
        <w:spacing w:before="0" w:beforeAutospacing="0" w:after="0" w:afterAutospacing="0"/>
        <w:jc w:val="both"/>
        <w:textAlignment w:val="baseline"/>
        <w:rPr>
          <w:rStyle w:val="normaltextrun"/>
          <w:rFonts w:ascii="Calibri" w:hAnsi="Calibri" w:cs="Calibri"/>
          <w:sz w:val="22"/>
          <w:szCs w:val="22"/>
          <w:lang w:val="en-US"/>
        </w:rPr>
      </w:pPr>
    </w:p>
    <w:p w14:paraId="0393904C" w14:textId="77777777" w:rsidR="00B705F5" w:rsidRPr="00285FF1" w:rsidRDefault="00B705F5" w:rsidP="00B705F5">
      <w:pPr>
        <w:jc w:val="both"/>
        <w:rPr>
          <w:lang w:val="en-US"/>
        </w:rPr>
      </w:pPr>
      <w:r w:rsidRPr="00285FF1">
        <w:rPr>
          <w:lang w:val="en-US"/>
        </w:rPr>
        <w:t xml:space="preserve">The empirical analysis showed that all three bureaucratic elements were present. Political actors and civil servants pursued their respective interests in their work on the campaign, with the latter adopting a rather neutral approach to the matter. Cabinet members felt that civil service was ultimately subservient to them, making it difficult for the Taskforce to run the campaign as planned. While contingency plans for external events were devised, the initial strategy did not take foreseeable internal struggles into account. There were no contingency plans to deal with tensions among departments or with unsatisfying campaign efforts by political actors. </w:t>
      </w:r>
    </w:p>
    <w:p w14:paraId="4F135E9E" w14:textId="77777777" w:rsidR="00B705F5" w:rsidRPr="00285FF1" w:rsidRDefault="00B705F5" w:rsidP="00B705F5">
      <w:pPr>
        <w:jc w:val="both"/>
        <w:rPr>
          <w:lang w:val="en-US"/>
        </w:rPr>
      </w:pPr>
      <w:r w:rsidRPr="00285FF1">
        <w:rPr>
          <w:lang w:val="en-US"/>
        </w:rPr>
        <w:t>As they were inexperienced with referendum-campaigns, the bureaucratic actors relied upon the procedural scripts of general elections and information campaigns. These scripts were found to have significantly impacted the planning and resources used in the campaign, with Dutch general elections usually being short and making use of free publicity. The script of the information campaigns prescribed what tone was used to engage with citizens, focusing on providing factual information in a formal manner. The reliance on the election-script led to the expectation that citizens would decide on their vote during the last weeks. When this was found out to not be the case, there were no time and resources to turn the tide. This risk was not properly assessed beforehand.</w:t>
      </w:r>
    </w:p>
    <w:p w14:paraId="3521B747" w14:textId="0296C89C" w:rsidR="00B705F5" w:rsidRPr="00285FF1" w:rsidRDefault="00B705F5" w:rsidP="00B705F5">
      <w:pPr>
        <w:jc w:val="both"/>
        <w:rPr>
          <w:lang w:val="en-US"/>
        </w:rPr>
      </w:pPr>
      <w:r w:rsidRPr="00285FF1">
        <w:rPr>
          <w:lang w:val="en-US"/>
        </w:rPr>
        <w:t xml:space="preserve">It was not found that a shared ritualistic discourse on European integration was present among both cabinet members and civil service. While the campaign’s main arguments in favor of EU-integration emphasized the prosperity and safety that the EU had brought over the last decades, the administration was not unequivocally pro-EU. </w:t>
      </w:r>
      <w:r w:rsidR="00285FF1" w:rsidRPr="00285FF1">
        <w:rPr>
          <w:lang w:val="en-US"/>
        </w:rPr>
        <w:t>Albeit in later stages of the campaign, o</w:t>
      </w:r>
      <w:r w:rsidRPr="00285FF1">
        <w:rPr>
          <w:lang w:val="en-US"/>
        </w:rPr>
        <w:t xml:space="preserve">pponents were taken seriously, and the core messages of the campaign were altered to better acknowledge criticism on European integration. </w:t>
      </w:r>
    </w:p>
    <w:p w14:paraId="4D5A63DA" w14:textId="47DDBA1B" w:rsidR="0091739F" w:rsidRPr="007C523B" w:rsidRDefault="00B705F5" w:rsidP="00B705F5">
      <w:pPr>
        <w:pStyle w:val="paragraph"/>
        <w:spacing w:before="0" w:beforeAutospacing="0" w:after="0" w:afterAutospacing="0"/>
        <w:jc w:val="both"/>
        <w:textAlignment w:val="baseline"/>
        <w:rPr>
          <w:rFonts w:asciiTheme="minorHAnsi" w:eastAsiaTheme="minorHAnsi" w:hAnsiTheme="minorHAnsi" w:cstheme="minorBidi"/>
          <w:lang w:val="en-US" w:eastAsia="en-US"/>
        </w:rPr>
      </w:pPr>
      <w:r w:rsidRPr="00285FF1">
        <w:rPr>
          <w:rFonts w:asciiTheme="minorHAnsi" w:eastAsiaTheme="minorHAnsi" w:hAnsiTheme="minorHAnsi" w:cstheme="minorBidi"/>
          <w:sz w:val="22"/>
          <w:szCs w:val="22"/>
          <w:lang w:val="en-US" w:eastAsia="en-US"/>
        </w:rPr>
        <w:t>The ritualistic notion of modesty was found to be present, however. Particularly in the first phase of planning, bureaucratic actors adhered to the idea that the government should not be a protagonist in the debate, and that a short campaign with a small budget would be appropriate. The perception that it would not be possible to increase the budget impacted which alternatives could be seriously considered.</w:t>
      </w:r>
      <w:r w:rsidRPr="007C523B">
        <w:rPr>
          <w:rFonts w:asciiTheme="minorHAnsi" w:eastAsiaTheme="minorHAnsi" w:hAnsiTheme="minorHAnsi" w:cstheme="minorBidi"/>
          <w:lang w:val="en-US" w:eastAsia="en-US"/>
        </w:rPr>
        <w:t xml:space="preserve"> </w:t>
      </w:r>
    </w:p>
    <w:p w14:paraId="670D3F5E" w14:textId="77777777" w:rsidR="00285FF1" w:rsidRPr="007C523B" w:rsidRDefault="00285FF1" w:rsidP="0091739F">
      <w:pPr>
        <w:pStyle w:val="paragraph"/>
        <w:spacing w:before="0" w:beforeAutospacing="0" w:after="0" w:afterAutospacing="0"/>
        <w:jc w:val="both"/>
        <w:textAlignment w:val="baseline"/>
        <w:rPr>
          <w:rStyle w:val="normaltextrun"/>
          <w:rFonts w:ascii="Calibri" w:hAnsi="Calibri" w:cs="Calibri"/>
          <w:sz w:val="22"/>
          <w:szCs w:val="22"/>
          <w:lang w:val="en-US"/>
        </w:rPr>
      </w:pPr>
    </w:p>
    <w:p w14:paraId="0EF167A1" w14:textId="51F60AE8" w:rsidR="0091739F" w:rsidRDefault="0091739F" w:rsidP="0091739F">
      <w:pPr>
        <w:pStyle w:val="paragraph"/>
        <w:spacing w:before="0" w:beforeAutospacing="0" w:after="0" w:afterAutospacing="0"/>
        <w:jc w:val="both"/>
        <w:textAlignment w:val="baseline"/>
        <w:rPr>
          <w:rStyle w:val="normaltextrun"/>
          <w:rFonts w:ascii="Calibri" w:hAnsi="Calibri" w:cs="Calibri"/>
          <w:sz w:val="22"/>
          <w:szCs w:val="22"/>
          <w:lang w:val="en-US"/>
        </w:rPr>
      </w:pPr>
      <w:r>
        <w:rPr>
          <w:rStyle w:val="normaltextrun"/>
          <w:rFonts w:ascii="Calibri" w:hAnsi="Calibri" w:cs="Calibri"/>
          <w:sz w:val="22"/>
          <w:szCs w:val="22"/>
          <w:lang w:val="en-US"/>
        </w:rPr>
        <w:t xml:space="preserve">In answering the research question, it can therefore be said that evidence suggests that </w:t>
      </w:r>
      <w:r w:rsidR="00A01956">
        <w:rPr>
          <w:rStyle w:val="normaltextrun"/>
          <w:rFonts w:ascii="Calibri" w:hAnsi="Calibri" w:cs="Calibri"/>
          <w:sz w:val="22"/>
          <w:szCs w:val="22"/>
          <w:lang w:val="en-US"/>
        </w:rPr>
        <w:t>the rational pursuit of self-interest</w:t>
      </w:r>
      <w:r w:rsidR="006B303A">
        <w:rPr>
          <w:rStyle w:val="normaltextrun"/>
          <w:rFonts w:ascii="Calibri" w:hAnsi="Calibri" w:cs="Calibri"/>
          <w:sz w:val="22"/>
          <w:szCs w:val="22"/>
          <w:lang w:val="en-US"/>
        </w:rPr>
        <w:t xml:space="preserve"> by bureaucratic actors within their organizational context</w:t>
      </w:r>
      <w:r>
        <w:rPr>
          <w:rStyle w:val="normaltextrun"/>
          <w:rFonts w:ascii="Calibri" w:hAnsi="Calibri" w:cs="Calibri"/>
          <w:sz w:val="22"/>
          <w:szCs w:val="22"/>
          <w:lang w:val="en-US"/>
        </w:rPr>
        <w:t xml:space="preserve"> </w:t>
      </w:r>
      <w:r w:rsidR="006B303A">
        <w:rPr>
          <w:rStyle w:val="normaltextrun"/>
          <w:rFonts w:ascii="Calibri" w:hAnsi="Calibri" w:cs="Calibri"/>
          <w:sz w:val="22"/>
          <w:szCs w:val="22"/>
          <w:lang w:val="en-US"/>
        </w:rPr>
        <w:t>is</w:t>
      </w:r>
      <w:r>
        <w:rPr>
          <w:rStyle w:val="normaltextrun"/>
          <w:rFonts w:ascii="Calibri" w:hAnsi="Calibri" w:cs="Calibri"/>
          <w:sz w:val="22"/>
          <w:szCs w:val="22"/>
          <w:lang w:val="en-US"/>
        </w:rPr>
        <w:t xml:space="preserve"> likely to carry explanatory power regarding the campaign conducted by the Balkenende II administration in defense of the European Constitutional Treaty.</w:t>
      </w:r>
    </w:p>
    <w:p w14:paraId="7AFD82C7" w14:textId="77777777" w:rsidR="00A01956" w:rsidRDefault="00A01956" w:rsidP="0091739F">
      <w:pPr>
        <w:pStyle w:val="paragraph"/>
        <w:spacing w:before="0" w:beforeAutospacing="0" w:after="0" w:afterAutospacing="0"/>
        <w:jc w:val="both"/>
        <w:textAlignment w:val="baseline"/>
        <w:rPr>
          <w:rStyle w:val="normaltextrun"/>
          <w:rFonts w:ascii="Calibri" w:hAnsi="Calibri" w:cs="Calibri"/>
          <w:sz w:val="22"/>
          <w:szCs w:val="22"/>
          <w:lang w:val="en-US"/>
        </w:rPr>
      </w:pPr>
    </w:p>
    <w:p w14:paraId="07ACC810" w14:textId="716447B4" w:rsidR="000F7C0C" w:rsidRPr="00A81153" w:rsidRDefault="00141A13" w:rsidP="00D61C7B">
      <w:pPr>
        <w:pStyle w:val="Kop2"/>
        <w:rPr>
          <w:color w:val="auto"/>
          <w:lang w:val="en-US"/>
        </w:rPr>
      </w:pPr>
      <w:bookmarkStart w:id="59" w:name="_Toc48891320"/>
      <w:r w:rsidRPr="00A81153">
        <w:rPr>
          <w:color w:val="auto"/>
          <w:lang w:val="en-US"/>
        </w:rPr>
        <w:t>5.</w:t>
      </w:r>
      <w:r w:rsidR="00567D25" w:rsidRPr="00A81153">
        <w:rPr>
          <w:color w:val="auto"/>
          <w:lang w:val="en-US"/>
        </w:rPr>
        <w:t>2</w:t>
      </w:r>
      <w:r w:rsidRPr="00A81153">
        <w:rPr>
          <w:color w:val="auto"/>
          <w:lang w:val="en-US"/>
        </w:rPr>
        <w:t xml:space="preserve"> Theoretical </w:t>
      </w:r>
      <w:r w:rsidR="000F7C0C" w:rsidRPr="00A81153">
        <w:rPr>
          <w:color w:val="auto"/>
          <w:lang w:val="en-US"/>
        </w:rPr>
        <w:t>reflection</w:t>
      </w:r>
      <w:bookmarkEnd w:id="59"/>
    </w:p>
    <w:p w14:paraId="5C15AD03" w14:textId="77777777" w:rsidR="0091739F" w:rsidRDefault="0091739F" w:rsidP="0091739F">
      <w:pPr>
        <w:jc w:val="both"/>
        <w:rPr>
          <w:rFonts w:ascii="Calibri" w:eastAsia="Times New Roman" w:hAnsi="Calibri" w:cs="Calibri"/>
          <w:lang w:val="en-US" w:eastAsia="nl-NL"/>
        </w:rPr>
      </w:pPr>
      <w:r>
        <w:rPr>
          <w:rFonts w:ascii="Calibri" w:eastAsia="Times New Roman" w:hAnsi="Calibri" w:cs="Calibri"/>
          <w:lang w:val="en-US" w:eastAsia="nl-NL"/>
        </w:rPr>
        <w:t xml:space="preserve">The integrated model used in this thesis contributes to the field of Foreign Policy Analysis by combining academic literature on bureaucratic politics with the insights of academic work on the role of cognition and culture in decision-making processes. The model shows that both the structuring effect of organizational culture and the rational pursuit of personal interest need to be taken into account to understand policy-outcome in some cases. The Balkenende II-administration’s campaign in defense of the ECT was a conjunction of shared notions of appropriateness, reliance upon previous experience, and the self-interested avoidance of accountability by political actors. The integrated model allows for a nuanced understanding of bureaucratic decision-making, and is able to capture the interaction among and between political actors and civil service. Effectively, it thus functions as a bridge between different strands of research within Foreign Policy Analysis. </w:t>
      </w:r>
    </w:p>
    <w:p w14:paraId="469B2508" w14:textId="77777777" w:rsidR="0091739F" w:rsidRDefault="0091739F" w:rsidP="0091739F">
      <w:pPr>
        <w:jc w:val="both"/>
        <w:rPr>
          <w:rFonts w:ascii="Calibri" w:eastAsia="Times New Roman" w:hAnsi="Calibri" w:cs="Calibri"/>
          <w:lang w:val="en-US" w:eastAsia="nl-NL"/>
        </w:rPr>
      </w:pPr>
      <w:r>
        <w:rPr>
          <w:rFonts w:ascii="Calibri" w:eastAsia="Times New Roman" w:hAnsi="Calibri" w:cs="Calibri"/>
          <w:lang w:val="en-US" w:eastAsia="nl-NL"/>
        </w:rPr>
        <w:t>Additionally, the case study of the Dutch government’s campaign in defense of the European Constitutional Treaty contributes to the academic literature on European integration and Euroscepticism. The 2005 referendums in France and the Netherlands are often used to illustrate the move away from the permissive consensus toward a constraining dissensus, in which the electorate no longer follows elite cues on European integration and the EU becomes a topic of domestic political debate. Research into the referendum focused predominantly on explaining the behavior of the electorate. The government’s failure to recognize the full extent of the negative sentiments prevalent in society and its potential role in boosting this is left relatively under-researched. This research contributes to solving this lacuna in academic knowledge.</w:t>
      </w:r>
    </w:p>
    <w:p w14:paraId="48E86EAF" w14:textId="77777777" w:rsidR="0091739F" w:rsidRPr="00A81153" w:rsidRDefault="0091739F" w:rsidP="0091739F">
      <w:pPr>
        <w:pStyle w:val="Kop3"/>
        <w:rPr>
          <w:rFonts w:eastAsia="Times New Roman"/>
          <w:color w:val="auto"/>
          <w:u w:val="single"/>
          <w:lang w:val="en-US" w:eastAsia="nl-NL"/>
        </w:rPr>
      </w:pPr>
      <w:bookmarkStart w:id="60" w:name="_Toc48891321"/>
      <w:r w:rsidRPr="00A81153">
        <w:rPr>
          <w:rFonts w:eastAsia="Times New Roman"/>
          <w:color w:val="auto"/>
          <w:u w:val="single"/>
          <w:lang w:val="en-US" w:eastAsia="nl-NL"/>
        </w:rPr>
        <w:t>5.2.1 Theoretical limitations</w:t>
      </w:r>
      <w:bookmarkEnd w:id="60"/>
    </w:p>
    <w:p w14:paraId="17EB140E" w14:textId="77777777" w:rsidR="0091739F" w:rsidRDefault="0091739F" w:rsidP="0091739F">
      <w:pPr>
        <w:jc w:val="both"/>
        <w:rPr>
          <w:rFonts w:ascii="Calibri" w:eastAsia="Times New Roman" w:hAnsi="Calibri" w:cs="Calibri"/>
          <w:lang w:val="en-US" w:eastAsia="nl-NL"/>
        </w:rPr>
      </w:pPr>
      <w:r>
        <w:rPr>
          <w:rFonts w:ascii="Calibri" w:eastAsia="Times New Roman" w:hAnsi="Calibri" w:cs="Calibri"/>
          <w:lang w:val="en-US" w:eastAsia="nl-NL"/>
        </w:rPr>
        <w:t>However, the theoretical model used in this study has its limitations. Firstly, it is not outlined under which conditions bureaucratic elements are thought to increase the likelihood of non-rational decision-making. Bureaucratic elements  are rooted in organizational culture, and can thus be thought to be consistent factors to a certain extent. However, not every policy-decision is non-rational. Therefore, there must be antecedent conditions that prescribe in which situations bureaucratic elements structure the decision-making process to a greater extent, subsequently increasing the probability of defective decision-making and non-rational policy-outcomes.. Formulating such conditions would strengthen the theoretical model.</w:t>
      </w:r>
    </w:p>
    <w:p w14:paraId="306D26D1" w14:textId="77777777" w:rsidR="0091739F" w:rsidRDefault="0091739F" w:rsidP="0091739F">
      <w:pPr>
        <w:jc w:val="both"/>
        <w:rPr>
          <w:rFonts w:ascii="Calibri" w:eastAsia="Times New Roman" w:hAnsi="Calibri" w:cs="Calibri"/>
          <w:lang w:val="en-US" w:eastAsia="nl-NL"/>
        </w:rPr>
      </w:pPr>
      <w:r>
        <w:rPr>
          <w:rFonts w:ascii="Calibri" w:eastAsia="Times New Roman" w:hAnsi="Calibri" w:cs="Calibri"/>
          <w:lang w:val="en-US" w:eastAsia="nl-NL"/>
        </w:rPr>
        <w:t>Secondly, it is not made explicit how the bureaucratic elements relate to each other and to what extent they could potentially overlap. Particularly, the line between procedural scripts and cultural rationales can be fuzzy, as they both prescribe paths of action based on the norms and procedures rooted in the organizational context. To clarify the distinction between the two, it would be useful to develop typologies of commonly occurring procedural scripts and cultural rationales. This would serve to more clearly delineate the two and improve the utility of the model.</w:t>
      </w:r>
    </w:p>
    <w:p w14:paraId="6676EF93" w14:textId="77777777" w:rsidR="0091739F" w:rsidRPr="00A81153" w:rsidRDefault="0091739F" w:rsidP="0091739F">
      <w:pPr>
        <w:pStyle w:val="Kop3"/>
        <w:rPr>
          <w:rFonts w:eastAsia="Times New Roman"/>
          <w:color w:val="auto"/>
          <w:u w:val="single"/>
          <w:lang w:val="en-US" w:eastAsia="nl-NL"/>
        </w:rPr>
      </w:pPr>
      <w:bookmarkStart w:id="61" w:name="_Toc48891322"/>
      <w:r w:rsidRPr="00A81153">
        <w:rPr>
          <w:rFonts w:eastAsia="Times New Roman"/>
          <w:color w:val="auto"/>
          <w:u w:val="single"/>
          <w:lang w:val="en-US" w:eastAsia="nl-NL"/>
        </w:rPr>
        <w:t>5.2.2 Alternative explanations</w:t>
      </w:r>
      <w:bookmarkEnd w:id="61"/>
    </w:p>
    <w:p w14:paraId="7BD1B776" w14:textId="77777777" w:rsidR="0091739F" w:rsidRDefault="0091739F" w:rsidP="0091739F">
      <w:pPr>
        <w:jc w:val="both"/>
        <w:rPr>
          <w:rFonts w:ascii="Calibri" w:eastAsia="Times New Roman" w:hAnsi="Calibri" w:cs="Calibri"/>
          <w:lang w:val="en-US" w:eastAsia="nl-NL"/>
        </w:rPr>
      </w:pPr>
      <w:r>
        <w:rPr>
          <w:rFonts w:ascii="Calibri" w:eastAsia="Times New Roman" w:hAnsi="Calibri" w:cs="Calibri"/>
          <w:lang w:val="en-US" w:eastAsia="nl-NL"/>
        </w:rPr>
        <w:t xml:space="preserve">There are some assumptions that are left unchallenged within this thesis, but are not subject of academic consensus. Firstly, this concerns the assumption that bureaucratic actors are rational within their organizational context. A significant body of academic work suggests that this assumed rationality does not correspond with the practical reality of decision-making (Breuning, 2007; Gerner, 1995). An influential example of this is Groupthink, which stipulates that non-rational policy or policy fiascoes are ultimately the result of socio-psychological group processes (Janis, 1972; ‘t Hart et al., 1991). In stressful situations, excessive concurrence-seeking behavior within the decision-making group leads to premature consensus. The range of policy objectives and alternatives is not fully mapped-out and considered, and policy-makers are unreceptive to information that calls for adjustment of the policy. This excessive concurrence-seeking is thus detrimental to the quality of the decision-making process, resulting in defective decision-making and increasing the likelihood of ineffective policy-outcomes. ‘T Hart (1991) acknowledges the structuring effect of political and administrative settings in his revised Groupthink-model, arguing that the anticipated costs and opportunities of participating in the decision-making process as well as a socio-psychological desire to fit in promote the occurrence of Groupthink within small groups. </w:t>
      </w:r>
    </w:p>
    <w:p w14:paraId="4DC32002" w14:textId="38331D94" w:rsidR="007173C0" w:rsidRPr="0091739F" w:rsidRDefault="0091739F" w:rsidP="0091739F">
      <w:pPr>
        <w:jc w:val="both"/>
        <w:rPr>
          <w:rFonts w:ascii="Calibri" w:eastAsia="Times New Roman" w:hAnsi="Calibri" w:cs="Calibri"/>
          <w:lang w:val="en-US" w:eastAsia="nl-NL"/>
        </w:rPr>
      </w:pPr>
      <w:r>
        <w:rPr>
          <w:rFonts w:ascii="Calibri" w:eastAsia="Times New Roman" w:hAnsi="Calibri" w:cs="Calibri"/>
          <w:lang w:val="en-US" w:eastAsia="nl-NL"/>
        </w:rPr>
        <w:t xml:space="preserve">Secondly, the model assumes policy to be the outcome of a series of decisions made by a consistent group of actors. However, some scientists disagree with the notion that policy is the outcome of a clearly structured linear decision-making process (Koopman, 1980; ‘t Hart et al., 1991). Most notable is the garbage can model, which stipulates that solutions are not necessarily subsequent to identified problems (Cohen, March &amp; Olsen, 1972). </w:t>
      </w:r>
      <w:r w:rsidRPr="003802D0">
        <w:rPr>
          <w:rFonts w:ascii="Calibri" w:eastAsia="Times New Roman" w:hAnsi="Calibri" w:cs="Calibri"/>
          <w:lang w:val="en-US" w:eastAsia="nl-NL"/>
        </w:rPr>
        <w:t xml:space="preserve">Instead, policy-choices are </w:t>
      </w:r>
      <w:r>
        <w:rPr>
          <w:rFonts w:ascii="Calibri" w:eastAsia="Times New Roman" w:hAnsi="Calibri" w:cs="Calibri"/>
          <w:lang w:val="en-US" w:eastAsia="nl-NL"/>
        </w:rPr>
        <w:t xml:space="preserve">seen as coincidental conjunctions of participants, solutions, problems and choice opportunities in which participants are expected to connect a solution and problem. </w:t>
      </w:r>
      <w:r w:rsidRPr="003802D0">
        <w:rPr>
          <w:rFonts w:ascii="Calibri" w:eastAsia="Times New Roman" w:hAnsi="Calibri" w:cs="Calibri"/>
          <w:lang w:val="en-US" w:eastAsia="nl-NL"/>
        </w:rPr>
        <w:t xml:space="preserve">Solutions may have been previously developed, laying </w:t>
      </w:r>
      <w:r>
        <w:rPr>
          <w:rFonts w:ascii="Calibri" w:eastAsia="Times New Roman" w:hAnsi="Calibri" w:cs="Calibri"/>
          <w:lang w:val="en-US" w:eastAsia="nl-NL"/>
        </w:rPr>
        <w:t>in a drawer</w:t>
      </w:r>
      <w:r w:rsidRPr="003802D0">
        <w:rPr>
          <w:rFonts w:ascii="Calibri" w:eastAsia="Times New Roman" w:hAnsi="Calibri" w:cs="Calibri"/>
          <w:lang w:val="en-US" w:eastAsia="nl-NL"/>
        </w:rPr>
        <w:t xml:space="preserve"> until t</w:t>
      </w:r>
      <w:r>
        <w:rPr>
          <w:rFonts w:ascii="Calibri" w:eastAsia="Times New Roman" w:hAnsi="Calibri" w:cs="Calibri"/>
          <w:lang w:val="en-US" w:eastAsia="nl-NL"/>
        </w:rPr>
        <w:t>hey are connected to a problem. This model thus challenges the assumption that choices are an essential part in policy-formation. This would mean that the rational behavior of decision-makers would not be able to account for policy-outcome, as it is the result of a nearly unpredictable turn of events.</w:t>
      </w:r>
    </w:p>
    <w:p w14:paraId="10E1760E" w14:textId="716105FB" w:rsidR="00C010AC" w:rsidRPr="00A81153" w:rsidRDefault="00C010AC" w:rsidP="00D61C7B">
      <w:pPr>
        <w:pStyle w:val="Kop2"/>
        <w:rPr>
          <w:color w:val="auto"/>
          <w:lang w:val="en-US"/>
        </w:rPr>
      </w:pPr>
      <w:bookmarkStart w:id="62" w:name="_Toc48891323"/>
      <w:r w:rsidRPr="00A81153">
        <w:rPr>
          <w:color w:val="auto"/>
          <w:lang w:val="en-US"/>
        </w:rPr>
        <w:t>5.</w:t>
      </w:r>
      <w:r w:rsidR="00567D25" w:rsidRPr="00A81153">
        <w:rPr>
          <w:color w:val="auto"/>
          <w:lang w:val="en-US"/>
        </w:rPr>
        <w:t>3</w:t>
      </w:r>
      <w:r w:rsidRPr="00A81153">
        <w:rPr>
          <w:color w:val="auto"/>
          <w:lang w:val="en-US"/>
        </w:rPr>
        <w:t xml:space="preserve"> Methodological reflection</w:t>
      </w:r>
      <w:bookmarkEnd w:id="62"/>
    </w:p>
    <w:p w14:paraId="3F3DB06B" w14:textId="77777777" w:rsidR="0091739F" w:rsidRDefault="0091739F" w:rsidP="0091739F">
      <w:pPr>
        <w:jc w:val="both"/>
        <w:rPr>
          <w:rFonts w:ascii="Calibri" w:eastAsia="Times New Roman" w:hAnsi="Calibri" w:cs="Calibri"/>
          <w:lang w:val="en-US" w:eastAsia="nl-NL"/>
        </w:rPr>
      </w:pPr>
      <w:r>
        <w:rPr>
          <w:rFonts w:ascii="Calibri" w:eastAsia="Times New Roman" w:hAnsi="Calibri" w:cs="Calibri"/>
          <w:lang w:val="en-US" w:eastAsia="nl-NL"/>
        </w:rPr>
        <w:t>In terms of methodology, there were some limitations to the thesis as well. The first concerns the research design of a single case study-research using process-tracing. The methodological design of the study was useful to establish the presence of bureaucratic elements throughout the decision-making process and their potential link to observable symptoms of defective decision-making. It was thus a great tool to determine whether the hypothesized causal mechanisms were present and functioned as predicted by the theoretical model. However, the process-tracing did not allow to establish how much of the outcome could be explained by the model. Neither could it be used to determine to what extent the individual bureaucratic elements contributed to the outcome, and whether one element holds more explanatory power than the other. In further research, a cross-case analysis might serve to establish the explanatory value of the different bureaucratic elements and whether all three of them are necessary conditions to explain non-rational policy.</w:t>
      </w:r>
    </w:p>
    <w:p w14:paraId="3CA5BF61" w14:textId="581F6230" w:rsidR="0091739F" w:rsidRDefault="0091739F" w:rsidP="0091739F">
      <w:pPr>
        <w:jc w:val="both"/>
        <w:rPr>
          <w:rFonts w:ascii="Calibri" w:eastAsia="Times New Roman" w:hAnsi="Calibri" w:cs="Calibri"/>
          <w:lang w:val="en-US" w:eastAsia="nl-NL"/>
        </w:rPr>
      </w:pPr>
      <w:r>
        <w:rPr>
          <w:rFonts w:ascii="Calibri" w:eastAsia="Times New Roman" w:hAnsi="Calibri" w:cs="Calibri"/>
          <w:lang w:val="en-US" w:eastAsia="nl-NL"/>
        </w:rPr>
        <w:t xml:space="preserve">Other methodological limitations concerns the actors that were considered in the case study. The theory prescribed that only bureaucratic actors play a role in non-rational decision-making. However, this approach disregards the role Parliament plays in setting the boundaries within which the government is to operate. In case of the Balkenende II-administration’s campaign in favor of the ECT, Parliament posed a check on the government’s policies, both by setting preliminary rules and by demanding retrospective explanation of policy-decisions. Anticipation of what is deemed acceptable by Parliament could therefore have impacted the alternatives considered and pursued. What was deemed an acceptable strategy by the government may at times have been prescribed by parliamentary demands rather than bureaucratic culture or notions of appropriateness shared by the bureaucratic actors in the decision-making process. </w:t>
      </w:r>
    </w:p>
    <w:p w14:paraId="3DABC328" w14:textId="77777777" w:rsidR="0091739F" w:rsidRDefault="0091739F" w:rsidP="0091739F">
      <w:pPr>
        <w:jc w:val="both"/>
        <w:rPr>
          <w:rFonts w:ascii="Calibri" w:eastAsia="Times New Roman" w:hAnsi="Calibri" w:cs="Calibri"/>
          <w:lang w:val="en-US" w:eastAsia="nl-NL"/>
        </w:rPr>
      </w:pPr>
      <w:r>
        <w:rPr>
          <w:rFonts w:ascii="Calibri" w:eastAsia="Times New Roman" w:hAnsi="Calibri" w:cs="Calibri"/>
          <w:lang w:val="en-US" w:eastAsia="nl-NL"/>
        </w:rPr>
        <w:t>Additionally, there are some limitations concerning the data used in this study. Firstly, there was a lack of access to written empirical sources drafted by bureaucratic actors during their work on the campaign. The twelve in-depth interviews provided a great source of information to trace the presence of the bureaucratic elements. However, interviews are dependent on the memory of interviewees and are therefore a source that should be treated with caution. While data-triangulation was applied to mitigate this problem, the reliability of this study would have benefitted from the greater insights into the internal discussions that could have been provided by written documents. Secondly, all interviewed members of the PCG were part of VVD, which has its own outlook on European integration and the ECT. Cabinet members of other parties may have a different recollection of the events of the referendum and the campaign.</w:t>
      </w:r>
    </w:p>
    <w:p w14:paraId="46253162" w14:textId="5D0A2768" w:rsidR="006D1BBF" w:rsidRPr="00A81153" w:rsidRDefault="006D1BBF" w:rsidP="00D61C7B">
      <w:pPr>
        <w:pStyle w:val="Kop2"/>
        <w:rPr>
          <w:color w:val="auto"/>
          <w:lang w:val="en-US"/>
        </w:rPr>
      </w:pPr>
      <w:bookmarkStart w:id="63" w:name="_Toc48891324"/>
      <w:r w:rsidRPr="00A81153">
        <w:rPr>
          <w:color w:val="auto"/>
          <w:lang w:val="en-US"/>
        </w:rPr>
        <w:t>5.</w:t>
      </w:r>
      <w:r w:rsidR="00567D25" w:rsidRPr="00A81153">
        <w:rPr>
          <w:color w:val="auto"/>
          <w:lang w:val="en-US"/>
        </w:rPr>
        <w:t>4</w:t>
      </w:r>
      <w:r w:rsidRPr="00A81153">
        <w:rPr>
          <w:color w:val="auto"/>
          <w:lang w:val="en-US"/>
        </w:rPr>
        <w:t xml:space="preserve"> Generalizability</w:t>
      </w:r>
      <w:bookmarkEnd w:id="63"/>
    </w:p>
    <w:p w14:paraId="5B7BAD03" w14:textId="77777777" w:rsidR="0091739F" w:rsidRDefault="0091739F" w:rsidP="0091739F">
      <w:pPr>
        <w:jc w:val="both"/>
        <w:rPr>
          <w:rFonts w:ascii="Calibri" w:eastAsia="Times New Roman" w:hAnsi="Calibri" w:cs="Calibri"/>
          <w:lang w:val="en-US" w:eastAsia="nl-NL"/>
        </w:rPr>
      </w:pPr>
      <w:r>
        <w:rPr>
          <w:rFonts w:ascii="Calibri" w:eastAsia="Times New Roman" w:hAnsi="Calibri" w:cs="Calibri"/>
          <w:lang w:val="en-US" w:eastAsia="nl-NL"/>
        </w:rPr>
        <w:t>The policy-decisions made before and during the cabinet’s campaign were of extraordinary nature for the government: it had to represent a political voice stating a policy preference in an undecided societal and political debate. The government pre-eminently plays such a role during referendums. However, the model assumes that the government is relatively inexperienced regarding referendums, and that there is no effective procedural script regarding the policy. The findings are thus particularly touch upon government’s decision-making on referendums in countries were little to no experience with referendums was present. The case of the Dutch 2005 referendum is a typical case of popular rejection of European integration by referendum in a EU member-state. The probability of this case being representative for other cases meeting these criteria, such as the Brexit-referendum in 2015 and the Dutch 2016 referendum on the Association Agreement, is therefore high.</w:t>
      </w:r>
    </w:p>
    <w:p w14:paraId="32A945D9" w14:textId="77777777" w:rsidR="0091739F" w:rsidRDefault="0091739F" w:rsidP="0091739F">
      <w:pPr>
        <w:jc w:val="both"/>
        <w:rPr>
          <w:rFonts w:ascii="Calibri" w:eastAsia="Times New Roman" w:hAnsi="Calibri" w:cs="Calibri"/>
          <w:lang w:val="en-US" w:eastAsia="nl-NL"/>
        </w:rPr>
      </w:pPr>
      <w:r>
        <w:rPr>
          <w:rFonts w:ascii="Calibri" w:eastAsia="Times New Roman" w:hAnsi="Calibri" w:cs="Calibri"/>
          <w:lang w:val="en-US" w:eastAsia="nl-NL"/>
        </w:rPr>
        <w:t xml:space="preserve">The theoretical model does not make use of context-specific elements to explain non-rational policies. However, the hypotheses derived from it assume a government divided by political conflict and a civil service that proliferates neutrality. On first glance, this seems particularly the case in states with an electoral system of proportional representation, which often house coalition governments, and in which civil servants are not politically appointed. However, one could argue that in majority governments within-party political divides are more prominent, and similarly require mitigation as well. </w:t>
      </w:r>
    </w:p>
    <w:p w14:paraId="2EDE436E" w14:textId="55A78A0A" w:rsidR="006D1BBF" w:rsidRPr="00A81153" w:rsidRDefault="006D1BBF" w:rsidP="00D61C7B">
      <w:pPr>
        <w:pStyle w:val="Kop2"/>
        <w:rPr>
          <w:color w:val="auto"/>
          <w:lang w:val="en-US"/>
        </w:rPr>
      </w:pPr>
      <w:bookmarkStart w:id="64" w:name="_Toc48891325"/>
      <w:r w:rsidRPr="00A81153">
        <w:rPr>
          <w:color w:val="auto"/>
          <w:lang w:val="en-US"/>
        </w:rPr>
        <w:t>5.</w:t>
      </w:r>
      <w:r w:rsidR="00567D25" w:rsidRPr="00A81153">
        <w:rPr>
          <w:color w:val="auto"/>
          <w:lang w:val="en-US"/>
        </w:rPr>
        <w:t>5</w:t>
      </w:r>
      <w:r w:rsidRPr="00A81153">
        <w:rPr>
          <w:color w:val="auto"/>
          <w:lang w:val="en-US"/>
        </w:rPr>
        <w:t xml:space="preserve"> Recommendations for further research</w:t>
      </w:r>
      <w:bookmarkEnd w:id="64"/>
    </w:p>
    <w:p w14:paraId="50F9C240" w14:textId="5707114F" w:rsidR="00B7471F" w:rsidRDefault="00B7471F" w:rsidP="005206AD">
      <w:pPr>
        <w:jc w:val="both"/>
        <w:rPr>
          <w:lang w:val="en-US"/>
        </w:rPr>
      </w:pPr>
      <w:r>
        <w:rPr>
          <w:lang w:val="en-US"/>
        </w:rPr>
        <w:t xml:space="preserve">The case study into the Dutch government’s campaign in favor of the ECT provides great insight into the difficulties that </w:t>
      </w:r>
      <w:r w:rsidR="00C12A57">
        <w:rPr>
          <w:lang w:val="en-US"/>
        </w:rPr>
        <w:t xml:space="preserve">the administration and civil service ran into </w:t>
      </w:r>
      <w:r w:rsidR="00277C7E">
        <w:rPr>
          <w:lang w:val="en-US"/>
        </w:rPr>
        <w:t xml:space="preserve">in planning and conducting a referendum-campaign. At the time, there was no experience with national referendums. Since then, two other national referendums have been held. It would be particularly interesting to compare </w:t>
      </w:r>
      <w:r w:rsidR="00FC093D">
        <w:rPr>
          <w:lang w:val="en-US"/>
        </w:rPr>
        <w:t>the 2005 referendum-campaign with the government’s approach to the referendum on the</w:t>
      </w:r>
      <w:r w:rsidR="00153A9F">
        <w:rPr>
          <w:lang w:val="en-US"/>
        </w:rPr>
        <w:t xml:space="preserve"> EU’s association agreement with Ukraine in</w:t>
      </w:r>
      <w:r w:rsidR="00FC093D">
        <w:rPr>
          <w:lang w:val="en-US"/>
        </w:rPr>
        <w:t xml:space="preserve"> 2016</w:t>
      </w:r>
      <w:r w:rsidR="00677027">
        <w:rPr>
          <w:lang w:val="en-US"/>
        </w:rPr>
        <w:t>, to see whether the elements of the model were present here as well. Particularly, it would be interesting to see if the 2005-campaign led to a procedural script for the 2016-campaign.</w:t>
      </w:r>
    </w:p>
    <w:p w14:paraId="452FFB05" w14:textId="08127CB1" w:rsidR="00D800FF" w:rsidRPr="0090578C" w:rsidRDefault="00D800FF" w:rsidP="005206AD">
      <w:pPr>
        <w:jc w:val="both"/>
        <w:rPr>
          <w:lang w:val="en-US"/>
        </w:rPr>
      </w:pPr>
      <w:r>
        <w:rPr>
          <w:lang w:val="en-US"/>
        </w:rPr>
        <w:t xml:space="preserve">Furthermore, the 2005 referendum marked a turning-point in the </w:t>
      </w:r>
      <w:r w:rsidR="000E7C3F">
        <w:rPr>
          <w:lang w:val="en-US"/>
        </w:rPr>
        <w:t xml:space="preserve">Dutch approach to European integration. It effectively ended the “permissive consensus” and put European integration firmly on the political agenda. </w:t>
      </w:r>
      <w:r w:rsidR="009F3D43">
        <w:rPr>
          <w:lang w:val="en-US"/>
        </w:rPr>
        <w:t xml:space="preserve">Whereas the Netherlands had been known as an avid supporter of European integration in the early 1990s, </w:t>
      </w:r>
      <w:r w:rsidR="00B56282">
        <w:rPr>
          <w:lang w:val="en-US"/>
        </w:rPr>
        <w:t xml:space="preserve">more recently it has </w:t>
      </w:r>
      <w:r w:rsidR="00CC5376">
        <w:rPr>
          <w:lang w:val="en-US"/>
        </w:rPr>
        <w:t>been more critical of European integration. A</w:t>
      </w:r>
      <w:r w:rsidR="0099522D">
        <w:rPr>
          <w:lang w:val="en-US"/>
        </w:rPr>
        <w:t xml:space="preserve"> recent </w:t>
      </w:r>
      <w:r w:rsidR="00CC5376">
        <w:rPr>
          <w:lang w:val="en-US"/>
        </w:rPr>
        <w:t xml:space="preserve">example of this was the Dutch </w:t>
      </w:r>
      <w:r w:rsidR="00A32914">
        <w:rPr>
          <w:lang w:val="en-US"/>
        </w:rPr>
        <w:t xml:space="preserve">position as </w:t>
      </w:r>
      <w:r w:rsidR="0099522D">
        <w:rPr>
          <w:lang w:val="en-US"/>
        </w:rPr>
        <w:t>avid opposer of so-called coronabonds</w:t>
      </w:r>
      <w:r w:rsidR="003276C2">
        <w:rPr>
          <w:lang w:val="en-US"/>
        </w:rPr>
        <w:t xml:space="preserve">. The Dutch </w:t>
      </w:r>
      <w:r w:rsidR="00CB432F">
        <w:rPr>
          <w:lang w:val="en-US"/>
        </w:rPr>
        <w:t>rejection of the instrument</w:t>
      </w:r>
      <w:r w:rsidR="0090578C">
        <w:rPr>
          <w:lang w:val="en-US"/>
        </w:rPr>
        <w:t xml:space="preserve"> led to outcry among other EU-member states, but could count on broad support in the </w:t>
      </w:r>
      <w:r w:rsidR="0090578C">
        <w:rPr>
          <w:i/>
          <w:iCs/>
          <w:lang w:val="en-US"/>
        </w:rPr>
        <w:t>Tweede Kamer</w:t>
      </w:r>
      <w:r w:rsidR="0070542F">
        <w:rPr>
          <w:i/>
          <w:iCs/>
          <w:lang w:val="en-US"/>
        </w:rPr>
        <w:t xml:space="preserve"> </w:t>
      </w:r>
      <w:r w:rsidR="0070542F">
        <w:rPr>
          <w:lang w:val="en-US"/>
        </w:rPr>
        <w:t>(Herszenhorn et al., 2020</w:t>
      </w:r>
      <w:r w:rsidR="00C35CCC">
        <w:rPr>
          <w:lang w:val="en-US"/>
        </w:rPr>
        <w:t>; Kok, 2020</w:t>
      </w:r>
      <w:r w:rsidR="0070542F">
        <w:rPr>
          <w:lang w:val="en-US"/>
        </w:rPr>
        <w:t>)</w:t>
      </w:r>
      <w:r w:rsidR="0090578C">
        <w:rPr>
          <w:lang w:val="en-US"/>
        </w:rPr>
        <w:t xml:space="preserve">. </w:t>
      </w:r>
      <w:r w:rsidR="00093950">
        <w:rPr>
          <w:lang w:val="en-US"/>
        </w:rPr>
        <w:t>It</w:t>
      </w:r>
      <w:r w:rsidR="004A01EE">
        <w:rPr>
          <w:lang w:val="en-US"/>
        </w:rPr>
        <w:t xml:space="preserve"> would be interesting to research to what extent the </w:t>
      </w:r>
      <w:r w:rsidR="00F64119">
        <w:rPr>
          <w:lang w:val="en-US"/>
        </w:rPr>
        <w:t xml:space="preserve">2005 referendum-outcome has served as an analogy </w:t>
      </w:r>
      <w:r w:rsidR="00E14C82">
        <w:rPr>
          <w:lang w:val="en-US"/>
        </w:rPr>
        <w:t xml:space="preserve">used by politician to determine what positions on European integration </w:t>
      </w:r>
      <w:r w:rsidR="002E6ED0">
        <w:rPr>
          <w:lang w:val="en-US"/>
        </w:rPr>
        <w:t>are acceptable to the Dutch electorate.</w:t>
      </w:r>
    </w:p>
    <w:p w14:paraId="633E4D57" w14:textId="77777777" w:rsidR="00C010AC" w:rsidRPr="002F1AB8" w:rsidRDefault="00C010AC" w:rsidP="005206AD">
      <w:pPr>
        <w:jc w:val="both"/>
        <w:rPr>
          <w:lang w:val="en-US"/>
        </w:rPr>
      </w:pPr>
    </w:p>
    <w:p w14:paraId="2FC7C640" w14:textId="6B8DE1A3" w:rsidR="00363BC9" w:rsidRPr="00DD6CA6" w:rsidRDefault="00363BC9" w:rsidP="00FD62C4">
      <w:pPr>
        <w:rPr>
          <w:lang w:val="en-US"/>
        </w:rPr>
      </w:pPr>
    </w:p>
    <w:p w14:paraId="45CAEC4F" w14:textId="14D87023" w:rsidR="000C5CA3" w:rsidRPr="00DD6CA6" w:rsidRDefault="000C5CA3">
      <w:pPr>
        <w:rPr>
          <w:lang w:val="en-US"/>
        </w:rPr>
      </w:pPr>
      <w:r w:rsidRPr="00DD6CA6">
        <w:rPr>
          <w:lang w:val="en-US"/>
        </w:rPr>
        <w:br w:type="page"/>
      </w:r>
    </w:p>
    <w:p w14:paraId="4E52B599" w14:textId="2535A060" w:rsidR="000C5CA3" w:rsidRPr="002910ED" w:rsidRDefault="00EC288A" w:rsidP="00A81153">
      <w:pPr>
        <w:pStyle w:val="Kop1"/>
        <w:jc w:val="center"/>
        <w:rPr>
          <w:b/>
          <w:bCs/>
          <w:color w:val="auto"/>
        </w:rPr>
      </w:pPr>
      <w:bookmarkStart w:id="65" w:name="_Toc48891326"/>
      <w:r w:rsidRPr="002910ED">
        <w:rPr>
          <w:b/>
          <w:bCs/>
          <w:color w:val="auto"/>
        </w:rPr>
        <w:t xml:space="preserve">6. </w:t>
      </w:r>
      <w:r w:rsidR="000C5CA3" w:rsidRPr="002910ED">
        <w:rPr>
          <w:b/>
          <w:bCs/>
          <w:color w:val="auto"/>
        </w:rPr>
        <w:t>Literature</w:t>
      </w:r>
      <w:bookmarkEnd w:id="65"/>
    </w:p>
    <w:p w14:paraId="155650E1" w14:textId="77777777" w:rsidR="00A81153" w:rsidRPr="002910ED" w:rsidRDefault="00A81153" w:rsidP="00A81153"/>
    <w:p w14:paraId="409D7259" w14:textId="3FD36FB8" w:rsidR="00753223" w:rsidRPr="00DD6CA6" w:rsidRDefault="00753223" w:rsidP="00753223">
      <w:pPr>
        <w:rPr>
          <w:lang w:val="en-US"/>
        </w:rPr>
      </w:pPr>
      <w:r w:rsidRPr="0091739F">
        <w:t xml:space="preserve">Aarts, K., &amp; Van der Kolk, H. (2005). </w:t>
      </w:r>
      <w:r w:rsidRPr="0091739F">
        <w:rPr>
          <w:i/>
          <w:iCs/>
        </w:rPr>
        <w:t>Nederlanders en Europa: het referendum over de Europese grondwet</w:t>
      </w:r>
      <w:r w:rsidRPr="0091739F">
        <w:t xml:space="preserve">. </w:t>
      </w:r>
      <w:r w:rsidRPr="00DD6CA6">
        <w:rPr>
          <w:lang w:val="en-US"/>
        </w:rPr>
        <w:t>Amsterdam: Bert Bakker.</w:t>
      </w:r>
    </w:p>
    <w:p w14:paraId="67BAABBD" w14:textId="77777777" w:rsidR="00612A71" w:rsidRPr="0091739F" w:rsidRDefault="00612A71" w:rsidP="00612A71">
      <w:pPr>
        <w:rPr>
          <w:lang w:val="en-US"/>
        </w:rPr>
      </w:pPr>
      <w:r w:rsidRPr="00DD6CA6">
        <w:rPr>
          <w:lang w:val="en-US"/>
        </w:rPr>
        <w:t xml:space="preserve">Allison, G. T. (1969). </w:t>
      </w:r>
      <w:r w:rsidRPr="0091739F">
        <w:rPr>
          <w:lang w:val="en-US"/>
        </w:rPr>
        <w:t xml:space="preserve">Conceptual Models and the Cuban Missile Crisis. </w:t>
      </w:r>
      <w:r w:rsidRPr="0091739F">
        <w:rPr>
          <w:i/>
          <w:iCs/>
          <w:lang w:val="en-US"/>
        </w:rPr>
        <w:t>The American Political Science Review</w:t>
      </w:r>
      <w:r w:rsidRPr="0091739F">
        <w:rPr>
          <w:lang w:val="en-US"/>
        </w:rPr>
        <w:t>, 63(3), 689-718.</w:t>
      </w:r>
    </w:p>
    <w:p w14:paraId="7F5B5756" w14:textId="77777777" w:rsidR="00612A71" w:rsidRPr="0091739F" w:rsidRDefault="00612A71" w:rsidP="00612A71">
      <w:pPr>
        <w:rPr>
          <w:lang w:val="en-US"/>
        </w:rPr>
      </w:pPr>
      <w:r w:rsidRPr="0091739F">
        <w:rPr>
          <w:lang w:val="en-US"/>
        </w:rPr>
        <w:t xml:space="preserve">Allison, G. T. (1971). </w:t>
      </w:r>
      <w:r w:rsidRPr="0091739F">
        <w:rPr>
          <w:i/>
          <w:iCs/>
          <w:lang w:val="en-US"/>
        </w:rPr>
        <w:t>Essence of Decision: Explaining the Cuban Missile Crisis</w:t>
      </w:r>
      <w:r w:rsidRPr="0091739F">
        <w:rPr>
          <w:lang w:val="en-US"/>
        </w:rPr>
        <w:t>. Boston: Little Brown.</w:t>
      </w:r>
    </w:p>
    <w:p w14:paraId="6E326ABC" w14:textId="154E8849" w:rsidR="00612A71" w:rsidRPr="0091739F" w:rsidRDefault="00612A71" w:rsidP="00612A71">
      <w:pPr>
        <w:rPr>
          <w:lang w:val="en-US"/>
        </w:rPr>
      </w:pPr>
      <w:r w:rsidRPr="0091739F">
        <w:rPr>
          <w:lang w:val="en-US"/>
        </w:rPr>
        <w:t xml:space="preserve">Allison, G. T., &amp; Halperin, M. H. (1972). Bureaucratic Politics: A Paradigm and Some Policy Implications. In R. Tanter and R. H. Ullman (Eds.) </w:t>
      </w:r>
      <w:r w:rsidRPr="0091739F">
        <w:rPr>
          <w:i/>
          <w:iCs/>
          <w:lang w:val="en-US"/>
        </w:rPr>
        <w:t>Theory and Policy in International Relations</w:t>
      </w:r>
      <w:r w:rsidRPr="0091739F">
        <w:rPr>
          <w:lang w:val="en-US"/>
        </w:rPr>
        <w:t xml:space="preserve"> (pp. 40-79). Princeton, New Jersey: Princeton University Press.</w:t>
      </w:r>
    </w:p>
    <w:p w14:paraId="00CF06AE" w14:textId="14A33E2E" w:rsidR="0071709C" w:rsidRPr="0091739F" w:rsidRDefault="0071709C" w:rsidP="00612A71">
      <w:pPr>
        <w:rPr>
          <w:lang w:val="en-US"/>
        </w:rPr>
      </w:pPr>
      <w:r w:rsidRPr="0091739F">
        <w:rPr>
          <w:lang w:val="en-US"/>
        </w:rPr>
        <w:t xml:space="preserve">Allison, G. T., &amp; Zelikow, P. (1999). </w:t>
      </w:r>
      <w:r w:rsidRPr="0091739F">
        <w:rPr>
          <w:i/>
          <w:iCs/>
          <w:lang w:val="en-US"/>
        </w:rPr>
        <w:t>Essence of Decision</w:t>
      </w:r>
      <w:r w:rsidRPr="0091739F">
        <w:rPr>
          <w:lang w:val="en-US"/>
        </w:rPr>
        <w:t xml:space="preserve">. </w:t>
      </w:r>
      <w:r w:rsidR="00C94D7E" w:rsidRPr="0091739F">
        <w:rPr>
          <w:lang w:val="en-US"/>
        </w:rPr>
        <w:t>New York: Pearson Education US.</w:t>
      </w:r>
    </w:p>
    <w:p w14:paraId="1C9F7E25" w14:textId="3EA44CB6" w:rsidR="000E7C17" w:rsidRPr="0091739F" w:rsidRDefault="000E7C17" w:rsidP="000E7C17">
      <w:pPr>
        <w:jc w:val="both"/>
        <w:rPr>
          <w:lang w:val="en-US"/>
        </w:rPr>
      </w:pPr>
      <w:r w:rsidRPr="0091739F">
        <w:t xml:space="preserve">Andeweg, R.B., &amp; Irwin, G. A. (2009). </w:t>
      </w:r>
      <w:r w:rsidRPr="0091739F">
        <w:rPr>
          <w:i/>
          <w:iCs/>
          <w:lang w:val="en-US"/>
        </w:rPr>
        <w:t>Government &amp; Politics of the Netherlands</w:t>
      </w:r>
      <w:r w:rsidRPr="0091739F">
        <w:rPr>
          <w:lang w:val="en-US"/>
        </w:rPr>
        <w:t xml:space="preserve"> (3</w:t>
      </w:r>
      <w:r w:rsidRPr="0091739F">
        <w:rPr>
          <w:vertAlign w:val="superscript"/>
          <w:lang w:val="en-US"/>
        </w:rPr>
        <w:t>rd</w:t>
      </w:r>
      <w:r w:rsidRPr="0091739F">
        <w:rPr>
          <w:lang w:val="en-US"/>
        </w:rPr>
        <w:t xml:space="preserve"> edition). Hampshire/New York: Palgrave Macmillan.</w:t>
      </w:r>
    </w:p>
    <w:p w14:paraId="401FB60A" w14:textId="06659E58" w:rsidR="0091470F" w:rsidRPr="0091739F" w:rsidRDefault="0091470F" w:rsidP="000E7C17">
      <w:pPr>
        <w:jc w:val="both"/>
        <w:rPr>
          <w:lang w:val="en-US"/>
        </w:rPr>
      </w:pPr>
      <w:r w:rsidRPr="0091739F">
        <w:rPr>
          <w:lang w:val="en-US"/>
        </w:rPr>
        <w:t>Aticka</w:t>
      </w:r>
      <w:r w:rsidR="00712FD0" w:rsidRPr="0091739F">
        <w:rPr>
          <w:lang w:val="en-US"/>
        </w:rPr>
        <w:t>n</w:t>
      </w:r>
      <w:r w:rsidRPr="0091739F">
        <w:rPr>
          <w:lang w:val="en-US"/>
        </w:rPr>
        <w:t>, E. O. (</w:t>
      </w:r>
      <w:r w:rsidR="00712FD0" w:rsidRPr="0091739F">
        <w:rPr>
          <w:lang w:val="en-US"/>
        </w:rPr>
        <w:t xml:space="preserve">2015). </w:t>
      </w:r>
      <w:r w:rsidR="00712FD0" w:rsidRPr="0091739F">
        <w:rPr>
          <w:i/>
          <w:iCs/>
          <w:lang w:val="en-US"/>
        </w:rPr>
        <w:t>Framing the European Union: The Power of Political Arguments in Shaping European Integration</w:t>
      </w:r>
      <w:r w:rsidR="00712FD0" w:rsidRPr="0091739F">
        <w:rPr>
          <w:lang w:val="en-US"/>
        </w:rPr>
        <w:t>. Cambridge: Cambridge University Press.</w:t>
      </w:r>
    </w:p>
    <w:p w14:paraId="1F35AF1A" w14:textId="374E7B10" w:rsidR="00612A71" w:rsidRPr="0091739F" w:rsidRDefault="00612A71" w:rsidP="00612A71">
      <w:pPr>
        <w:jc w:val="both"/>
        <w:rPr>
          <w:lang w:val="en-US"/>
        </w:rPr>
      </w:pPr>
      <w:r w:rsidRPr="0091739F">
        <w:rPr>
          <w:lang w:val="en-US"/>
        </w:rPr>
        <w:t xml:space="preserve">Ball, D. J. (1974). The blind men and the elephant: A critique of bureaucratic politics theory. </w:t>
      </w:r>
      <w:r w:rsidRPr="0091739F">
        <w:rPr>
          <w:i/>
          <w:iCs/>
          <w:lang w:val="en-US"/>
        </w:rPr>
        <w:t>Australian Journal of International Affairs</w:t>
      </w:r>
      <w:r w:rsidRPr="0091739F">
        <w:rPr>
          <w:lang w:val="en-US"/>
        </w:rPr>
        <w:t>, 28(1), 71-92.</w:t>
      </w:r>
    </w:p>
    <w:p w14:paraId="58D3F1DF" w14:textId="47AC4D32" w:rsidR="004B630B" w:rsidRPr="0091739F" w:rsidRDefault="004B630B" w:rsidP="004B630B">
      <w:pPr>
        <w:rPr>
          <w:lang w:val="en-US"/>
        </w:rPr>
      </w:pPr>
      <w:r w:rsidRPr="0091739F">
        <w:rPr>
          <w:lang w:val="en-US"/>
        </w:rPr>
        <w:t xml:space="preserve">Barend &amp; Van Dorp. (2005, June 1). </w:t>
      </w:r>
      <w:r w:rsidRPr="0091739F">
        <w:rPr>
          <w:i/>
          <w:lang w:val="en-US"/>
        </w:rPr>
        <w:t>Barend &amp; Van Dorp</w:t>
      </w:r>
      <w:r w:rsidRPr="0091739F">
        <w:rPr>
          <w:lang w:val="en-US"/>
        </w:rPr>
        <w:t xml:space="preserve"> [TV program]. Retrieved from </w:t>
      </w:r>
      <w:hyperlink r:id="rId10" w:history="1">
        <w:r w:rsidRPr="0091739F">
          <w:rPr>
            <w:rStyle w:val="Hyperlink"/>
            <w:color w:val="auto"/>
            <w:lang w:val="en-US"/>
          </w:rPr>
          <w:t>http://in.beeldengeluid.nl/collectie/details/expressie/69213/false/true</w:t>
        </w:r>
      </w:hyperlink>
      <w:r w:rsidRPr="0091739F">
        <w:rPr>
          <w:lang w:val="en-US"/>
        </w:rPr>
        <w:t>.</w:t>
      </w:r>
    </w:p>
    <w:p w14:paraId="6BD66840" w14:textId="4E77A65D" w:rsidR="00CE6D77" w:rsidRPr="0091739F" w:rsidRDefault="00CE6D77" w:rsidP="00612A71">
      <w:pPr>
        <w:jc w:val="both"/>
        <w:rPr>
          <w:lang w:val="en-US"/>
        </w:rPr>
      </w:pPr>
      <w:r w:rsidRPr="0091739F">
        <w:rPr>
          <w:lang w:val="en-US"/>
        </w:rPr>
        <w:t>Beach</w:t>
      </w:r>
      <w:r w:rsidR="003C2970" w:rsidRPr="0091739F">
        <w:rPr>
          <w:lang w:val="en-US"/>
        </w:rPr>
        <w:t>, D., &amp; Pedersen, R. B. (</w:t>
      </w:r>
      <w:r w:rsidR="00BE1DD5" w:rsidRPr="0091739F">
        <w:rPr>
          <w:lang w:val="en-US"/>
        </w:rPr>
        <w:t xml:space="preserve">2013). </w:t>
      </w:r>
      <w:r w:rsidR="00BE1DD5" w:rsidRPr="0091739F">
        <w:rPr>
          <w:i/>
          <w:iCs/>
          <w:lang w:val="en-US"/>
        </w:rPr>
        <w:t>Process-Tracing Methods: Foundations &amp; Guidelines.</w:t>
      </w:r>
      <w:r w:rsidR="00BE1DD5" w:rsidRPr="0091739F">
        <w:rPr>
          <w:lang w:val="en-US"/>
        </w:rPr>
        <w:t xml:space="preserve"> Ann Arbor: </w:t>
      </w:r>
      <w:r w:rsidR="00C02B39" w:rsidRPr="0091739F">
        <w:rPr>
          <w:lang w:val="en-US"/>
        </w:rPr>
        <w:t>The University of Michigan Press.</w:t>
      </w:r>
    </w:p>
    <w:p w14:paraId="698B3536" w14:textId="77777777" w:rsidR="00612A71" w:rsidRPr="0091739F" w:rsidRDefault="00612A71" w:rsidP="00612A71">
      <w:pPr>
        <w:rPr>
          <w:lang w:val="en-US"/>
        </w:rPr>
      </w:pPr>
      <w:r w:rsidRPr="0091739F">
        <w:rPr>
          <w:lang w:val="en-US"/>
        </w:rPr>
        <w:t xml:space="preserve">Bendor, J., &amp; Hammond, T. H. (1992). Rethinking Allison’s Models. </w:t>
      </w:r>
      <w:r w:rsidRPr="0091739F">
        <w:rPr>
          <w:i/>
          <w:iCs/>
          <w:lang w:val="en-US"/>
        </w:rPr>
        <w:t>The American Political Science Review</w:t>
      </w:r>
      <w:r w:rsidRPr="0091739F">
        <w:rPr>
          <w:lang w:val="en-US"/>
        </w:rPr>
        <w:t>, 86(2), 301-322.</w:t>
      </w:r>
    </w:p>
    <w:p w14:paraId="1C853E5F" w14:textId="730E3C15" w:rsidR="00612A71" w:rsidRDefault="00612A71" w:rsidP="00612A71">
      <w:pPr>
        <w:rPr>
          <w:lang w:val="en-US"/>
        </w:rPr>
      </w:pPr>
      <w:r w:rsidRPr="0091739F">
        <w:t xml:space="preserve">Bot, B. R. (2006). </w:t>
      </w:r>
      <w:r w:rsidRPr="0091739F">
        <w:rPr>
          <w:i/>
          <w:iCs/>
        </w:rPr>
        <w:t>EU-communicatie voor en na het referendum over het Europees Grondwettelijk Verdrag</w:t>
      </w:r>
      <w:r w:rsidRPr="0091739F">
        <w:t xml:space="preserve"> [Letter to Parliament].</w:t>
      </w:r>
      <w:r w:rsidR="00B85703" w:rsidRPr="0091739F">
        <w:t xml:space="preserve"> </w:t>
      </w:r>
      <w:r w:rsidR="00B85703" w:rsidRPr="0091739F">
        <w:rPr>
          <w:lang w:val="en-US"/>
        </w:rPr>
        <w:t xml:space="preserve">Retrieved from </w:t>
      </w:r>
      <w:hyperlink r:id="rId11" w:history="1">
        <w:r w:rsidR="00B85703" w:rsidRPr="0091739F">
          <w:rPr>
            <w:rStyle w:val="Hyperlink"/>
            <w:color w:val="auto"/>
            <w:lang w:val="en-US"/>
          </w:rPr>
          <w:t>https://www.eerstekamer.nl/9370000/1/j9vviasdcklgjqj/vhfzbz9wszh0?key=vhfzbz9wszh0</w:t>
        </w:r>
      </w:hyperlink>
      <w:r w:rsidR="00B85703" w:rsidRPr="0091739F">
        <w:rPr>
          <w:lang w:val="en-US"/>
        </w:rPr>
        <w:t xml:space="preserve">. </w:t>
      </w:r>
    </w:p>
    <w:p w14:paraId="0423DA62" w14:textId="19BD0861" w:rsidR="00DD6CA6" w:rsidRPr="00DD6CA6" w:rsidRDefault="00DD6CA6" w:rsidP="00612A71">
      <w:r w:rsidRPr="00DD6CA6">
        <w:t>Bot, B. (</w:t>
      </w:r>
      <w:r>
        <w:t xml:space="preserve">2016). </w:t>
      </w:r>
      <w:r>
        <w:rPr>
          <w:i/>
          <w:iCs/>
        </w:rPr>
        <w:t>Achteraf bezien: Memoires van een diplomaat en politicus</w:t>
      </w:r>
      <w:r>
        <w:t xml:space="preserve"> [Memoires]. Amsterdam: Prometheus</w:t>
      </w:r>
    </w:p>
    <w:p w14:paraId="370E77BD" w14:textId="0378445A" w:rsidR="004E11D5" w:rsidRPr="0091739F" w:rsidRDefault="004E11D5" w:rsidP="00612A71">
      <w:pPr>
        <w:rPr>
          <w:lang w:val="en-US"/>
        </w:rPr>
      </w:pPr>
      <w:r w:rsidRPr="0091739F">
        <w:t xml:space="preserve">Bot, B. R., &amp; Van Ardenne-Van der Hoeven, A. M. A. (2005, May 19). </w:t>
      </w:r>
      <w:r w:rsidRPr="0091739F">
        <w:rPr>
          <w:i/>
          <w:iCs/>
        </w:rPr>
        <w:t xml:space="preserve">Wijziging van de begrotingsstaten van het Ministerie van Buitenlandse Zaken voor het jaar 2005 (wijzigging samenhangende met de Voorjaarsnota). </w:t>
      </w:r>
      <w:r w:rsidRPr="0091739F">
        <w:rPr>
          <w:lang w:val="en-US"/>
        </w:rPr>
        <w:t xml:space="preserve">Retrieved from </w:t>
      </w:r>
      <w:hyperlink r:id="rId12" w:history="1">
        <w:r w:rsidRPr="0091739F">
          <w:rPr>
            <w:rStyle w:val="Hyperlink"/>
            <w:color w:val="auto"/>
            <w:lang w:val="en-US"/>
          </w:rPr>
          <w:t>https://zoek.officielebekendmakingen.nl/kst-30105-V-2.html</w:t>
        </w:r>
      </w:hyperlink>
      <w:r w:rsidRPr="0091739F">
        <w:rPr>
          <w:lang w:val="en-US"/>
        </w:rPr>
        <w:t>.</w:t>
      </w:r>
    </w:p>
    <w:p w14:paraId="3EB68F9D" w14:textId="04A29A1C" w:rsidR="00612A71" w:rsidRPr="0091739F" w:rsidRDefault="00612A71" w:rsidP="00612A71">
      <w:r w:rsidRPr="0091739F">
        <w:rPr>
          <w:lang w:val="en-US"/>
        </w:rPr>
        <w:t xml:space="preserve">Bot, B. R., &amp; Nicolaï, A. (2005). </w:t>
      </w:r>
      <w:r w:rsidRPr="0091739F">
        <w:rPr>
          <w:i/>
          <w:iCs/>
        </w:rPr>
        <w:t>Referendum Europese Grondwet</w:t>
      </w:r>
      <w:r w:rsidRPr="0091739F">
        <w:t xml:space="preserve"> [Letter to Parliament]. Den Haag: Dsu Uitgevers.</w:t>
      </w:r>
    </w:p>
    <w:p w14:paraId="07E8C9E0" w14:textId="77777777" w:rsidR="002F1FD9" w:rsidRPr="0091739F" w:rsidRDefault="002F1FD9" w:rsidP="002F1FD9">
      <w:r w:rsidRPr="0091739F">
        <w:t xml:space="preserve">Boogaard, F., &amp; Jansen, J. (2005, May 2005). ‘Ik sta voor gek’: Premier Balkenende kan Nederlands ‘nee’ niet uitleggen in Brussel. </w:t>
      </w:r>
      <w:r w:rsidRPr="0091739F">
        <w:rPr>
          <w:i/>
          <w:iCs/>
        </w:rPr>
        <w:t>Algemeen Dagblad</w:t>
      </w:r>
      <w:r w:rsidRPr="0091739F">
        <w:t>, p. 23.</w:t>
      </w:r>
    </w:p>
    <w:p w14:paraId="6CFED972" w14:textId="72A8D410" w:rsidR="002F1FD9" w:rsidRPr="0091739F" w:rsidRDefault="002F1FD9" w:rsidP="002F1FD9">
      <w:pPr>
        <w:jc w:val="both"/>
        <w:rPr>
          <w:lang w:val="en-US"/>
        </w:rPr>
      </w:pPr>
      <w:r w:rsidRPr="0091739F">
        <w:t xml:space="preserve">Boudewijn, R., &amp; Van Keulen, M.  (2005). Op zoek naar de wortels van NEEderland. </w:t>
      </w:r>
      <w:r w:rsidRPr="0091739F">
        <w:rPr>
          <w:i/>
          <w:iCs/>
          <w:lang w:val="en-US"/>
        </w:rPr>
        <w:t>Openbaar Bestuur</w:t>
      </w:r>
      <w:r w:rsidRPr="0091739F">
        <w:rPr>
          <w:lang w:val="en-US"/>
        </w:rPr>
        <w:t>, 15(8), 24-28.</w:t>
      </w:r>
    </w:p>
    <w:p w14:paraId="7CB05059" w14:textId="201CFE8F" w:rsidR="00612A71" w:rsidRPr="0091739F" w:rsidRDefault="00612A71" w:rsidP="00612A71">
      <w:pPr>
        <w:rPr>
          <w:lang w:val="en-US"/>
        </w:rPr>
      </w:pPr>
      <w:r w:rsidRPr="0091739F">
        <w:rPr>
          <w:lang w:val="en-US"/>
        </w:rPr>
        <w:t xml:space="preserve">Breuning, M. (2007). </w:t>
      </w:r>
      <w:r w:rsidRPr="0091739F">
        <w:rPr>
          <w:i/>
          <w:iCs/>
          <w:lang w:val="en-US"/>
        </w:rPr>
        <w:t>Foreign Policy Analysis: A Comparative Introduction</w:t>
      </w:r>
      <w:r w:rsidR="003B5128" w:rsidRPr="0091739F">
        <w:rPr>
          <w:lang w:val="en-US"/>
        </w:rPr>
        <w:t>. New York: Palgrave Macmillan.</w:t>
      </w:r>
    </w:p>
    <w:p w14:paraId="13077021" w14:textId="2D71C1A2" w:rsidR="00612A71" w:rsidRPr="0091739F" w:rsidRDefault="00612A71" w:rsidP="00612A71">
      <w:pPr>
        <w:jc w:val="both"/>
        <w:rPr>
          <w:lang w:val="en-US"/>
        </w:rPr>
      </w:pPr>
      <w:r w:rsidRPr="0091739F">
        <w:rPr>
          <w:lang w:val="en-US"/>
        </w:rPr>
        <w:t xml:space="preserve">Caldwell, D. (1978). A Research Note on the Quarantine of Cuba October 1962. </w:t>
      </w:r>
      <w:r w:rsidRPr="0091739F">
        <w:rPr>
          <w:i/>
          <w:iCs/>
          <w:lang w:val="en-US"/>
        </w:rPr>
        <w:t>International Studies Quarterly</w:t>
      </w:r>
      <w:r w:rsidRPr="0091739F">
        <w:rPr>
          <w:lang w:val="en-US"/>
        </w:rPr>
        <w:t>, 22(4), 625-633.</w:t>
      </w:r>
    </w:p>
    <w:p w14:paraId="1F6556F7" w14:textId="013A6D6D" w:rsidR="00612A71" w:rsidRPr="0091739F" w:rsidRDefault="00612A71" w:rsidP="00612A71">
      <w:pPr>
        <w:jc w:val="both"/>
        <w:rPr>
          <w:lang w:val="en-US"/>
        </w:rPr>
      </w:pPr>
      <w:r w:rsidRPr="0091739F">
        <w:rPr>
          <w:lang w:val="en-US"/>
        </w:rPr>
        <w:t xml:space="preserve">Cantir, C., &amp; Kaarbo, J. (2012). Contested Roles and Domestic Politics: Reflections on Role Theory in Foreign Policy Analysis and IR Theory. </w:t>
      </w:r>
      <w:r w:rsidRPr="0091739F">
        <w:rPr>
          <w:i/>
          <w:iCs/>
          <w:lang w:val="en-US"/>
        </w:rPr>
        <w:t>Foreign Policy Analysis</w:t>
      </w:r>
      <w:r w:rsidRPr="0091739F">
        <w:rPr>
          <w:lang w:val="en-US"/>
        </w:rPr>
        <w:t>, 8, 5-24.</w:t>
      </w:r>
    </w:p>
    <w:p w14:paraId="3984AAEA" w14:textId="51AC266A" w:rsidR="00CE5285" w:rsidRPr="0091739F" w:rsidRDefault="00CE5285" w:rsidP="00612A71">
      <w:pPr>
        <w:jc w:val="both"/>
        <w:rPr>
          <w:lang w:val="en-US"/>
        </w:rPr>
      </w:pPr>
      <w:r w:rsidRPr="0091739F">
        <w:rPr>
          <w:lang w:val="en-US"/>
        </w:rPr>
        <w:t xml:space="preserve">Closa, C. (2007). Why convene referendums? Explaining choices in EU constitutional politics. </w:t>
      </w:r>
      <w:r w:rsidRPr="0091739F">
        <w:rPr>
          <w:i/>
          <w:iCs/>
          <w:lang w:val="en-US"/>
        </w:rPr>
        <w:t>Journal of European Public Policy</w:t>
      </w:r>
      <w:r w:rsidRPr="0091739F">
        <w:rPr>
          <w:lang w:val="en-US"/>
        </w:rPr>
        <w:t>, 14(8), 1311-1332.</w:t>
      </w:r>
    </w:p>
    <w:p w14:paraId="544AA0F9" w14:textId="5C596DCC" w:rsidR="00D01198" w:rsidRPr="0091739F" w:rsidRDefault="00D01198" w:rsidP="00612A71">
      <w:pPr>
        <w:jc w:val="both"/>
      </w:pPr>
      <w:r w:rsidRPr="0091739F">
        <w:rPr>
          <w:lang w:val="en-US"/>
        </w:rPr>
        <w:t xml:space="preserve">Cohen, M. D., March, J. G., Olsen, J. P. (1972). A Garbage Can Model of Organizational Choice. </w:t>
      </w:r>
      <w:r w:rsidRPr="0091739F">
        <w:rPr>
          <w:i/>
          <w:iCs/>
        </w:rPr>
        <w:t>Administrative Science Quarterly</w:t>
      </w:r>
      <w:r w:rsidRPr="0091739F">
        <w:t>, 17(1), 1-25.</w:t>
      </w:r>
    </w:p>
    <w:p w14:paraId="51F8C620" w14:textId="54CE75B2" w:rsidR="00CD48E4" w:rsidRPr="0091739F" w:rsidRDefault="00CD48E4" w:rsidP="002F7CD2">
      <w:pPr>
        <w:rPr>
          <w:lang w:val="en-US"/>
        </w:rPr>
      </w:pPr>
      <w:r w:rsidRPr="0091739F">
        <w:t xml:space="preserve">Commissie Wallage. (2001). </w:t>
      </w:r>
      <w:r w:rsidRPr="0091739F">
        <w:rPr>
          <w:i/>
        </w:rPr>
        <w:t xml:space="preserve">In dienst van de democratie: Het rapport van de Commissie Toekomst Overheidscommunicatie. </w:t>
      </w:r>
      <w:r w:rsidR="002F7CD2" w:rsidRPr="0091739F">
        <w:rPr>
          <w:lang w:val="en-US"/>
        </w:rPr>
        <w:t xml:space="preserve">Retrieved from </w:t>
      </w:r>
      <w:hyperlink r:id="rId13" w:history="1">
        <w:r w:rsidR="002F7CD2" w:rsidRPr="0091739F">
          <w:rPr>
            <w:rStyle w:val="Hyperlink"/>
            <w:color w:val="auto"/>
            <w:lang w:val="en-US"/>
          </w:rPr>
          <w:t>https://www.rijksoverheid.nl/onderwerpen/overheidscom</w:t>
        </w:r>
        <w:r w:rsidR="002F7CD2" w:rsidRPr="0091739F">
          <w:rPr>
            <w:rStyle w:val="Hyperlink"/>
            <w:color w:val="auto"/>
            <w:lang w:val="en-US"/>
          </w:rPr>
          <w:br/>
          <w:t>municatie/documenten/rapporten/2007/09/20/in-dienst-van-de-democratie-het-rapport-van-de-commissie-toekomst-overheidscommunicatie</w:t>
        </w:r>
      </w:hyperlink>
      <w:r w:rsidR="002F7CD2" w:rsidRPr="0091739F">
        <w:rPr>
          <w:lang w:val="en-US"/>
        </w:rPr>
        <w:t>.</w:t>
      </w:r>
    </w:p>
    <w:p w14:paraId="25B21C54" w14:textId="77777777" w:rsidR="00CE10E5" w:rsidRPr="0091739F" w:rsidRDefault="00CE10E5" w:rsidP="00CE10E5">
      <w:pPr>
        <w:spacing w:before="240"/>
        <w:jc w:val="both"/>
      </w:pPr>
      <w:r w:rsidRPr="0091739F">
        <w:t xml:space="preserve">De Telegraaf. (2005a, April 19). ‘Campagne Bot komt te laat’. </w:t>
      </w:r>
      <w:r w:rsidRPr="0091739F">
        <w:rPr>
          <w:i/>
          <w:iCs/>
        </w:rPr>
        <w:t>De Telegraaf</w:t>
      </w:r>
      <w:r w:rsidRPr="0091739F">
        <w:t>, p. 4.</w:t>
      </w:r>
    </w:p>
    <w:p w14:paraId="3CF5843A" w14:textId="77777777" w:rsidR="00CE10E5" w:rsidRPr="0091739F" w:rsidRDefault="00CE10E5" w:rsidP="00CE10E5">
      <w:pPr>
        <w:spacing w:before="240"/>
        <w:jc w:val="both"/>
      </w:pPr>
      <w:r w:rsidRPr="0091739F">
        <w:t xml:space="preserve">De Telegraaf. (2005, May 19). ‘Burgers bang gemaakt voor geven neestem’. </w:t>
      </w:r>
      <w:r w:rsidRPr="0091739F">
        <w:rPr>
          <w:i/>
          <w:iCs/>
        </w:rPr>
        <w:t>De Telegraaf</w:t>
      </w:r>
      <w:r w:rsidRPr="0091739F">
        <w:t>, p. 7.</w:t>
      </w:r>
    </w:p>
    <w:p w14:paraId="0F8613CB" w14:textId="7E88E6AF" w:rsidR="00CE10E5" w:rsidRPr="0091739F" w:rsidRDefault="00CE10E5" w:rsidP="002F7CD2">
      <w:r w:rsidRPr="0091739F">
        <w:t xml:space="preserve">De Telegraaf. (2005c, June 3). Campagne belabberd. </w:t>
      </w:r>
      <w:r w:rsidRPr="0091739F">
        <w:rPr>
          <w:i/>
          <w:iCs/>
        </w:rPr>
        <w:t>De Telegraaf</w:t>
      </w:r>
      <w:r w:rsidRPr="0091739F">
        <w:t>, p. 1.</w:t>
      </w:r>
    </w:p>
    <w:p w14:paraId="6506B711" w14:textId="05E08602" w:rsidR="00B749DA" w:rsidRDefault="00B749DA" w:rsidP="002F7CD2">
      <w:pPr>
        <w:rPr>
          <w:lang w:val="en-US"/>
        </w:rPr>
      </w:pPr>
      <w:r w:rsidRPr="0091739F">
        <w:t xml:space="preserve">De Volkskrant. (2005, June 22). Balkenende faalde volgens VVD-leider in EU-campagne. </w:t>
      </w:r>
      <w:r w:rsidRPr="0091739F">
        <w:rPr>
          <w:i/>
          <w:iCs/>
          <w:lang w:val="en-US"/>
        </w:rPr>
        <w:t>De Volkskrant</w:t>
      </w:r>
      <w:r w:rsidRPr="0091739F">
        <w:rPr>
          <w:lang w:val="en-US"/>
        </w:rPr>
        <w:t>, p. 3.</w:t>
      </w:r>
    </w:p>
    <w:p w14:paraId="1181A6CA" w14:textId="4D659082" w:rsidR="007446C0" w:rsidRPr="007446C0" w:rsidRDefault="007446C0" w:rsidP="002F7CD2">
      <w:pPr>
        <w:rPr>
          <w:lang w:val="en-US"/>
        </w:rPr>
      </w:pPr>
      <w:r w:rsidRPr="00DD6CA6">
        <w:rPr>
          <w:lang w:val="en-US"/>
        </w:rPr>
        <w:t xml:space="preserve">De Vries, C. E. (2018). </w:t>
      </w:r>
      <w:r w:rsidRPr="007446C0">
        <w:rPr>
          <w:i/>
          <w:iCs/>
          <w:lang w:val="en-US"/>
        </w:rPr>
        <w:t>Euroscepticism and th</w:t>
      </w:r>
      <w:r>
        <w:rPr>
          <w:i/>
          <w:iCs/>
          <w:lang w:val="en-US"/>
        </w:rPr>
        <w:t>e Future of European Integration</w:t>
      </w:r>
      <w:r>
        <w:rPr>
          <w:lang w:val="en-US"/>
        </w:rPr>
        <w:t>. Oxford: Oxford University Press.</w:t>
      </w:r>
    </w:p>
    <w:p w14:paraId="0DC60552" w14:textId="77777777" w:rsidR="00612A71" w:rsidRPr="0091739F" w:rsidRDefault="00612A71" w:rsidP="00612A71">
      <w:r w:rsidRPr="007446C0">
        <w:rPr>
          <w:lang w:val="en-US"/>
        </w:rPr>
        <w:t xml:space="preserve">De Wilde, P. (2011). </w:t>
      </w:r>
      <w:r w:rsidRPr="0091739F">
        <w:rPr>
          <w:lang w:val="en-US"/>
        </w:rPr>
        <w:t xml:space="preserve">No Polity for Old Politics? A Framework for Analyzing Politicization of European Integration. </w:t>
      </w:r>
      <w:r w:rsidRPr="0091739F">
        <w:rPr>
          <w:i/>
          <w:iCs/>
        </w:rPr>
        <w:t>Comparative European Politics</w:t>
      </w:r>
      <w:r w:rsidRPr="0091739F">
        <w:t>, 9(2), 123-144.</w:t>
      </w:r>
    </w:p>
    <w:p w14:paraId="00C6C820" w14:textId="10306B08" w:rsidR="00612A71" w:rsidRDefault="00612A71" w:rsidP="00612A71">
      <w:r w:rsidRPr="0091739F">
        <w:t xml:space="preserve">Dekker, P., Ederveen, S., De Groot, H., Van der Horst, A., Lejour, A., Straathof, B., Vinken, H., &amp; Wennekers, C. (2007). </w:t>
      </w:r>
      <w:r w:rsidRPr="0091739F">
        <w:rPr>
          <w:i/>
          <w:iCs/>
        </w:rPr>
        <w:t xml:space="preserve">Divers Europa: De Europese Unie in de publieke opinie &amp; Verscheidenheid in cultuur, economie en beleid. </w:t>
      </w:r>
      <w:r w:rsidRPr="0091739F">
        <w:t>Den Haag: SCP.</w:t>
      </w:r>
    </w:p>
    <w:p w14:paraId="2C86D7F7" w14:textId="2971E38F" w:rsidR="00E5040D" w:rsidRPr="00E5040D" w:rsidRDefault="00E5040D" w:rsidP="00612A71">
      <w:r w:rsidRPr="007C523B">
        <w:t xml:space="preserve">Dohmen, J. (2009, February 14). </w:t>
      </w:r>
      <w:r w:rsidRPr="00E5040D">
        <w:t>Buitenlandse zaakjes; Wereld van d</w:t>
      </w:r>
      <w:r>
        <w:t xml:space="preserve">iplomaten kent van oudsher eigen spelregels. </w:t>
      </w:r>
      <w:r>
        <w:rPr>
          <w:i/>
          <w:iCs/>
        </w:rPr>
        <w:t>NRC Handelsblad</w:t>
      </w:r>
      <w:r>
        <w:t>, p. 19.</w:t>
      </w:r>
    </w:p>
    <w:p w14:paraId="340D9F39" w14:textId="13CA7038" w:rsidR="007D70FB" w:rsidRPr="0091739F" w:rsidRDefault="00D62E4B" w:rsidP="00612A71">
      <w:pPr>
        <w:rPr>
          <w:rStyle w:val="Hyperlink"/>
          <w:color w:val="auto"/>
          <w:lang w:val="en-US"/>
        </w:rPr>
      </w:pPr>
      <w:r w:rsidRPr="007C523B">
        <w:t xml:space="preserve">Donner, P. H. (2005, April 16). </w:t>
      </w:r>
      <w:r w:rsidRPr="0091739F">
        <w:rPr>
          <w:i/>
          <w:iCs/>
        </w:rPr>
        <w:t>De C van het CDA</w:t>
      </w:r>
      <w:r w:rsidRPr="0091739F">
        <w:t xml:space="preserve">. </w:t>
      </w:r>
      <w:r w:rsidRPr="0091739F">
        <w:rPr>
          <w:lang w:val="en-US"/>
        </w:rPr>
        <w:t xml:space="preserve">Retrieved from </w:t>
      </w:r>
      <w:hyperlink r:id="rId14" w:history="1">
        <w:r w:rsidRPr="0091739F">
          <w:rPr>
            <w:rStyle w:val="Hyperlink"/>
            <w:color w:val="auto"/>
            <w:lang w:val="en-US"/>
          </w:rPr>
          <w:t>https://web.archive.org/web/20050421140628/http://www.cda.nl/domains/cda/content/downloads/speeches/2005/De%20C%20van%20het%20CDA.pdf</w:t>
        </w:r>
      </w:hyperlink>
      <w:r w:rsidRPr="0091739F">
        <w:rPr>
          <w:rStyle w:val="Hyperlink"/>
          <w:color w:val="auto"/>
          <w:lang w:val="en-US"/>
        </w:rPr>
        <w:t>.</w:t>
      </w:r>
    </w:p>
    <w:p w14:paraId="18185460" w14:textId="37A830A2" w:rsidR="006E0481" w:rsidRPr="0091739F" w:rsidRDefault="006E0481" w:rsidP="00612A71">
      <w:r w:rsidRPr="0091739F">
        <w:t xml:space="preserve">Duong, R. (Director). (2011, June 10). </w:t>
      </w:r>
      <w:r w:rsidRPr="0091739F">
        <w:rPr>
          <w:i/>
        </w:rPr>
        <w:t>Kiezersbedrog</w:t>
      </w:r>
      <w:r w:rsidRPr="0091739F">
        <w:t xml:space="preserve">. In E. Rombouts (Producer), </w:t>
      </w:r>
      <w:r w:rsidRPr="0091739F">
        <w:rPr>
          <w:i/>
        </w:rPr>
        <w:t>De slag om Brussel</w:t>
      </w:r>
      <w:r w:rsidRPr="0091739F">
        <w:t xml:space="preserve"> [TV program]. Hilversum: VPRO.</w:t>
      </w:r>
    </w:p>
    <w:p w14:paraId="19B77A49" w14:textId="0A7645F9" w:rsidR="00FA7DAD" w:rsidRPr="0091739F" w:rsidRDefault="00FA7DAD" w:rsidP="00612A71">
      <w:r w:rsidRPr="0091739F">
        <w:t xml:space="preserve">Eerste Kamer der Staten Generaal. (n.d.). </w:t>
      </w:r>
      <w:r w:rsidRPr="0091739F">
        <w:rPr>
          <w:i/>
          <w:iCs/>
        </w:rPr>
        <w:t>Initiatiefvoorstel</w:t>
      </w:r>
      <w:r w:rsidRPr="0091739F">
        <w:t>-</w:t>
      </w:r>
      <w:r w:rsidRPr="0091739F">
        <w:rPr>
          <w:i/>
          <w:iCs/>
        </w:rPr>
        <w:t xml:space="preserve">Karimi, Dubbelboer en Van der Ham Wet raadplegend referendum Europese Grondwet. </w:t>
      </w:r>
      <w:r w:rsidRPr="0091739F">
        <w:t xml:space="preserve">Retrieved from </w:t>
      </w:r>
      <w:hyperlink r:id="rId15" w:history="1">
        <w:r w:rsidR="00BD00D6" w:rsidRPr="0091739F">
          <w:rPr>
            <w:rStyle w:val="Hyperlink"/>
            <w:color w:val="auto"/>
          </w:rPr>
          <w:t>https://www.eerstekamer.nl/wetsvoorstel/28885_initiatiefvoorstel_karimi</w:t>
        </w:r>
      </w:hyperlink>
      <w:r w:rsidR="00BD00D6" w:rsidRPr="0091739F">
        <w:t>.</w:t>
      </w:r>
    </w:p>
    <w:p w14:paraId="237F8257" w14:textId="001E2AE3" w:rsidR="007D70FB" w:rsidRPr="002910ED" w:rsidRDefault="007D70FB" w:rsidP="00612A71">
      <w:r w:rsidRPr="0091739F">
        <w:t xml:space="preserve">Eerste Kamer der Staten Generaal. (2005, June 14). </w:t>
      </w:r>
      <w:r w:rsidRPr="0091739F">
        <w:rPr>
          <w:i/>
          <w:iCs/>
        </w:rPr>
        <w:t>Beleidsdebat Buite</w:t>
      </w:r>
      <w:r w:rsidR="00753223" w:rsidRPr="0091739F">
        <w:rPr>
          <w:i/>
          <w:iCs/>
        </w:rPr>
        <w:t>n</w:t>
      </w:r>
      <w:r w:rsidRPr="0091739F">
        <w:rPr>
          <w:i/>
          <w:iCs/>
        </w:rPr>
        <w:t>landse Zaken</w:t>
      </w:r>
      <w:r w:rsidRPr="0091739F">
        <w:t xml:space="preserve">. </w:t>
      </w:r>
      <w:r w:rsidRPr="002910ED">
        <w:t xml:space="preserve">Retrieved from </w:t>
      </w:r>
      <w:hyperlink r:id="rId16" w:history="1">
        <w:r w:rsidRPr="002910ED">
          <w:rPr>
            <w:rStyle w:val="Hyperlink"/>
            <w:color w:val="auto"/>
          </w:rPr>
          <w:t>https://zoek.officielebekendmakingen.nl/h-ek-20042005-1268-1301.html</w:t>
        </w:r>
      </w:hyperlink>
      <w:r w:rsidRPr="002910ED">
        <w:t>.</w:t>
      </w:r>
    </w:p>
    <w:p w14:paraId="601B05BF" w14:textId="710B3B67" w:rsidR="008C66B9" w:rsidRPr="0091739F" w:rsidRDefault="008C66B9" w:rsidP="00612A71">
      <w:pPr>
        <w:rPr>
          <w:lang w:val="en-US"/>
        </w:rPr>
      </w:pPr>
      <w:r w:rsidRPr="002910ED">
        <w:t xml:space="preserve">Europa Nu. (n.d.a). </w:t>
      </w:r>
      <w:r w:rsidRPr="0091739F">
        <w:rPr>
          <w:i/>
          <w:iCs/>
          <w:lang w:val="en-US"/>
        </w:rPr>
        <w:t>Europese conventie</w:t>
      </w:r>
      <w:r w:rsidRPr="0091739F">
        <w:rPr>
          <w:lang w:val="en-US"/>
        </w:rPr>
        <w:t>. Retrieved from</w:t>
      </w:r>
      <w:r w:rsidR="00E65029" w:rsidRPr="0091739F">
        <w:rPr>
          <w:lang w:val="en-US"/>
        </w:rPr>
        <w:t xml:space="preserve"> </w:t>
      </w:r>
      <w:hyperlink r:id="rId17" w:history="1">
        <w:r w:rsidR="00E65029" w:rsidRPr="0091739F">
          <w:rPr>
            <w:rStyle w:val="Hyperlink"/>
            <w:color w:val="auto"/>
            <w:lang w:val="en-US"/>
          </w:rPr>
          <w:t>https://www.europa-nu.nl/id/vg9hk0cimaqz/europese_conventie</w:t>
        </w:r>
      </w:hyperlink>
      <w:r w:rsidR="00E65029" w:rsidRPr="0091739F">
        <w:rPr>
          <w:lang w:val="en-US"/>
        </w:rPr>
        <w:t>.</w:t>
      </w:r>
    </w:p>
    <w:p w14:paraId="56F2E4FD" w14:textId="00C34CEF" w:rsidR="00AD11A9" w:rsidRPr="0091739F" w:rsidRDefault="00AD11A9" w:rsidP="00612A71">
      <w:r w:rsidRPr="0091739F">
        <w:t xml:space="preserve">Europa Nu. (n.d.b). </w:t>
      </w:r>
      <w:r w:rsidRPr="0091739F">
        <w:rPr>
          <w:i/>
          <w:iCs/>
        </w:rPr>
        <w:t>Ondertekening Europese Grondwet</w:t>
      </w:r>
      <w:r w:rsidRPr="0091739F">
        <w:t xml:space="preserve">. Retrieved from </w:t>
      </w:r>
      <w:hyperlink r:id="rId18" w:history="1">
        <w:r w:rsidR="00163579" w:rsidRPr="0091739F">
          <w:rPr>
            <w:rStyle w:val="Hyperlink"/>
            <w:color w:val="auto"/>
          </w:rPr>
          <w:t>https://www.europa-nu.nl/id/vgrykiehdpim/ondertekening_europese_grondwet</w:t>
        </w:r>
      </w:hyperlink>
      <w:r w:rsidR="00163579" w:rsidRPr="0091739F">
        <w:t>.</w:t>
      </w:r>
    </w:p>
    <w:p w14:paraId="05F5804E" w14:textId="331F47F8" w:rsidR="009B1D45" w:rsidRDefault="00E6232A" w:rsidP="00612A71">
      <w:pPr>
        <w:rPr>
          <w:lang w:val="en-US"/>
        </w:rPr>
      </w:pPr>
      <w:r w:rsidRPr="0091739F">
        <w:t>Europa Nu. (n.d.</w:t>
      </w:r>
      <w:r w:rsidR="00AD11A9" w:rsidRPr="0091739F">
        <w:t>c</w:t>
      </w:r>
      <w:r w:rsidRPr="0091739F">
        <w:t xml:space="preserve">). </w:t>
      </w:r>
      <w:r w:rsidRPr="0091739F">
        <w:rPr>
          <w:i/>
          <w:iCs/>
        </w:rPr>
        <w:t>Referendum over EU-grondwet in Nederland</w:t>
      </w:r>
      <w:r w:rsidRPr="0091739F">
        <w:t xml:space="preserve">. </w:t>
      </w:r>
      <w:r w:rsidRPr="0091739F">
        <w:rPr>
          <w:lang w:val="en-US"/>
        </w:rPr>
        <w:t xml:space="preserve">Retrieved from </w:t>
      </w:r>
      <w:hyperlink r:id="rId19" w:history="1">
        <w:r w:rsidR="006F34D0" w:rsidRPr="0091739F">
          <w:rPr>
            <w:rStyle w:val="Hyperlink"/>
            <w:color w:val="auto"/>
            <w:lang w:val="en-US"/>
          </w:rPr>
          <w:t>https://www.europa-nu.nl/id/vgvqpnqs5qbn/referendum_over_eu_grondwet_in_nederland</w:t>
        </w:r>
      </w:hyperlink>
      <w:r w:rsidR="006F34D0" w:rsidRPr="0091739F">
        <w:rPr>
          <w:lang w:val="en-US"/>
        </w:rPr>
        <w:t>.</w:t>
      </w:r>
    </w:p>
    <w:p w14:paraId="5218BBE6" w14:textId="4A9F43ED" w:rsidR="00BC05F5" w:rsidRPr="0048466F" w:rsidRDefault="00BC05F5" w:rsidP="00612A71">
      <w:pPr>
        <w:rPr>
          <w:lang w:val="en-US"/>
        </w:rPr>
      </w:pPr>
      <w:r w:rsidRPr="007C523B">
        <w:t xml:space="preserve">European Parliament. </w:t>
      </w:r>
      <w:r w:rsidRPr="00BC05F5">
        <w:t xml:space="preserve">(n.d.). </w:t>
      </w:r>
      <w:r w:rsidRPr="00BC05F5">
        <w:rPr>
          <w:i/>
          <w:iCs/>
        </w:rPr>
        <w:t>Ontwerp-Verdrag t</w:t>
      </w:r>
      <w:r>
        <w:rPr>
          <w:i/>
          <w:iCs/>
        </w:rPr>
        <w:t xml:space="preserve">ot vaststelling van een Grondwet voor Europa (niet geratificeerd). </w:t>
      </w:r>
      <w:r w:rsidRPr="0048466F">
        <w:rPr>
          <w:lang w:val="en-US"/>
        </w:rPr>
        <w:t xml:space="preserve">Retrieved from </w:t>
      </w:r>
      <w:hyperlink r:id="rId20" w:history="1">
        <w:r w:rsidR="0048466F" w:rsidRPr="0048466F">
          <w:rPr>
            <w:rStyle w:val="Hyperlink"/>
            <w:color w:val="auto"/>
            <w:lang w:val="en-US"/>
          </w:rPr>
          <w:t>https://www.europarl.europa.eu/about-parliament/nl/in-the-past/the-parliament-and-the-treaties/draft-treaty-establishing-a-constitution-for-europe</w:t>
        </w:r>
      </w:hyperlink>
      <w:r w:rsidR="0048466F" w:rsidRPr="0048466F">
        <w:rPr>
          <w:lang w:val="en-US"/>
        </w:rPr>
        <w:t>.</w:t>
      </w:r>
    </w:p>
    <w:p w14:paraId="1282BC82" w14:textId="6C5334B4" w:rsidR="003675E9" w:rsidRPr="00AF6461" w:rsidRDefault="003675E9" w:rsidP="00612A71">
      <w:pPr>
        <w:rPr>
          <w:lang w:val="en-US"/>
        </w:rPr>
      </w:pPr>
      <w:r w:rsidRPr="00AF6461">
        <w:rPr>
          <w:lang w:val="en-US"/>
        </w:rPr>
        <w:t>European Union. (n.d.).</w:t>
      </w:r>
      <w:r w:rsidR="00AF6461" w:rsidRPr="00AF6461">
        <w:rPr>
          <w:lang w:val="en-US"/>
        </w:rPr>
        <w:t>The EU motto. Retrieved from</w:t>
      </w:r>
      <w:r w:rsidRPr="00AF6461">
        <w:rPr>
          <w:lang w:val="en-US"/>
        </w:rPr>
        <w:t xml:space="preserve"> </w:t>
      </w:r>
      <w:hyperlink r:id="rId21" w:history="1">
        <w:r w:rsidR="00AF6461" w:rsidRPr="00AF6461">
          <w:rPr>
            <w:rStyle w:val="Hyperlink"/>
            <w:color w:val="auto"/>
            <w:lang w:val="en-US"/>
          </w:rPr>
          <w:t>https://europa.eu/european-union/about-eu/symbols/motto_en</w:t>
        </w:r>
      </w:hyperlink>
      <w:r w:rsidR="00AF6461" w:rsidRPr="00AF6461">
        <w:rPr>
          <w:lang w:val="en-US"/>
        </w:rPr>
        <w:t>.</w:t>
      </w:r>
    </w:p>
    <w:p w14:paraId="5E370FB2" w14:textId="525B3E79" w:rsidR="00CE2A81" w:rsidRPr="0091739F" w:rsidRDefault="00CE2A81" w:rsidP="00612A71">
      <w:pPr>
        <w:rPr>
          <w:lang w:val="en-US"/>
        </w:rPr>
      </w:pPr>
      <w:r w:rsidRPr="0091739F">
        <w:rPr>
          <w:lang w:val="en-US"/>
        </w:rPr>
        <w:t>Fly</w:t>
      </w:r>
      <w:r w:rsidR="00E63D23" w:rsidRPr="0091739F">
        <w:rPr>
          <w:lang w:val="en-US"/>
        </w:rPr>
        <w:t xml:space="preserve">vbjerg, B. (2006). Five Misunderstandings About Case-Study Research. </w:t>
      </w:r>
      <w:r w:rsidR="00BA473C" w:rsidRPr="0091739F">
        <w:rPr>
          <w:i/>
          <w:iCs/>
          <w:lang w:val="en-US"/>
        </w:rPr>
        <w:t>Qualitative Inquiry</w:t>
      </w:r>
      <w:r w:rsidR="00BA473C" w:rsidRPr="0091739F">
        <w:rPr>
          <w:lang w:val="en-US"/>
        </w:rPr>
        <w:t>, 12(2), 219-245.</w:t>
      </w:r>
    </w:p>
    <w:p w14:paraId="64F822FA" w14:textId="6F2555EA" w:rsidR="00612A71" w:rsidRPr="0091739F" w:rsidRDefault="00612A71" w:rsidP="00612A71">
      <w:pPr>
        <w:jc w:val="both"/>
        <w:rPr>
          <w:lang w:val="en-US"/>
        </w:rPr>
      </w:pPr>
      <w:r w:rsidRPr="0091739F">
        <w:rPr>
          <w:lang w:val="en-US"/>
        </w:rPr>
        <w:t xml:space="preserve">Freedman, L. (1976). Logic, Politics and Foreign Policy Processes: A Critique of the Bureaucratic Politics Model. </w:t>
      </w:r>
      <w:r w:rsidRPr="0091739F">
        <w:rPr>
          <w:i/>
          <w:iCs/>
          <w:lang w:val="en-US"/>
        </w:rPr>
        <w:t>International Affairs</w:t>
      </w:r>
      <w:r w:rsidRPr="0091739F">
        <w:rPr>
          <w:lang w:val="en-US"/>
        </w:rPr>
        <w:t>, 52(3), 434-449.</w:t>
      </w:r>
    </w:p>
    <w:p w14:paraId="065DF357" w14:textId="17829510" w:rsidR="004D3ADB" w:rsidRPr="0091739F" w:rsidRDefault="004D3ADB" w:rsidP="00612A71">
      <w:pPr>
        <w:jc w:val="both"/>
        <w:rPr>
          <w:lang w:val="en-US"/>
        </w:rPr>
      </w:pPr>
      <w:r w:rsidRPr="0091739F">
        <w:rPr>
          <w:lang w:val="en-US"/>
        </w:rPr>
        <w:t>George, A.</w:t>
      </w:r>
      <w:r w:rsidR="00E74709" w:rsidRPr="0091739F">
        <w:rPr>
          <w:lang w:val="en-US"/>
        </w:rPr>
        <w:t xml:space="preserve"> L.</w:t>
      </w:r>
      <w:r w:rsidRPr="0091739F">
        <w:rPr>
          <w:lang w:val="en-US"/>
        </w:rPr>
        <w:t>, &amp; Bennett</w:t>
      </w:r>
      <w:r w:rsidR="00E74709" w:rsidRPr="0091739F">
        <w:rPr>
          <w:lang w:val="en-US"/>
        </w:rPr>
        <w:t xml:space="preserve">, A. (2005). </w:t>
      </w:r>
      <w:r w:rsidR="00E74709" w:rsidRPr="0091739F">
        <w:rPr>
          <w:i/>
          <w:iCs/>
          <w:lang w:val="en-US"/>
        </w:rPr>
        <w:t>Case Studies and Theory Development in the Social Sciences</w:t>
      </w:r>
      <w:r w:rsidR="00E74709" w:rsidRPr="0091739F">
        <w:rPr>
          <w:lang w:val="en-US"/>
        </w:rPr>
        <w:t xml:space="preserve">. </w:t>
      </w:r>
    </w:p>
    <w:p w14:paraId="1E62C93C" w14:textId="58E30FD6" w:rsidR="00612A71" w:rsidRPr="0091739F" w:rsidRDefault="00612A71" w:rsidP="00612A71">
      <w:pPr>
        <w:jc w:val="both"/>
        <w:rPr>
          <w:lang w:val="en-US"/>
        </w:rPr>
      </w:pPr>
      <w:r w:rsidRPr="0091739F">
        <w:rPr>
          <w:lang w:val="en-US"/>
        </w:rPr>
        <w:t xml:space="preserve">Gerner, D. J. (1995). The Evolution of the Study of Foreign Policy. In L. Neack, J. A. K. Hey and P. J. Haney (Eds.), </w:t>
      </w:r>
      <w:r w:rsidRPr="0091739F">
        <w:rPr>
          <w:i/>
          <w:iCs/>
          <w:lang w:val="en-US"/>
        </w:rPr>
        <w:t xml:space="preserve">Foreign Policy Analysis: Continuity and Change in Its Second Generation </w:t>
      </w:r>
      <w:r w:rsidRPr="0091739F">
        <w:rPr>
          <w:lang w:val="en-US"/>
        </w:rPr>
        <w:t>(pp. 17-32). Englewood Cliffs: Prentice-Hall, Inc.</w:t>
      </w:r>
    </w:p>
    <w:p w14:paraId="19E37BA8" w14:textId="5C992707" w:rsidR="00BB012A" w:rsidRPr="0091739F" w:rsidRDefault="00BB012A" w:rsidP="00612A71">
      <w:pPr>
        <w:jc w:val="both"/>
        <w:rPr>
          <w:lang w:val="en-US"/>
        </w:rPr>
      </w:pPr>
      <w:r w:rsidRPr="0091739F">
        <w:rPr>
          <w:lang w:val="en-US"/>
        </w:rPr>
        <w:t xml:space="preserve">Gerring </w:t>
      </w:r>
      <w:r w:rsidR="001E087E" w:rsidRPr="0091739F">
        <w:rPr>
          <w:lang w:val="en-US"/>
        </w:rPr>
        <w:t>, J. (2007)</w:t>
      </w:r>
      <w:r w:rsidR="00CE6D77" w:rsidRPr="0091739F">
        <w:rPr>
          <w:lang w:val="en-US"/>
        </w:rPr>
        <w:t xml:space="preserve">. </w:t>
      </w:r>
      <w:r w:rsidR="00CE6D77" w:rsidRPr="0091739F">
        <w:rPr>
          <w:i/>
          <w:iCs/>
          <w:lang w:val="en-US"/>
        </w:rPr>
        <w:t xml:space="preserve">Case Study Research: Principles and Practices. </w:t>
      </w:r>
      <w:r w:rsidR="00CE6D77" w:rsidRPr="0091739F">
        <w:rPr>
          <w:lang w:val="en-US"/>
        </w:rPr>
        <w:t>Cambridge: Cambridge University Press.</w:t>
      </w:r>
      <w:r w:rsidR="00CE2A81" w:rsidRPr="0091739F">
        <w:rPr>
          <w:lang w:val="en-US"/>
        </w:rPr>
        <w:t xml:space="preserve"> Cambridge, Massachusetts: MIT Press.</w:t>
      </w:r>
    </w:p>
    <w:p w14:paraId="46D04122" w14:textId="57A54269" w:rsidR="002C6673" w:rsidRDefault="002C6673" w:rsidP="00612A71">
      <w:pPr>
        <w:jc w:val="both"/>
      </w:pPr>
      <w:r w:rsidRPr="0091739F">
        <w:rPr>
          <w:lang w:val="en-US"/>
        </w:rPr>
        <w:t xml:space="preserve">Gerring, J. (2008). Case Selection for Case-Study Analysis: Qualitative and Quantitative Techniques. In J. M. Box-Steffensmeier, J. E. Brady and D. Collier (Eds.), </w:t>
      </w:r>
      <w:r w:rsidRPr="0091739F">
        <w:rPr>
          <w:i/>
          <w:iCs/>
          <w:lang w:val="en-US"/>
        </w:rPr>
        <w:t>The Oxford Handbook of Political Methodology</w:t>
      </w:r>
      <w:r w:rsidRPr="0091739F">
        <w:rPr>
          <w:lang w:val="en-US"/>
        </w:rPr>
        <w:t xml:space="preserve"> (646-</w:t>
      </w:r>
      <w:r w:rsidR="00F37AE9" w:rsidRPr="0091739F">
        <w:rPr>
          <w:lang w:val="en-US"/>
        </w:rPr>
        <w:t>684).</w:t>
      </w:r>
      <w:r w:rsidR="004D3ADB" w:rsidRPr="0091739F">
        <w:rPr>
          <w:lang w:val="en-US"/>
        </w:rPr>
        <w:t xml:space="preserve"> </w:t>
      </w:r>
      <w:r w:rsidR="004D3ADB" w:rsidRPr="0091739F">
        <w:t>Oxford: Oxford University Press.</w:t>
      </w:r>
    </w:p>
    <w:p w14:paraId="79F18FE8" w14:textId="6E9E9B67" w:rsidR="00CC2425" w:rsidRPr="00CC2425" w:rsidRDefault="00CC2425" w:rsidP="00612A71">
      <w:pPr>
        <w:jc w:val="both"/>
      </w:pPr>
      <w:r w:rsidRPr="007C523B">
        <w:t xml:space="preserve">Geul, A. (2018). </w:t>
      </w:r>
      <w:r w:rsidRPr="00CC2425">
        <w:rPr>
          <w:i/>
          <w:iCs/>
        </w:rPr>
        <w:t>Beleidsconstructie, coproductie en communicatie: Zes bepr</w:t>
      </w:r>
      <w:r>
        <w:rPr>
          <w:i/>
          <w:iCs/>
        </w:rPr>
        <w:t>oefde methodieken van beleidsontwikkeling</w:t>
      </w:r>
      <w:r>
        <w:t xml:space="preserve">. </w:t>
      </w:r>
      <w:r w:rsidR="00C4167B">
        <w:t>Den Haag: Boom Bestuurskunde.</w:t>
      </w:r>
    </w:p>
    <w:p w14:paraId="13592401" w14:textId="0DFE7DDA" w:rsidR="00E85C7E" w:rsidRPr="0091739F" w:rsidRDefault="00E85C7E" w:rsidP="00E85C7E">
      <w:r w:rsidRPr="00CC2425">
        <w:t xml:space="preserve">Giebels, R. (2005, May 31). </w:t>
      </w:r>
      <w:r w:rsidRPr="0091739F">
        <w:t xml:space="preserve">Ja-campagne werd dubbele nee-campagne. </w:t>
      </w:r>
      <w:r w:rsidRPr="0091739F">
        <w:rPr>
          <w:i/>
          <w:iCs/>
        </w:rPr>
        <w:t>NRC Handelsblad</w:t>
      </w:r>
      <w:r w:rsidRPr="0091739F">
        <w:t>, p. 1.</w:t>
      </w:r>
    </w:p>
    <w:p w14:paraId="4ECEBDC4" w14:textId="1AE5A4EE" w:rsidR="00612A71" w:rsidRPr="0091739F" w:rsidRDefault="00612A71" w:rsidP="00612A71">
      <w:r w:rsidRPr="0091739F">
        <w:t xml:space="preserve">Giebels, R., Kalse, E., &amp; Versteegh, K. (2005, June 4). Als we het nou maar beter uitleggen: Hoe de Ja-campagne nooit van de grond kwam. </w:t>
      </w:r>
      <w:r w:rsidRPr="0091739F">
        <w:rPr>
          <w:i/>
          <w:iCs/>
        </w:rPr>
        <w:t>NRC Handelsblad</w:t>
      </w:r>
      <w:r w:rsidRPr="0091739F">
        <w:t>, p. 37.</w:t>
      </w:r>
    </w:p>
    <w:p w14:paraId="76F4EC04" w14:textId="2D0F4014" w:rsidR="00C6311F" w:rsidRPr="0091739F" w:rsidRDefault="00C6311F" w:rsidP="00612A71">
      <w:r w:rsidRPr="0091739F">
        <w:t xml:space="preserve">Giesen, P. (2005, May 28). Mag het zeggen; Ja-campagne. </w:t>
      </w:r>
      <w:r w:rsidRPr="0091739F">
        <w:rPr>
          <w:i/>
          <w:iCs/>
        </w:rPr>
        <w:t>de Volkskrant</w:t>
      </w:r>
      <w:r w:rsidRPr="0091739F">
        <w:t>, p. 229.</w:t>
      </w:r>
    </w:p>
    <w:p w14:paraId="6C52E02B" w14:textId="5E747DD3" w:rsidR="00612A71" w:rsidRPr="00DD6CA6" w:rsidRDefault="00612A71" w:rsidP="00612A71">
      <w:pPr>
        <w:rPr>
          <w:lang w:val="en-US"/>
        </w:rPr>
      </w:pPr>
      <w:r w:rsidRPr="0091739F">
        <w:t xml:space="preserve">Goeijenbier, J. (2005). </w:t>
      </w:r>
      <w:r w:rsidRPr="0091739F">
        <w:rPr>
          <w:i/>
          <w:iCs/>
        </w:rPr>
        <w:t>Communicatie door de regering in de aanloop naar het referendum over het grondwettelijk verdrag: Verslag van werkzaamheden van de ambtelijk projectleider</w:t>
      </w:r>
      <w:r w:rsidRPr="0091739F">
        <w:t xml:space="preserve"> [Letter to Parliament].</w:t>
      </w:r>
      <w:r w:rsidR="00753223" w:rsidRPr="0091739F">
        <w:t xml:space="preserve"> </w:t>
      </w:r>
      <w:r w:rsidR="00753223" w:rsidRPr="00DD6CA6">
        <w:rPr>
          <w:lang w:val="en-US"/>
        </w:rPr>
        <w:t>Retrieved from https://zoek.officielebekendmakingen.nl/kst-29993-23-b1.pdf.</w:t>
      </w:r>
    </w:p>
    <w:p w14:paraId="21315670" w14:textId="4C65B6F9" w:rsidR="00215EAF" w:rsidRDefault="00215EAF" w:rsidP="00612A71">
      <w:pPr>
        <w:rPr>
          <w:lang w:val="en-US"/>
        </w:rPr>
      </w:pPr>
      <w:r w:rsidRPr="00DD6CA6">
        <w:rPr>
          <w:lang w:val="en-US"/>
        </w:rPr>
        <w:t xml:space="preserve">Grondweteu.nl. (2005). </w:t>
      </w:r>
      <w:r w:rsidRPr="0091739F">
        <w:rPr>
          <w:i/>
          <w:iCs/>
        </w:rPr>
        <w:t>De Fabeltjeskrant: tien mythes over de Europese grondwet</w:t>
      </w:r>
      <w:r w:rsidRPr="0091739F">
        <w:t xml:space="preserve">. </w:t>
      </w:r>
      <w:r w:rsidRPr="0091739F">
        <w:rPr>
          <w:lang w:val="en-US"/>
        </w:rPr>
        <w:t xml:space="preserve">Retrieved from </w:t>
      </w:r>
      <w:hyperlink r:id="rId22" w:history="1">
        <w:r w:rsidRPr="0091739F">
          <w:rPr>
            <w:rStyle w:val="Hyperlink"/>
            <w:color w:val="auto"/>
            <w:lang w:val="en-US"/>
          </w:rPr>
          <w:t>https://web.archive.org/web/20050601010757/http://www.grondweteu.nl/mythes</w:t>
        </w:r>
      </w:hyperlink>
      <w:r w:rsidRPr="0091739F">
        <w:rPr>
          <w:lang w:val="en-US"/>
        </w:rPr>
        <w:t>.</w:t>
      </w:r>
    </w:p>
    <w:p w14:paraId="75294FF0" w14:textId="13F66E55" w:rsidR="007446C0" w:rsidRDefault="007446C0" w:rsidP="00612A71">
      <w:pPr>
        <w:rPr>
          <w:lang w:val="en-US"/>
        </w:rPr>
      </w:pPr>
      <w:r w:rsidRPr="007446C0">
        <w:rPr>
          <w:lang w:val="es-ES"/>
        </w:rPr>
        <w:t>Guerra, S., &amp; M</w:t>
      </w:r>
      <w:r>
        <w:rPr>
          <w:lang w:val="es-ES"/>
        </w:rPr>
        <w:t xml:space="preserve">cLaren, L. M. (2016). </w:t>
      </w:r>
      <w:r w:rsidRPr="007446C0">
        <w:rPr>
          <w:lang w:val="en-US"/>
        </w:rPr>
        <w:t>Public opinión and the E</w:t>
      </w:r>
      <w:r>
        <w:rPr>
          <w:lang w:val="en-US"/>
        </w:rPr>
        <w:t xml:space="preserve">uropean Union. </w:t>
      </w:r>
      <w:r w:rsidRPr="007446C0">
        <w:rPr>
          <w:lang w:val="en-US"/>
        </w:rPr>
        <w:t xml:space="preserve">In M. Cini and N. Pérez-Solórzano Borragán (Eds.), </w:t>
      </w:r>
      <w:r w:rsidRPr="007446C0">
        <w:rPr>
          <w:i/>
          <w:iCs/>
          <w:lang w:val="en-US"/>
        </w:rPr>
        <w:t>European Union Politics</w:t>
      </w:r>
      <w:r w:rsidRPr="007446C0">
        <w:rPr>
          <w:lang w:val="en-US"/>
        </w:rPr>
        <w:t xml:space="preserve"> (5th</w:t>
      </w:r>
      <w:r>
        <w:rPr>
          <w:lang w:val="en-US"/>
        </w:rPr>
        <w:t xml:space="preserve"> edition) (pp. 354-366). Oxford: Oxford University Press.</w:t>
      </w:r>
    </w:p>
    <w:p w14:paraId="6FF367DA" w14:textId="6348D4AB" w:rsidR="00F77A8F" w:rsidRDefault="00F77A8F" w:rsidP="00612A71">
      <w:pPr>
        <w:rPr>
          <w:lang w:val="en-US"/>
        </w:rPr>
      </w:pPr>
      <w:r>
        <w:rPr>
          <w:lang w:val="en-US"/>
        </w:rPr>
        <w:t>Harmsen, R. (1999) The Europeanization of National Administrations: A Comparative Study of France and the Netherlands</w:t>
      </w:r>
      <w:r w:rsidR="00F354AB">
        <w:rPr>
          <w:lang w:val="en-US"/>
        </w:rPr>
        <w:t xml:space="preserve">. </w:t>
      </w:r>
      <w:r w:rsidR="00F354AB">
        <w:rPr>
          <w:i/>
          <w:iCs/>
          <w:lang w:val="en-US"/>
        </w:rPr>
        <w:t>Governance: An International Journal of Policy and Administration</w:t>
      </w:r>
      <w:r w:rsidR="00F354AB">
        <w:rPr>
          <w:lang w:val="en-US"/>
        </w:rPr>
        <w:t>, 12(1), 81-113.</w:t>
      </w:r>
      <w:r w:rsidR="00782C8C">
        <w:rPr>
          <w:lang w:val="en-US"/>
        </w:rPr>
        <w:t xml:space="preserve"> </w:t>
      </w:r>
    </w:p>
    <w:p w14:paraId="7C1394F6" w14:textId="72721E9A" w:rsidR="006C3D6B" w:rsidRPr="00134762" w:rsidRDefault="006C3D6B" w:rsidP="00612A71">
      <w:pPr>
        <w:rPr>
          <w:lang w:val="en-US"/>
        </w:rPr>
      </w:pPr>
      <w:r w:rsidRPr="007C523B">
        <w:rPr>
          <w:lang w:val="en-US"/>
        </w:rPr>
        <w:t xml:space="preserve">Harmsen, R. (2005). </w:t>
      </w:r>
      <w:r w:rsidRPr="006C3D6B">
        <w:rPr>
          <w:i/>
          <w:iCs/>
          <w:lang w:val="en-US"/>
        </w:rPr>
        <w:t>Referendum Briefing Paper No 13: T</w:t>
      </w:r>
      <w:r>
        <w:rPr>
          <w:i/>
          <w:iCs/>
          <w:lang w:val="en-US"/>
        </w:rPr>
        <w:t>he Dutch Referendum</w:t>
      </w:r>
      <w:r w:rsidR="001B1BD6">
        <w:rPr>
          <w:i/>
          <w:iCs/>
          <w:lang w:val="en-US"/>
        </w:rPr>
        <w:t xml:space="preserve"> on the European Constitutional Treaty</w:t>
      </w:r>
      <w:r w:rsidR="00BF286B">
        <w:rPr>
          <w:lang w:val="en-US"/>
        </w:rPr>
        <w:t>.</w:t>
      </w:r>
      <w:r w:rsidR="00134762">
        <w:rPr>
          <w:lang w:val="en-US"/>
        </w:rPr>
        <w:t xml:space="preserve"> Retrieved from </w:t>
      </w:r>
      <w:hyperlink r:id="rId23" w:history="1">
        <w:r w:rsidR="00134762" w:rsidRPr="00134762">
          <w:rPr>
            <w:rStyle w:val="Hyperlink"/>
            <w:color w:val="auto"/>
            <w:lang w:val="en-US"/>
          </w:rPr>
          <w:t>http://www.sussex.ac.uk/sei/research/europeanpartieselectionsreferendumsnetwork/epernreferendumbriefings</w:t>
        </w:r>
      </w:hyperlink>
      <w:r w:rsidR="00134762" w:rsidRPr="00134762">
        <w:rPr>
          <w:lang w:val="en-US"/>
        </w:rPr>
        <w:t>.</w:t>
      </w:r>
    </w:p>
    <w:p w14:paraId="0D2AF8FF" w14:textId="085C191E" w:rsidR="007F412B" w:rsidRPr="003C47F6" w:rsidRDefault="007F412B" w:rsidP="00612A71">
      <w:r w:rsidRPr="00782C8C">
        <w:t xml:space="preserve">Harryvan, A. G., &amp; Van der Harst, J. </w:t>
      </w:r>
      <w:r w:rsidR="00356B86" w:rsidRPr="00782C8C">
        <w:t xml:space="preserve">(2013). </w:t>
      </w:r>
      <w:r w:rsidR="00356B86">
        <w:t xml:space="preserve">2002-2005: Dissonanten nemen toe. Keerpunt in het Nederlandse Europadebat. </w:t>
      </w:r>
      <w:r w:rsidR="00356B86" w:rsidRPr="00E969DA">
        <w:t>In</w:t>
      </w:r>
      <w:r w:rsidR="00E969DA" w:rsidRPr="00E969DA">
        <w:t xml:space="preserve"> A. G. Harryman and J. van der Harst (E</w:t>
      </w:r>
      <w:r w:rsidR="00E969DA">
        <w:t xml:space="preserve">ds.), </w:t>
      </w:r>
      <w:r w:rsidR="00E969DA">
        <w:rPr>
          <w:i/>
          <w:iCs/>
        </w:rPr>
        <w:t>Verloren consensus. Europa in het Nederlandse parlementair-politieke debat, 1945-2013</w:t>
      </w:r>
      <w:r w:rsidR="003C47F6">
        <w:t xml:space="preserve"> (pp. 207-</w:t>
      </w:r>
      <w:r w:rsidR="009E1F56">
        <w:t xml:space="preserve">249). </w:t>
      </w:r>
      <w:r w:rsidR="00782C8C">
        <w:t>Amsterdam: Boom.</w:t>
      </w:r>
    </w:p>
    <w:p w14:paraId="2683AB92" w14:textId="7548E8D9" w:rsidR="00464D2A" w:rsidRPr="0091739F" w:rsidRDefault="00464D2A" w:rsidP="00612A71">
      <w:pPr>
        <w:rPr>
          <w:lang w:val="en-US"/>
        </w:rPr>
      </w:pPr>
      <w:r w:rsidRPr="007C523B">
        <w:rPr>
          <w:lang w:val="en-US"/>
        </w:rPr>
        <w:t xml:space="preserve">Held, D. (2006). </w:t>
      </w:r>
      <w:r w:rsidR="00A2261F" w:rsidRPr="0091739F">
        <w:rPr>
          <w:lang w:val="en-US"/>
        </w:rPr>
        <w:t xml:space="preserve">Competitive Elitism and the Technocratic Vision. In </w:t>
      </w:r>
      <w:r w:rsidR="00A2261F" w:rsidRPr="0091739F">
        <w:rPr>
          <w:i/>
          <w:lang w:val="en-US"/>
        </w:rPr>
        <w:t>Models of Democracy</w:t>
      </w:r>
      <w:r w:rsidR="00A2261F" w:rsidRPr="0091739F">
        <w:rPr>
          <w:lang w:val="en-US"/>
        </w:rPr>
        <w:t xml:space="preserve"> (pp. 125-157). Cambridge: Polity.</w:t>
      </w:r>
    </w:p>
    <w:p w14:paraId="0919B31D" w14:textId="1B58D467" w:rsidR="00E7513E" w:rsidRPr="0091739F" w:rsidRDefault="00E7513E" w:rsidP="00612A71">
      <w:pPr>
        <w:rPr>
          <w:lang w:val="en-US"/>
        </w:rPr>
      </w:pPr>
      <w:r w:rsidRPr="0091739F">
        <w:rPr>
          <w:lang w:val="en-US"/>
        </w:rPr>
        <w:t xml:space="preserve">Hermans, H. &amp; Maat, M. (Directors). </w:t>
      </w:r>
      <w:r w:rsidRPr="0091739F">
        <w:t xml:space="preserve">(2012, October 17). Episode 5. </w:t>
      </w:r>
      <w:r w:rsidRPr="0091739F">
        <w:rPr>
          <w:i/>
        </w:rPr>
        <w:t>Europa: Van Vriend tot Vijand</w:t>
      </w:r>
      <w:r w:rsidRPr="0091739F">
        <w:t xml:space="preserve">. </w:t>
      </w:r>
      <w:r w:rsidRPr="0091739F">
        <w:rPr>
          <w:lang w:val="en-US"/>
        </w:rPr>
        <w:t xml:space="preserve">In P. Veltman (Producer), </w:t>
      </w:r>
      <w:r w:rsidRPr="0091739F">
        <w:rPr>
          <w:i/>
          <w:lang w:val="en-US"/>
        </w:rPr>
        <w:t>Medialogica</w:t>
      </w:r>
      <w:r w:rsidRPr="0091739F">
        <w:rPr>
          <w:lang w:val="en-US"/>
        </w:rPr>
        <w:t xml:space="preserve"> [TV program]. Hilversum: Human/VPRO.</w:t>
      </w:r>
    </w:p>
    <w:p w14:paraId="39D92386" w14:textId="73F32848" w:rsidR="00D73F2E" w:rsidRDefault="00D73F2E" w:rsidP="00612A71">
      <w:pPr>
        <w:rPr>
          <w:lang w:val="en-US"/>
        </w:rPr>
      </w:pPr>
      <w:r w:rsidRPr="0091739F">
        <w:rPr>
          <w:lang w:val="en-US"/>
        </w:rPr>
        <w:t xml:space="preserve">Herszenhorn, D. M., Barigazzi, J., &amp; Momtaz, R. (2020, March 27). </w:t>
      </w:r>
      <w:r w:rsidRPr="0091739F">
        <w:rPr>
          <w:i/>
          <w:iCs/>
          <w:lang w:val="en-US"/>
        </w:rPr>
        <w:t>Virtual summit, real acrimon</w:t>
      </w:r>
      <w:r w:rsidR="0091470F" w:rsidRPr="0091739F">
        <w:rPr>
          <w:i/>
          <w:iCs/>
          <w:lang w:val="en-US"/>
        </w:rPr>
        <w:t>y: EU leaders clash over ‘corona bonds’</w:t>
      </w:r>
      <w:r w:rsidR="0091470F" w:rsidRPr="0091739F">
        <w:rPr>
          <w:lang w:val="en-US"/>
        </w:rPr>
        <w:t xml:space="preserve">. Retrieved from </w:t>
      </w:r>
      <w:hyperlink r:id="rId24" w:history="1">
        <w:r w:rsidR="0091470F" w:rsidRPr="0091739F">
          <w:rPr>
            <w:rStyle w:val="Hyperlink"/>
            <w:color w:val="auto"/>
            <w:lang w:val="en-US"/>
          </w:rPr>
          <w:t>https://www.politico.eu/article/virtual-summit-real-acrimony-eu-leaders-clash-over-corona-bonds/</w:t>
        </w:r>
      </w:hyperlink>
      <w:r w:rsidR="0091470F" w:rsidRPr="0091739F">
        <w:rPr>
          <w:lang w:val="en-US"/>
        </w:rPr>
        <w:t>.</w:t>
      </w:r>
    </w:p>
    <w:p w14:paraId="525D403A" w14:textId="0378DB61" w:rsidR="00715D87" w:rsidRPr="0091739F" w:rsidRDefault="00715D87" w:rsidP="00612A71">
      <w:pPr>
        <w:rPr>
          <w:lang w:val="en-US"/>
        </w:rPr>
      </w:pPr>
      <w:r>
        <w:rPr>
          <w:lang w:val="en-US"/>
        </w:rPr>
        <w:t>Hobolt, S. B. (2009)</w:t>
      </w:r>
      <w:r w:rsidR="00B705F5">
        <w:rPr>
          <w:lang w:val="en-US"/>
        </w:rPr>
        <w:t>. Europe in Question: Referendums on European Integration. Oxford: Oxford University Press.</w:t>
      </w:r>
    </w:p>
    <w:p w14:paraId="426EB4E7" w14:textId="77777777" w:rsidR="00612A71" w:rsidRPr="0091739F" w:rsidRDefault="00612A71" w:rsidP="00612A71">
      <w:pPr>
        <w:jc w:val="both"/>
        <w:rPr>
          <w:lang w:val="en-US"/>
        </w:rPr>
      </w:pPr>
      <w:r w:rsidRPr="00874288">
        <w:t xml:space="preserve">Hobolt, S. B., &amp; De Vries, C. E. (2016). </w:t>
      </w:r>
      <w:r w:rsidRPr="0091739F">
        <w:rPr>
          <w:lang w:val="en-US"/>
        </w:rPr>
        <w:t xml:space="preserve">Public Support for European Integration. </w:t>
      </w:r>
      <w:r w:rsidRPr="0091739F">
        <w:rPr>
          <w:i/>
          <w:iCs/>
          <w:lang w:val="en-US"/>
        </w:rPr>
        <w:t>Annual Review of Political Science</w:t>
      </w:r>
      <w:r w:rsidRPr="0091739F">
        <w:rPr>
          <w:lang w:val="en-US"/>
        </w:rPr>
        <w:t xml:space="preserve">, 19, 413-432. </w:t>
      </w:r>
    </w:p>
    <w:p w14:paraId="2C1ECF52" w14:textId="77777777" w:rsidR="00612A71" w:rsidRPr="0091739F" w:rsidRDefault="00612A71" w:rsidP="00612A71">
      <w:pPr>
        <w:jc w:val="both"/>
        <w:rPr>
          <w:lang w:val="en-US"/>
        </w:rPr>
      </w:pPr>
      <w:r w:rsidRPr="0091739F">
        <w:rPr>
          <w:lang w:val="en-US"/>
        </w:rPr>
        <w:t xml:space="preserve">Hofstede, G., Neijen, B., Ohayv, D. D., &amp; Sanders, G. (1990). Measuring Organizational Cultures: A Qualitative and Quantitative Study across Twenty Cases. </w:t>
      </w:r>
      <w:r w:rsidRPr="0091739F">
        <w:rPr>
          <w:i/>
          <w:iCs/>
          <w:lang w:val="en-US"/>
        </w:rPr>
        <w:t>Administrative Science Quarterly</w:t>
      </w:r>
      <w:r w:rsidRPr="0091739F">
        <w:rPr>
          <w:lang w:val="en-US"/>
        </w:rPr>
        <w:t>, 35(2), 286-316.</w:t>
      </w:r>
    </w:p>
    <w:p w14:paraId="3504489E" w14:textId="52706C33" w:rsidR="00612A71" w:rsidRPr="0091739F" w:rsidRDefault="00612A71" w:rsidP="00612A71">
      <w:pPr>
        <w:jc w:val="both"/>
        <w:rPr>
          <w:lang w:val="en-US"/>
        </w:rPr>
      </w:pPr>
      <w:r w:rsidRPr="0091739F">
        <w:rPr>
          <w:lang w:val="en-US"/>
        </w:rPr>
        <w:t xml:space="preserve">Hollis, M., &amp; Smith, S. (1986). Roles and Reasons in Foreign Policy Decision Making. </w:t>
      </w:r>
      <w:r w:rsidRPr="0091739F">
        <w:rPr>
          <w:i/>
          <w:iCs/>
          <w:lang w:val="en-US"/>
        </w:rPr>
        <w:t>British Journal of Political Science</w:t>
      </w:r>
      <w:r w:rsidRPr="0091739F">
        <w:rPr>
          <w:lang w:val="en-US"/>
        </w:rPr>
        <w:t>, 16</w:t>
      </w:r>
      <w:r w:rsidR="00813524" w:rsidRPr="0091739F">
        <w:rPr>
          <w:lang w:val="en-US"/>
        </w:rPr>
        <w:t>(3)</w:t>
      </w:r>
      <w:r w:rsidRPr="0091739F">
        <w:rPr>
          <w:lang w:val="en-US"/>
        </w:rPr>
        <w:t>, 269-286.</w:t>
      </w:r>
    </w:p>
    <w:p w14:paraId="0062A859" w14:textId="77777777" w:rsidR="00612A71" w:rsidRPr="0091739F" w:rsidRDefault="00612A71" w:rsidP="00612A71">
      <w:pPr>
        <w:jc w:val="both"/>
        <w:rPr>
          <w:lang w:val="en-US"/>
        </w:rPr>
      </w:pPr>
      <w:r w:rsidRPr="0091739F">
        <w:rPr>
          <w:lang w:val="en-US"/>
        </w:rPr>
        <w:t xml:space="preserve">Holsti, K. J. (1970). National Role Conceptions in the Study of Foreign Policy. </w:t>
      </w:r>
      <w:r w:rsidRPr="0091739F">
        <w:rPr>
          <w:i/>
          <w:iCs/>
          <w:lang w:val="en-US"/>
        </w:rPr>
        <w:t>International Studies Quarterly</w:t>
      </w:r>
      <w:r w:rsidRPr="0091739F">
        <w:rPr>
          <w:lang w:val="en-US"/>
        </w:rPr>
        <w:t>, 14(3), 233-309.</w:t>
      </w:r>
    </w:p>
    <w:p w14:paraId="63E114BA" w14:textId="77777777" w:rsidR="00612A71" w:rsidRPr="0091739F" w:rsidRDefault="00612A71" w:rsidP="00612A71">
      <w:pPr>
        <w:jc w:val="both"/>
        <w:rPr>
          <w:lang w:val="en-US"/>
        </w:rPr>
      </w:pPr>
      <w:r w:rsidRPr="0091739F">
        <w:rPr>
          <w:lang w:val="en-US"/>
        </w:rPr>
        <w:t xml:space="preserve">Holsti, O. R. (1972). Book Reviews: Essence of Decision: Explaining the Cuban Missile Crisis. </w:t>
      </w:r>
      <w:r w:rsidRPr="0091739F">
        <w:rPr>
          <w:i/>
          <w:iCs/>
          <w:lang w:val="en-US"/>
        </w:rPr>
        <w:t>Western Political Quarterly</w:t>
      </w:r>
      <w:r w:rsidRPr="0091739F">
        <w:rPr>
          <w:lang w:val="en-US"/>
        </w:rPr>
        <w:t>, 25(1), 136-140.</w:t>
      </w:r>
    </w:p>
    <w:p w14:paraId="4CE51ED4" w14:textId="1B98ADC1" w:rsidR="00612A71" w:rsidRPr="0091739F" w:rsidRDefault="00612A71" w:rsidP="00612A71">
      <w:pPr>
        <w:jc w:val="both"/>
        <w:rPr>
          <w:lang w:val="en-US"/>
        </w:rPr>
      </w:pPr>
      <w:r w:rsidRPr="0091739F">
        <w:rPr>
          <w:lang w:val="en-US"/>
        </w:rPr>
        <w:t xml:space="preserve">Hooghe, L., &amp; Marks, G. (2009). A Postfunctionalist Theory of European Integration: From Permissive Consensus to Constraining Dissensus. </w:t>
      </w:r>
      <w:r w:rsidRPr="0091739F">
        <w:rPr>
          <w:i/>
          <w:iCs/>
          <w:lang w:val="en-US"/>
        </w:rPr>
        <w:t>British Journal of Political Science</w:t>
      </w:r>
      <w:r w:rsidRPr="0091739F">
        <w:rPr>
          <w:lang w:val="en-US"/>
        </w:rPr>
        <w:t>, 39(1), 1-23</w:t>
      </w:r>
    </w:p>
    <w:p w14:paraId="4B4E7657" w14:textId="0B29531C" w:rsidR="0025701C" w:rsidRPr="0091739F" w:rsidRDefault="0025701C" w:rsidP="00612A71">
      <w:pPr>
        <w:jc w:val="both"/>
      </w:pPr>
      <w:r w:rsidRPr="0091739F">
        <w:rPr>
          <w:lang w:val="en-US"/>
        </w:rPr>
        <w:t xml:space="preserve">Janis, I. L. (1972). </w:t>
      </w:r>
      <w:r w:rsidRPr="0091739F">
        <w:rPr>
          <w:i/>
          <w:iCs/>
          <w:lang w:val="en-US"/>
        </w:rPr>
        <w:t xml:space="preserve">Victims of Groupthink: A Psychological Study of Foreign Policy Decisions and Fiascoes. </w:t>
      </w:r>
      <w:r w:rsidRPr="0091739F">
        <w:t>Boston: Houghton Mifflin.</w:t>
      </w:r>
    </w:p>
    <w:p w14:paraId="60BA5FC2" w14:textId="25E7D8EB" w:rsidR="00AA42F6" w:rsidRPr="0091739F" w:rsidRDefault="00AA42F6" w:rsidP="00AA42F6">
      <w:pPr>
        <w:rPr>
          <w:lang w:val="en-US"/>
        </w:rPr>
      </w:pPr>
      <w:r w:rsidRPr="0091739F">
        <w:t xml:space="preserve">Jansen, J. (2005, May 31). Campagne tot in het stemhokje; Ja- en nee-kamp zetten aan voor de eindsprint. </w:t>
      </w:r>
      <w:r w:rsidRPr="0091739F">
        <w:rPr>
          <w:i/>
          <w:iCs/>
          <w:lang w:val="en-US"/>
        </w:rPr>
        <w:t>Algemeen Dagblad</w:t>
      </w:r>
      <w:r w:rsidRPr="0091739F">
        <w:rPr>
          <w:lang w:val="en-US"/>
        </w:rPr>
        <w:t>, p. 3.</w:t>
      </w:r>
    </w:p>
    <w:p w14:paraId="0CDC8B87" w14:textId="77777777" w:rsidR="00612A71" w:rsidRPr="0091739F" w:rsidRDefault="00612A71" w:rsidP="00612A71">
      <w:pPr>
        <w:jc w:val="both"/>
        <w:rPr>
          <w:lang w:val="en-US"/>
        </w:rPr>
      </w:pPr>
      <w:r w:rsidRPr="0091739F">
        <w:rPr>
          <w:lang w:val="en-US"/>
        </w:rPr>
        <w:t xml:space="preserve">Jervis, R. (1968). Hypotheses on Misperception. </w:t>
      </w:r>
      <w:r w:rsidRPr="0091739F">
        <w:rPr>
          <w:i/>
          <w:iCs/>
          <w:lang w:val="en-US"/>
        </w:rPr>
        <w:t>World Politics</w:t>
      </w:r>
      <w:r w:rsidRPr="0091739F">
        <w:rPr>
          <w:lang w:val="en-US"/>
        </w:rPr>
        <w:t>, 20(3), 454-479.</w:t>
      </w:r>
    </w:p>
    <w:p w14:paraId="03E16BB9" w14:textId="77777777" w:rsidR="00612A71" w:rsidRPr="0091739F" w:rsidRDefault="00612A71" w:rsidP="00612A71">
      <w:pPr>
        <w:jc w:val="both"/>
        <w:rPr>
          <w:lang w:val="en-US"/>
        </w:rPr>
      </w:pPr>
      <w:r w:rsidRPr="0091739F">
        <w:rPr>
          <w:lang w:val="en-US"/>
        </w:rPr>
        <w:t xml:space="preserve">Jervis, R. (1976). </w:t>
      </w:r>
      <w:r w:rsidRPr="0091739F">
        <w:rPr>
          <w:i/>
          <w:iCs/>
          <w:lang w:val="en-US"/>
        </w:rPr>
        <w:t>Perception and Misperception in International Politics</w:t>
      </w:r>
      <w:r w:rsidRPr="0091739F">
        <w:rPr>
          <w:lang w:val="en-US"/>
        </w:rPr>
        <w:t>. Princeton: Princeton University Press.</w:t>
      </w:r>
    </w:p>
    <w:p w14:paraId="79EE5C17" w14:textId="77777777" w:rsidR="00612A71" w:rsidRPr="0091739F" w:rsidRDefault="00612A71" w:rsidP="00612A71">
      <w:pPr>
        <w:jc w:val="both"/>
        <w:rPr>
          <w:lang w:val="en-US"/>
        </w:rPr>
      </w:pPr>
      <w:r w:rsidRPr="0091739F">
        <w:rPr>
          <w:lang w:val="en-US"/>
        </w:rPr>
        <w:t xml:space="preserve">Jones, C. M. (2010). Bureaucratic Politics and Organizational Process Models. In R. A. Denemark and R. Marlin-Bennett (Eds.), </w:t>
      </w:r>
      <w:r w:rsidRPr="0091739F">
        <w:rPr>
          <w:i/>
          <w:iCs/>
          <w:lang w:val="en-US"/>
        </w:rPr>
        <w:t>The International Studies Encyclopedia</w:t>
      </w:r>
      <w:r w:rsidRPr="0091739F">
        <w:rPr>
          <w:lang w:val="en-US"/>
        </w:rPr>
        <w:t>. Hoboken, NJ: Wiley-Blackwell.</w:t>
      </w:r>
    </w:p>
    <w:p w14:paraId="484FCDEC" w14:textId="77777777" w:rsidR="00612A71" w:rsidRPr="0091739F" w:rsidRDefault="00612A71" w:rsidP="00612A71">
      <w:pPr>
        <w:jc w:val="both"/>
        <w:rPr>
          <w:lang w:val="en-US"/>
        </w:rPr>
      </w:pPr>
      <w:r w:rsidRPr="0091739F">
        <w:rPr>
          <w:lang w:val="en-US"/>
        </w:rPr>
        <w:t xml:space="preserve">Kaarbo, J. (2003). Foreign Policy Analysis in the Twenty-First Century: Back to Comparison, Forward to Identity and Ideas. In J. A. Garrison (Ed.), </w:t>
      </w:r>
      <w:r w:rsidRPr="0091739F">
        <w:rPr>
          <w:i/>
          <w:iCs/>
          <w:lang w:val="en-US"/>
        </w:rPr>
        <w:t>Foreign Policy Analysis in 20/20: A Symposium</w:t>
      </w:r>
      <w:r w:rsidRPr="0091739F">
        <w:rPr>
          <w:lang w:val="en-US"/>
        </w:rPr>
        <w:t xml:space="preserve"> (pp. 156-163). </w:t>
      </w:r>
      <w:r w:rsidRPr="0091739F">
        <w:rPr>
          <w:i/>
          <w:iCs/>
          <w:lang w:val="en-US"/>
        </w:rPr>
        <w:t>International Studies Review</w:t>
      </w:r>
      <w:r w:rsidRPr="0091739F">
        <w:rPr>
          <w:lang w:val="en-US"/>
        </w:rPr>
        <w:t>, 5(2), 155-202.</w:t>
      </w:r>
    </w:p>
    <w:p w14:paraId="389BC268" w14:textId="58C6688E" w:rsidR="00612A71" w:rsidRPr="0091739F" w:rsidRDefault="00612A71" w:rsidP="00612A71">
      <w:pPr>
        <w:jc w:val="both"/>
        <w:rPr>
          <w:lang w:val="en-US"/>
        </w:rPr>
      </w:pPr>
      <w:r w:rsidRPr="0091739F">
        <w:rPr>
          <w:lang w:val="en-US"/>
        </w:rPr>
        <w:t xml:space="preserve">Kaarbo, J. (2015). A Foreign Policy Analysis Perspective on the Domestic Politics Turn in IR Theory. </w:t>
      </w:r>
      <w:r w:rsidRPr="0091739F">
        <w:rPr>
          <w:i/>
          <w:iCs/>
          <w:lang w:val="en-US"/>
        </w:rPr>
        <w:t>International Studies Review</w:t>
      </w:r>
      <w:r w:rsidRPr="0091739F">
        <w:rPr>
          <w:lang w:val="en-US"/>
        </w:rPr>
        <w:t>, 17</w:t>
      </w:r>
      <w:r w:rsidR="00813524" w:rsidRPr="0091739F">
        <w:rPr>
          <w:lang w:val="en-US"/>
        </w:rPr>
        <w:t>(2)</w:t>
      </w:r>
      <w:r w:rsidRPr="0091739F">
        <w:rPr>
          <w:lang w:val="en-US"/>
        </w:rPr>
        <w:t>, 189-216.</w:t>
      </w:r>
    </w:p>
    <w:p w14:paraId="1341B98D" w14:textId="3D941F41" w:rsidR="006322F2" w:rsidRPr="0091739F" w:rsidRDefault="006322F2" w:rsidP="00612A71">
      <w:pPr>
        <w:jc w:val="both"/>
        <w:rPr>
          <w:lang w:val="en-US"/>
        </w:rPr>
      </w:pPr>
      <w:r w:rsidRPr="0091739F">
        <w:rPr>
          <w:lang w:val="en-US"/>
        </w:rPr>
        <w:t xml:space="preserve">Kiesraad. (2005, June 6). </w:t>
      </w:r>
      <w:r w:rsidRPr="0091739F">
        <w:rPr>
          <w:i/>
          <w:iCs/>
          <w:lang w:val="en-US"/>
        </w:rPr>
        <w:t>Uitslag referendum Europese Grondwet 2005</w:t>
      </w:r>
      <w:r w:rsidRPr="0091739F">
        <w:rPr>
          <w:lang w:val="en-US"/>
        </w:rPr>
        <w:t xml:space="preserve">. Retrieved from </w:t>
      </w:r>
      <w:hyperlink r:id="rId25" w:history="1">
        <w:r w:rsidRPr="0091739F">
          <w:rPr>
            <w:rStyle w:val="Hyperlink"/>
            <w:color w:val="auto"/>
            <w:lang w:val="en-US"/>
          </w:rPr>
          <w:t>https://www.kiesraad.nl/adviezen-en-publicaties/proces-verbalen/2005/06/06/proces-verbaal-zitting-uitslag-referendum-europese-grondwet-2005</w:t>
        </w:r>
      </w:hyperlink>
      <w:r w:rsidRPr="0091739F">
        <w:rPr>
          <w:lang w:val="en-US"/>
        </w:rPr>
        <w:t>.</w:t>
      </w:r>
    </w:p>
    <w:p w14:paraId="2B8CD7A0" w14:textId="77777777" w:rsidR="0006156A" w:rsidRPr="0091739F" w:rsidRDefault="0006156A" w:rsidP="0006156A">
      <w:r w:rsidRPr="0091739F">
        <w:t xml:space="preserve">Koele, T. (2005, May 6). De kwartiermaker van de Europese Grondwet; Staatssecretaris van Buitenlandse Zaken Atzo Nicolai, ‘eigenwijs, nogal van zichzelf overtuigd, maar bekwaam’ ‘Het referendum? Een uitgelezen kans de ramen open te zetten’. </w:t>
      </w:r>
      <w:r w:rsidRPr="0091739F">
        <w:rPr>
          <w:i/>
        </w:rPr>
        <w:t>de Volkskrant</w:t>
      </w:r>
      <w:r w:rsidRPr="0091739F">
        <w:t>, p. 2.</w:t>
      </w:r>
    </w:p>
    <w:p w14:paraId="5538E0E0" w14:textId="7AB78D08" w:rsidR="0006156A" w:rsidRPr="0091739F" w:rsidRDefault="0006156A" w:rsidP="0006156A">
      <w:r w:rsidRPr="0091739F">
        <w:t xml:space="preserve">Koele, T., &amp; Peeperkorn, M. (2005, July 5). Kabinet zelf schuldig aan nee tegen EU; Geheim onderzoek kritisch over Balkenende. </w:t>
      </w:r>
      <w:r w:rsidRPr="0091739F">
        <w:rPr>
          <w:i/>
          <w:iCs/>
        </w:rPr>
        <w:t>de Volkskrant</w:t>
      </w:r>
      <w:r w:rsidRPr="0091739F">
        <w:t>, p. 1.</w:t>
      </w:r>
    </w:p>
    <w:p w14:paraId="6EAA7878" w14:textId="6DD608D8" w:rsidR="00E042E5" w:rsidRPr="0091739F" w:rsidRDefault="00E042E5" w:rsidP="0006156A">
      <w:pPr>
        <w:rPr>
          <w:lang w:val="en-US"/>
        </w:rPr>
      </w:pPr>
      <w:r w:rsidRPr="0091739F">
        <w:t xml:space="preserve">Kok, L. (2020, April 7). </w:t>
      </w:r>
      <w:r w:rsidRPr="0091739F">
        <w:rPr>
          <w:i/>
          <w:iCs/>
        </w:rPr>
        <w:t>Kamer steunt Hoekstra in verzet tegen eurobonds</w:t>
      </w:r>
      <w:r w:rsidRPr="0091739F">
        <w:t xml:space="preserve">. </w:t>
      </w:r>
      <w:r w:rsidR="004A01EE" w:rsidRPr="0091739F">
        <w:rPr>
          <w:lang w:val="en-US"/>
        </w:rPr>
        <w:t xml:space="preserve">Retrieved from </w:t>
      </w:r>
      <w:hyperlink r:id="rId26" w:history="1">
        <w:r w:rsidR="004A01EE" w:rsidRPr="0091739F">
          <w:rPr>
            <w:rStyle w:val="Hyperlink"/>
            <w:color w:val="auto"/>
            <w:lang w:val="en-US"/>
          </w:rPr>
          <w:t>https://www.ad.nl/politiek/kamer-steunt-hoekstra-in-verzet-tegen-eurobonds~a622e58d/</w:t>
        </w:r>
      </w:hyperlink>
      <w:r w:rsidR="004A01EE" w:rsidRPr="0091739F">
        <w:rPr>
          <w:lang w:val="en-US"/>
        </w:rPr>
        <w:t>.</w:t>
      </w:r>
    </w:p>
    <w:p w14:paraId="471E2939" w14:textId="4D18965B" w:rsidR="00D01198" w:rsidRPr="0091739F" w:rsidRDefault="00D01198" w:rsidP="0006156A">
      <w:r w:rsidRPr="0091739F">
        <w:t xml:space="preserve">Koopman, P. L. (1980). </w:t>
      </w:r>
      <w:r w:rsidRPr="0091739F">
        <w:rPr>
          <w:i/>
          <w:iCs/>
        </w:rPr>
        <w:t>Besluitvorming in organisaties</w:t>
      </w:r>
      <w:r w:rsidRPr="0091739F">
        <w:t xml:space="preserve"> [</w:t>
      </w:r>
      <w:r w:rsidR="00813524" w:rsidRPr="0091739F">
        <w:t>D</w:t>
      </w:r>
      <w:r w:rsidRPr="0091739F">
        <w:t>issertation]. Assen: Van Gorcum.</w:t>
      </w:r>
    </w:p>
    <w:p w14:paraId="0217E3B8" w14:textId="77777777" w:rsidR="0006156A" w:rsidRPr="0091739F" w:rsidRDefault="0006156A" w:rsidP="0006156A">
      <w:r w:rsidRPr="0091739F">
        <w:t xml:space="preserve">Kouters, S. (2004, January 23). Best belangrijk? </w:t>
      </w:r>
      <w:r w:rsidRPr="0091739F">
        <w:rPr>
          <w:i/>
        </w:rPr>
        <w:t>de Volkskrant</w:t>
      </w:r>
      <w:r w:rsidRPr="0091739F">
        <w:t xml:space="preserve">, p. 1. </w:t>
      </w:r>
    </w:p>
    <w:p w14:paraId="274C0C9E" w14:textId="48DB3160" w:rsidR="0006156A" w:rsidRPr="0091739F" w:rsidRDefault="0006156A" w:rsidP="0006156A">
      <w:pPr>
        <w:rPr>
          <w:lang w:val="en-US"/>
        </w:rPr>
      </w:pPr>
      <w:r w:rsidRPr="0091739F">
        <w:t xml:space="preserve">Kranenburg, M. (2005, April 25). De campagne voor de Europese grondwet is begonnen… of eigenlijk toch niet… als het maar niks kost. </w:t>
      </w:r>
      <w:r w:rsidRPr="0091739F">
        <w:rPr>
          <w:i/>
          <w:lang w:val="en-US"/>
        </w:rPr>
        <w:t>NRC Handelsblad</w:t>
      </w:r>
      <w:r w:rsidRPr="0091739F">
        <w:rPr>
          <w:lang w:val="en-US"/>
        </w:rPr>
        <w:t>, p. 2.</w:t>
      </w:r>
    </w:p>
    <w:p w14:paraId="4A7DEA4B" w14:textId="77777777" w:rsidR="00612A71" w:rsidRPr="0091739F" w:rsidRDefault="00612A71" w:rsidP="00612A71">
      <w:pPr>
        <w:jc w:val="both"/>
        <w:rPr>
          <w:lang w:val="en-US"/>
        </w:rPr>
      </w:pPr>
      <w:r w:rsidRPr="0091739F">
        <w:rPr>
          <w:lang w:val="en-US"/>
        </w:rPr>
        <w:t xml:space="preserve">Krasner, S. D. (1972). Are Bureaucracies Important? (Or Allison Wonderland). </w:t>
      </w:r>
      <w:r w:rsidRPr="0091739F">
        <w:rPr>
          <w:i/>
          <w:iCs/>
          <w:lang w:val="en-US"/>
        </w:rPr>
        <w:t>Foreign Policy</w:t>
      </w:r>
      <w:r w:rsidRPr="0091739F">
        <w:rPr>
          <w:lang w:val="en-US"/>
        </w:rPr>
        <w:t>, 7, 159-179.</w:t>
      </w:r>
    </w:p>
    <w:p w14:paraId="5B922945" w14:textId="77777777" w:rsidR="00612A71" w:rsidRPr="0091739F" w:rsidRDefault="00612A71" w:rsidP="00612A71">
      <w:pPr>
        <w:jc w:val="both"/>
      </w:pPr>
      <w:r w:rsidRPr="0091739F">
        <w:rPr>
          <w:lang w:val="en-US"/>
        </w:rPr>
        <w:t xml:space="preserve">Legro, J. W. (1997). Which norms matter? Revisiting the “failure” of internationalism. </w:t>
      </w:r>
      <w:r w:rsidRPr="0091739F">
        <w:rPr>
          <w:i/>
          <w:iCs/>
        </w:rPr>
        <w:t>International Organization</w:t>
      </w:r>
      <w:r w:rsidRPr="0091739F">
        <w:t>, 51(1), 31-63.</w:t>
      </w:r>
    </w:p>
    <w:p w14:paraId="114616BC" w14:textId="0C0C4B9F" w:rsidR="00612A71" w:rsidRPr="00DD6CA6" w:rsidRDefault="00612A71" w:rsidP="00612A71">
      <w:pPr>
        <w:jc w:val="both"/>
        <w:rPr>
          <w:lang w:val="en-US"/>
        </w:rPr>
      </w:pPr>
      <w:r w:rsidRPr="0091739F">
        <w:t xml:space="preserve">Lucardie, P. (2005). De campagne: David tegen Goliath ? in K. Aarts and H. van der Kolk (Eds.), </w:t>
      </w:r>
      <w:r w:rsidRPr="0091739F">
        <w:rPr>
          <w:i/>
          <w:iCs/>
        </w:rPr>
        <w:t>Nederlanders en Europa: Het referendum over de Europese Grondwet</w:t>
      </w:r>
      <w:r w:rsidRPr="0091739F">
        <w:t xml:space="preserve"> (pp. 104-122).</w:t>
      </w:r>
      <w:r w:rsidR="00753223" w:rsidRPr="0091739F">
        <w:t xml:space="preserve"> </w:t>
      </w:r>
      <w:r w:rsidR="00753223" w:rsidRPr="00DD6CA6">
        <w:rPr>
          <w:lang w:val="en-US"/>
        </w:rPr>
        <w:t>Amsterdam: Bert Bakker.</w:t>
      </w:r>
    </w:p>
    <w:p w14:paraId="48E2D588" w14:textId="3B94B03D" w:rsidR="00612A71" w:rsidRPr="0091739F" w:rsidRDefault="00612A71" w:rsidP="00612A71">
      <w:r w:rsidRPr="0091739F">
        <w:rPr>
          <w:lang w:val="en-US"/>
        </w:rPr>
        <w:t xml:space="preserve">March, J. G., &amp; Olsen, J. P. (2008). The Logic of Appropriateness. In R. E. Goodin, M. Moran, and Martin Rein (Eds.), </w:t>
      </w:r>
      <w:r w:rsidRPr="0091739F">
        <w:rPr>
          <w:i/>
          <w:iCs/>
          <w:lang w:val="en-US"/>
        </w:rPr>
        <w:t xml:space="preserve">The Oxford Handbook of Public Policy </w:t>
      </w:r>
      <w:r w:rsidRPr="0091739F">
        <w:rPr>
          <w:lang w:val="en-US"/>
        </w:rPr>
        <w:t>(</w:t>
      </w:r>
      <w:r w:rsidR="00813524" w:rsidRPr="0091739F">
        <w:rPr>
          <w:lang w:val="en-US"/>
        </w:rPr>
        <w:t xml:space="preserve">pp. </w:t>
      </w:r>
      <w:r w:rsidRPr="0091739F">
        <w:rPr>
          <w:lang w:val="en-US"/>
        </w:rPr>
        <w:t xml:space="preserve">688-708). </w:t>
      </w:r>
      <w:r w:rsidRPr="0091739F">
        <w:t>Oxford: Oxford University Press.</w:t>
      </w:r>
    </w:p>
    <w:p w14:paraId="23E28095" w14:textId="77777777" w:rsidR="00165B2F" w:rsidRPr="0091739F" w:rsidRDefault="00165B2F" w:rsidP="00165B2F">
      <w:r w:rsidRPr="0091739F">
        <w:t xml:space="preserve">MarketResponse. (2005a, January 18). </w:t>
      </w:r>
      <w:r w:rsidRPr="0091739F">
        <w:rPr>
          <w:i/>
        </w:rPr>
        <w:t>Rapportage Europees Grondwettelijk verdrag: Kwantitatief onderzoek</w:t>
      </w:r>
      <w:r w:rsidRPr="0091739F">
        <w:t>. Leusden: MarketResponse.</w:t>
      </w:r>
    </w:p>
    <w:p w14:paraId="28857B93" w14:textId="1E6A9E05" w:rsidR="00165B2F" w:rsidRPr="0091739F" w:rsidRDefault="00165B2F" w:rsidP="00612A71">
      <w:r w:rsidRPr="0091739F">
        <w:t xml:space="preserve">MarketResponse. (2005b, May 30). </w:t>
      </w:r>
      <w:r w:rsidRPr="0091739F">
        <w:rPr>
          <w:i/>
        </w:rPr>
        <w:t>Rapport Extra peiling Europese Grondwet.</w:t>
      </w:r>
      <w:r w:rsidRPr="0091739F">
        <w:t xml:space="preserve"> Leusden: MarketResponse.</w:t>
      </w:r>
    </w:p>
    <w:p w14:paraId="412694D4" w14:textId="0C918349" w:rsidR="00612A71" w:rsidRPr="0091739F" w:rsidRDefault="00612A71" w:rsidP="00612A71">
      <w:pPr>
        <w:rPr>
          <w:lang w:val="en-US"/>
        </w:rPr>
      </w:pPr>
      <w:r w:rsidRPr="0091739F">
        <w:t xml:space="preserve">Meijers, M. J. (2017). Contagious Euroscepticism : The impact of Eurosceptic support on mainstram party positions on European integration. </w:t>
      </w:r>
      <w:r w:rsidRPr="0091739F">
        <w:rPr>
          <w:i/>
          <w:iCs/>
          <w:lang w:val="en-US"/>
        </w:rPr>
        <w:t>Party Politics</w:t>
      </w:r>
      <w:r w:rsidRPr="0091739F">
        <w:rPr>
          <w:lang w:val="en-US"/>
        </w:rPr>
        <w:t>, 23(4), 413-423.</w:t>
      </w:r>
    </w:p>
    <w:p w14:paraId="45664749" w14:textId="61986D09" w:rsidR="00870207" w:rsidRPr="0091739F" w:rsidRDefault="00870207" w:rsidP="00612A71">
      <w:r w:rsidRPr="0091739F">
        <w:rPr>
          <w:lang w:val="en-US"/>
        </w:rPr>
        <w:t>Ministry of General Affairs., Ministry of Foreign Affairs., Ministry of the Interior and Kingdom Relations., &amp;</w:t>
      </w:r>
      <w:r w:rsidR="00C73DE0" w:rsidRPr="0091739F">
        <w:rPr>
          <w:lang w:val="en-US"/>
        </w:rPr>
        <w:t xml:space="preserve"> Ministry of</w:t>
      </w:r>
      <w:r w:rsidRPr="0091739F">
        <w:rPr>
          <w:lang w:val="en-US"/>
        </w:rPr>
        <w:t xml:space="preserve"> Finance</w:t>
      </w:r>
      <w:r w:rsidR="00C73DE0" w:rsidRPr="0091739F">
        <w:rPr>
          <w:lang w:val="en-US"/>
        </w:rPr>
        <w:t xml:space="preserve">. </w:t>
      </w:r>
      <w:r w:rsidR="00C73DE0" w:rsidRPr="0091739F">
        <w:t xml:space="preserve">(2004, November 15). </w:t>
      </w:r>
      <w:r w:rsidR="00C73DE0" w:rsidRPr="0091739F">
        <w:rPr>
          <w:i/>
        </w:rPr>
        <w:t>Communicatieplan: referendum Europees grondwettelijk verdrag</w:t>
      </w:r>
      <w:r w:rsidR="00C73DE0" w:rsidRPr="0091739F">
        <w:t xml:space="preserve"> [Internal document]. Den Haag: Ministry of General Affairs.</w:t>
      </w:r>
    </w:p>
    <w:p w14:paraId="2F9BEDAE" w14:textId="0671E407" w:rsidR="00712FD0" w:rsidRPr="0091739F" w:rsidRDefault="00712FD0" w:rsidP="00612A71">
      <w:r w:rsidRPr="0091739F">
        <w:rPr>
          <w:lang w:val="en-US"/>
        </w:rPr>
        <w:t xml:space="preserve">Ministry of the Interior. </w:t>
      </w:r>
      <w:r w:rsidR="00BA02CD" w:rsidRPr="0091739F">
        <w:rPr>
          <w:lang w:val="en-US"/>
        </w:rPr>
        <w:t xml:space="preserve">(2004, December 8). </w:t>
      </w:r>
      <w:r w:rsidR="00BA02CD" w:rsidRPr="0091739F">
        <w:rPr>
          <w:i/>
          <w:iCs/>
        </w:rPr>
        <w:t>Campagneplan informatie en opkomst: referendum Europees grondwettelijk verdrag</w:t>
      </w:r>
      <w:r w:rsidR="00BA02CD" w:rsidRPr="0091739F">
        <w:t xml:space="preserve">. </w:t>
      </w:r>
      <w:r w:rsidR="000A3FDD" w:rsidRPr="0091739F">
        <w:t>Den Haag: Ministry of the Interior.</w:t>
      </w:r>
    </w:p>
    <w:p w14:paraId="793E0CC7" w14:textId="7E950149" w:rsidR="0028664E" w:rsidRPr="0091739F" w:rsidRDefault="0028664E" w:rsidP="00612A71">
      <w:pPr>
        <w:rPr>
          <w:lang w:val="en-US"/>
        </w:rPr>
      </w:pPr>
      <w:r w:rsidRPr="0091739F">
        <w:t xml:space="preserve">Moerland, R. (2005, May 11). Referendum kwelt grote partijen; in campagne voor Grondwet gaan gewone politieke regels niet op. </w:t>
      </w:r>
      <w:r w:rsidRPr="0091739F">
        <w:rPr>
          <w:i/>
          <w:iCs/>
          <w:lang w:val="en-US"/>
        </w:rPr>
        <w:t>NRC Handelsblad</w:t>
      </w:r>
      <w:r w:rsidRPr="0091739F">
        <w:rPr>
          <w:lang w:val="en-US"/>
        </w:rPr>
        <w:t>, p. 1.</w:t>
      </w:r>
    </w:p>
    <w:p w14:paraId="355F3991" w14:textId="1F269A0A" w:rsidR="00B74637" w:rsidRPr="0091739F" w:rsidRDefault="00B74637" w:rsidP="00612A71">
      <w:pPr>
        <w:rPr>
          <w:lang w:val="en-US"/>
        </w:rPr>
      </w:pPr>
      <w:r w:rsidRPr="0091739F">
        <w:rPr>
          <w:lang w:val="en-US"/>
        </w:rPr>
        <w:t xml:space="preserve">Nicolaï, A. (2003, October 16). [Note to Chair of the House of Representatives on Public information on Europe]. </w:t>
      </w:r>
      <w:r w:rsidR="0091739F" w:rsidRPr="0091739F">
        <w:rPr>
          <w:lang w:val="en-US"/>
        </w:rPr>
        <w:t>Retrieved from http://docplayer.nl/14251259-Eu03000199-aan-de-voorzitter-van-de-tweede-kamer-der-staten-generaal-den-haag-16-oktober-2003.html.</w:t>
      </w:r>
    </w:p>
    <w:p w14:paraId="00285B5E" w14:textId="5239D5F2" w:rsidR="00612A71" w:rsidRPr="0091739F" w:rsidRDefault="00612A71" w:rsidP="00612A71">
      <w:pPr>
        <w:rPr>
          <w:lang w:val="en-US"/>
        </w:rPr>
      </w:pPr>
      <w:r w:rsidRPr="0091739F">
        <w:rPr>
          <w:lang w:val="en-US"/>
        </w:rPr>
        <w:t>Nicolaï, A. (2005</w:t>
      </w:r>
      <w:r w:rsidR="00F30837" w:rsidRPr="0091739F">
        <w:rPr>
          <w:lang w:val="en-US"/>
        </w:rPr>
        <w:t>a</w:t>
      </w:r>
      <w:r w:rsidR="00A53D07" w:rsidRPr="0091739F">
        <w:rPr>
          <w:lang w:val="en-US"/>
        </w:rPr>
        <w:t>, February 7</w:t>
      </w:r>
      <w:r w:rsidRPr="0091739F">
        <w:rPr>
          <w:lang w:val="en-US"/>
        </w:rPr>
        <w:t xml:space="preserve">). </w:t>
      </w:r>
      <w:r w:rsidRPr="0091739F">
        <w:rPr>
          <w:i/>
          <w:iCs/>
          <w:lang w:val="en-US"/>
        </w:rPr>
        <w:t>Referendum Europese Grondwet</w:t>
      </w:r>
      <w:r w:rsidRPr="0091739F">
        <w:rPr>
          <w:lang w:val="en-US"/>
        </w:rPr>
        <w:t xml:space="preserve"> [Letter to Parliament].</w:t>
      </w:r>
      <w:r w:rsidR="009125AE" w:rsidRPr="0091739F">
        <w:rPr>
          <w:lang w:val="en-US"/>
        </w:rPr>
        <w:t xml:space="preserve"> Retrieved from </w:t>
      </w:r>
      <w:hyperlink r:id="rId27" w:history="1">
        <w:r w:rsidR="009125AE" w:rsidRPr="0091739F">
          <w:rPr>
            <w:rStyle w:val="Hyperlink"/>
            <w:color w:val="auto"/>
            <w:lang w:val="en-US"/>
          </w:rPr>
          <w:t>https://zoek.officielebekendmakingen.nl/kst-29993-1.html</w:t>
        </w:r>
      </w:hyperlink>
      <w:r w:rsidR="009125AE" w:rsidRPr="0091739F">
        <w:rPr>
          <w:lang w:val="en-US"/>
        </w:rPr>
        <w:t>.</w:t>
      </w:r>
    </w:p>
    <w:p w14:paraId="05102B3C" w14:textId="77777777" w:rsidR="00572453" w:rsidRPr="0091739F" w:rsidRDefault="00572453" w:rsidP="00572453">
      <w:pPr>
        <w:rPr>
          <w:lang w:val="en-US"/>
        </w:rPr>
      </w:pPr>
      <w:r w:rsidRPr="0091739F">
        <w:rPr>
          <w:lang w:val="en-US"/>
        </w:rPr>
        <w:t xml:space="preserve">Nicolaï, A. (2005b, April 18). </w:t>
      </w:r>
      <w:r w:rsidRPr="00DD6CA6">
        <w:rPr>
          <w:i/>
          <w:lang w:val="en-US"/>
        </w:rPr>
        <w:t>De campagne is begonnen</w:t>
      </w:r>
      <w:r w:rsidRPr="00DD6CA6">
        <w:rPr>
          <w:lang w:val="en-US"/>
        </w:rPr>
        <w:t xml:space="preserve">. </w:t>
      </w:r>
      <w:r w:rsidRPr="0091739F">
        <w:rPr>
          <w:lang w:val="en-US"/>
        </w:rPr>
        <w:t xml:space="preserve">Retrieved from </w:t>
      </w:r>
      <w:hyperlink r:id="rId28" w:history="1">
        <w:r w:rsidRPr="0091739F">
          <w:rPr>
            <w:rStyle w:val="Hyperlink"/>
            <w:color w:val="auto"/>
            <w:lang w:val="en-US"/>
          </w:rPr>
          <w:t>https://web.archive.org/web/20050607134435/http://www.grondweteu.nl/weblogartikel/504</w:t>
        </w:r>
      </w:hyperlink>
      <w:r w:rsidRPr="0091739F">
        <w:rPr>
          <w:lang w:val="en-US"/>
        </w:rPr>
        <w:t xml:space="preserve">. </w:t>
      </w:r>
    </w:p>
    <w:p w14:paraId="58575C7C" w14:textId="77777777" w:rsidR="00572453" w:rsidRPr="0091739F" w:rsidRDefault="00572453" w:rsidP="00572453">
      <w:pPr>
        <w:rPr>
          <w:lang w:val="en-US"/>
        </w:rPr>
      </w:pPr>
      <w:r w:rsidRPr="0091739F">
        <w:rPr>
          <w:lang w:val="es-ES"/>
        </w:rPr>
        <w:t xml:space="preserve">Nicolaï, A. (2005c, May 4). </w:t>
      </w:r>
      <w:r w:rsidRPr="0091739F">
        <w:rPr>
          <w:i/>
          <w:lang w:val="es-ES"/>
        </w:rPr>
        <w:t>Europa Leeft!</w:t>
      </w:r>
      <w:r w:rsidRPr="0091739F">
        <w:rPr>
          <w:lang w:val="es-ES"/>
        </w:rPr>
        <w:t xml:space="preserve">. </w:t>
      </w:r>
      <w:r w:rsidRPr="0091739F">
        <w:rPr>
          <w:lang w:val="en-US"/>
        </w:rPr>
        <w:t xml:space="preserve">Retrieved from </w:t>
      </w:r>
      <w:hyperlink r:id="rId29" w:history="1">
        <w:r w:rsidRPr="0091739F">
          <w:rPr>
            <w:rStyle w:val="Hyperlink"/>
            <w:color w:val="auto"/>
            <w:lang w:val="en-US"/>
          </w:rPr>
          <w:t>https://web.archive.org/web/20050607134519/http://www.grondweteu.nl/weblogartikel/618</w:t>
        </w:r>
      </w:hyperlink>
      <w:r w:rsidRPr="0091739F">
        <w:rPr>
          <w:lang w:val="en-US"/>
        </w:rPr>
        <w:t>.</w:t>
      </w:r>
    </w:p>
    <w:p w14:paraId="2A83EA06" w14:textId="756FA565" w:rsidR="00572453" w:rsidRDefault="00572453" w:rsidP="00572453">
      <w:pPr>
        <w:rPr>
          <w:lang w:val="en-US"/>
        </w:rPr>
      </w:pPr>
      <w:r w:rsidRPr="0091739F">
        <w:rPr>
          <w:lang w:val="en-US"/>
        </w:rPr>
        <w:t xml:space="preserve">Nicolaï, A. (2005d, May 13). </w:t>
      </w:r>
      <w:r w:rsidRPr="0091739F">
        <w:rPr>
          <w:i/>
          <w:iCs/>
          <w:lang w:val="en-US"/>
        </w:rPr>
        <w:t>Kamerstuk</w:t>
      </w:r>
      <w:r w:rsidRPr="0091739F">
        <w:rPr>
          <w:lang w:val="en-US"/>
        </w:rPr>
        <w:t xml:space="preserve"> [Letter to Parliament]. Retrieved from </w:t>
      </w:r>
      <w:hyperlink r:id="rId30" w:history="1">
        <w:r w:rsidRPr="0091739F">
          <w:rPr>
            <w:rStyle w:val="Hyperlink"/>
            <w:color w:val="auto"/>
            <w:lang w:val="en-US"/>
          </w:rPr>
          <w:t>https://zoek.officielebekendmakingen.nl/kst-29993-11.html</w:t>
        </w:r>
      </w:hyperlink>
      <w:r w:rsidRPr="0091739F">
        <w:rPr>
          <w:lang w:val="en-US"/>
        </w:rPr>
        <w:t>.</w:t>
      </w:r>
    </w:p>
    <w:p w14:paraId="57290CD9" w14:textId="70AFFEA5" w:rsidR="00DA7C40" w:rsidRPr="00874288" w:rsidRDefault="00DA7C40" w:rsidP="00572453">
      <w:pPr>
        <w:rPr>
          <w:lang w:val="fr-FR"/>
        </w:rPr>
      </w:pPr>
      <w:r w:rsidRPr="00874288">
        <w:rPr>
          <w:lang w:val="en-US"/>
        </w:rPr>
        <w:t xml:space="preserve">Nijeboer, A. (2005). </w:t>
      </w:r>
      <w:r w:rsidRPr="00DA7C40">
        <w:rPr>
          <w:lang w:val="en-US"/>
        </w:rPr>
        <w:t xml:space="preserve">Peoples’ Vengeances : The Dutch </w:t>
      </w:r>
      <w:r>
        <w:rPr>
          <w:lang w:val="en-US"/>
        </w:rPr>
        <w:t>Referendum.</w:t>
      </w:r>
      <w:r>
        <w:rPr>
          <w:i/>
          <w:iCs/>
          <w:lang w:val="en-US"/>
        </w:rPr>
        <w:t xml:space="preserve"> </w:t>
      </w:r>
      <w:r w:rsidRPr="00874288">
        <w:rPr>
          <w:i/>
          <w:iCs/>
          <w:lang w:val="fr-FR"/>
        </w:rPr>
        <w:t>European Constitutional Law Review</w:t>
      </w:r>
      <w:r w:rsidRPr="00874288">
        <w:rPr>
          <w:lang w:val="fr-FR"/>
        </w:rPr>
        <w:t>, 1, 393-404.</w:t>
      </w:r>
    </w:p>
    <w:p w14:paraId="671175E1" w14:textId="2EDA779E" w:rsidR="00572453" w:rsidRPr="0091739F" w:rsidRDefault="00572453" w:rsidP="00612A71">
      <w:pPr>
        <w:rPr>
          <w:lang w:val="en-US"/>
        </w:rPr>
      </w:pPr>
      <w:r w:rsidRPr="00874288">
        <w:rPr>
          <w:lang w:val="fr-FR"/>
        </w:rPr>
        <w:t xml:space="preserve">NOS. (2005). </w:t>
      </w:r>
      <w:r w:rsidRPr="00874288">
        <w:rPr>
          <w:i/>
          <w:iCs/>
          <w:lang w:val="fr-FR"/>
        </w:rPr>
        <w:t>Journaal : Kabinet voert campagne voor Europa</w:t>
      </w:r>
      <w:r w:rsidRPr="00874288">
        <w:rPr>
          <w:lang w:val="fr-FR"/>
        </w:rPr>
        <w:t xml:space="preserve"> [Video]. </w:t>
      </w:r>
      <w:r w:rsidRPr="0091739F">
        <w:rPr>
          <w:lang w:val="en-US"/>
        </w:rPr>
        <w:t xml:space="preserve">Retrieved from </w:t>
      </w:r>
      <w:hyperlink r:id="rId31" w:history="1">
        <w:r w:rsidRPr="0091739F">
          <w:rPr>
            <w:rStyle w:val="Hyperlink"/>
            <w:color w:val="auto"/>
            <w:lang w:val="en-US"/>
          </w:rPr>
          <w:t>https://www.anderetijden.nl/programma/1/Andere-Tijden/aflevering/675/Welkom-in-de-EU</w:t>
        </w:r>
      </w:hyperlink>
      <w:r w:rsidRPr="0091739F">
        <w:rPr>
          <w:lang w:val="en-US"/>
        </w:rPr>
        <w:t>.</w:t>
      </w:r>
    </w:p>
    <w:p w14:paraId="2745CA2A" w14:textId="4B4E8914" w:rsidR="00612A71" w:rsidRPr="0091739F" w:rsidRDefault="00612A71" w:rsidP="00612A71">
      <w:pPr>
        <w:rPr>
          <w:lang w:val="en-US"/>
        </w:rPr>
      </w:pPr>
      <w:r w:rsidRPr="0091739F">
        <w:t xml:space="preserve">NOS. (2020, February 1). </w:t>
      </w:r>
      <w:r w:rsidRPr="0091739F">
        <w:rPr>
          <w:i/>
          <w:iCs/>
        </w:rPr>
        <w:t>Brexit is een feit, duizenden vieren Brits vertrek uit EU in Londen</w:t>
      </w:r>
      <w:r w:rsidRPr="0091739F">
        <w:t xml:space="preserve">. </w:t>
      </w:r>
      <w:r w:rsidRPr="0091739F">
        <w:rPr>
          <w:lang w:val="en-US"/>
        </w:rPr>
        <w:t xml:space="preserve">Retrieved from </w:t>
      </w:r>
      <w:hyperlink r:id="rId32" w:history="1">
        <w:r w:rsidRPr="0091739F">
          <w:rPr>
            <w:rStyle w:val="Hyperlink"/>
            <w:color w:val="auto"/>
            <w:lang w:val="en-US"/>
          </w:rPr>
          <w:t>https://nos.nl/artikel/2321162-brexist-is-een-feit-duizenden-vieren-brits-vertrek-uit-eu-in-londen.html</w:t>
        </w:r>
      </w:hyperlink>
      <w:r w:rsidRPr="0091739F">
        <w:rPr>
          <w:lang w:val="en-US"/>
        </w:rPr>
        <w:t>.</w:t>
      </w:r>
    </w:p>
    <w:p w14:paraId="691AF041" w14:textId="77777777" w:rsidR="000E5E73" w:rsidRPr="0091739F" w:rsidRDefault="000E5E73" w:rsidP="000E5E73">
      <w:pPr>
        <w:spacing w:before="240"/>
        <w:jc w:val="both"/>
        <w:rPr>
          <w:lang w:val="en-US"/>
        </w:rPr>
      </w:pPr>
      <w:r w:rsidRPr="0091739F">
        <w:t xml:space="preserve">NRC Handelsblad. (2005a, April 18). Bot: geen paniek over Grondwet; ‘Campagne niet beginnen’. </w:t>
      </w:r>
      <w:r w:rsidRPr="0091739F">
        <w:rPr>
          <w:lang w:val="en-US"/>
        </w:rPr>
        <w:t>NRC Handelsblad, p. 6.</w:t>
      </w:r>
    </w:p>
    <w:p w14:paraId="1EED9903" w14:textId="52B455AD" w:rsidR="00954E44" w:rsidRPr="0091739F" w:rsidRDefault="00954E44" w:rsidP="00612A71">
      <w:pPr>
        <w:rPr>
          <w:lang w:val="en-US"/>
        </w:rPr>
      </w:pPr>
      <w:r w:rsidRPr="0091739F">
        <w:rPr>
          <w:lang w:val="en-US"/>
        </w:rPr>
        <w:t xml:space="preserve">Odell, J. A. (2001). Case Study Methods in International Political Economy. </w:t>
      </w:r>
      <w:r w:rsidR="009E14BA" w:rsidRPr="0091739F">
        <w:rPr>
          <w:i/>
          <w:iCs/>
          <w:lang w:val="en-US"/>
        </w:rPr>
        <w:t>International Studies Perspectives</w:t>
      </w:r>
      <w:r w:rsidR="009E14BA" w:rsidRPr="0091739F">
        <w:rPr>
          <w:lang w:val="en-US"/>
        </w:rPr>
        <w:t>, 2(2), 161-176.</w:t>
      </w:r>
    </w:p>
    <w:p w14:paraId="3B697CC2" w14:textId="2D4A28C2" w:rsidR="00612A71" w:rsidRPr="0091739F" w:rsidRDefault="00612A71" w:rsidP="00612A71">
      <w:pPr>
        <w:rPr>
          <w:lang w:val="en-US"/>
        </w:rPr>
      </w:pPr>
      <w:r w:rsidRPr="0091739F">
        <w:rPr>
          <w:lang w:val="en-US"/>
        </w:rPr>
        <w:t xml:space="preserve">Ott, J. S. (1989). </w:t>
      </w:r>
      <w:r w:rsidRPr="0091739F">
        <w:rPr>
          <w:i/>
          <w:iCs/>
          <w:lang w:val="en-US"/>
        </w:rPr>
        <w:t>The Organizational Culture Perspective</w:t>
      </w:r>
      <w:r w:rsidRPr="0091739F">
        <w:rPr>
          <w:lang w:val="en-US"/>
        </w:rPr>
        <w:t>. Pacific Grove: Brooks/Cole.</w:t>
      </w:r>
    </w:p>
    <w:p w14:paraId="110A5F1D" w14:textId="3E7EC872" w:rsidR="004D08D6" w:rsidRPr="0091739F" w:rsidRDefault="004D08D6" w:rsidP="00612A71">
      <w:pPr>
        <w:rPr>
          <w:lang w:val="en-US"/>
        </w:rPr>
      </w:pPr>
      <w:r w:rsidRPr="0091739F">
        <w:t xml:space="preserve">Overheid.nl. (2005). </w:t>
      </w:r>
      <w:r w:rsidRPr="0091739F">
        <w:rPr>
          <w:i/>
        </w:rPr>
        <w:t>Wet raadplegend referendum Europese Grondwet</w:t>
      </w:r>
      <w:r w:rsidRPr="0091739F">
        <w:t xml:space="preserve">. </w:t>
      </w:r>
      <w:r w:rsidRPr="0091739F">
        <w:rPr>
          <w:lang w:val="en-US"/>
        </w:rPr>
        <w:t xml:space="preserve">Retrieved from </w:t>
      </w:r>
      <w:hyperlink r:id="rId33" w:anchor="Hoofdstuk10" w:history="1">
        <w:r w:rsidRPr="0091739F">
          <w:rPr>
            <w:rStyle w:val="Hyperlink"/>
            <w:color w:val="auto"/>
            <w:lang w:val="en-US"/>
          </w:rPr>
          <w:t>https://wetten.overheid.nl/BWBR0017966/2005-02-04#Hoofdstuk10</w:t>
        </w:r>
      </w:hyperlink>
      <w:r w:rsidRPr="0091739F">
        <w:rPr>
          <w:lang w:val="en-US"/>
        </w:rPr>
        <w:t>.</w:t>
      </w:r>
    </w:p>
    <w:p w14:paraId="16E2FADC" w14:textId="16FEDE5C" w:rsidR="00A53D07" w:rsidRPr="0091739F" w:rsidRDefault="00A53D07" w:rsidP="00612A71">
      <w:r w:rsidRPr="0091739F">
        <w:rPr>
          <w:lang w:val="en-US"/>
        </w:rPr>
        <w:t>Peeperkorn, M. (2005</w:t>
      </w:r>
      <w:r w:rsidR="00F974BA" w:rsidRPr="0091739F">
        <w:rPr>
          <w:lang w:val="en-US"/>
        </w:rPr>
        <w:t>a</w:t>
      </w:r>
      <w:r w:rsidRPr="0091739F">
        <w:rPr>
          <w:lang w:val="en-US"/>
        </w:rPr>
        <w:t xml:space="preserve">, April 23). </w:t>
      </w:r>
      <w:r w:rsidRPr="0091739F">
        <w:t xml:space="preserve">Ja heb je; Referendum Europese grondwet. </w:t>
      </w:r>
      <w:r w:rsidRPr="0091739F">
        <w:rPr>
          <w:i/>
        </w:rPr>
        <w:t>de Volkskrant</w:t>
      </w:r>
      <w:r w:rsidRPr="0091739F">
        <w:t>, p. 25.</w:t>
      </w:r>
    </w:p>
    <w:p w14:paraId="4AA52705" w14:textId="7D419933" w:rsidR="00455765" w:rsidRPr="0091739F" w:rsidRDefault="00455765" w:rsidP="00612A71">
      <w:r w:rsidRPr="0091739F">
        <w:t xml:space="preserve">Peeperkorn, M. (2005b, May 12). Ministers krijgen spiekbriefjes voor ‘ja’ tegen EU. </w:t>
      </w:r>
      <w:r w:rsidRPr="0091739F">
        <w:rPr>
          <w:i/>
          <w:iCs/>
        </w:rPr>
        <w:t>de Volkskrant</w:t>
      </w:r>
      <w:r w:rsidRPr="0091739F">
        <w:t>, p. 1.</w:t>
      </w:r>
    </w:p>
    <w:p w14:paraId="58E3FBFC" w14:textId="77E2F1A7" w:rsidR="00612A71" w:rsidRPr="0091739F" w:rsidRDefault="00612A71" w:rsidP="00612A71">
      <w:r w:rsidRPr="0091739F">
        <w:rPr>
          <w:lang w:val="en-US"/>
        </w:rPr>
        <w:t xml:space="preserve">Putnam, R. (1988). Diplomacy and Domestic Politics: The Logic of Two-Level Games. </w:t>
      </w:r>
      <w:r w:rsidRPr="0091739F">
        <w:rPr>
          <w:i/>
          <w:iCs/>
        </w:rPr>
        <w:t>International Organization</w:t>
      </w:r>
      <w:r w:rsidRPr="0091739F">
        <w:t>, 42(3), 427-460.</w:t>
      </w:r>
    </w:p>
    <w:p w14:paraId="585D9405" w14:textId="1F0CF0A2" w:rsidR="00131C54" w:rsidRPr="00874288" w:rsidRDefault="00131C54" w:rsidP="00612A71">
      <w:r w:rsidRPr="0091739F">
        <w:t xml:space="preserve">PQR. (2005). </w:t>
      </w:r>
      <w:r w:rsidRPr="0091739F">
        <w:rPr>
          <w:i/>
        </w:rPr>
        <w:t>De Europese Grondwet Vervolgonderzoek (Deel 3): management summary</w:t>
      </w:r>
      <w:r w:rsidRPr="0091739F">
        <w:t xml:space="preserve">. </w:t>
      </w:r>
      <w:r w:rsidRPr="00874288">
        <w:t xml:space="preserve">Amsterdam: Plasschaert Quality in Research. </w:t>
      </w:r>
    </w:p>
    <w:p w14:paraId="4E7845E6" w14:textId="7478EA6B" w:rsidR="00134762" w:rsidRPr="008724CE" w:rsidRDefault="00134762" w:rsidP="00612A71">
      <w:pPr>
        <w:rPr>
          <w:lang w:val="en-US"/>
        </w:rPr>
      </w:pPr>
      <w:r w:rsidRPr="00134762">
        <w:t xml:space="preserve">Referendumcommissie. (2005). </w:t>
      </w:r>
      <w:r w:rsidRPr="00134762">
        <w:rPr>
          <w:i/>
          <w:iCs/>
        </w:rPr>
        <w:t>Samenvatting van</w:t>
      </w:r>
      <w:r>
        <w:rPr>
          <w:i/>
          <w:iCs/>
        </w:rPr>
        <w:t xml:space="preserve"> het Verdrag tot vaststelling van een Grondwet voor Europa</w:t>
      </w:r>
      <w:r w:rsidR="00281CB5">
        <w:t xml:space="preserve">. </w:t>
      </w:r>
      <w:r w:rsidR="009A5AA0" w:rsidRPr="008724CE">
        <w:rPr>
          <w:lang w:val="en-US"/>
        </w:rPr>
        <w:t xml:space="preserve">Retrieved from </w:t>
      </w:r>
      <w:hyperlink r:id="rId34" w:history="1">
        <w:r w:rsidR="008724CE" w:rsidRPr="008724CE">
          <w:rPr>
            <w:rStyle w:val="Hyperlink"/>
            <w:color w:val="auto"/>
            <w:lang w:val="en-US"/>
          </w:rPr>
          <w:t>https://web.archive.org/web/20050604005447/http://www.referendumeuropesegrondwet.nl/samenvatting_van_het</w:t>
        </w:r>
      </w:hyperlink>
      <w:r w:rsidR="008724CE" w:rsidRPr="008724CE">
        <w:rPr>
          <w:lang w:val="en-US"/>
        </w:rPr>
        <w:t>.</w:t>
      </w:r>
    </w:p>
    <w:p w14:paraId="3D46E6C3" w14:textId="77777777" w:rsidR="00612A71" w:rsidRPr="0091739F" w:rsidRDefault="00612A71" w:rsidP="00612A71">
      <w:pPr>
        <w:rPr>
          <w:lang w:val="en-US"/>
        </w:rPr>
      </w:pPr>
      <w:r w:rsidRPr="00874288">
        <w:rPr>
          <w:lang w:val="en-US"/>
        </w:rPr>
        <w:t xml:space="preserve">Ripley, B. (1995). </w:t>
      </w:r>
      <w:r w:rsidRPr="0091739F">
        <w:rPr>
          <w:lang w:val="en-US"/>
        </w:rPr>
        <w:t xml:space="preserve">Cognition, Culture and Bureaucratic Politics. In L. Neack, J. A. K. Hey and P. J. Haney (Eds.), </w:t>
      </w:r>
      <w:r w:rsidRPr="0091739F">
        <w:rPr>
          <w:i/>
          <w:iCs/>
          <w:lang w:val="en-US"/>
        </w:rPr>
        <w:t xml:space="preserve">Foreign Policy Analysis: Continuity and Change in Its Second Generation </w:t>
      </w:r>
      <w:r w:rsidRPr="0091739F">
        <w:rPr>
          <w:lang w:val="en-US"/>
        </w:rPr>
        <w:t>(pp. 85-98). Englewood Cliffs: Prentice-Hall, Inc.</w:t>
      </w:r>
    </w:p>
    <w:p w14:paraId="640F961D" w14:textId="181BD68E" w:rsidR="00612A71" w:rsidRPr="0091739F" w:rsidRDefault="00612A71" w:rsidP="00612A71">
      <w:r w:rsidRPr="0091739F">
        <w:rPr>
          <w:lang w:val="en-US"/>
        </w:rPr>
        <w:t xml:space="preserve">Rosati, J. A. (1995). A Cognitive Approach to the Study of Foreign Policy. In L. Neack, J. A. K. Hey and P. J. Haney (Eds.), </w:t>
      </w:r>
      <w:r w:rsidRPr="0091739F">
        <w:rPr>
          <w:i/>
          <w:iCs/>
          <w:lang w:val="en-US"/>
        </w:rPr>
        <w:t xml:space="preserve">Foreign Policy Analysis: Continuity and Change in Its Second Generation </w:t>
      </w:r>
      <w:r w:rsidRPr="0091739F">
        <w:rPr>
          <w:lang w:val="en-US"/>
        </w:rPr>
        <w:t xml:space="preserve">(pp. 49-70). </w:t>
      </w:r>
      <w:r w:rsidRPr="0091739F">
        <w:t>Englewood Cliffs: Prentice-Hall, Inc.</w:t>
      </w:r>
    </w:p>
    <w:p w14:paraId="7F02CE56" w14:textId="470AF569" w:rsidR="00E638D9" w:rsidRPr="0091739F" w:rsidRDefault="00E638D9" w:rsidP="00612A71">
      <w:r w:rsidRPr="0091739F">
        <w:t xml:space="preserve">Rusman, F. (2015, October 15). Voor het ja-kamp is het referendum knap lastig. </w:t>
      </w:r>
      <w:r w:rsidRPr="0091739F">
        <w:rPr>
          <w:i/>
          <w:iCs/>
        </w:rPr>
        <w:t>NRC Handelsblad</w:t>
      </w:r>
      <w:r w:rsidRPr="0091739F">
        <w:t>, p. 7.</w:t>
      </w:r>
    </w:p>
    <w:p w14:paraId="44FEB71E" w14:textId="7BA60984" w:rsidR="00612A71" w:rsidRPr="0091739F" w:rsidRDefault="00612A71" w:rsidP="00612A71">
      <w:r w:rsidRPr="0091739F">
        <w:t xml:space="preserve">Schein, E. H. (1990). Organizational Culture. </w:t>
      </w:r>
      <w:r w:rsidRPr="0091739F">
        <w:rPr>
          <w:i/>
          <w:iCs/>
        </w:rPr>
        <w:t>American Psychologist</w:t>
      </w:r>
      <w:r w:rsidRPr="0091739F">
        <w:t>, 45(2), 109-119.</w:t>
      </w:r>
    </w:p>
    <w:p w14:paraId="365F95D3" w14:textId="77777777" w:rsidR="004A027E" w:rsidRPr="0091739F" w:rsidRDefault="004A027E" w:rsidP="004A027E">
      <w:pPr>
        <w:spacing w:before="240"/>
        <w:jc w:val="both"/>
      </w:pPr>
      <w:r w:rsidRPr="0091739F">
        <w:t xml:space="preserve">Schulte, A. (2005a, April 22). Deskundigen vinden dat voorstanders EU-grondwet te veel dralen met campagne; ‘dat onleesbare krantje leest geen hond’. </w:t>
      </w:r>
      <w:r w:rsidRPr="0091739F">
        <w:rPr>
          <w:i/>
          <w:iCs/>
        </w:rPr>
        <w:t>Het Parool</w:t>
      </w:r>
      <w:r w:rsidRPr="0091739F">
        <w:t>, p. 3.</w:t>
      </w:r>
    </w:p>
    <w:p w14:paraId="0C039E84" w14:textId="77777777" w:rsidR="004A027E" w:rsidRPr="0091739F" w:rsidRDefault="004A027E" w:rsidP="004A027E">
      <w:pPr>
        <w:spacing w:before="240"/>
        <w:jc w:val="both"/>
      </w:pPr>
      <w:r w:rsidRPr="0091739F">
        <w:t xml:space="preserve">Schulte, A. (2005b, June 1). Ja-campagne was reeks van fatale vergissingen. </w:t>
      </w:r>
      <w:r w:rsidRPr="0091739F">
        <w:rPr>
          <w:i/>
          <w:iCs/>
        </w:rPr>
        <w:t>Het Parool</w:t>
      </w:r>
      <w:r w:rsidRPr="0091739F">
        <w:t>, p. 3.</w:t>
      </w:r>
    </w:p>
    <w:p w14:paraId="2BC81879" w14:textId="6038AC55" w:rsidR="004A027E" w:rsidRPr="0091739F" w:rsidRDefault="004A027E" w:rsidP="00612A71">
      <w:pPr>
        <w:rPr>
          <w:lang w:val="en-US"/>
        </w:rPr>
      </w:pPr>
      <w:r w:rsidRPr="0091739F">
        <w:t xml:space="preserve">Schulte, A., &amp; Soetenhorst, B. (2005, May 24). Hoe Nederland een referendum kreeg; ‘de klassieke vvd-reactie had moeten zijn: Nee!’. </w:t>
      </w:r>
      <w:r w:rsidRPr="0091739F">
        <w:rPr>
          <w:i/>
          <w:lang w:val="en-US"/>
        </w:rPr>
        <w:t>Het Parool</w:t>
      </w:r>
      <w:r w:rsidRPr="0091739F">
        <w:rPr>
          <w:lang w:val="en-US"/>
        </w:rPr>
        <w:t>, p. 6.</w:t>
      </w:r>
    </w:p>
    <w:p w14:paraId="28DF88A4" w14:textId="2B506CA9" w:rsidR="00EC288A" w:rsidRPr="0091739F" w:rsidRDefault="00EC288A" w:rsidP="00612A71">
      <w:pPr>
        <w:rPr>
          <w:lang w:val="en-US"/>
        </w:rPr>
      </w:pPr>
      <w:r w:rsidRPr="0091739F">
        <w:rPr>
          <w:lang w:val="en-US"/>
        </w:rPr>
        <w:t xml:space="preserve">Shareia, B. F. (2016). Qualitative and Quantitative Case Study Research Method on Social Science: Accounting Perspective. </w:t>
      </w:r>
      <w:r w:rsidRPr="0091739F">
        <w:rPr>
          <w:i/>
          <w:lang w:val="en-US"/>
        </w:rPr>
        <w:t>International Journal of Economics and Management Engineering</w:t>
      </w:r>
      <w:r w:rsidRPr="0091739F">
        <w:rPr>
          <w:lang w:val="en-US"/>
        </w:rPr>
        <w:t>, 10(12), 3849-3854.</w:t>
      </w:r>
    </w:p>
    <w:p w14:paraId="7AC3D8E7" w14:textId="476547AA" w:rsidR="00612A71" w:rsidRPr="0091739F" w:rsidRDefault="00612A71" w:rsidP="00612A71">
      <w:r w:rsidRPr="0091739F">
        <w:rPr>
          <w:lang w:val="en-US"/>
        </w:rPr>
        <w:t xml:space="preserve">Smith, S. (1980). Allison and the Cuban Missile Crisis: A Review of the Bureaucratic Politics Model of Foreign Policy Decision-Making. </w:t>
      </w:r>
      <w:r w:rsidRPr="0091739F">
        <w:rPr>
          <w:i/>
          <w:iCs/>
        </w:rPr>
        <w:t>Journal of International Studies</w:t>
      </w:r>
      <w:r w:rsidRPr="0091739F">
        <w:t>, 9(1), 21-40.</w:t>
      </w:r>
    </w:p>
    <w:p w14:paraId="137B2E69" w14:textId="2A1BBE94" w:rsidR="00EC288A" w:rsidRPr="0091739F" w:rsidRDefault="00EC288A" w:rsidP="00612A71">
      <w:r w:rsidRPr="0091739F">
        <w:t xml:space="preserve">Sprenger, J. (2016a). </w:t>
      </w:r>
      <w:r w:rsidRPr="0091739F">
        <w:rPr>
          <w:i/>
        </w:rPr>
        <w:t>De moeizame slag om het publieke vertrouwen</w:t>
      </w:r>
      <w:r w:rsidRPr="0091739F">
        <w:t xml:space="preserve">. Den Haag/Amsterdam: Jeroen Sprenger. </w:t>
      </w:r>
    </w:p>
    <w:p w14:paraId="46652269" w14:textId="056B0C43" w:rsidR="00612A71" w:rsidRPr="0091739F" w:rsidRDefault="00612A71" w:rsidP="00612A71">
      <w:pPr>
        <w:rPr>
          <w:lang w:val="en-US"/>
        </w:rPr>
      </w:pPr>
      <w:r w:rsidRPr="0091739F">
        <w:t>Sprenger, J. (2016</w:t>
      </w:r>
      <w:r w:rsidR="00EC288A" w:rsidRPr="0091739F">
        <w:t>b</w:t>
      </w:r>
      <w:r w:rsidRPr="0091739F">
        <w:t xml:space="preserve">). Het EU-referendum van 2005. In A. W. Heringa (Ed.), </w:t>
      </w:r>
      <w:r w:rsidRPr="0091739F">
        <w:rPr>
          <w:i/>
          <w:iCs/>
        </w:rPr>
        <w:t>Het eerste raadgevend referendum: Het EU-Oekraïne Associatieakkoord</w:t>
      </w:r>
      <w:r w:rsidRPr="0091739F">
        <w:t xml:space="preserve"> (pp. 49-70). </w:t>
      </w:r>
      <w:r w:rsidRPr="0091739F">
        <w:rPr>
          <w:lang w:val="en-US"/>
        </w:rPr>
        <w:t>Den Haag: Montesquieu Instituut.</w:t>
      </w:r>
    </w:p>
    <w:p w14:paraId="30E5DFCD" w14:textId="794B539D" w:rsidR="00612A71" w:rsidRPr="0091739F" w:rsidRDefault="00612A71" w:rsidP="00612A71">
      <w:pPr>
        <w:rPr>
          <w:lang w:val="en-US"/>
        </w:rPr>
      </w:pPr>
      <w:r w:rsidRPr="0091739F">
        <w:rPr>
          <w:lang w:val="en-US"/>
        </w:rPr>
        <w:t xml:space="preserve">Steel, R. (1972). Cooling it. </w:t>
      </w:r>
      <w:r w:rsidRPr="0091739F">
        <w:rPr>
          <w:i/>
          <w:iCs/>
          <w:lang w:val="en-US"/>
        </w:rPr>
        <w:t>The New York Review of Books</w:t>
      </w:r>
      <w:r w:rsidRPr="0091739F">
        <w:rPr>
          <w:lang w:val="en-US"/>
        </w:rPr>
        <w:t>, 19(6), 43-46.</w:t>
      </w:r>
    </w:p>
    <w:p w14:paraId="59D3B02F" w14:textId="3617FF5B" w:rsidR="00D01198" w:rsidRPr="0091739F" w:rsidRDefault="00D01198" w:rsidP="00612A71">
      <w:r w:rsidRPr="0091739F">
        <w:t xml:space="preserve">‘T Hart, P. (1991). Twee typen groepsdenken: collectieve vermijding en overoptimisme. In P. ’t Hart, P. de Jong, and A. F. A. Korsten (Eds.), </w:t>
      </w:r>
      <w:r w:rsidRPr="0091739F">
        <w:rPr>
          <w:i/>
          <w:iCs/>
        </w:rPr>
        <w:t>Groepsdenken in het openbaar bestuur</w:t>
      </w:r>
      <w:r w:rsidRPr="0091739F">
        <w:t xml:space="preserve"> (pp. 82-93). Alphen aan den Rijn: Samsom H. D. Tjeenk Willink. </w:t>
      </w:r>
    </w:p>
    <w:p w14:paraId="25C3852F" w14:textId="181F579B" w:rsidR="0025701C" w:rsidRPr="0091739F" w:rsidRDefault="0025701C" w:rsidP="00612A71">
      <w:r w:rsidRPr="0091739F">
        <w:t>‘</w:t>
      </w:r>
      <w:r w:rsidR="00D01198" w:rsidRPr="0091739F">
        <w:t>T</w:t>
      </w:r>
      <w:r w:rsidRPr="0091739F">
        <w:t xml:space="preserve"> Hart, P., De Jong, P., &amp; Korsten, A. F. A. (1991). </w:t>
      </w:r>
      <w:r w:rsidRPr="0091739F">
        <w:rPr>
          <w:i/>
          <w:iCs/>
        </w:rPr>
        <w:t>Groepsdenken in het openbaar bestuur: cruciale beslissingen in kleine groepen.</w:t>
      </w:r>
      <w:r w:rsidRPr="0091739F">
        <w:t xml:space="preserve"> </w:t>
      </w:r>
      <w:r w:rsidR="00D01198" w:rsidRPr="0091739F">
        <w:t xml:space="preserve">Alphen aan den Rijn: Samsom H. D. Tjeenk Willink. </w:t>
      </w:r>
    </w:p>
    <w:p w14:paraId="7DC78426" w14:textId="2F08F271" w:rsidR="00612A71" w:rsidRPr="0091739F" w:rsidRDefault="00612A71" w:rsidP="00612A71">
      <w:pPr>
        <w:rPr>
          <w:lang w:val="en-US"/>
        </w:rPr>
      </w:pPr>
      <w:r w:rsidRPr="0091739F">
        <w:t xml:space="preserve">Ten Berge, L., &amp; Oteman, M. (2016). </w:t>
      </w:r>
      <w:r w:rsidRPr="0091739F">
        <w:rPr>
          <w:i/>
          <w:iCs/>
          <w:lang w:val="en-US"/>
        </w:rPr>
        <w:t>Inleiding Organisatiekunde</w:t>
      </w:r>
      <w:r w:rsidRPr="0091739F">
        <w:rPr>
          <w:lang w:val="en-US"/>
        </w:rPr>
        <w:t>. Coutinho: Bussum.</w:t>
      </w:r>
    </w:p>
    <w:p w14:paraId="771E8979" w14:textId="77777777" w:rsidR="00115BF3" w:rsidRPr="0091739F" w:rsidRDefault="00115BF3" w:rsidP="00115BF3">
      <w:r w:rsidRPr="0091739F">
        <w:rPr>
          <w:lang w:val="en-US"/>
        </w:rPr>
        <w:t xml:space="preserve">The SmartAgent Company. </w:t>
      </w:r>
      <w:r w:rsidRPr="0091739F">
        <w:t xml:space="preserve">(2005, January 17). </w:t>
      </w:r>
      <w:r w:rsidRPr="0091739F">
        <w:rPr>
          <w:i/>
        </w:rPr>
        <w:t>Rapportage Europees grondwettelijk verdrag: Kwalitatief onderzoek</w:t>
      </w:r>
      <w:r w:rsidRPr="0091739F">
        <w:t>. Leusden: The SmartAgent Company.</w:t>
      </w:r>
    </w:p>
    <w:p w14:paraId="698CD267" w14:textId="77777777" w:rsidR="00115BF3" w:rsidRPr="0091739F" w:rsidRDefault="00115BF3" w:rsidP="00115BF3">
      <w:r w:rsidRPr="0091739F">
        <w:t xml:space="preserve">Trouw. (2005a, January 28). Kabinet moet rustig aan doen; Vrees voor machtsvertoon in dure Europese campagne. </w:t>
      </w:r>
      <w:r w:rsidRPr="0091739F">
        <w:rPr>
          <w:i/>
        </w:rPr>
        <w:t>Trouw</w:t>
      </w:r>
      <w:r w:rsidRPr="0091739F">
        <w:t xml:space="preserve">, p. 5. </w:t>
      </w:r>
    </w:p>
    <w:p w14:paraId="5A70A58A" w14:textId="77777777" w:rsidR="00115BF3" w:rsidRPr="0091739F" w:rsidRDefault="00115BF3" w:rsidP="00115BF3">
      <w:r w:rsidRPr="0091739F">
        <w:t xml:space="preserve">Trouw. (2005b, May 25). ‘Bot voert een regentekse campagne voor de Grondwet’. </w:t>
      </w:r>
      <w:r w:rsidRPr="0091739F">
        <w:rPr>
          <w:i/>
          <w:iCs/>
        </w:rPr>
        <w:t xml:space="preserve">Trouw, </w:t>
      </w:r>
      <w:r w:rsidRPr="0091739F">
        <w:t>p. 3</w:t>
      </w:r>
    </w:p>
    <w:p w14:paraId="2E8B7D18" w14:textId="726197B1" w:rsidR="00115BF3" w:rsidRPr="0091739F" w:rsidRDefault="00115BF3" w:rsidP="00115BF3">
      <w:r w:rsidRPr="0091739F">
        <w:t>Tweede Kamer der Staten Generaal. (2003</w:t>
      </w:r>
      <w:r w:rsidR="00A77741" w:rsidRPr="0091739F">
        <w:t>a</w:t>
      </w:r>
      <w:r w:rsidRPr="0091739F">
        <w:t xml:space="preserve">, November 20). </w:t>
      </w:r>
      <w:r w:rsidRPr="0091739F">
        <w:rPr>
          <w:i/>
          <w:iCs/>
        </w:rPr>
        <w:t>Handeling</w:t>
      </w:r>
      <w:r w:rsidRPr="0091739F">
        <w:t xml:space="preserve">. Retrieved from </w:t>
      </w:r>
      <w:hyperlink r:id="rId35" w:history="1">
        <w:r w:rsidRPr="0091739F">
          <w:rPr>
            <w:rStyle w:val="Hyperlink"/>
            <w:color w:val="auto"/>
          </w:rPr>
          <w:t>https://zoek.officielebekendmakingen.nl/h-tk-20032004-1892-1909.html</w:t>
        </w:r>
      </w:hyperlink>
      <w:r w:rsidRPr="0091739F">
        <w:t>.</w:t>
      </w:r>
    </w:p>
    <w:p w14:paraId="2505596A" w14:textId="06EDE40A" w:rsidR="00A77741" w:rsidRPr="002910ED" w:rsidRDefault="00A77741" w:rsidP="00115BF3">
      <w:pPr>
        <w:rPr>
          <w:lang w:val="en-US"/>
        </w:rPr>
      </w:pPr>
      <w:r w:rsidRPr="0091739F">
        <w:t xml:space="preserve">Tweede Kamer der Staten Generaal. </w:t>
      </w:r>
      <w:r w:rsidRPr="002910ED">
        <w:rPr>
          <w:lang w:val="en-US"/>
        </w:rPr>
        <w:t xml:space="preserve">(2003b, November 25). </w:t>
      </w:r>
      <w:r w:rsidRPr="002910ED">
        <w:rPr>
          <w:i/>
          <w:iCs/>
          <w:lang w:val="en-US"/>
        </w:rPr>
        <w:t>Handeling</w:t>
      </w:r>
      <w:r w:rsidRPr="002910ED">
        <w:rPr>
          <w:lang w:val="en-US"/>
        </w:rPr>
        <w:t xml:space="preserve">. Retrieved from </w:t>
      </w:r>
      <w:hyperlink r:id="rId36" w:history="1">
        <w:r w:rsidR="004C7E34" w:rsidRPr="002910ED">
          <w:rPr>
            <w:rStyle w:val="Hyperlink"/>
            <w:color w:val="auto"/>
            <w:lang w:val="en-US"/>
          </w:rPr>
          <w:t>https://zoek.officielebekendmakingen.nl/h-tk-20032004-1938-1939.html</w:t>
        </w:r>
      </w:hyperlink>
      <w:r w:rsidR="004C7E34" w:rsidRPr="002910ED">
        <w:rPr>
          <w:lang w:val="en-US"/>
        </w:rPr>
        <w:t>.</w:t>
      </w:r>
    </w:p>
    <w:p w14:paraId="384AD304" w14:textId="77777777" w:rsidR="00115BF3" w:rsidRPr="0091739F" w:rsidRDefault="00115BF3" w:rsidP="00115BF3">
      <w:pPr>
        <w:rPr>
          <w:lang w:val="en-US"/>
        </w:rPr>
      </w:pPr>
      <w:r w:rsidRPr="0091739F">
        <w:t xml:space="preserve">Tweede Kamer der Staten Generaal. </w:t>
      </w:r>
      <w:r w:rsidRPr="0091739F">
        <w:rPr>
          <w:lang w:val="en-US"/>
        </w:rPr>
        <w:t xml:space="preserve">(2005b, February 24). </w:t>
      </w:r>
      <w:r w:rsidRPr="0091739F">
        <w:rPr>
          <w:i/>
          <w:iCs/>
          <w:lang w:val="en-US"/>
        </w:rPr>
        <w:t>Handeling</w:t>
      </w:r>
      <w:r w:rsidRPr="0091739F">
        <w:rPr>
          <w:lang w:val="en-US"/>
        </w:rPr>
        <w:t xml:space="preserve">. Retrieved from </w:t>
      </w:r>
      <w:hyperlink r:id="rId37" w:history="1">
        <w:r w:rsidRPr="0091739F">
          <w:rPr>
            <w:rStyle w:val="Hyperlink"/>
            <w:color w:val="auto"/>
            <w:lang w:val="en-US"/>
          </w:rPr>
          <w:t>https://zoek.officielebekendmakingen.nl/h-tk-20042005-3349-3354.html</w:t>
        </w:r>
      </w:hyperlink>
      <w:r w:rsidRPr="0091739F">
        <w:rPr>
          <w:lang w:val="en-US"/>
        </w:rPr>
        <w:t>.</w:t>
      </w:r>
    </w:p>
    <w:p w14:paraId="298E1D5E" w14:textId="77777777" w:rsidR="00115BF3" w:rsidRPr="0091739F" w:rsidRDefault="00115BF3" w:rsidP="00115BF3">
      <w:r w:rsidRPr="0091739F">
        <w:t xml:space="preserve">Tweede Kamer der Staten Generaal. (2005c, March 31). </w:t>
      </w:r>
      <w:r w:rsidRPr="0091739F">
        <w:rPr>
          <w:i/>
        </w:rPr>
        <w:t>Kamervragen (Aanhangsel)</w:t>
      </w:r>
      <w:r w:rsidRPr="0091739F">
        <w:t xml:space="preserve">. Retrieved from </w:t>
      </w:r>
      <w:hyperlink r:id="rId38" w:history="1">
        <w:r w:rsidRPr="0091739F">
          <w:rPr>
            <w:rStyle w:val="Hyperlink"/>
            <w:color w:val="auto"/>
          </w:rPr>
          <w:t>https://zoek.officielebekendmakingen.nl/ah-tk-20042005-1247.html</w:t>
        </w:r>
      </w:hyperlink>
      <w:r w:rsidRPr="0091739F">
        <w:t>.</w:t>
      </w:r>
    </w:p>
    <w:p w14:paraId="0549B12C" w14:textId="535A4FE7" w:rsidR="00115BF3" w:rsidRPr="0091739F" w:rsidRDefault="00115BF3" w:rsidP="00612A71">
      <w:pPr>
        <w:rPr>
          <w:lang w:val="en-US"/>
        </w:rPr>
      </w:pPr>
      <w:r w:rsidRPr="0091739F">
        <w:t xml:space="preserve">Tweede Kamer der Staten Generaal. </w:t>
      </w:r>
      <w:r w:rsidRPr="002910ED">
        <w:rPr>
          <w:lang w:val="en-US"/>
        </w:rPr>
        <w:t xml:space="preserve">(2005d, May 17). </w:t>
      </w:r>
      <w:r w:rsidRPr="0091739F">
        <w:rPr>
          <w:i/>
          <w:lang w:val="en-US"/>
        </w:rPr>
        <w:t>Vragenuur</w:t>
      </w:r>
      <w:r w:rsidRPr="0091739F">
        <w:rPr>
          <w:lang w:val="en-US"/>
        </w:rPr>
        <w:t xml:space="preserve">. Retrieved from </w:t>
      </w:r>
      <w:hyperlink r:id="rId39" w:history="1">
        <w:r w:rsidRPr="0091739F">
          <w:rPr>
            <w:rStyle w:val="Hyperlink"/>
            <w:color w:val="auto"/>
            <w:lang w:val="en-US"/>
          </w:rPr>
          <w:t>https://zoek.officielebekendmakingen.nl/h-tk-20042005-4821-4825.html</w:t>
        </w:r>
      </w:hyperlink>
      <w:r w:rsidRPr="0091739F">
        <w:rPr>
          <w:lang w:val="en-US"/>
        </w:rPr>
        <w:t>.</w:t>
      </w:r>
    </w:p>
    <w:p w14:paraId="6A25AD59" w14:textId="5D40FA04" w:rsidR="00612A71" w:rsidRPr="0091739F" w:rsidRDefault="00612A71" w:rsidP="00612A71">
      <w:r w:rsidRPr="0091739F">
        <w:t xml:space="preserve">Van den Berg, E. (2006). </w:t>
      </w:r>
      <w:r w:rsidRPr="0091739F">
        <w:rPr>
          <w:i/>
          <w:iCs/>
        </w:rPr>
        <w:t>De lange weg naar Brussel</w:t>
      </w:r>
      <w:r w:rsidRPr="0091739F">
        <w:t>. Den Haag: SCP.</w:t>
      </w:r>
    </w:p>
    <w:p w14:paraId="2632ADF2" w14:textId="77777777" w:rsidR="00D94AD7" w:rsidRPr="0091739F" w:rsidRDefault="00D94AD7" w:rsidP="00D94AD7">
      <w:pPr>
        <w:spacing w:before="240"/>
        <w:jc w:val="both"/>
      </w:pPr>
      <w:r w:rsidRPr="0091739F">
        <w:t xml:space="preserve">Van den Boogaard, R. (2005, April 15a). Grote partijen discussiëren over ‘ja’ of ‘ja’; Afwezigheid van Nederlands debat over EU-grondwet trekt internationaal de aandacht. </w:t>
      </w:r>
      <w:r w:rsidRPr="0091739F">
        <w:rPr>
          <w:i/>
          <w:iCs/>
        </w:rPr>
        <w:t>NRC Handelsblad</w:t>
      </w:r>
      <w:r w:rsidRPr="0091739F">
        <w:t>, p. 2.</w:t>
      </w:r>
    </w:p>
    <w:p w14:paraId="0147D291" w14:textId="77777777" w:rsidR="00D94AD7" w:rsidRPr="0091739F" w:rsidRDefault="00D94AD7" w:rsidP="00D94AD7">
      <w:r w:rsidRPr="0091739F">
        <w:t xml:space="preserve">Van den Boogaard, R. (2005, May 19b). Vrees komt uit: campagne gaat niet over Grondwet. </w:t>
      </w:r>
      <w:r w:rsidRPr="0091739F">
        <w:rPr>
          <w:i/>
          <w:iCs/>
        </w:rPr>
        <w:t>NRC Handelsblad</w:t>
      </w:r>
      <w:r w:rsidRPr="0091739F">
        <w:t>, p. 1.</w:t>
      </w:r>
    </w:p>
    <w:p w14:paraId="3B65BA40" w14:textId="77777777" w:rsidR="00D94AD7" w:rsidRPr="0091739F" w:rsidRDefault="00D94AD7" w:rsidP="00D94AD7">
      <w:r w:rsidRPr="0091739F">
        <w:t xml:space="preserve">Van den Boogaard, R. (2005, May 30c). Zendeling van het Europese Woord; Europese Grondwet Nicolaï opereert in spanningsveld VVD stelt geen eisen aan opkomst Nederlands referendum over 2 dagen. </w:t>
      </w:r>
      <w:r w:rsidRPr="0091739F">
        <w:rPr>
          <w:i/>
          <w:iCs/>
        </w:rPr>
        <w:t>NRC Handelsblad</w:t>
      </w:r>
      <w:r w:rsidRPr="0091739F">
        <w:t xml:space="preserve">, p. 2. </w:t>
      </w:r>
    </w:p>
    <w:p w14:paraId="48A6FE38" w14:textId="1EF4BCD5" w:rsidR="00D94AD7" w:rsidRDefault="00D94AD7" w:rsidP="00D94AD7">
      <w:pPr>
        <w:jc w:val="both"/>
      </w:pPr>
      <w:r w:rsidRPr="0091739F">
        <w:t xml:space="preserve">Van den Bos, A. (2005, May 10). Brinkhorst haalt uit naar tegenstemmers. </w:t>
      </w:r>
      <w:r w:rsidRPr="0091739F">
        <w:rPr>
          <w:i/>
          <w:iCs/>
        </w:rPr>
        <w:t>De Telegraaf</w:t>
      </w:r>
      <w:r w:rsidRPr="0091739F">
        <w:t>, p. 3.</w:t>
      </w:r>
    </w:p>
    <w:p w14:paraId="2DFD0869" w14:textId="74AE7AE6" w:rsidR="007C1A0F" w:rsidRPr="0091739F" w:rsidRDefault="007C1A0F" w:rsidP="00D94AD7">
      <w:pPr>
        <w:jc w:val="both"/>
      </w:pPr>
      <w:r w:rsidRPr="0091739F">
        <w:t xml:space="preserve">Van Heteren, G., &amp; Ter Kuile, S. (2005, March 11). </w:t>
      </w:r>
      <w:r w:rsidRPr="0091739F">
        <w:rPr>
          <w:i/>
          <w:iCs/>
        </w:rPr>
        <w:t>Verslag van een Algemeen Overleg</w:t>
      </w:r>
      <w:r w:rsidRPr="0091739F">
        <w:t>. Den Haag: Sdu Uitgevers.</w:t>
      </w:r>
    </w:p>
    <w:p w14:paraId="7C3E4DD5" w14:textId="77777777" w:rsidR="00F72469" w:rsidRPr="0091739F" w:rsidRDefault="00F72469" w:rsidP="00F72469">
      <w:pPr>
        <w:jc w:val="both"/>
        <w:rPr>
          <w:lang w:val="en-US"/>
        </w:rPr>
      </w:pPr>
      <w:r w:rsidRPr="0091739F">
        <w:t xml:space="preserve">Van der Hoeven, M. (2005, May 19). </w:t>
      </w:r>
      <w:r w:rsidRPr="0091739F">
        <w:rPr>
          <w:i/>
          <w:iCs/>
        </w:rPr>
        <w:t>De Week van M: Weblog</w:t>
      </w:r>
      <w:r w:rsidRPr="0091739F">
        <w:t xml:space="preserve">. </w:t>
      </w:r>
      <w:r w:rsidRPr="0091739F">
        <w:rPr>
          <w:lang w:val="en-US"/>
        </w:rPr>
        <w:t xml:space="preserve">Retrieved from </w:t>
      </w:r>
      <w:hyperlink r:id="rId40" w:history="1">
        <w:r w:rsidRPr="0091739F">
          <w:rPr>
            <w:rStyle w:val="Hyperlink"/>
            <w:color w:val="auto"/>
            <w:lang w:val="en-US"/>
          </w:rPr>
          <w:t>https://web.archive.org/web/20050522232640/www2.minocw.nl/bewindslieden/weekboek_m.jsp</w:t>
        </w:r>
      </w:hyperlink>
      <w:r w:rsidRPr="0091739F">
        <w:rPr>
          <w:lang w:val="en-US"/>
        </w:rPr>
        <w:t>.</w:t>
      </w:r>
    </w:p>
    <w:p w14:paraId="20C44FB6" w14:textId="64ADD24C" w:rsidR="00D94AD7" w:rsidRPr="00874288" w:rsidRDefault="00923813" w:rsidP="00923813">
      <w:pPr>
        <w:jc w:val="both"/>
        <w:rPr>
          <w:lang w:val="en-US"/>
        </w:rPr>
      </w:pPr>
      <w:r w:rsidRPr="0091739F">
        <w:t xml:space="preserve">Van der Laan, C. (2005, June 3). Nicolai is geschrokken maar niet gebroken. </w:t>
      </w:r>
      <w:r w:rsidRPr="00874288">
        <w:rPr>
          <w:i/>
          <w:iCs/>
          <w:lang w:val="en-US"/>
        </w:rPr>
        <w:t>Trouw</w:t>
      </w:r>
      <w:r w:rsidRPr="00874288">
        <w:rPr>
          <w:lang w:val="en-US"/>
        </w:rPr>
        <w:t>, p. V3.</w:t>
      </w:r>
    </w:p>
    <w:p w14:paraId="7B699A7A" w14:textId="203E20B1" w:rsidR="007C1A0F" w:rsidRPr="00874288" w:rsidRDefault="007C1A0F" w:rsidP="00923813">
      <w:pPr>
        <w:jc w:val="both"/>
      </w:pPr>
      <w:r w:rsidRPr="00874288">
        <w:rPr>
          <w:lang w:val="en-US"/>
        </w:rPr>
        <w:t xml:space="preserve">Van Praag, P., &amp; Van Aelst, P. (2010). </w:t>
      </w:r>
      <w:r w:rsidR="00503A50" w:rsidRPr="00503A50">
        <w:rPr>
          <w:lang w:val="en-US"/>
        </w:rPr>
        <w:t>Election Campaigns in Belgium a</w:t>
      </w:r>
      <w:r w:rsidR="00503A50">
        <w:rPr>
          <w:lang w:val="en-US"/>
        </w:rPr>
        <w:t xml:space="preserve">nd the Netherlands. Comparable Countries, Different Campaigns? </w:t>
      </w:r>
      <w:r w:rsidR="00503A50" w:rsidRPr="00874288">
        <w:rPr>
          <w:i/>
          <w:iCs/>
        </w:rPr>
        <w:t>Res Publica</w:t>
      </w:r>
      <w:r w:rsidR="00503A50" w:rsidRPr="00874288">
        <w:t xml:space="preserve">, 52(3), </w:t>
      </w:r>
      <w:r w:rsidR="008572ED" w:rsidRPr="00874288">
        <w:t>375-390.</w:t>
      </w:r>
    </w:p>
    <w:p w14:paraId="42781FCD" w14:textId="77777777" w:rsidR="00612A71" w:rsidRPr="0091739F" w:rsidRDefault="00612A71" w:rsidP="00612A71">
      <w:pPr>
        <w:rPr>
          <w:lang w:val="en-US"/>
        </w:rPr>
      </w:pPr>
      <w:r w:rsidRPr="0091739F">
        <w:t xml:space="preserve">Van Vulpen, B., Dressers, D., Cartens, E., &amp; Schulz, M. (2016). </w:t>
      </w:r>
      <w:r w:rsidRPr="0091739F">
        <w:rPr>
          <w:i/>
          <w:iCs/>
        </w:rPr>
        <w:t xml:space="preserve">Over de grenzen van onbehagen: Mediaverkenning van het thema ‘maatschappelijk onbehagen’ in België (Vlaanderen), Denemarken, Duitsland, Frankrijk, de Verenigde Staten en het Verenigd Koninkrijk in de periode 2010-2016. </w:t>
      </w:r>
      <w:r w:rsidRPr="0091739F">
        <w:rPr>
          <w:lang w:val="en-US"/>
        </w:rPr>
        <w:t>Den Haag: NSOB.</w:t>
      </w:r>
    </w:p>
    <w:p w14:paraId="1568C79A" w14:textId="0465DFAC" w:rsidR="00612A71" w:rsidRDefault="00612A71" w:rsidP="00612A71">
      <w:r w:rsidRPr="0091739F">
        <w:rPr>
          <w:lang w:val="en-US"/>
        </w:rPr>
        <w:t xml:space="preserve">Vanhoonacker, S., &amp; Wangen, P. (2015). Graham T. Allison, The Essence of Decision: Explaining the Cuban Missile Crisis. In M. Lodge, E.C. Page and S. J. Balla (Eds.) </w:t>
      </w:r>
      <w:r w:rsidRPr="0091739F">
        <w:rPr>
          <w:i/>
          <w:iCs/>
          <w:lang w:val="en-US"/>
        </w:rPr>
        <w:t>The Oxford Handbook of Classics in Public Policy and Administration</w:t>
      </w:r>
      <w:r w:rsidRPr="0091739F">
        <w:rPr>
          <w:lang w:val="en-US"/>
        </w:rPr>
        <w:t xml:space="preserve"> (pp. 272-287). </w:t>
      </w:r>
      <w:r w:rsidRPr="0091739F">
        <w:t>Oxford: Oxford University Press.</w:t>
      </w:r>
    </w:p>
    <w:p w14:paraId="6FBE2766" w14:textId="7A4B7C00" w:rsidR="00612A71" w:rsidRPr="0091739F" w:rsidRDefault="00612A71" w:rsidP="00612A71">
      <w:r w:rsidRPr="0091739F">
        <w:t>Verbeek, B., Vossen, K., &amp; Zaslove, A. (2019). De PVV en het Nederlandse buitenlands beleid. In G. Voerna</w:t>
      </w:r>
      <w:r w:rsidR="00234CAF" w:rsidRPr="0091739F">
        <w:t>n</w:t>
      </w:r>
      <w:r w:rsidRPr="0091739F">
        <w:t xml:space="preserve"> eb K. Vossen (Eds.), </w:t>
      </w:r>
      <w:r w:rsidRPr="0091739F">
        <w:rPr>
          <w:i/>
          <w:iCs/>
        </w:rPr>
        <w:t>Wilders Gewogen: 15 jaar reuring in de Nederlandse politiek</w:t>
      </w:r>
      <w:r w:rsidRPr="0091739F">
        <w:t xml:space="preserve"> (pp. 267-288). Amsterdam: Boom.</w:t>
      </w:r>
    </w:p>
    <w:p w14:paraId="3CE0FAE5" w14:textId="5DC5F7E4" w:rsidR="00234CAF" w:rsidRPr="00874288" w:rsidRDefault="00234CAF" w:rsidP="00234CAF">
      <w:pPr>
        <w:jc w:val="both"/>
      </w:pPr>
      <w:r w:rsidRPr="0091739F">
        <w:t xml:space="preserve">Versteegh, K., &amp; De Waard, M. (2005, April 27). De meerderheid zijgt, ook over Grondwet; Organisaties zijn voor maar alleen desgevraagd. </w:t>
      </w:r>
      <w:r w:rsidRPr="00874288">
        <w:rPr>
          <w:i/>
        </w:rPr>
        <w:t>NRC Handelsblad</w:t>
      </w:r>
      <w:r w:rsidRPr="00874288">
        <w:t>, p. 7.</w:t>
      </w:r>
    </w:p>
    <w:p w14:paraId="0EC3CAC3" w14:textId="7782F4EC" w:rsidR="008724CE" w:rsidRPr="00DA5C37" w:rsidRDefault="008724CE" w:rsidP="00234CAF">
      <w:pPr>
        <w:jc w:val="both"/>
      </w:pPr>
      <w:r w:rsidRPr="008724CE">
        <w:t>Voermans, W. (2008). Less</w:t>
      </w:r>
      <w:r>
        <w:t>en uit referenda?</w:t>
      </w:r>
      <w:r w:rsidR="00DA5C37">
        <w:t xml:space="preserve"> </w:t>
      </w:r>
      <w:r w:rsidR="00DA5C37">
        <w:rPr>
          <w:i/>
          <w:iCs/>
        </w:rPr>
        <w:t>Openbaar Bestuur</w:t>
      </w:r>
      <w:r w:rsidR="00DA5C37">
        <w:t>, 18(9), 2-9.</w:t>
      </w:r>
    </w:p>
    <w:p w14:paraId="6CFA66B1" w14:textId="3D93BE45" w:rsidR="00612A71" w:rsidRPr="0091739F" w:rsidRDefault="00612A71" w:rsidP="00612A71">
      <w:pPr>
        <w:jc w:val="both"/>
        <w:rPr>
          <w:lang w:val="en-US"/>
        </w:rPr>
      </w:pPr>
      <w:r w:rsidRPr="00874288">
        <w:rPr>
          <w:lang w:val="en-US"/>
        </w:rPr>
        <w:t xml:space="preserve">Walt, S. M. (1998). </w:t>
      </w:r>
      <w:r w:rsidRPr="0091739F">
        <w:rPr>
          <w:lang w:val="en-US"/>
        </w:rPr>
        <w:t xml:space="preserve">International Relations: One World, Many Theories. </w:t>
      </w:r>
      <w:r w:rsidRPr="0091739F">
        <w:rPr>
          <w:i/>
          <w:iCs/>
          <w:lang w:val="en-US"/>
        </w:rPr>
        <w:t>Foreign Policy</w:t>
      </w:r>
      <w:r w:rsidRPr="0091739F">
        <w:rPr>
          <w:lang w:val="en-US"/>
        </w:rPr>
        <w:t>, 110, 29-46.</w:t>
      </w:r>
    </w:p>
    <w:p w14:paraId="0EA6BAA0" w14:textId="77777777" w:rsidR="00FF37E8" w:rsidRPr="0091739F" w:rsidRDefault="00FF37E8" w:rsidP="00FF37E8">
      <w:pPr>
        <w:jc w:val="both"/>
        <w:rPr>
          <w:lang w:val="en-US"/>
        </w:rPr>
      </w:pPr>
      <w:r w:rsidRPr="0091739F">
        <w:rPr>
          <w:lang w:val="en-US"/>
        </w:rPr>
        <w:t xml:space="preserve">Wamsteker, S.(2005, May 28). ‘Balkenende is laks’. </w:t>
      </w:r>
      <w:r w:rsidRPr="0091739F">
        <w:rPr>
          <w:i/>
          <w:lang w:val="en-US"/>
        </w:rPr>
        <w:t>Trouw</w:t>
      </w:r>
      <w:r w:rsidRPr="0091739F">
        <w:rPr>
          <w:lang w:val="en-US"/>
        </w:rPr>
        <w:t>, p. V2.</w:t>
      </w:r>
    </w:p>
    <w:p w14:paraId="67F72080" w14:textId="1BDA4E6F" w:rsidR="00FF37E8" w:rsidRPr="0091739F" w:rsidRDefault="00FF37E8" w:rsidP="00612A71">
      <w:pPr>
        <w:jc w:val="both"/>
      </w:pPr>
      <w:r w:rsidRPr="0091739F">
        <w:rPr>
          <w:lang w:val="en-US"/>
        </w:rPr>
        <w:t xml:space="preserve">Wansink, H. (2005, May 31). </w:t>
      </w:r>
      <w:r w:rsidRPr="0091739F">
        <w:t xml:space="preserve">Ja-kamp in paniek; Haagse berichten. </w:t>
      </w:r>
      <w:r w:rsidRPr="0091739F">
        <w:rPr>
          <w:i/>
          <w:iCs/>
        </w:rPr>
        <w:t>de Volkskrant</w:t>
      </w:r>
      <w:r w:rsidRPr="0091739F">
        <w:t>, p. 13.</w:t>
      </w:r>
    </w:p>
    <w:p w14:paraId="5D429134" w14:textId="65A05AC7" w:rsidR="00612A71" w:rsidRPr="0091739F" w:rsidRDefault="00612A71" w:rsidP="00612A71">
      <w:pPr>
        <w:jc w:val="both"/>
        <w:rPr>
          <w:lang w:val="en-US"/>
        </w:rPr>
      </w:pPr>
      <w:r w:rsidRPr="0091739F">
        <w:rPr>
          <w:lang w:val="en-US"/>
        </w:rPr>
        <w:t xml:space="preserve">Weldes, J. (1998). Bureaucratic Politics: A Critical Constructivist Assessment. </w:t>
      </w:r>
      <w:r w:rsidRPr="0091739F">
        <w:rPr>
          <w:i/>
          <w:lang w:val="en-US"/>
        </w:rPr>
        <w:t>Mershon International Studies Review</w:t>
      </w:r>
      <w:r w:rsidRPr="0091739F">
        <w:rPr>
          <w:lang w:val="en-US"/>
        </w:rPr>
        <w:t>, 42(2), 216-225.</w:t>
      </w:r>
    </w:p>
    <w:p w14:paraId="53C76A58" w14:textId="1548CE06" w:rsidR="001A34F9" w:rsidRDefault="001A34F9" w:rsidP="00612A71">
      <w:pPr>
        <w:jc w:val="both"/>
      </w:pPr>
      <w:r w:rsidRPr="0091739F">
        <w:rPr>
          <w:lang w:val="en-US"/>
        </w:rPr>
        <w:t xml:space="preserve">Winninghoff, M., &amp; Jansen, A. (2005, March 8). </w:t>
      </w:r>
      <w:r w:rsidRPr="0091739F">
        <w:rPr>
          <w:i/>
        </w:rPr>
        <w:t>Kernboodschappen Europese Grondwet: Rapportage van een kwalitatief onderzoek</w:t>
      </w:r>
      <w:r w:rsidRPr="0091739F">
        <w:t>. Amsterdam: Bureau Ferro.</w:t>
      </w:r>
    </w:p>
    <w:p w14:paraId="25147966" w14:textId="0BB992C4" w:rsidR="00CA59A4" w:rsidRPr="00CA59A4" w:rsidRDefault="00CA59A4" w:rsidP="00612A71">
      <w:pPr>
        <w:jc w:val="both"/>
      </w:pPr>
      <w:r>
        <w:t xml:space="preserve">WRR. (2007). </w:t>
      </w:r>
      <w:r>
        <w:rPr>
          <w:i/>
          <w:iCs/>
        </w:rPr>
        <w:t>Europa in Nederland</w:t>
      </w:r>
      <w:r>
        <w:t>. Amsterdam: Amsterdam University Press.</w:t>
      </w:r>
    </w:p>
    <w:p w14:paraId="7B52BF14" w14:textId="760C04D4" w:rsidR="00194403" w:rsidRPr="0091739F" w:rsidRDefault="00194403" w:rsidP="00612A71">
      <w:pPr>
        <w:jc w:val="both"/>
      </w:pPr>
      <w:r w:rsidRPr="0091739F">
        <w:t xml:space="preserve">Zalm, G. (2009). </w:t>
      </w:r>
      <w:r w:rsidRPr="0091739F">
        <w:rPr>
          <w:i/>
          <w:iCs/>
        </w:rPr>
        <w:t>De romantische boekhouder</w:t>
      </w:r>
      <w:r w:rsidRPr="0091739F">
        <w:t xml:space="preserve"> [Memoires]. Amsterdam: Uitgeverij Balans.</w:t>
      </w:r>
    </w:p>
    <w:p w14:paraId="5DC9704D" w14:textId="77777777" w:rsidR="00612A71" w:rsidRPr="0091739F" w:rsidRDefault="00612A71" w:rsidP="00612A71">
      <w:pPr>
        <w:jc w:val="both"/>
        <w:rPr>
          <w:lang w:val="en-US"/>
        </w:rPr>
      </w:pPr>
      <w:r w:rsidRPr="00DD6CA6">
        <w:t xml:space="preserve">Zürn, M., Binder, M., &amp; Ecker-Ehrhardt, M. (2012). </w:t>
      </w:r>
      <w:r w:rsidRPr="0091739F">
        <w:rPr>
          <w:lang w:val="en-US"/>
        </w:rPr>
        <w:t xml:space="preserve">International authority and its politicization. </w:t>
      </w:r>
      <w:r w:rsidRPr="0091739F">
        <w:rPr>
          <w:i/>
          <w:iCs/>
          <w:lang w:val="en-US"/>
        </w:rPr>
        <w:t>International Theory</w:t>
      </w:r>
      <w:r w:rsidRPr="0091739F">
        <w:rPr>
          <w:lang w:val="en-US"/>
        </w:rPr>
        <w:t>, 4(1), 69-106.</w:t>
      </w:r>
    </w:p>
    <w:p w14:paraId="0C2D00D0" w14:textId="7474D55F" w:rsidR="000C5CA3" w:rsidRDefault="000C5CA3" w:rsidP="00FD62C4"/>
    <w:p w14:paraId="5CF460CA" w14:textId="1CAACDD0" w:rsidR="003B4242" w:rsidRDefault="003B4242">
      <w:r>
        <w:br w:type="page"/>
      </w:r>
    </w:p>
    <w:p w14:paraId="412A9D1D" w14:textId="68AB939D" w:rsidR="00FA19C1" w:rsidRPr="00A81153" w:rsidRDefault="00FA19C1" w:rsidP="00A81153">
      <w:pPr>
        <w:pStyle w:val="Kop1"/>
        <w:jc w:val="center"/>
        <w:rPr>
          <w:b/>
          <w:bCs/>
          <w:color w:val="auto"/>
          <w:lang w:val="en-US"/>
        </w:rPr>
      </w:pPr>
      <w:bookmarkStart w:id="66" w:name="_Toc48891327"/>
      <w:r w:rsidRPr="00A81153">
        <w:rPr>
          <w:b/>
          <w:bCs/>
          <w:color w:val="auto"/>
          <w:lang w:val="en-US"/>
        </w:rPr>
        <w:t>Appendix A</w:t>
      </w:r>
      <w:r w:rsidR="001A34F9" w:rsidRPr="00A81153">
        <w:rPr>
          <w:b/>
          <w:bCs/>
          <w:color w:val="auto"/>
          <w:lang w:val="en-US"/>
        </w:rPr>
        <w:t>: List of interviewees</w:t>
      </w:r>
      <w:bookmarkEnd w:id="66"/>
    </w:p>
    <w:p w14:paraId="149DC3EB" w14:textId="1E91010D" w:rsidR="00FA19C1" w:rsidRDefault="00FA19C1" w:rsidP="00FD62C4"/>
    <w:tbl>
      <w:tblPr>
        <w:tblStyle w:val="Rastertabel2"/>
        <w:tblW w:w="9918" w:type="dxa"/>
        <w:tblLook w:val="04A0" w:firstRow="1" w:lastRow="0" w:firstColumn="1" w:lastColumn="0" w:noHBand="0" w:noVBand="1"/>
      </w:tblPr>
      <w:tblGrid>
        <w:gridCol w:w="2272"/>
        <w:gridCol w:w="2452"/>
        <w:gridCol w:w="2642"/>
        <w:gridCol w:w="2552"/>
      </w:tblGrid>
      <w:tr w:rsidR="000831F6" w14:paraId="289E9373" w14:textId="77777777" w:rsidTr="00045C2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72" w:type="dxa"/>
          </w:tcPr>
          <w:p w14:paraId="7AE7FF20" w14:textId="106C99EE" w:rsidR="000831F6" w:rsidRPr="00045C21" w:rsidRDefault="000831F6" w:rsidP="005339D8">
            <w:pPr>
              <w:rPr>
                <w:b w:val="0"/>
                <w:bCs w:val="0"/>
              </w:rPr>
            </w:pPr>
            <w:r w:rsidRPr="00045C21">
              <w:rPr>
                <w:b w:val="0"/>
                <w:bCs w:val="0"/>
              </w:rPr>
              <w:t>T</w:t>
            </w:r>
            <w:r w:rsidR="00C158C8" w:rsidRPr="00045C21">
              <w:rPr>
                <w:b w:val="0"/>
                <w:bCs w:val="0"/>
              </w:rPr>
              <w:t>FR</w:t>
            </w:r>
          </w:p>
        </w:tc>
        <w:tc>
          <w:tcPr>
            <w:tcW w:w="2452" w:type="dxa"/>
          </w:tcPr>
          <w:p w14:paraId="31337007" w14:textId="5BA61EC4" w:rsidR="000831F6" w:rsidRPr="00045C21" w:rsidRDefault="000831F6" w:rsidP="005339D8">
            <w:pPr>
              <w:cnfStyle w:val="100000000000" w:firstRow="1" w:lastRow="0" w:firstColumn="0" w:lastColumn="0" w:oddVBand="0" w:evenVBand="0" w:oddHBand="0" w:evenHBand="0" w:firstRowFirstColumn="0" w:firstRowLastColumn="0" w:lastRowFirstColumn="0" w:lastRowLastColumn="0"/>
              <w:rPr>
                <w:b w:val="0"/>
                <w:bCs w:val="0"/>
              </w:rPr>
            </w:pPr>
            <w:r w:rsidRPr="00045C21">
              <w:rPr>
                <w:b w:val="0"/>
                <w:bCs w:val="0"/>
              </w:rPr>
              <w:t>P</w:t>
            </w:r>
            <w:r w:rsidR="00C158C8" w:rsidRPr="00045C21">
              <w:rPr>
                <w:b w:val="0"/>
                <w:bCs w:val="0"/>
              </w:rPr>
              <w:t>CG</w:t>
            </w:r>
          </w:p>
        </w:tc>
        <w:tc>
          <w:tcPr>
            <w:tcW w:w="2642" w:type="dxa"/>
          </w:tcPr>
          <w:p w14:paraId="0ABA6E30" w14:textId="6B61EB63" w:rsidR="000831F6" w:rsidRPr="00045C21" w:rsidRDefault="00045C21" w:rsidP="005339D8">
            <w:pPr>
              <w:cnfStyle w:val="100000000000" w:firstRow="1" w:lastRow="0" w:firstColumn="0" w:lastColumn="0" w:oddVBand="0" w:evenVBand="0" w:oddHBand="0" w:evenHBand="0" w:firstRowFirstColumn="0" w:firstRowLastColumn="0" w:lastRowFirstColumn="0" w:lastRowLastColumn="0"/>
              <w:rPr>
                <w:b w:val="0"/>
                <w:bCs w:val="0"/>
                <w:lang w:val="en-US"/>
              </w:rPr>
            </w:pPr>
            <w:r>
              <w:rPr>
                <w:b w:val="0"/>
                <w:bCs w:val="0"/>
                <w:lang w:val="en-US"/>
              </w:rPr>
              <w:t>Inside</w:t>
            </w:r>
            <w:r w:rsidR="008965E3" w:rsidRPr="00045C21">
              <w:rPr>
                <w:b w:val="0"/>
                <w:bCs w:val="0"/>
                <w:lang w:val="en-US"/>
              </w:rPr>
              <w:t xml:space="preserve"> experts</w:t>
            </w:r>
          </w:p>
        </w:tc>
        <w:tc>
          <w:tcPr>
            <w:tcW w:w="2552" w:type="dxa"/>
          </w:tcPr>
          <w:p w14:paraId="1D5D8AB2" w14:textId="02C904F7" w:rsidR="000831F6" w:rsidRPr="00045C21" w:rsidRDefault="008965E3" w:rsidP="005339D8">
            <w:pPr>
              <w:cnfStyle w:val="100000000000" w:firstRow="1" w:lastRow="0" w:firstColumn="0" w:lastColumn="0" w:oddVBand="0" w:evenVBand="0" w:oddHBand="0" w:evenHBand="0" w:firstRowFirstColumn="0" w:firstRowLastColumn="0" w:lastRowFirstColumn="0" w:lastRowLastColumn="0"/>
              <w:rPr>
                <w:b w:val="0"/>
                <w:bCs w:val="0"/>
              </w:rPr>
            </w:pPr>
            <w:r w:rsidRPr="00045C21">
              <w:rPr>
                <w:b w:val="0"/>
                <w:bCs w:val="0"/>
              </w:rPr>
              <w:t xml:space="preserve">External experts </w:t>
            </w:r>
          </w:p>
        </w:tc>
      </w:tr>
      <w:tr w:rsidR="000831F6" w:rsidRPr="00874288" w14:paraId="41BB6054" w14:textId="77777777" w:rsidTr="00045C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72" w:type="dxa"/>
          </w:tcPr>
          <w:p w14:paraId="7B41176C" w14:textId="77777777" w:rsidR="000831F6" w:rsidRPr="00045C21" w:rsidRDefault="000831F6" w:rsidP="005339D8">
            <w:pPr>
              <w:rPr>
                <w:b w:val="0"/>
                <w:bCs w:val="0"/>
                <w:u w:val="single"/>
                <w:lang w:val="en-US"/>
              </w:rPr>
            </w:pPr>
            <w:r w:rsidRPr="00045C21">
              <w:rPr>
                <w:b w:val="0"/>
                <w:bCs w:val="0"/>
                <w:u w:val="single"/>
                <w:lang w:val="en-US"/>
              </w:rPr>
              <w:t xml:space="preserve">Jan Goeijenbier </w:t>
            </w:r>
          </w:p>
          <w:p w14:paraId="668B72E0" w14:textId="3E165ED6" w:rsidR="000831F6" w:rsidRPr="00045C21" w:rsidRDefault="000831F6" w:rsidP="005339D8">
            <w:pPr>
              <w:rPr>
                <w:b w:val="0"/>
                <w:bCs w:val="0"/>
                <w:lang w:val="en-US"/>
              </w:rPr>
            </w:pPr>
            <w:r w:rsidRPr="00045C21">
              <w:rPr>
                <w:b w:val="0"/>
                <w:bCs w:val="0"/>
                <w:lang w:val="en-US"/>
              </w:rPr>
              <w:br/>
              <w:t>(</w:t>
            </w:r>
            <w:r w:rsidRPr="00045C21">
              <w:rPr>
                <w:b w:val="0"/>
                <w:bCs w:val="0"/>
                <w:i/>
                <w:iCs/>
                <w:lang w:val="en-US"/>
              </w:rPr>
              <w:t>project leader of the Taskforce Referendum</w:t>
            </w:r>
            <w:r w:rsidRPr="00045C21">
              <w:rPr>
                <w:b w:val="0"/>
                <w:bCs w:val="0"/>
                <w:lang w:val="en-US"/>
              </w:rPr>
              <w:t>)</w:t>
            </w:r>
          </w:p>
        </w:tc>
        <w:tc>
          <w:tcPr>
            <w:tcW w:w="2452" w:type="dxa"/>
          </w:tcPr>
          <w:p w14:paraId="41B27103" w14:textId="64AE5DE7" w:rsidR="000831F6" w:rsidRPr="003B4242" w:rsidRDefault="000831F6" w:rsidP="005339D8">
            <w:pPr>
              <w:cnfStyle w:val="000000100000" w:firstRow="0" w:lastRow="0" w:firstColumn="0" w:lastColumn="0" w:oddVBand="0" w:evenVBand="0" w:oddHBand="1" w:evenHBand="0" w:firstRowFirstColumn="0" w:firstRowLastColumn="0" w:lastRowFirstColumn="0" w:lastRowLastColumn="0"/>
              <w:rPr>
                <w:u w:val="single"/>
                <w:lang w:val="en-US"/>
              </w:rPr>
            </w:pPr>
            <w:r w:rsidRPr="003B4242">
              <w:rPr>
                <w:u w:val="single"/>
                <w:lang w:val="en-US"/>
              </w:rPr>
              <w:t>Atzo Nicolaï</w:t>
            </w:r>
          </w:p>
          <w:p w14:paraId="1055524B" w14:textId="77777777" w:rsidR="000831F6" w:rsidRPr="003B4242" w:rsidRDefault="000831F6" w:rsidP="005339D8">
            <w:pPr>
              <w:cnfStyle w:val="000000100000" w:firstRow="0" w:lastRow="0" w:firstColumn="0" w:lastColumn="0" w:oddVBand="0" w:evenVBand="0" w:oddHBand="1" w:evenHBand="0" w:firstRowFirstColumn="0" w:firstRowLastColumn="0" w:lastRowFirstColumn="0" w:lastRowLastColumn="0"/>
              <w:rPr>
                <w:lang w:val="en-US"/>
              </w:rPr>
            </w:pPr>
          </w:p>
          <w:p w14:paraId="0EC2DBE3" w14:textId="2266EC73" w:rsidR="000831F6" w:rsidRPr="00F20844" w:rsidRDefault="000831F6" w:rsidP="005339D8">
            <w:pPr>
              <w:cnfStyle w:val="000000100000" w:firstRow="0" w:lastRow="0" w:firstColumn="0" w:lastColumn="0" w:oddVBand="0" w:evenVBand="0" w:oddHBand="1" w:evenHBand="0" w:firstRowFirstColumn="0" w:firstRowLastColumn="0" w:lastRowFirstColumn="0" w:lastRowLastColumn="0"/>
              <w:rPr>
                <w:lang w:val="en-US"/>
              </w:rPr>
            </w:pPr>
            <w:r w:rsidRPr="00F20844">
              <w:rPr>
                <w:lang w:val="en-US"/>
              </w:rPr>
              <w:t>(</w:t>
            </w:r>
            <w:r w:rsidRPr="00045C21">
              <w:rPr>
                <w:i/>
                <w:iCs/>
                <w:lang w:val="en-US"/>
              </w:rPr>
              <w:t>State Secretary of Foreign Affairs on behalf of VVD; responsible for the cabinet’s campaign</w:t>
            </w:r>
            <w:r>
              <w:rPr>
                <w:lang w:val="en-US"/>
              </w:rPr>
              <w:t>)</w:t>
            </w:r>
          </w:p>
        </w:tc>
        <w:tc>
          <w:tcPr>
            <w:tcW w:w="2642" w:type="dxa"/>
          </w:tcPr>
          <w:p w14:paraId="248BF07B" w14:textId="77777777" w:rsidR="000831F6" w:rsidRPr="003B4242" w:rsidRDefault="00A462A6" w:rsidP="00A462A6">
            <w:pPr>
              <w:cnfStyle w:val="000000100000" w:firstRow="0" w:lastRow="0" w:firstColumn="0" w:lastColumn="0" w:oddVBand="0" w:evenVBand="0" w:oddHBand="1" w:evenHBand="0" w:firstRowFirstColumn="0" w:firstRowLastColumn="0" w:lastRowFirstColumn="0" w:lastRowLastColumn="0"/>
              <w:rPr>
                <w:u w:val="single"/>
                <w:lang w:val="en-US"/>
              </w:rPr>
            </w:pPr>
            <w:r w:rsidRPr="003B4242">
              <w:rPr>
                <w:u w:val="single"/>
                <w:lang w:val="en-US"/>
              </w:rPr>
              <w:t xml:space="preserve">Jozias van Aartsen </w:t>
            </w:r>
          </w:p>
          <w:p w14:paraId="2A3DD560" w14:textId="77777777" w:rsidR="00A462A6" w:rsidRPr="003B4242" w:rsidRDefault="00A462A6" w:rsidP="00A462A6">
            <w:pPr>
              <w:cnfStyle w:val="000000100000" w:firstRow="0" w:lastRow="0" w:firstColumn="0" w:lastColumn="0" w:oddVBand="0" w:evenVBand="0" w:oddHBand="1" w:evenHBand="0" w:firstRowFirstColumn="0" w:firstRowLastColumn="0" w:lastRowFirstColumn="0" w:lastRowLastColumn="0"/>
              <w:rPr>
                <w:lang w:val="en-US"/>
              </w:rPr>
            </w:pPr>
          </w:p>
          <w:p w14:paraId="517A7D2D" w14:textId="264BA3F2" w:rsidR="00A462A6" w:rsidRPr="00051AF5" w:rsidRDefault="00A462A6" w:rsidP="00A462A6">
            <w:pPr>
              <w:cnfStyle w:val="000000100000" w:firstRow="0" w:lastRow="0" w:firstColumn="0" w:lastColumn="0" w:oddVBand="0" w:evenVBand="0" w:oddHBand="1" w:evenHBand="0" w:firstRowFirstColumn="0" w:firstRowLastColumn="0" w:lastRowFirstColumn="0" w:lastRowLastColumn="0"/>
              <w:rPr>
                <w:lang w:val="en-US"/>
              </w:rPr>
            </w:pPr>
            <w:r w:rsidRPr="00AF3031">
              <w:rPr>
                <w:lang w:val="en-US"/>
              </w:rPr>
              <w:t>(</w:t>
            </w:r>
            <w:r w:rsidR="00AF3031" w:rsidRPr="00045C21">
              <w:rPr>
                <w:i/>
                <w:iCs/>
                <w:lang w:val="en-US"/>
              </w:rPr>
              <w:t xml:space="preserve">Political leader and parliamentary leader </w:t>
            </w:r>
            <w:r w:rsidR="00051AF5" w:rsidRPr="00045C21">
              <w:rPr>
                <w:i/>
                <w:iCs/>
                <w:lang w:val="en-US"/>
              </w:rPr>
              <w:t>in</w:t>
            </w:r>
            <w:r w:rsidR="00AF3031" w:rsidRPr="00045C21">
              <w:rPr>
                <w:i/>
                <w:iCs/>
                <w:lang w:val="en-US"/>
              </w:rPr>
              <w:t xml:space="preserve"> the</w:t>
            </w:r>
            <w:r w:rsidR="00051AF5" w:rsidRPr="00045C21">
              <w:rPr>
                <w:i/>
                <w:iCs/>
                <w:lang w:val="en-US"/>
              </w:rPr>
              <w:t xml:space="preserve"> Tweede Kamer for the VVD; former Minister of Foreign Affairs</w:t>
            </w:r>
            <w:r w:rsidR="00051AF5">
              <w:rPr>
                <w:lang w:val="en-US"/>
              </w:rPr>
              <w:t>)</w:t>
            </w:r>
          </w:p>
        </w:tc>
        <w:tc>
          <w:tcPr>
            <w:tcW w:w="2552" w:type="dxa"/>
          </w:tcPr>
          <w:p w14:paraId="2EAA0BFD" w14:textId="77777777" w:rsidR="00A462A6" w:rsidRPr="00045C21" w:rsidRDefault="00A462A6" w:rsidP="00A462A6">
            <w:pPr>
              <w:cnfStyle w:val="000000100000" w:firstRow="0" w:lastRow="0" w:firstColumn="0" w:lastColumn="0" w:oddVBand="0" w:evenVBand="0" w:oddHBand="1" w:evenHBand="0" w:firstRowFirstColumn="0" w:firstRowLastColumn="0" w:lastRowFirstColumn="0" w:lastRowLastColumn="0"/>
              <w:rPr>
                <w:u w:val="single"/>
                <w:lang w:val="en-US"/>
              </w:rPr>
            </w:pPr>
            <w:r w:rsidRPr="00045C21">
              <w:rPr>
                <w:u w:val="single"/>
                <w:lang w:val="en-US"/>
              </w:rPr>
              <w:t xml:space="preserve">Kees Aarts </w:t>
            </w:r>
          </w:p>
          <w:p w14:paraId="4C9AA90C" w14:textId="77777777" w:rsidR="00A462A6" w:rsidRPr="00A462A6" w:rsidRDefault="00A462A6" w:rsidP="00A462A6">
            <w:pPr>
              <w:cnfStyle w:val="000000100000" w:firstRow="0" w:lastRow="0" w:firstColumn="0" w:lastColumn="0" w:oddVBand="0" w:evenVBand="0" w:oddHBand="1" w:evenHBand="0" w:firstRowFirstColumn="0" w:firstRowLastColumn="0" w:lastRowFirstColumn="0" w:lastRowLastColumn="0"/>
              <w:rPr>
                <w:lang w:val="en-US"/>
              </w:rPr>
            </w:pPr>
          </w:p>
          <w:p w14:paraId="647A4524" w14:textId="49BC8E66" w:rsidR="000831F6" w:rsidRPr="00303509" w:rsidRDefault="00A462A6" w:rsidP="00A462A6">
            <w:pPr>
              <w:cnfStyle w:val="000000100000" w:firstRow="0" w:lastRow="0" w:firstColumn="0" w:lastColumn="0" w:oddVBand="0" w:evenVBand="0" w:oddHBand="1" w:evenHBand="0" w:firstRowFirstColumn="0" w:firstRowLastColumn="0" w:lastRowFirstColumn="0" w:lastRowLastColumn="0"/>
              <w:rPr>
                <w:lang w:val="en-US"/>
              </w:rPr>
            </w:pPr>
            <w:r w:rsidRPr="004C6C8F">
              <w:rPr>
                <w:lang w:val="en-US"/>
              </w:rPr>
              <w:t>(</w:t>
            </w:r>
            <w:r w:rsidRPr="00045C21">
              <w:rPr>
                <w:i/>
                <w:iCs/>
                <w:lang w:val="en-US"/>
              </w:rPr>
              <w:t>Professor of Political Institutions and Behaviour, Dean of the Faculty BSS at University of Groningen;</w:t>
            </w:r>
            <w:r w:rsidR="00C158C8" w:rsidRPr="00045C21">
              <w:rPr>
                <w:i/>
                <w:iCs/>
                <w:lang w:val="en-US"/>
              </w:rPr>
              <w:t xml:space="preserve"> He s</w:t>
            </w:r>
            <w:r w:rsidRPr="00045C21">
              <w:rPr>
                <w:i/>
                <w:iCs/>
                <w:lang w:val="en-US"/>
              </w:rPr>
              <w:t>pecializes in elections and electoral behavior</w:t>
            </w:r>
            <w:r>
              <w:rPr>
                <w:lang w:val="en-US"/>
              </w:rPr>
              <w:t>)</w:t>
            </w:r>
          </w:p>
        </w:tc>
      </w:tr>
      <w:tr w:rsidR="000831F6" w:rsidRPr="00874288" w14:paraId="4DE0585D" w14:textId="77777777" w:rsidTr="00045C21">
        <w:tc>
          <w:tcPr>
            <w:cnfStyle w:val="001000000000" w:firstRow="0" w:lastRow="0" w:firstColumn="1" w:lastColumn="0" w:oddVBand="0" w:evenVBand="0" w:oddHBand="0" w:evenHBand="0" w:firstRowFirstColumn="0" w:firstRowLastColumn="0" w:lastRowFirstColumn="0" w:lastRowLastColumn="0"/>
            <w:tcW w:w="2272" w:type="dxa"/>
          </w:tcPr>
          <w:p w14:paraId="4E98325D" w14:textId="77777777" w:rsidR="000831F6" w:rsidRPr="00045C21" w:rsidRDefault="000831F6" w:rsidP="005339D8">
            <w:pPr>
              <w:rPr>
                <w:b w:val="0"/>
                <w:bCs w:val="0"/>
                <w:u w:val="single"/>
                <w:lang w:val="en-US"/>
              </w:rPr>
            </w:pPr>
            <w:r w:rsidRPr="00045C21">
              <w:rPr>
                <w:b w:val="0"/>
                <w:bCs w:val="0"/>
                <w:u w:val="single"/>
                <w:lang w:val="en-US"/>
              </w:rPr>
              <w:t xml:space="preserve">Thijs van der Plas </w:t>
            </w:r>
          </w:p>
          <w:p w14:paraId="4C6B3FB8" w14:textId="78DCEDB5" w:rsidR="000831F6" w:rsidRPr="00045C21" w:rsidRDefault="000831F6" w:rsidP="005339D8">
            <w:pPr>
              <w:rPr>
                <w:b w:val="0"/>
                <w:bCs w:val="0"/>
                <w:lang w:val="en-US"/>
              </w:rPr>
            </w:pPr>
            <w:r w:rsidRPr="00045C21">
              <w:rPr>
                <w:b w:val="0"/>
                <w:bCs w:val="0"/>
                <w:lang w:val="en-US"/>
              </w:rPr>
              <w:br/>
              <w:t>(</w:t>
            </w:r>
            <w:r w:rsidRPr="00045C21">
              <w:rPr>
                <w:b w:val="0"/>
                <w:bCs w:val="0"/>
                <w:i/>
                <w:iCs/>
                <w:lang w:val="en-US"/>
              </w:rPr>
              <w:t>Deputy project leader of the Taskforce; strategic advisor</w:t>
            </w:r>
            <w:r w:rsidRPr="00045C21">
              <w:rPr>
                <w:b w:val="0"/>
                <w:bCs w:val="0"/>
                <w:lang w:val="en-US"/>
              </w:rPr>
              <w:t>)</w:t>
            </w:r>
          </w:p>
        </w:tc>
        <w:tc>
          <w:tcPr>
            <w:tcW w:w="2452" w:type="dxa"/>
          </w:tcPr>
          <w:p w14:paraId="4AA17AE8" w14:textId="3FD0EC22" w:rsidR="000831F6" w:rsidRPr="003B4242" w:rsidRDefault="000831F6" w:rsidP="005339D8">
            <w:pPr>
              <w:cnfStyle w:val="000000000000" w:firstRow="0" w:lastRow="0" w:firstColumn="0" w:lastColumn="0" w:oddVBand="0" w:evenVBand="0" w:oddHBand="0" w:evenHBand="0" w:firstRowFirstColumn="0" w:firstRowLastColumn="0" w:lastRowFirstColumn="0" w:lastRowLastColumn="0"/>
              <w:rPr>
                <w:u w:val="single"/>
                <w:lang w:val="en-US"/>
              </w:rPr>
            </w:pPr>
            <w:r w:rsidRPr="003B4242">
              <w:rPr>
                <w:u w:val="single"/>
                <w:lang w:val="en-US"/>
              </w:rPr>
              <w:t xml:space="preserve">Gerrit Zalm </w:t>
            </w:r>
          </w:p>
          <w:p w14:paraId="4CFF9FBB" w14:textId="77777777" w:rsidR="000831F6" w:rsidRPr="003B4242" w:rsidRDefault="000831F6" w:rsidP="005339D8">
            <w:pPr>
              <w:cnfStyle w:val="000000000000" w:firstRow="0" w:lastRow="0" w:firstColumn="0" w:lastColumn="0" w:oddVBand="0" w:evenVBand="0" w:oddHBand="0" w:evenHBand="0" w:firstRowFirstColumn="0" w:firstRowLastColumn="0" w:lastRowFirstColumn="0" w:lastRowLastColumn="0"/>
              <w:rPr>
                <w:lang w:val="en-US"/>
              </w:rPr>
            </w:pPr>
          </w:p>
          <w:p w14:paraId="49786171" w14:textId="6A0C4788" w:rsidR="000831F6" w:rsidRPr="00257A73" w:rsidRDefault="000831F6" w:rsidP="005339D8">
            <w:pPr>
              <w:cnfStyle w:val="000000000000" w:firstRow="0" w:lastRow="0" w:firstColumn="0" w:lastColumn="0" w:oddVBand="0" w:evenVBand="0" w:oddHBand="0" w:evenHBand="0" w:firstRowFirstColumn="0" w:firstRowLastColumn="0" w:lastRowFirstColumn="0" w:lastRowLastColumn="0"/>
              <w:rPr>
                <w:lang w:val="en-US"/>
              </w:rPr>
            </w:pPr>
            <w:r w:rsidRPr="00257A73">
              <w:rPr>
                <w:lang w:val="en-US"/>
              </w:rPr>
              <w:t>(</w:t>
            </w:r>
            <w:r w:rsidRPr="00045C21">
              <w:rPr>
                <w:i/>
                <w:iCs/>
                <w:lang w:val="en-US"/>
              </w:rPr>
              <w:t>Minister of Finance and Vice Prime Minister on behalf of VVD</w:t>
            </w:r>
            <w:r>
              <w:rPr>
                <w:lang w:val="en-US"/>
              </w:rPr>
              <w:t>)</w:t>
            </w:r>
          </w:p>
        </w:tc>
        <w:tc>
          <w:tcPr>
            <w:tcW w:w="2642" w:type="dxa"/>
          </w:tcPr>
          <w:p w14:paraId="6791C0B1" w14:textId="77777777" w:rsidR="00A462A6" w:rsidRPr="00045C21" w:rsidRDefault="00A462A6" w:rsidP="00A462A6">
            <w:pPr>
              <w:cnfStyle w:val="000000000000" w:firstRow="0" w:lastRow="0" w:firstColumn="0" w:lastColumn="0" w:oddVBand="0" w:evenVBand="0" w:oddHBand="0" w:evenHBand="0" w:firstRowFirstColumn="0" w:firstRowLastColumn="0" w:lastRowFirstColumn="0" w:lastRowLastColumn="0"/>
              <w:rPr>
                <w:u w:val="single"/>
                <w:lang w:val="en-US"/>
              </w:rPr>
            </w:pPr>
            <w:r w:rsidRPr="00045C21">
              <w:rPr>
                <w:u w:val="single"/>
                <w:lang w:val="en-US"/>
              </w:rPr>
              <w:t xml:space="preserve">Jeroen Sprenger </w:t>
            </w:r>
          </w:p>
          <w:p w14:paraId="5D9A3ABD" w14:textId="77777777" w:rsidR="00A462A6" w:rsidRPr="00A462A6" w:rsidRDefault="00A462A6" w:rsidP="00A462A6">
            <w:pPr>
              <w:cnfStyle w:val="000000000000" w:firstRow="0" w:lastRow="0" w:firstColumn="0" w:lastColumn="0" w:oddVBand="0" w:evenVBand="0" w:oddHBand="0" w:evenHBand="0" w:firstRowFirstColumn="0" w:firstRowLastColumn="0" w:lastRowFirstColumn="0" w:lastRowLastColumn="0"/>
              <w:rPr>
                <w:lang w:val="en-US"/>
              </w:rPr>
            </w:pPr>
          </w:p>
          <w:p w14:paraId="4216E939" w14:textId="00CC48D8" w:rsidR="000831F6" w:rsidRPr="00A462A6" w:rsidRDefault="00A462A6" w:rsidP="00A462A6">
            <w:pPr>
              <w:cnfStyle w:val="000000000000" w:firstRow="0" w:lastRow="0" w:firstColumn="0" w:lastColumn="0" w:oddVBand="0" w:evenVBand="0" w:oddHBand="0" w:evenHBand="0" w:firstRowFirstColumn="0" w:firstRowLastColumn="0" w:lastRowFirstColumn="0" w:lastRowLastColumn="0"/>
              <w:rPr>
                <w:lang w:val="en-US"/>
              </w:rPr>
            </w:pPr>
            <w:r w:rsidRPr="00071B09">
              <w:rPr>
                <w:lang w:val="en-US"/>
              </w:rPr>
              <w:t>(</w:t>
            </w:r>
            <w:r w:rsidRPr="00045C21">
              <w:rPr>
                <w:i/>
                <w:iCs/>
                <w:lang w:val="en-US"/>
              </w:rPr>
              <w:t>Director Information at the Ministry of Finance and member of the Working group Communications; was the project leader in the Euro-introduction campaign</w:t>
            </w:r>
            <w:r>
              <w:rPr>
                <w:lang w:val="en-US"/>
              </w:rPr>
              <w:t>)</w:t>
            </w:r>
          </w:p>
        </w:tc>
        <w:tc>
          <w:tcPr>
            <w:tcW w:w="2552" w:type="dxa"/>
          </w:tcPr>
          <w:p w14:paraId="47B1A072" w14:textId="77777777" w:rsidR="000C42AD" w:rsidRPr="003B4242" w:rsidRDefault="00A462A6" w:rsidP="005339D8">
            <w:pPr>
              <w:cnfStyle w:val="000000000000" w:firstRow="0" w:lastRow="0" w:firstColumn="0" w:lastColumn="0" w:oddVBand="0" w:evenVBand="0" w:oddHBand="0" w:evenHBand="0" w:firstRowFirstColumn="0" w:firstRowLastColumn="0" w:lastRowFirstColumn="0" w:lastRowLastColumn="0"/>
              <w:rPr>
                <w:u w:val="single"/>
                <w:lang w:val="en-US"/>
              </w:rPr>
            </w:pPr>
            <w:r w:rsidRPr="003B4242">
              <w:rPr>
                <w:u w:val="single"/>
                <w:lang w:val="en-US"/>
              </w:rPr>
              <w:t>Rob Boudewijn</w:t>
            </w:r>
          </w:p>
          <w:p w14:paraId="287176A2" w14:textId="77777777" w:rsidR="000831F6" w:rsidRDefault="000831F6" w:rsidP="005339D8">
            <w:pPr>
              <w:cnfStyle w:val="000000000000" w:firstRow="0" w:lastRow="0" w:firstColumn="0" w:lastColumn="0" w:oddVBand="0" w:evenVBand="0" w:oddHBand="0" w:evenHBand="0" w:firstRowFirstColumn="0" w:firstRowLastColumn="0" w:lastRowFirstColumn="0" w:lastRowLastColumn="0"/>
              <w:rPr>
                <w:lang w:val="en-US"/>
              </w:rPr>
            </w:pPr>
          </w:p>
          <w:p w14:paraId="2A3EFF99" w14:textId="449E03F1" w:rsidR="000C42AD" w:rsidRPr="004C6C8F" w:rsidRDefault="000C42AD" w:rsidP="005339D8">
            <w:pPr>
              <w:cnfStyle w:val="000000000000" w:firstRow="0" w:lastRow="0" w:firstColumn="0" w:lastColumn="0" w:oddVBand="0" w:evenVBand="0" w:oddHBand="0" w:evenHBand="0" w:firstRowFirstColumn="0" w:firstRowLastColumn="0" w:lastRowFirstColumn="0" w:lastRowLastColumn="0"/>
              <w:rPr>
                <w:lang w:val="en-US"/>
              </w:rPr>
            </w:pPr>
            <w:r>
              <w:rPr>
                <w:lang w:val="en-US"/>
              </w:rPr>
              <w:t>(</w:t>
            </w:r>
            <w:r w:rsidRPr="00045C21">
              <w:rPr>
                <w:i/>
                <w:iCs/>
                <w:lang w:val="en-US"/>
              </w:rPr>
              <w:t>Training-director at Europainstituut.nl. He specializes in European affairs and was employed by Clingendael Institute at the time</w:t>
            </w:r>
            <w:r>
              <w:rPr>
                <w:lang w:val="en-US"/>
              </w:rPr>
              <w:t>)</w:t>
            </w:r>
          </w:p>
        </w:tc>
      </w:tr>
      <w:tr w:rsidR="000831F6" w:rsidRPr="00874288" w14:paraId="6571E4F1" w14:textId="77777777" w:rsidTr="00045C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72" w:type="dxa"/>
          </w:tcPr>
          <w:p w14:paraId="20290F57" w14:textId="059F9870" w:rsidR="000831F6" w:rsidRPr="003B4242" w:rsidRDefault="000831F6" w:rsidP="005339D8">
            <w:pPr>
              <w:rPr>
                <w:b w:val="0"/>
                <w:bCs w:val="0"/>
                <w:u w:val="single"/>
                <w:lang w:val="en-US"/>
              </w:rPr>
            </w:pPr>
            <w:r w:rsidRPr="003B4242">
              <w:rPr>
                <w:b w:val="0"/>
                <w:bCs w:val="0"/>
                <w:u w:val="single"/>
                <w:lang w:val="en-US"/>
              </w:rPr>
              <w:t xml:space="preserve">Rigtje Passchier </w:t>
            </w:r>
          </w:p>
          <w:p w14:paraId="56A7A973" w14:textId="77777777" w:rsidR="000831F6" w:rsidRPr="003B4242" w:rsidRDefault="000831F6" w:rsidP="005339D8">
            <w:pPr>
              <w:rPr>
                <w:b w:val="0"/>
                <w:bCs w:val="0"/>
                <w:lang w:val="en-US"/>
              </w:rPr>
            </w:pPr>
          </w:p>
          <w:p w14:paraId="32AAC213" w14:textId="172201C5" w:rsidR="000831F6" w:rsidRPr="00045C21" w:rsidRDefault="000831F6" w:rsidP="005339D8">
            <w:pPr>
              <w:rPr>
                <w:b w:val="0"/>
                <w:bCs w:val="0"/>
                <w:lang w:val="en-US"/>
              </w:rPr>
            </w:pPr>
            <w:r w:rsidRPr="00045C21">
              <w:rPr>
                <w:b w:val="0"/>
                <w:bCs w:val="0"/>
                <w:lang w:val="en-US"/>
              </w:rPr>
              <w:t>(</w:t>
            </w:r>
            <w:r w:rsidRPr="00045C21">
              <w:rPr>
                <w:b w:val="0"/>
                <w:bCs w:val="0"/>
                <w:i/>
                <w:iCs/>
                <w:lang w:val="en-US"/>
              </w:rPr>
              <w:t>Civil servant for the Ministry of Foreign Affairs; member of the Taskforce responsible for public information and the execution of mass-media activities</w:t>
            </w:r>
            <w:r w:rsidRPr="00045C21">
              <w:rPr>
                <w:b w:val="0"/>
                <w:bCs w:val="0"/>
                <w:lang w:val="en-US"/>
              </w:rPr>
              <w:t>)</w:t>
            </w:r>
          </w:p>
        </w:tc>
        <w:tc>
          <w:tcPr>
            <w:tcW w:w="2452" w:type="dxa"/>
          </w:tcPr>
          <w:p w14:paraId="629600BF" w14:textId="791C736C" w:rsidR="000831F6" w:rsidRPr="00045C21" w:rsidRDefault="000831F6" w:rsidP="005339D8">
            <w:pPr>
              <w:cnfStyle w:val="000000100000" w:firstRow="0" w:lastRow="0" w:firstColumn="0" w:lastColumn="0" w:oddVBand="0" w:evenVBand="0" w:oddHBand="1" w:evenHBand="0" w:firstRowFirstColumn="0" w:firstRowLastColumn="0" w:lastRowFirstColumn="0" w:lastRowLastColumn="0"/>
              <w:rPr>
                <w:u w:val="single"/>
                <w:lang w:val="en-US"/>
              </w:rPr>
            </w:pPr>
            <w:r w:rsidRPr="00045C21">
              <w:rPr>
                <w:u w:val="single"/>
                <w:lang w:val="en-US"/>
              </w:rPr>
              <w:t>Staff: Kees Berghuis</w:t>
            </w:r>
          </w:p>
          <w:p w14:paraId="5384DD7C" w14:textId="77777777" w:rsidR="000831F6" w:rsidRPr="00257A73" w:rsidRDefault="000831F6" w:rsidP="005339D8">
            <w:pPr>
              <w:cnfStyle w:val="000000100000" w:firstRow="0" w:lastRow="0" w:firstColumn="0" w:lastColumn="0" w:oddVBand="0" w:evenVBand="0" w:oddHBand="1" w:evenHBand="0" w:firstRowFirstColumn="0" w:firstRowLastColumn="0" w:lastRowFirstColumn="0" w:lastRowLastColumn="0"/>
              <w:rPr>
                <w:lang w:val="en-US"/>
              </w:rPr>
            </w:pPr>
          </w:p>
          <w:p w14:paraId="5BE42805" w14:textId="21980AC9" w:rsidR="000831F6" w:rsidRPr="00257A73" w:rsidRDefault="000831F6" w:rsidP="005339D8">
            <w:pPr>
              <w:cnfStyle w:val="000000100000" w:firstRow="0" w:lastRow="0" w:firstColumn="0" w:lastColumn="0" w:oddVBand="0" w:evenVBand="0" w:oddHBand="1" w:evenHBand="0" w:firstRowFirstColumn="0" w:firstRowLastColumn="0" w:lastRowFirstColumn="0" w:lastRowLastColumn="0"/>
              <w:rPr>
                <w:lang w:val="en-US"/>
              </w:rPr>
            </w:pPr>
            <w:r w:rsidRPr="00257A73">
              <w:rPr>
                <w:lang w:val="en-US"/>
              </w:rPr>
              <w:t>(</w:t>
            </w:r>
            <w:r w:rsidRPr="00045C21">
              <w:rPr>
                <w:i/>
                <w:iCs/>
                <w:lang w:val="en-US"/>
              </w:rPr>
              <w:t>Political assistant to Gerrit Zalm; member of the Working group Communications</w:t>
            </w:r>
            <w:r>
              <w:rPr>
                <w:lang w:val="en-US"/>
              </w:rPr>
              <w:t>)</w:t>
            </w:r>
          </w:p>
        </w:tc>
        <w:tc>
          <w:tcPr>
            <w:tcW w:w="2642" w:type="dxa"/>
          </w:tcPr>
          <w:p w14:paraId="5E82D34A" w14:textId="77777777" w:rsidR="00051AF5" w:rsidRPr="003B4242" w:rsidRDefault="00051AF5" w:rsidP="005339D8">
            <w:pPr>
              <w:cnfStyle w:val="000000100000" w:firstRow="0" w:lastRow="0" w:firstColumn="0" w:lastColumn="0" w:oddVBand="0" w:evenVBand="0" w:oddHBand="1" w:evenHBand="0" w:firstRowFirstColumn="0" w:firstRowLastColumn="0" w:lastRowFirstColumn="0" w:lastRowLastColumn="0"/>
              <w:rPr>
                <w:u w:val="single"/>
                <w:lang w:val="en-US"/>
              </w:rPr>
            </w:pPr>
            <w:r w:rsidRPr="003B4242">
              <w:rPr>
                <w:u w:val="single"/>
                <w:lang w:val="en-US"/>
              </w:rPr>
              <w:t xml:space="preserve">Gijs de Vries </w:t>
            </w:r>
          </w:p>
          <w:p w14:paraId="38A01E61" w14:textId="77777777" w:rsidR="00051AF5" w:rsidRPr="003B4242" w:rsidRDefault="00051AF5" w:rsidP="005339D8">
            <w:pPr>
              <w:cnfStyle w:val="000000100000" w:firstRow="0" w:lastRow="0" w:firstColumn="0" w:lastColumn="0" w:oddVBand="0" w:evenVBand="0" w:oddHBand="1" w:evenHBand="0" w:firstRowFirstColumn="0" w:firstRowLastColumn="0" w:lastRowFirstColumn="0" w:lastRowLastColumn="0"/>
              <w:rPr>
                <w:lang w:val="en-US"/>
              </w:rPr>
            </w:pPr>
          </w:p>
          <w:p w14:paraId="6D80647E" w14:textId="5F4227AD" w:rsidR="000831F6" w:rsidRPr="00087E56" w:rsidRDefault="00051AF5" w:rsidP="005339D8">
            <w:pPr>
              <w:cnfStyle w:val="000000100000" w:firstRow="0" w:lastRow="0" w:firstColumn="0" w:lastColumn="0" w:oddVBand="0" w:evenVBand="0" w:oddHBand="1" w:evenHBand="0" w:firstRowFirstColumn="0" w:firstRowLastColumn="0" w:lastRowFirstColumn="0" w:lastRowLastColumn="0"/>
              <w:rPr>
                <w:lang w:val="en-US"/>
              </w:rPr>
            </w:pPr>
            <w:r w:rsidRPr="00087E56">
              <w:rPr>
                <w:lang w:val="en-US"/>
              </w:rPr>
              <w:t>(</w:t>
            </w:r>
            <w:r w:rsidR="00087E56" w:rsidRPr="00045C21">
              <w:rPr>
                <w:i/>
                <w:iCs/>
                <w:lang w:val="en-US"/>
              </w:rPr>
              <w:t>Representative of the Dutch government during the European Convention; former</w:t>
            </w:r>
            <w:r w:rsidR="0007687A" w:rsidRPr="00045C21">
              <w:rPr>
                <w:i/>
                <w:iCs/>
                <w:lang w:val="en-US"/>
              </w:rPr>
              <w:t xml:space="preserve"> State Secretary of the Interior; </w:t>
            </w:r>
            <w:r w:rsidR="00087E56" w:rsidRPr="00045C21">
              <w:rPr>
                <w:i/>
                <w:iCs/>
                <w:lang w:val="en-US"/>
              </w:rPr>
              <w:t>Member of the VVD</w:t>
            </w:r>
            <w:r w:rsidR="0007687A" w:rsidRPr="00045C21">
              <w:rPr>
                <w:i/>
                <w:iCs/>
                <w:lang w:val="en-US"/>
              </w:rPr>
              <w:t xml:space="preserve"> at the time</w:t>
            </w:r>
            <w:r w:rsidRPr="00087E56">
              <w:rPr>
                <w:lang w:val="en-US"/>
              </w:rPr>
              <w:t>)</w:t>
            </w:r>
          </w:p>
        </w:tc>
        <w:tc>
          <w:tcPr>
            <w:tcW w:w="2552" w:type="dxa"/>
          </w:tcPr>
          <w:p w14:paraId="00C439D0" w14:textId="52A05F99" w:rsidR="000831F6" w:rsidRPr="003B4242" w:rsidRDefault="000831F6" w:rsidP="005339D8">
            <w:pPr>
              <w:cnfStyle w:val="000000100000" w:firstRow="0" w:lastRow="0" w:firstColumn="0" w:lastColumn="0" w:oddVBand="0" w:evenVBand="0" w:oddHBand="1" w:evenHBand="0" w:firstRowFirstColumn="0" w:firstRowLastColumn="0" w:lastRowFirstColumn="0" w:lastRowLastColumn="0"/>
              <w:rPr>
                <w:u w:val="single"/>
                <w:lang w:val="en-US"/>
              </w:rPr>
            </w:pPr>
            <w:r w:rsidRPr="003B4242">
              <w:rPr>
                <w:u w:val="single"/>
                <w:lang w:val="en-US"/>
              </w:rPr>
              <w:t>Kees Versteegh</w:t>
            </w:r>
          </w:p>
          <w:p w14:paraId="7B1EA23C" w14:textId="77777777" w:rsidR="000831F6" w:rsidRPr="003B4242" w:rsidRDefault="000831F6" w:rsidP="005339D8">
            <w:pPr>
              <w:cnfStyle w:val="000000100000" w:firstRow="0" w:lastRow="0" w:firstColumn="0" w:lastColumn="0" w:oddVBand="0" w:evenVBand="0" w:oddHBand="1" w:evenHBand="0" w:firstRowFirstColumn="0" w:firstRowLastColumn="0" w:lastRowFirstColumn="0" w:lastRowLastColumn="0"/>
              <w:rPr>
                <w:lang w:val="en-US"/>
              </w:rPr>
            </w:pPr>
          </w:p>
          <w:p w14:paraId="5AE02ED7" w14:textId="7D80AA88" w:rsidR="000831F6" w:rsidRPr="000831F6" w:rsidRDefault="000831F6" w:rsidP="005339D8">
            <w:pPr>
              <w:cnfStyle w:val="000000100000" w:firstRow="0" w:lastRow="0" w:firstColumn="0" w:lastColumn="0" w:oddVBand="0" w:evenVBand="0" w:oddHBand="1" w:evenHBand="0" w:firstRowFirstColumn="0" w:firstRowLastColumn="0" w:lastRowFirstColumn="0" w:lastRowLastColumn="0"/>
              <w:rPr>
                <w:lang w:val="en-US"/>
              </w:rPr>
            </w:pPr>
            <w:r w:rsidRPr="000831F6">
              <w:rPr>
                <w:lang w:val="en-US"/>
              </w:rPr>
              <w:t>(</w:t>
            </w:r>
            <w:r w:rsidRPr="00045C21">
              <w:rPr>
                <w:i/>
                <w:iCs/>
                <w:lang w:val="en-US"/>
              </w:rPr>
              <w:t>Journalist for de Volkskrant; worked at the Europe editorial board of NRC Handelsblad at the time and ran a weblog on the campaign</w:t>
            </w:r>
            <w:r>
              <w:rPr>
                <w:lang w:val="en-US"/>
              </w:rPr>
              <w:t>)</w:t>
            </w:r>
          </w:p>
        </w:tc>
      </w:tr>
    </w:tbl>
    <w:p w14:paraId="126F6A59" w14:textId="494D306F" w:rsidR="00FA19C1" w:rsidRPr="003B4242" w:rsidRDefault="00FA19C1" w:rsidP="00FD62C4">
      <w:pPr>
        <w:rPr>
          <w:lang w:val="en-US"/>
        </w:rPr>
      </w:pPr>
    </w:p>
    <w:p w14:paraId="0B829080" w14:textId="77777777" w:rsidR="00FA19C1" w:rsidRPr="003B4242" w:rsidRDefault="00FA19C1">
      <w:pPr>
        <w:rPr>
          <w:lang w:val="en-US"/>
        </w:rPr>
      </w:pPr>
      <w:r w:rsidRPr="003B4242">
        <w:rPr>
          <w:lang w:val="en-US"/>
        </w:rPr>
        <w:br w:type="page"/>
      </w:r>
    </w:p>
    <w:p w14:paraId="3147E86B" w14:textId="12152C06" w:rsidR="00FA19C1" w:rsidRPr="00A81153" w:rsidRDefault="00FA19C1" w:rsidP="00A81153">
      <w:pPr>
        <w:pStyle w:val="Kop1"/>
        <w:jc w:val="center"/>
        <w:rPr>
          <w:b/>
          <w:bCs/>
          <w:color w:val="auto"/>
          <w:lang w:val="en-US"/>
        </w:rPr>
      </w:pPr>
      <w:bookmarkStart w:id="67" w:name="_Toc48891328"/>
      <w:r w:rsidRPr="00A81153">
        <w:rPr>
          <w:b/>
          <w:bCs/>
          <w:color w:val="auto"/>
          <w:lang w:val="en-US"/>
        </w:rPr>
        <w:t>Appendix B</w:t>
      </w:r>
      <w:r w:rsidR="00BA123A" w:rsidRPr="00A81153">
        <w:rPr>
          <w:b/>
          <w:bCs/>
          <w:color w:val="auto"/>
          <w:lang w:val="en-US"/>
        </w:rPr>
        <w:t>: Interview questions</w:t>
      </w:r>
      <w:bookmarkEnd w:id="67"/>
    </w:p>
    <w:p w14:paraId="26663846" w14:textId="1F2729A3" w:rsidR="00606615" w:rsidRPr="00606615" w:rsidRDefault="00606615" w:rsidP="00FD62C4">
      <w:pPr>
        <w:rPr>
          <w:lang w:val="en-US"/>
        </w:rPr>
      </w:pPr>
    </w:p>
    <w:tbl>
      <w:tblPr>
        <w:tblStyle w:val="Tabelraster"/>
        <w:tblW w:w="0" w:type="auto"/>
        <w:tblLook w:val="04A0" w:firstRow="1" w:lastRow="0" w:firstColumn="1" w:lastColumn="0" w:noHBand="0" w:noVBand="1"/>
      </w:tblPr>
      <w:tblGrid>
        <w:gridCol w:w="4531"/>
        <w:gridCol w:w="4531"/>
      </w:tblGrid>
      <w:tr w:rsidR="00BA123A" w14:paraId="288BDC45" w14:textId="77777777" w:rsidTr="00D14B53">
        <w:tc>
          <w:tcPr>
            <w:tcW w:w="9062" w:type="dxa"/>
            <w:gridSpan w:val="2"/>
            <w:shd w:val="clear" w:color="auto" w:fill="E7E6E6" w:themeFill="background2"/>
          </w:tcPr>
          <w:p w14:paraId="48E5877F" w14:textId="3FB2F631" w:rsidR="00BA123A" w:rsidRDefault="002559D5" w:rsidP="00D14B53">
            <w:pPr>
              <w:jc w:val="center"/>
            </w:pPr>
            <w:r>
              <w:t>Experts</w:t>
            </w:r>
          </w:p>
        </w:tc>
      </w:tr>
      <w:tr w:rsidR="00BA123A" w14:paraId="1CA04F45" w14:textId="77777777" w:rsidTr="00D14B53">
        <w:tc>
          <w:tcPr>
            <w:tcW w:w="4531" w:type="dxa"/>
          </w:tcPr>
          <w:p w14:paraId="188E0156" w14:textId="77777777" w:rsidR="00BA123A" w:rsidRDefault="00BA123A" w:rsidP="00D14B53"/>
        </w:tc>
        <w:tc>
          <w:tcPr>
            <w:tcW w:w="4531" w:type="dxa"/>
          </w:tcPr>
          <w:p w14:paraId="1AD5F18C" w14:textId="77777777" w:rsidR="00BA123A" w:rsidRDefault="00BA123A" w:rsidP="00D14B53"/>
        </w:tc>
      </w:tr>
      <w:tr w:rsidR="00BA123A" w14:paraId="70D6EA37" w14:textId="77777777" w:rsidTr="00D14B53">
        <w:tc>
          <w:tcPr>
            <w:tcW w:w="4531" w:type="dxa"/>
            <w:shd w:val="clear" w:color="auto" w:fill="E7E6E6" w:themeFill="background2"/>
          </w:tcPr>
          <w:p w14:paraId="4D0DC183" w14:textId="77777777" w:rsidR="00BA123A" w:rsidRDefault="00BA123A" w:rsidP="00D14B53">
            <w:r>
              <w:t>Overview questions</w:t>
            </w:r>
          </w:p>
        </w:tc>
        <w:tc>
          <w:tcPr>
            <w:tcW w:w="4531" w:type="dxa"/>
            <w:shd w:val="clear" w:color="auto" w:fill="E7E6E6" w:themeFill="background2"/>
          </w:tcPr>
          <w:p w14:paraId="23C5A851" w14:textId="77777777" w:rsidR="00BA123A" w:rsidRDefault="00BA123A" w:rsidP="00D14B53"/>
        </w:tc>
      </w:tr>
      <w:tr w:rsidR="001927CD" w:rsidRPr="00874288" w14:paraId="73D384DB" w14:textId="77777777" w:rsidTr="00D14B53">
        <w:tc>
          <w:tcPr>
            <w:tcW w:w="4531" w:type="dxa"/>
          </w:tcPr>
          <w:p w14:paraId="2FC58C0E" w14:textId="77777777" w:rsidR="001927CD" w:rsidRPr="008911A7" w:rsidRDefault="001927CD" w:rsidP="00D14B53">
            <w:pPr>
              <w:rPr>
                <w:lang w:val="en-US"/>
              </w:rPr>
            </w:pPr>
          </w:p>
        </w:tc>
        <w:tc>
          <w:tcPr>
            <w:tcW w:w="4531" w:type="dxa"/>
          </w:tcPr>
          <w:p w14:paraId="489AC064" w14:textId="2EBEB45E" w:rsidR="001927CD" w:rsidRPr="008911A7" w:rsidRDefault="001927CD" w:rsidP="00D14B53">
            <w:pPr>
              <w:rPr>
                <w:lang w:val="en-US"/>
              </w:rPr>
            </w:pPr>
            <w:r>
              <w:rPr>
                <w:lang w:val="en-US"/>
              </w:rPr>
              <w:t>When you think about this time, what is the first thing that comes to mind?</w:t>
            </w:r>
          </w:p>
        </w:tc>
      </w:tr>
      <w:tr w:rsidR="00BA123A" w:rsidRPr="00874288" w14:paraId="66EF3CAC" w14:textId="77777777" w:rsidTr="00D14B53">
        <w:tc>
          <w:tcPr>
            <w:tcW w:w="4531" w:type="dxa"/>
          </w:tcPr>
          <w:p w14:paraId="7FE4220F" w14:textId="77777777" w:rsidR="00BA123A" w:rsidRPr="008911A7" w:rsidRDefault="00BA123A" w:rsidP="00D14B53">
            <w:pPr>
              <w:rPr>
                <w:lang w:val="en-US"/>
              </w:rPr>
            </w:pPr>
          </w:p>
        </w:tc>
        <w:tc>
          <w:tcPr>
            <w:tcW w:w="4531" w:type="dxa"/>
          </w:tcPr>
          <w:p w14:paraId="6DFB90CF" w14:textId="47376A10" w:rsidR="00BA123A" w:rsidRPr="008911A7" w:rsidRDefault="001927CD" w:rsidP="00D14B53">
            <w:pPr>
              <w:rPr>
                <w:lang w:val="en-US"/>
              </w:rPr>
            </w:pPr>
            <w:r>
              <w:rPr>
                <w:lang w:val="en-US"/>
              </w:rPr>
              <w:t>Expressed in a percentage, how much would you say you remember about this period?</w:t>
            </w:r>
          </w:p>
        </w:tc>
      </w:tr>
      <w:tr w:rsidR="00BA123A" w:rsidRPr="00874288" w14:paraId="395E6598" w14:textId="77777777" w:rsidTr="00D14B53">
        <w:tc>
          <w:tcPr>
            <w:tcW w:w="4531" w:type="dxa"/>
          </w:tcPr>
          <w:p w14:paraId="02F78CD9" w14:textId="77777777" w:rsidR="00BA123A" w:rsidRPr="008911A7" w:rsidRDefault="00BA123A" w:rsidP="00D14B53">
            <w:pPr>
              <w:rPr>
                <w:lang w:val="en-US"/>
              </w:rPr>
            </w:pPr>
          </w:p>
        </w:tc>
        <w:tc>
          <w:tcPr>
            <w:tcW w:w="4531" w:type="dxa"/>
          </w:tcPr>
          <w:p w14:paraId="6DE305B2" w14:textId="743DA53A" w:rsidR="00BA123A" w:rsidRPr="008911A7" w:rsidRDefault="001927CD" w:rsidP="00D14B53">
            <w:pPr>
              <w:rPr>
                <w:lang w:val="en-US"/>
              </w:rPr>
            </w:pPr>
            <w:r w:rsidRPr="008911A7">
              <w:rPr>
                <w:lang w:val="en-US"/>
              </w:rPr>
              <w:t>Would you be able t</w:t>
            </w:r>
            <w:r>
              <w:rPr>
                <w:lang w:val="en-US"/>
              </w:rPr>
              <w:t>o elaborate on your experience researching the referendum on the European Constitution, in particular regarding the cabinet’s campaign?</w:t>
            </w:r>
          </w:p>
        </w:tc>
      </w:tr>
      <w:tr w:rsidR="00BA123A" w:rsidRPr="00874288" w14:paraId="7F309BAB" w14:textId="77777777" w:rsidTr="00D14B53">
        <w:tc>
          <w:tcPr>
            <w:tcW w:w="4531" w:type="dxa"/>
          </w:tcPr>
          <w:p w14:paraId="756C4039" w14:textId="77777777" w:rsidR="00BA123A" w:rsidRPr="008911A7" w:rsidRDefault="00BA123A" w:rsidP="00D14B53">
            <w:pPr>
              <w:rPr>
                <w:lang w:val="en-US"/>
              </w:rPr>
            </w:pPr>
          </w:p>
        </w:tc>
        <w:tc>
          <w:tcPr>
            <w:tcW w:w="4531" w:type="dxa"/>
          </w:tcPr>
          <w:p w14:paraId="54E8B9E6" w14:textId="77777777" w:rsidR="00BA123A" w:rsidRPr="008911A7" w:rsidRDefault="00BA123A" w:rsidP="00D14B53">
            <w:pPr>
              <w:rPr>
                <w:lang w:val="en-US"/>
              </w:rPr>
            </w:pPr>
          </w:p>
        </w:tc>
      </w:tr>
      <w:tr w:rsidR="00BA123A" w:rsidRPr="008911A7" w14:paraId="650C7CE6" w14:textId="77777777" w:rsidTr="00D14B53">
        <w:tc>
          <w:tcPr>
            <w:tcW w:w="4531" w:type="dxa"/>
            <w:shd w:val="clear" w:color="auto" w:fill="E7E6E6" w:themeFill="background2"/>
          </w:tcPr>
          <w:p w14:paraId="06D0FDA3" w14:textId="77777777" w:rsidR="00BA123A" w:rsidRPr="008911A7" w:rsidRDefault="00BA123A" w:rsidP="00D14B53">
            <w:pPr>
              <w:rPr>
                <w:lang w:val="en-US"/>
              </w:rPr>
            </w:pPr>
            <w:r>
              <w:rPr>
                <w:lang w:val="en-US"/>
              </w:rPr>
              <w:t>Perceptions</w:t>
            </w:r>
          </w:p>
        </w:tc>
        <w:tc>
          <w:tcPr>
            <w:tcW w:w="4531" w:type="dxa"/>
            <w:shd w:val="clear" w:color="auto" w:fill="E7E6E6" w:themeFill="background2"/>
          </w:tcPr>
          <w:p w14:paraId="1A9F1C47" w14:textId="77777777" w:rsidR="00BA123A" w:rsidRPr="008911A7" w:rsidRDefault="00BA123A" w:rsidP="00D14B53">
            <w:pPr>
              <w:rPr>
                <w:lang w:val="en-US"/>
              </w:rPr>
            </w:pPr>
          </w:p>
        </w:tc>
      </w:tr>
      <w:tr w:rsidR="00BA123A" w:rsidRPr="008911A7" w14:paraId="6B8212B6" w14:textId="77777777" w:rsidTr="00D14B53">
        <w:tc>
          <w:tcPr>
            <w:tcW w:w="4531" w:type="dxa"/>
          </w:tcPr>
          <w:p w14:paraId="2B206ABC" w14:textId="77777777" w:rsidR="00BA123A" w:rsidRPr="008911A7" w:rsidRDefault="00BA123A" w:rsidP="00D14B53">
            <w:pPr>
              <w:rPr>
                <w:lang w:val="en-US"/>
              </w:rPr>
            </w:pPr>
          </w:p>
        </w:tc>
        <w:tc>
          <w:tcPr>
            <w:tcW w:w="4531" w:type="dxa"/>
          </w:tcPr>
          <w:p w14:paraId="15AB6659" w14:textId="77777777" w:rsidR="00BA123A" w:rsidRPr="008911A7" w:rsidRDefault="00BA123A" w:rsidP="00D14B53">
            <w:pPr>
              <w:rPr>
                <w:lang w:val="en-US"/>
              </w:rPr>
            </w:pPr>
            <w:r>
              <w:rPr>
                <w:lang w:val="en-US"/>
              </w:rPr>
              <w:t>How did members of cabinet and ministry officials perceive the referendum beforehand? Did this change during the campaign?</w:t>
            </w:r>
          </w:p>
        </w:tc>
      </w:tr>
      <w:tr w:rsidR="00BA123A" w:rsidRPr="00874288" w14:paraId="05AEDCAD" w14:textId="77777777" w:rsidTr="00D14B53">
        <w:tc>
          <w:tcPr>
            <w:tcW w:w="4531" w:type="dxa"/>
          </w:tcPr>
          <w:p w14:paraId="7814BAAA" w14:textId="77777777" w:rsidR="00BA123A" w:rsidRPr="008911A7" w:rsidRDefault="00BA123A" w:rsidP="00D14B53">
            <w:pPr>
              <w:rPr>
                <w:lang w:val="en-US"/>
              </w:rPr>
            </w:pPr>
          </w:p>
        </w:tc>
        <w:tc>
          <w:tcPr>
            <w:tcW w:w="4531" w:type="dxa"/>
          </w:tcPr>
          <w:p w14:paraId="4E49F0FC" w14:textId="77777777" w:rsidR="00BA123A" w:rsidRDefault="00BA123A" w:rsidP="00D14B53">
            <w:pPr>
              <w:rPr>
                <w:lang w:val="en-US"/>
              </w:rPr>
            </w:pPr>
            <w:r>
              <w:rPr>
                <w:lang w:val="en-US"/>
              </w:rPr>
              <w:t>To what extent did members of cabinet feel they held ownership over the campaign? Did this have consequences for the priorities set in the campaign?</w:t>
            </w:r>
          </w:p>
        </w:tc>
      </w:tr>
      <w:tr w:rsidR="00BA123A" w:rsidRPr="008911A7" w14:paraId="10757FE7" w14:textId="77777777" w:rsidTr="00D14B53">
        <w:tc>
          <w:tcPr>
            <w:tcW w:w="4531" w:type="dxa"/>
          </w:tcPr>
          <w:p w14:paraId="20548642" w14:textId="77777777" w:rsidR="00BA123A" w:rsidRPr="008911A7" w:rsidRDefault="00BA123A" w:rsidP="00D14B53">
            <w:pPr>
              <w:rPr>
                <w:lang w:val="en-US"/>
              </w:rPr>
            </w:pPr>
          </w:p>
        </w:tc>
        <w:tc>
          <w:tcPr>
            <w:tcW w:w="4531" w:type="dxa"/>
          </w:tcPr>
          <w:p w14:paraId="65AF484C" w14:textId="430F65B8" w:rsidR="00BA123A" w:rsidRDefault="00BA123A" w:rsidP="00D14B53">
            <w:pPr>
              <w:rPr>
                <w:lang w:val="en-US"/>
              </w:rPr>
            </w:pPr>
            <w:r>
              <w:rPr>
                <w:lang w:val="en-US"/>
              </w:rPr>
              <w:t>Before the campaign started, how high did members of cabinet and ministry officials deem the chances of the outcome of the referendum to be ‘no’, expressed in percentages? Did this change over the course of the campaign</w:t>
            </w:r>
            <w:r w:rsidR="006E5CC9">
              <w:rPr>
                <w:lang w:val="en-US"/>
              </w:rPr>
              <w:t>?</w:t>
            </w:r>
          </w:p>
        </w:tc>
      </w:tr>
      <w:tr w:rsidR="00BA123A" w:rsidRPr="00874288" w14:paraId="6DBDA66C" w14:textId="77777777" w:rsidTr="00D14B53">
        <w:tc>
          <w:tcPr>
            <w:tcW w:w="4531" w:type="dxa"/>
          </w:tcPr>
          <w:p w14:paraId="06B870CD" w14:textId="77777777" w:rsidR="00BA123A" w:rsidRPr="008911A7" w:rsidRDefault="00BA123A" w:rsidP="00D14B53">
            <w:pPr>
              <w:rPr>
                <w:lang w:val="en-US"/>
              </w:rPr>
            </w:pPr>
          </w:p>
        </w:tc>
        <w:tc>
          <w:tcPr>
            <w:tcW w:w="4531" w:type="dxa"/>
          </w:tcPr>
          <w:p w14:paraId="6CCC1E92" w14:textId="77777777" w:rsidR="00BA123A" w:rsidRDefault="00BA123A" w:rsidP="00D14B53">
            <w:pPr>
              <w:rPr>
                <w:lang w:val="en-US"/>
              </w:rPr>
            </w:pPr>
            <w:r>
              <w:rPr>
                <w:lang w:val="en-US"/>
              </w:rPr>
              <w:t>To what extent was the prestige of members of cabinet at stake?</w:t>
            </w:r>
          </w:p>
        </w:tc>
      </w:tr>
      <w:tr w:rsidR="00BA123A" w:rsidRPr="00874288" w14:paraId="285CA0C3" w14:textId="77777777" w:rsidTr="00D14B53">
        <w:tc>
          <w:tcPr>
            <w:tcW w:w="4531" w:type="dxa"/>
          </w:tcPr>
          <w:p w14:paraId="1FA65FEB" w14:textId="77777777" w:rsidR="00BA123A" w:rsidRPr="008911A7" w:rsidRDefault="00BA123A" w:rsidP="00D14B53">
            <w:pPr>
              <w:rPr>
                <w:lang w:val="en-US"/>
              </w:rPr>
            </w:pPr>
          </w:p>
        </w:tc>
        <w:tc>
          <w:tcPr>
            <w:tcW w:w="4531" w:type="dxa"/>
          </w:tcPr>
          <w:p w14:paraId="4CBA7663" w14:textId="77777777" w:rsidR="00BA123A" w:rsidRDefault="00BA123A" w:rsidP="00D14B53">
            <w:pPr>
              <w:rPr>
                <w:lang w:val="en-US"/>
              </w:rPr>
            </w:pPr>
          </w:p>
        </w:tc>
      </w:tr>
      <w:tr w:rsidR="00BA123A" w:rsidRPr="008911A7" w14:paraId="39FA33ED" w14:textId="77777777" w:rsidTr="00D14B53">
        <w:tc>
          <w:tcPr>
            <w:tcW w:w="4531" w:type="dxa"/>
            <w:shd w:val="clear" w:color="auto" w:fill="E7E6E6" w:themeFill="background2"/>
          </w:tcPr>
          <w:p w14:paraId="049028CB" w14:textId="77777777" w:rsidR="00BA123A" w:rsidRPr="008911A7" w:rsidRDefault="00BA123A" w:rsidP="00D14B53">
            <w:pPr>
              <w:rPr>
                <w:lang w:val="en-US"/>
              </w:rPr>
            </w:pPr>
            <w:r>
              <w:rPr>
                <w:lang w:val="en-US"/>
              </w:rPr>
              <w:t xml:space="preserve">Bureaucratic organizations </w:t>
            </w:r>
          </w:p>
        </w:tc>
        <w:tc>
          <w:tcPr>
            <w:tcW w:w="4531" w:type="dxa"/>
            <w:shd w:val="clear" w:color="auto" w:fill="E7E6E6" w:themeFill="background2"/>
          </w:tcPr>
          <w:p w14:paraId="29799FF5" w14:textId="77777777" w:rsidR="00BA123A" w:rsidRDefault="00BA123A" w:rsidP="00D14B53">
            <w:pPr>
              <w:rPr>
                <w:lang w:val="en-US"/>
              </w:rPr>
            </w:pPr>
          </w:p>
        </w:tc>
      </w:tr>
      <w:tr w:rsidR="00BA123A" w:rsidRPr="00874288" w14:paraId="479C2871" w14:textId="77777777" w:rsidTr="00D14B53">
        <w:tc>
          <w:tcPr>
            <w:tcW w:w="4531" w:type="dxa"/>
          </w:tcPr>
          <w:p w14:paraId="4EA6CE3C" w14:textId="77777777" w:rsidR="00BA123A" w:rsidRDefault="00BA123A" w:rsidP="00D14B53">
            <w:pPr>
              <w:rPr>
                <w:lang w:val="en-US"/>
              </w:rPr>
            </w:pPr>
          </w:p>
        </w:tc>
        <w:tc>
          <w:tcPr>
            <w:tcW w:w="4531" w:type="dxa"/>
          </w:tcPr>
          <w:p w14:paraId="7042A40B" w14:textId="4BBFAA5F" w:rsidR="00BA123A" w:rsidRDefault="00403CC3" w:rsidP="00D14B53">
            <w:pPr>
              <w:rPr>
                <w:lang w:val="en-US"/>
              </w:rPr>
            </w:pPr>
            <w:r>
              <w:rPr>
                <w:lang w:val="en-US"/>
              </w:rPr>
              <w:t>To what extent did formalities, such as the amount of funding assigned, influence the campaign run by the Ministry of Foreign Affairs?</w:t>
            </w:r>
          </w:p>
        </w:tc>
      </w:tr>
      <w:tr w:rsidR="00BA123A" w:rsidRPr="00874288" w14:paraId="74A1CA52" w14:textId="77777777" w:rsidTr="00D14B53">
        <w:tc>
          <w:tcPr>
            <w:tcW w:w="4531" w:type="dxa"/>
          </w:tcPr>
          <w:p w14:paraId="4CC84700" w14:textId="77777777" w:rsidR="00BA123A" w:rsidRDefault="00BA123A" w:rsidP="00D14B53">
            <w:pPr>
              <w:rPr>
                <w:lang w:val="en-US"/>
              </w:rPr>
            </w:pPr>
          </w:p>
        </w:tc>
        <w:tc>
          <w:tcPr>
            <w:tcW w:w="4531" w:type="dxa"/>
          </w:tcPr>
          <w:p w14:paraId="3A589D92" w14:textId="2D350BEE" w:rsidR="00BA123A" w:rsidRDefault="00403CC3" w:rsidP="00D14B53">
            <w:pPr>
              <w:rPr>
                <w:lang w:val="en-US"/>
              </w:rPr>
            </w:pPr>
            <w:r>
              <w:rPr>
                <w:lang w:val="en-US"/>
              </w:rPr>
              <w:t>What was the role of the Political Control Group? How did the officials interact with this?</w:t>
            </w:r>
          </w:p>
        </w:tc>
      </w:tr>
      <w:tr w:rsidR="00BA123A" w:rsidRPr="00874288" w14:paraId="1873C883" w14:textId="77777777" w:rsidTr="00D14B53">
        <w:tc>
          <w:tcPr>
            <w:tcW w:w="4531" w:type="dxa"/>
          </w:tcPr>
          <w:p w14:paraId="7DDB9549" w14:textId="77777777" w:rsidR="00BA123A" w:rsidRDefault="00BA123A" w:rsidP="00D14B53">
            <w:pPr>
              <w:rPr>
                <w:lang w:val="en-US"/>
              </w:rPr>
            </w:pPr>
          </w:p>
        </w:tc>
        <w:tc>
          <w:tcPr>
            <w:tcW w:w="4531" w:type="dxa"/>
          </w:tcPr>
          <w:p w14:paraId="6BFB0821" w14:textId="77777777" w:rsidR="00BA123A" w:rsidRDefault="00BA123A" w:rsidP="00D14B53">
            <w:pPr>
              <w:rPr>
                <w:lang w:val="en-US"/>
              </w:rPr>
            </w:pPr>
            <w:r>
              <w:rPr>
                <w:lang w:val="en-US"/>
              </w:rPr>
              <w:t>What did officials of the Ministry of Foreign Affairs regard to be the norm in the relation between citizens and the Ministry?</w:t>
            </w:r>
          </w:p>
        </w:tc>
      </w:tr>
      <w:tr w:rsidR="00BA123A" w:rsidRPr="002E00B0" w14:paraId="59364098" w14:textId="77777777" w:rsidTr="00D14B53">
        <w:tc>
          <w:tcPr>
            <w:tcW w:w="4531" w:type="dxa"/>
          </w:tcPr>
          <w:p w14:paraId="2CDFFA12" w14:textId="77777777" w:rsidR="00BA123A" w:rsidRDefault="00BA123A" w:rsidP="00D14B53">
            <w:pPr>
              <w:rPr>
                <w:lang w:val="en-US"/>
              </w:rPr>
            </w:pPr>
          </w:p>
        </w:tc>
        <w:tc>
          <w:tcPr>
            <w:tcW w:w="4531" w:type="dxa"/>
          </w:tcPr>
          <w:p w14:paraId="27894C06" w14:textId="691865B7" w:rsidR="00BA123A" w:rsidRDefault="004E3242" w:rsidP="00D14B53">
            <w:pPr>
              <w:rPr>
                <w:lang w:val="en-US"/>
              </w:rPr>
            </w:pPr>
            <w:r>
              <w:rPr>
                <w:lang w:val="en-US"/>
              </w:rPr>
              <w:t>How did the views of the Ministry of the Interior and the Ministry of Foreign Affairs regarding the referendum and the campaign differ? How did they view each other?</w:t>
            </w:r>
          </w:p>
        </w:tc>
      </w:tr>
      <w:tr w:rsidR="00BA123A" w:rsidRPr="002E00B0" w14:paraId="6925457C" w14:textId="77777777" w:rsidTr="00D14B53">
        <w:tc>
          <w:tcPr>
            <w:tcW w:w="4531" w:type="dxa"/>
          </w:tcPr>
          <w:p w14:paraId="1158ECD3" w14:textId="77777777" w:rsidR="00BA123A" w:rsidRDefault="00BA123A" w:rsidP="00D14B53">
            <w:pPr>
              <w:rPr>
                <w:lang w:val="en-US"/>
              </w:rPr>
            </w:pPr>
          </w:p>
        </w:tc>
        <w:tc>
          <w:tcPr>
            <w:tcW w:w="4531" w:type="dxa"/>
          </w:tcPr>
          <w:p w14:paraId="1B8219D2" w14:textId="4576B399" w:rsidR="00BA123A" w:rsidRDefault="00606615" w:rsidP="00D14B53">
            <w:pPr>
              <w:rPr>
                <w:lang w:val="en-US"/>
              </w:rPr>
            </w:pPr>
            <w:r>
              <w:rPr>
                <w:lang w:val="en-US"/>
              </w:rPr>
              <w:t>How did civil servants of the Ministry of Foreign Affairs view European integration preceeding the referendum? To what extent did this impact the campaign strategy?</w:t>
            </w:r>
          </w:p>
        </w:tc>
      </w:tr>
      <w:tr w:rsidR="00BA123A" w:rsidRPr="008911A7" w14:paraId="6B679399" w14:textId="77777777" w:rsidTr="00D14B53">
        <w:tc>
          <w:tcPr>
            <w:tcW w:w="4531" w:type="dxa"/>
            <w:shd w:val="clear" w:color="auto" w:fill="E7E6E6" w:themeFill="background2"/>
          </w:tcPr>
          <w:p w14:paraId="25160C90" w14:textId="77777777" w:rsidR="00BA123A" w:rsidRDefault="00BA123A" w:rsidP="00D14B53">
            <w:pPr>
              <w:rPr>
                <w:lang w:val="en-US"/>
              </w:rPr>
            </w:pPr>
            <w:r>
              <w:rPr>
                <w:lang w:val="en-US"/>
              </w:rPr>
              <w:t>Closing</w:t>
            </w:r>
          </w:p>
        </w:tc>
        <w:tc>
          <w:tcPr>
            <w:tcW w:w="4531" w:type="dxa"/>
            <w:shd w:val="clear" w:color="auto" w:fill="E7E6E6" w:themeFill="background2"/>
          </w:tcPr>
          <w:p w14:paraId="59ECC5A8" w14:textId="77777777" w:rsidR="00BA123A" w:rsidRDefault="00BA123A" w:rsidP="00D14B53">
            <w:pPr>
              <w:rPr>
                <w:lang w:val="en-US"/>
              </w:rPr>
            </w:pPr>
          </w:p>
        </w:tc>
      </w:tr>
      <w:tr w:rsidR="00BA123A" w:rsidRPr="00874288" w14:paraId="42AB6F58" w14:textId="77777777" w:rsidTr="00D14B53">
        <w:tc>
          <w:tcPr>
            <w:tcW w:w="4531" w:type="dxa"/>
          </w:tcPr>
          <w:p w14:paraId="7F963F0D" w14:textId="77777777" w:rsidR="00BA123A" w:rsidRDefault="00BA123A" w:rsidP="00D14B53">
            <w:pPr>
              <w:rPr>
                <w:lang w:val="en-US"/>
              </w:rPr>
            </w:pPr>
          </w:p>
        </w:tc>
        <w:tc>
          <w:tcPr>
            <w:tcW w:w="4531" w:type="dxa"/>
          </w:tcPr>
          <w:p w14:paraId="41FDDA45" w14:textId="77777777" w:rsidR="00BA123A" w:rsidRDefault="00BA123A" w:rsidP="00D14B53">
            <w:pPr>
              <w:rPr>
                <w:lang w:val="en-US"/>
              </w:rPr>
            </w:pPr>
            <w:r>
              <w:rPr>
                <w:lang w:val="en-US"/>
              </w:rPr>
              <w:t>Is there anything you feel was important in the campaign that has not yet been discussed?</w:t>
            </w:r>
          </w:p>
        </w:tc>
      </w:tr>
      <w:tr w:rsidR="00BA123A" w:rsidRPr="00874288" w14:paraId="117F6BCB" w14:textId="77777777" w:rsidTr="00D14B53">
        <w:tc>
          <w:tcPr>
            <w:tcW w:w="4531" w:type="dxa"/>
          </w:tcPr>
          <w:p w14:paraId="45DB5A7C" w14:textId="77777777" w:rsidR="00BA123A" w:rsidRDefault="00BA123A" w:rsidP="00D14B53">
            <w:pPr>
              <w:rPr>
                <w:lang w:val="en-US"/>
              </w:rPr>
            </w:pPr>
          </w:p>
        </w:tc>
        <w:tc>
          <w:tcPr>
            <w:tcW w:w="4531" w:type="dxa"/>
          </w:tcPr>
          <w:p w14:paraId="0B2B26E2" w14:textId="77777777" w:rsidR="00BA123A" w:rsidRDefault="00BA123A" w:rsidP="00D14B53">
            <w:pPr>
              <w:rPr>
                <w:lang w:val="en-US"/>
              </w:rPr>
            </w:pPr>
            <w:r>
              <w:rPr>
                <w:lang w:val="en-US"/>
              </w:rPr>
              <w:t>In your eyes, to what extent did the cabinet’s campaign contribute to the outcome of the referendum?</w:t>
            </w:r>
          </w:p>
        </w:tc>
      </w:tr>
      <w:tr w:rsidR="00BA123A" w:rsidRPr="00874288" w14:paraId="00E8CA8C" w14:textId="77777777" w:rsidTr="00D14B53">
        <w:tc>
          <w:tcPr>
            <w:tcW w:w="4531" w:type="dxa"/>
          </w:tcPr>
          <w:p w14:paraId="60570D5B" w14:textId="77777777" w:rsidR="00BA123A" w:rsidRDefault="00BA123A" w:rsidP="00D14B53">
            <w:pPr>
              <w:rPr>
                <w:lang w:val="en-US"/>
              </w:rPr>
            </w:pPr>
          </w:p>
        </w:tc>
        <w:tc>
          <w:tcPr>
            <w:tcW w:w="4531" w:type="dxa"/>
          </w:tcPr>
          <w:p w14:paraId="06A84842" w14:textId="77777777" w:rsidR="00BA123A" w:rsidRPr="000F7BFB" w:rsidRDefault="00BA123A" w:rsidP="00D14B53">
            <w:pPr>
              <w:rPr>
                <w:lang w:val="en-US"/>
              </w:rPr>
            </w:pPr>
            <w:r w:rsidRPr="000F7BFB">
              <w:rPr>
                <w:lang w:val="en-US"/>
              </w:rPr>
              <w:t>Are there documents/articles you</w:t>
            </w:r>
            <w:r>
              <w:rPr>
                <w:lang w:val="en-US"/>
              </w:rPr>
              <w:t xml:space="preserve"> would recommend me to read to better understand the decision making regarding the cabinet’s campaign?</w:t>
            </w:r>
          </w:p>
        </w:tc>
      </w:tr>
      <w:tr w:rsidR="00BA123A" w:rsidRPr="000F7BFB" w14:paraId="5506027D" w14:textId="77777777" w:rsidTr="00D14B53">
        <w:tc>
          <w:tcPr>
            <w:tcW w:w="4531" w:type="dxa"/>
          </w:tcPr>
          <w:p w14:paraId="7DAF03AB" w14:textId="77777777" w:rsidR="00BA123A" w:rsidRDefault="00BA123A" w:rsidP="00D14B53">
            <w:pPr>
              <w:rPr>
                <w:lang w:val="en-US"/>
              </w:rPr>
            </w:pPr>
          </w:p>
        </w:tc>
        <w:tc>
          <w:tcPr>
            <w:tcW w:w="4531" w:type="dxa"/>
          </w:tcPr>
          <w:p w14:paraId="3E2CBAC6" w14:textId="77777777" w:rsidR="00BA123A" w:rsidRPr="000F7BFB" w:rsidRDefault="00BA123A" w:rsidP="00D14B53">
            <w:pPr>
              <w:rPr>
                <w:lang w:val="en-US"/>
              </w:rPr>
            </w:pPr>
            <w:r>
              <w:rPr>
                <w:lang w:val="en-US"/>
              </w:rPr>
              <w:t>Is there anyone you would recommend me to speak with for my research? Would you be willing to serve as an intermediary?</w:t>
            </w:r>
          </w:p>
        </w:tc>
      </w:tr>
    </w:tbl>
    <w:p w14:paraId="5E42EF5C" w14:textId="098FCF4F" w:rsidR="00BA123A" w:rsidRDefault="00BA123A" w:rsidP="00FD62C4"/>
    <w:p w14:paraId="76593CC5" w14:textId="69A84319" w:rsidR="002559D5" w:rsidRDefault="002559D5"/>
    <w:tbl>
      <w:tblPr>
        <w:tblStyle w:val="Tabelraster"/>
        <w:tblW w:w="0" w:type="auto"/>
        <w:tblLook w:val="04A0" w:firstRow="1" w:lastRow="0" w:firstColumn="1" w:lastColumn="0" w:noHBand="0" w:noVBand="1"/>
      </w:tblPr>
      <w:tblGrid>
        <w:gridCol w:w="4531"/>
        <w:gridCol w:w="4531"/>
      </w:tblGrid>
      <w:tr w:rsidR="002559D5" w14:paraId="1AF1E62C" w14:textId="77777777" w:rsidTr="00D14B53">
        <w:tc>
          <w:tcPr>
            <w:tcW w:w="9062" w:type="dxa"/>
            <w:gridSpan w:val="2"/>
            <w:shd w:val="clear" w:color="auto" w:fill="E7E6E6" w:themeFill="background2"/>
          </w:tcPr>
          <w:p w14:paraId="7B1620B6" w14:textId="47E489A9" w:rsidR="002559D5" w:rsidRDefault="002559D5" w:rsidP="00D14B53">
            <w:pPr>
              <w:jc w:val="center"/>
            </w:pPr>
            <w:r>
              <w:t>Taskforce-members</w:t>
            </w:r>
          </w:p>
        </w:tc>
      </w:tr>
      <w:tr w:rsidR="002559D5" w14:paraId="6E1A94AF" w14:textId="77777777" w:rsidTr="00D14B53">
        <w:tc>
          <w:tcPr>
            <w:tcW w:w="4531" w:type="dxa"/>
          </w:tcPr>
          <w:p w14:paraId="4D17E9CB" w14:textId="77777777" w:rsidR="002559D5" w:rsidRDefault="002559D5" w:rsidP="00D14B53"/>
        </w:tc>
        <w:tc>
          <w:tcPr>
            <w:tcW w:w="4531" w:type="dxa"/>
          </w:tcPr>
          <w:p w14:paraId="2970F959" w14:textId="77777777" w:rsidR="002559D5" w:rsidRDefault="002559D5" w:rsidP="00D14B53"/>
        </w:tc>
      </w:tr>
      <w:tr w:rsidR="002559D5" w14:paraId="2B71A898" w14:textId="77777777" w:rsidTr="00D14B53">
        <w:tc>
          <w:tcPr>
            <w:tcW w:w="4531" w:type="dxa"/>
            <w:shd w:val="clear" w:color="auto" w:fill="E7E6E6" w:themeFill="background2"/>
          </w:tcPr>
          <w:p w14:paraId="0CC6F71D" w14:textId="77777777" w:rsidR="002559D5" w:rsidRDefault="002559D5" w:rsidP="00D14B53">
            <w:r>
              <w:t>Overview questions</w:t>
            </w:r>
          </w:p>
        </w:tc>
        <w:tc>
          <w:tcPr>
            <w:tcW w:w="4531" w:type="dxa"/>
            <w:shd w:val="clear" w:color="auto" w:fill="E7E6E6" w:themeFill="background2"/>
          </w:tcPr>
          <w:p w14:paraId="4802B8A0" w14:textId="77777777" w:rsidR="002559D5" w:rsidRDefault="002559D5" w:rsidP="00D14B53"/>
        </w:tc>
      </w:tr>
      <w:tr w:rsidR="002559D5" w:rsidRPr="00874288" w14:paraId="39E9764D" w14:textId="77777777" w:rsidTr="00D14B53">
        <w:tc>
          <w:tcPr>
            <w:tcW w:w="4531" w:type="dxa"/>
          </w:tcPr>
          <w:p w14:paraId="425D9A39" w14:textId="77777777" w:rsidR="002559D5" w:rsidRPr="008911A7" w:rsidRDefault="002559D5" w:rsidP="00D14B53">
            <w:pPr>
              <w:rPr>
                <w:lang w:val="en-US"/>
              </w:rPr>
            </w:pPr>
          </w:p>
        </w:tc>
        <w:tc>
          <w:tcPr>
            <w:tcW w:w="4531" w:type="dxa"/>
          </w:tcPr>
          <w:p w14:paraId="1BF24FBB" w14:textId="565F3EEE" w:rsidR="002559D5" w:rsidRPr="008911A7" w:rsidRDefault="002559D5" w:rsidP="00D14B53">
            <w:pPr>
              <w:rPr>
                <w:lang w:val="en-US"/>
              </w:rPr>
            </w:pPr>
            <w:r>
              <w:rPr>
                <w:lang w:val="en-US"/>
              </w:rPr>
              <w:t>How did you end up at the Taskforce? What was the duty of the Taskforce?</w:t>
            </w:r>
          </w:p>
        </w:tc>
      </w:tr>
      <w:tr w:rsidR="002559D5" w:rsidRPr="00874288" w14:paraId="4E52BC6A" w14:textId="77777777" w:rsidTr="00D14B53">
        <w:tc>
          <w:tcPr>
            <w:tcW w:w="4531" w:type="dxa"/>
          </w:tcPr>
          <w:p w14:paraId="4C6C38BF" w14:textId="77777777" w:rsidR="002559D5" w:rsidRPr="008911A7" w:rsidRDefault="002559D5" w:rsidP="00D14B53">
            <w:pPr>
              <w:rPr>
                <w:lang w:val="en-US"/>
              </w:rPr>
            </w:pPr>
          </w:p>
        </w:tc>
        <w:tc>
          <w:tcPr>
            <w:tcW w:w="4531" w:type="dxa"/>
          </w:tcPr>
          <w:p w14:paraId="6EC9C9E1" w14:textId="61E3868F" w:rsidR="002559D5" w:rsidRPr="008911A7" w:rsidRDefault="002559D5" w:rsidP="00D14B53">
            <w:pPr>
              <w:rPr>
                <w:lang w:val="en-US"/>
              </w:rPr>
            </w:pPr>
            <w:r>
              <w:rPr>
                <w:lang w:val="en-US"/>
              </w:rPr>
              <w:t xml:space="preserve">Expressed in a percentage, how much would you say you remember from this period? </w:t>
            </w:r>
          </w:p>
        </w:tc>
      </w:tr>
      <w:tr w:rsidR="002559D5" w:rsidRPr="00874288" w14:paraId="70F402E3" w14:textId="77777777" w:rsidTr="00D14B53">
        <w:tc>
          <w:tcPr>
            <w:tcW w:w="4531" w:type="dxa"/>
          </w:tcPr>
          <w:p w14:paraId="57131C20" w14:textId="77777777" w:rsidR="002559D5" w:rsidRPr="008911A7" w:rsidRDefault="002559D5" w:rsidP="00D14B53">
            <w:pPr>
              <w:rPr>
                <w:lang w:val="en-US"/>
              </w:rPr>
            </w:pPr>
          </w:p>
        </w:tc>
        <w:tc>
          <w:tcPr>
            <w:tcW w:w="4531" w:type="dxa"/>
          </w:tcPr>
          <w:p w14:paraId="132AEDDD" w14:textId="0AE39DEA" w:rsidR="002559D5" w:rsidRPr="008911A7" w:rsidRDefault="002559D5" w:rsidP="00D14B53">
            <w:pPr>
              <w:rPr>
                <w:lang w:val="en-US"/>
              </w:rPr>
            </w:pPr>
            <w:r>
              <w:rPr>
                <w:lang w:val="en-US"/>
              </w:rPr>
              <w:t>When you think of this time, what is the first thing that comes to mind?</w:t>
            </w:r>
          </w:p>
        </w:tc>
      </w:tr>
      <w:tr w:rsidR="002559D5" w:rsidRPr="00874288" w14:paraId="630F0AB3" w14:textId="77777777" w:rsidTr="00D14B53">
        <w:tc>
          <w:tcPr>
            <w:tcW w:w="4531" w:type="dxa"/>
          </w:tcPr>
          <w:p w14:paraId="5C1FA2DE" w14:textId="77777777" w:rsidR="002559D5" w:rsidRPr="008911A7" w:rsidRDefault="002559D5" w:rsidP="00D14B53">
            <w:pPr>
              <w:rPr>
                <w:lang w:val="en-US"/>
              </w:rPr>
            </w:pPr>
          </w:p>
        </w:tc>
        <w:tc>
          <w:tcPr>
            <w:tcW w:w="4531" w:type="dxa"/>
          </w:tcPr>
          <w:p w14:paraId="44B807C6" w14:textId="77777777" w:rsidR="002559D5" w:rsidRPr="008911A7" w:rsidRDefault="002559D5" w:rsidP="00D14B53">
            <w:pPr>
              <w:rPr>
                <w:lang w:val="en-US"/>
              </w:rPr>
            </w:pPr>
          </w:p>
        </w:tc>
      </w:tr>
      <w:tr w:rsidR="002559D5" w:rsidRPr="008911A7" w14:paraId="0DCC1707" w14:textId="77777777" w:rsidTr="00D14B53">
        <w:tc>
          <w:tcPr>
            <w:tcW w:w="4531" w:type="dxa"/>
            <w:shd w:val="clear" w:color="auto" w:fill="E7E6E6" w:themeFill="background2"/>
          </w:tcPr>
          <w:p w14:paraId="531A51B6" w14:textId="77777777" w:rsidR="002559D5" w:rsidRPr="008911A7" w:rsidRDefault="002559D5" w:rsidP="00D14B53">
            <w:pPr>
              <w:rPr>
                <w:lang w:val="en-US"/>
              </w:rPr>
            </w:pPr>
            <w:r>
              <w:rPr>
                <w:lang w:val="en-US"/>
              </w:rPr>
              <w:t>Perceptions</w:t>
            </w:r>
          </w:p>
        </w:tc>
        <w:tc>
          <w:tcPr>
            <w:tcW w:w="4531" w:type="dxa"/>
            <w:shd w:val="clear" w:color="auto" w:fill="E7E6E6" w:themeFill="background2"/>
          </w:tcPr>
          <w:p w14:paraId="33BDA768" w14:textId="77777777" w:rsidR="002559D5" w:rsidRPr="008911A7" w:rsidRDefault="002559D5" w:rsidP="00D14B53">
            <w:pPr>
              <w:rPr>
                <w:lang w:val="en-US"/>
              </w:rPr>
            </w:pPr>
          </w:p>
        </w:tc>
      </w:tr>
      <w:tr w:rsidR="002559D5" w:rsidRPr="008911A7" w14:paraId="56B3EEF9" w14:textId="77777777" w:rsidTr="00D14B53">
        <w:tc>
          <w:tcPr>
            <w:tcW w:w="4531" w:type="dxa"/>
          </w:tcPr>
          <w:p w14:paraId="699C1DA4" w14:textId="77777777" w:rsidR="002559D5" w:rsidRPr="008911A7" w:rsidRDefault="002559D5" w:rsidP="00D14B53">
            <w:pPr>
              <w:rPr>
                <w:lang w:val="en-US"/>
              </w:rPr>
            </w:pPr>
          </w:p>
        </w:tc>
        <w:tc>
          <w:tcPr>
            <w:tcW w:w="4531" w:type="dxa"/>
          </w:tcPr>
          <w:p w14:paraId="2529FBF7" w14:textId="77777777" w:rsidR="002559D5" w:rsidRPr="008911A7" w:rsidRDefault="002559D5" w:rsidP="00D14B53">
            <w:pPr>
              <w:rPr>
                <w:lang w:val="en-US"/>
              </w:rPr>
            </w:pPr>
            <w:r>
              <w:rPr>
                <w:lang w:val="en-US"/>
              </w:rPr>
              <w:t>How did members of cabinet and ministry officials perceive the referendum beforehand? Did this change during the campaign?</w:t>
            </w:r>
          </w:p>
        </w:tc>
      </w:tr>
      <w:tr w:rsidR="002559D5" w:rsidRPr="00874288" w14:paraId="4F19CA5C" w14:textId="77777777" w:rsidTr="00D14B53">
        <w:tc>
          <w:tcPr>
            <w:tcW w:w="4531" w:type="dxa"/>
          </w:tcPr>
          <w:p w14:paraId="4FE3A1CB" w14:textId="77777777" w:rsidR="002559D5" w:rsidRPr="008911A7" w:rsidRDefault="002559D5" w:rsidP="00D14B53">
            <w:pPr>
              <w:rPr>
                <w:lang w:val="en-US"/>
              </w:rPr>
            </w:pPr>
          </w:p>
        </w:tc>
        <w:tc>
          <w:tcPr>
            <w:tcW w:w="4531" w:type="dxa"/>
          </w:tcPr>
          <w:p w14:paraId="6AC2D2B1" w14:textId="77777777" w:rsidR="002559D5" w:rsidRDefault="002559D5" w:rsidP="00D14B53">
            <w:pPr>
              <w:rPr>
                <w:lang w:val="en-US"/>
              </w:rPr>
            </w:pPr>
            <w:r>
              <w:rPr>
                <w:lang w:val="en-US"/>
              </w:rPr>
              <w:t>To what extent did members of cabinet feel they held ownership over the campaign? Did this have consequences for the priorities set in the campaign?</w:t>
            </w:r>
          </w:p>
        </w:tc>
      </w:tr>
      <w:tr w:rsidR="008E6C60" w:rsidRPr="00874288" w14:paraId="68D0C6AE" w14:textId="77777777" w:rsidTr="00D14B53">
        <w:tc>
          <w:tcPr>
            <w:tcW w:w="4531" w:type="dxa"/>
          </w:tcPr>
          <w:p w14:paraId="3DD03EF7" w14:textId="77777777" w:rsidR="008E6C60" w:rsidRPr="008911A7" w:rsidRDefault="008E6C60" w:rsidP="00D14B53">
            <w:pPr>
              <w:rPr>
                <w:lang w:val="en-US"/>
              </w:rPr>
            </w:pPr>
          </w:p>
        </w:tc>
        <w:tc>
          <w:tcPr>
            <w:tcW w:w="4531" w:type="dxa"/>
          </w:tcPr>
          <w:p w14:paraId="790C52C8" w14:textId="2C62DD26" w:rsidR="008E6C60" w:rsidRDefault="008E6C60" w:rsidP="00D14B53">
            <w:pPr>
              <w:rPr>
                <w:lang w:val="en-US"/>
              </w:rPr>
            </w:pPr>
            <w:r>
              <w:rPr>
                <w:lang w:val="en-US"/>
              </w:rPr>
              <w:t>To what extent was the prestige of members of cabinet at stake?</w:t>
            </w:r>
          </w:p>
        </w:tc>
      </w:tr>
      <w:tr w:rsidR="002559D5" w:rsidRPr="00F054BE" w14:paraId="6474657E" w14:textId="77777777" w:rsidTr="00D14B53">
        <w:tc>
          <w:tcPr>
            <w:tcW w:w="4531" w:type="dxa"/>
          </w:tcPr>
          <w:p w14:paraId="2B750124" w14:textId="77777777" w:rsidR="002559D5" w:rsidRPr="008911A7" w:rsidRDefault="002559D5" w:rsidP="00D14B53">
            <w:pPr>
              <w:rPr>
                <w:lang w:val="en-US"/>
              </w:rPr>
            </w:pPr>
          </w:p>
        </w:tc>
        <w:tc>
          <w:tcPr>
            <w:tcW w:w="4531" w:type="dxa"/>
          </w:tcPr>
          <w:p w14:paraId="42B99420" w14:textId="6B43ED01" w:rsidR="002559D5" w:rsidRDefault="002559D5" w:rsidP="00D14B53">
            <w:pPr>
              <w:rPr>
                <w:lang w:val="en-US"/>
              </w:rPr>
            </w:pPr>
            <w:r>
              <w:rPr>
                <w:lang w:val="en-US"/>
              </w:rPr>
              <w:t>Before the campaign started, how high did members of cabinet and ministry officials deem the chances of the outcome of the referendum to be ‘no’, expressed in percentages? Did this change over the course of the campaign</w:t>
            </w:r>
            <w:r w:rsidR="00625F4A">
              <w:rPr>
                <w:lang w:val="en-US"/>
              </w:rPr>
              <w:t>?</w:t>
            </w:r>
          </w:p>
        </w:tc>
      </w:tr>
      <w:tr w:rsidR="00826F0A" w:rsidRPr="002E00B0" w14:paraId="28B9D002" w14:textId="77777777" w:rsidTr="00D14B53">
        <w:tc>
          <w:tcPr>
            <w:tcW w:w="4531" w:type="dxa"/>
          </w:tcPr>
          <w:p w14:paraId="73189C6A" w14:textId="77777777" w:rsidR="00826F0A" w:rsidRPr="008911A7" w:rsidRDefault="00826F0A" w:rsidP="00D14B53">
            <w:pPr>
              <w:rPr>
                <w:lang w:val="en-US"/>
              </w:rPr>
            </w:pPr>
          </w:p>
        </w:tc>
        <w:tc>
          <w:tcPr>
            <w:tcW w:w="4531" w:type="dxa"/>
          </w:tcPr>
          <w:p w14:paraId="12357AEF" w14:textId="686E1AA2" w:rsidR="00826F0A" w:rsidRDefault="00826F0A" w:rsidP="00D14B53">
            <w:pPr>
              <w:rPr>
                <w:lang w:val="en-US"/>
              </w:rPr>
            </w:pPr>
            <w:r>
              <w:rPr>
                <w:lang w:val="en-US"/>
              </w:rPr>
              <w:t>To what extent was there a shared vision on European integration among involved civil servants? To what extent did this impact the campaign strategy?</w:t>
            </w:r>
          </w:p>
        </w:tc>
      </w:tr>
      <w:tr w:rsidR="00625F4A" w:rsidRPr="00874288" w14:paraId="1F8C8AD6" w14:textId="77777777" w:rsidTr="00D14B53">
        <w:tc>
          <w:tcPr>
            <w:tcW w:w="4531" w:type="dxa"/>
          </w:tcPr>
          <w:p w14:paraId="5058F30A" w14:textId="77777777" w:rsidR="00625F4A" w:rsidRPr="008911A7" w:rsidRDefault="00625F4A" w:rsidP="00D14B53">
            <w:pPr>
              <w:rPr>
                <w:lang w:val="en-US"/>
              </w:rPr>
            </w:pPr>
          </w:p>
        </w:tc>
        <w:tc>
          <w:tcPr>
            <w:tcW w:w="4531" w:type="dxa"/>
          </w:tcPr>
          <w:p w14:paraId="7F70A590" w14:textId="43ADC1E3" w:rsidR="00625F4A" w:rsidRDefault="00625F4A" w:rsidP="00D14B53">
            <w:pPr>
              <w:rPr>
                <w:lang w:val="en-US"/>
              </w:rPr>
            </w:pPr>
            <w:r>
              <w:rPr>
                <w:lang w:val="en-US"/>
              </w:rPr>
              <w:t xml:space="preserve">What expectations did members of cabinet and </w:t>
            </w:r>
            <w:r w:rsidR="00826F0A">
              <w:rPr>
                <w:lang w:val="en-US"/>
              </w:rPr>
              <w:t>civil servants</w:t>
            </w:r>
            <w:r>
              <w:rPr>
                <w:lang w:val="en-US"/>
              </w:rPr>
              <w:t xml:space="preserve"> have regarding the views of the general public on European integration?</w:t>
            </w:r>
          </w:p>
        </w:tc>
      </w:tr>
      <w:tr w:rsidR="00625F4A" w:rsidRPr="00874288" w14:paraId="25A5B7BF" w14:textId="77777777" w:rsidTr="00D14B53">
        <w:tc>
          <w:tcPr>
            <w:tcW w:w="4531" w:type="dxa"/>
          </w:tcPr>
          <w:p w14:paraId="34C1C352" w14:textId="77777777" w:rsidR="00625F4A" w:rsidRPr="008911A7" w:rsidRDefault="00625F4A" w:rsidP="00D14B53">
            <w:pPr>
              <w:rPr>
                <w:lang w:val="en-US"/>
              </w:rPr>
            </w:pPr>
          </w:p>
        </w:tc>
        <w:tc>
          <w:tcPr>
            <w:tcW w:w="4531" w:type="dxa"/>
          </w:tcPr>
          <w:p w14:paraId="086F01D3" w14:textId="0CA67076" w:rsidR="00625F4A" w:rsidRDefault="00826F0A" w:rsidP="00D14B53">
            <w:pPr>
              <w:rPr>
                <w:lang w:val="en-US"/>
              </w:rPr>
            </w:pPr>
            <w:r>
              <w:rPr>
                <w:lang w:val="en-US"/>
              </w:rPr>
              <w:t xml:space="preserve">How did </w:t>
            </w:r>
            <w:r w:rsidR="00454AF1">
              <w:rPr>
                <w:lang w:val="en-US"/>
              </w:rPr>
              <w:t>cabinet members</w:t>
            </w:r>
            <w:r w:rsidR="007A4D7C">
              <w:rPr>
                <w:lang w:val="en-US"/>
              </w:rPr>
              <w:t xml:space="preserve"> and civil servants of the Ministry of Foreign Affairs view the opponents of the European Constitution?</w:t>
            </w:r>
          </w:p>
        </w:tc>
      </w:tr>
      <w:tr w:rsidR="002559D5" w:rsidRPr="00874288" w14:paraId="34693CAE" w14:textId="77777777" w:rsidTr="00D14B53">
        <w:tc>
          <w:tcPr>
            <w:tcW w:w="4531" w:type="dxa"/>
          </w:tcPr>
          <w:p w14:paraId="2CE0B34B" w14:textId="77777777" w:rsidR="002559D5" w:rsidRPr="008911A7" w:rsidRDefault="002559D5" w:rsidP="00D14B53">
            <w:pPr>
              <w:rPr>
                <w:lang w:val="en-US"/>
              </w:rPr>
            </w:pPr>
          </w:p>
        </w:tc>
        <w:tc>
          <w:tcPr>
            <w:tcW w:w="4531" w:type="dxa"/>
          </w:tcPr>
          <w:p w14:paraId="434B2222" w14:textId="77777777" w:rsidR="002559D5" w:rsidRDefault="002559D5" w:rsidP="00D14B53">
            <w:pPr>
              <w:rPr>
                <w:lang w:val="en-US"/>
              </w:rPr>
            </w:pPr>
          </w:p>
        </w:tc>
      </w:tr>
      <w:tr w:rsidR="002559D5" w:rsidRPr="008911A7" w14:paraId="0D702697" w14:textId="77777777" w:rsidTr="00D14B53">
        <w:tc>
          <w:tcPr>
            <w:tcW w:w="4531" w:type="dxa"/>
            <w:shd w:val="clear" w:color="auto" w:fill="E7E6E6" w:themeFill="background2"/>
          </w:tcPr>
          <w:p w14:paraId="4449C03E" w14:textId="77777777" w:rsidR="002559D5" w:rsidRPr="008911A7" w:rsidRDefault="002559D5" w:rsidP="00D14B53">
            <w:pPr>
              <w:rPr>
                <w:lang w:val="en-US"/>
              </w:rPr>
            </w:pPr>
            <w:r>
              <w:rPr>
                <w:lang w:val="en-US"/>
              </w:rPr>
              <w:t xml:space="preserve">Bureaucratic organizations </w:t>
            </w:r>
          </w:p>
        </w:tc>
        <w:tc>
          <w:tcPr>
            <w:tcW w:w="4531" w:type="dxa"/>
            <w:shd w:val="clear" w:color="auto" w:fill="E7E6E6" w:themeFill="background2"/>
          </w:tcPr>
          <w:p w14:paraId="5C60ECFA" w14:textId="77777777" w:rsidR="002559D5" w:rsidRDefault="002559D5" w:rsidP="00D14B53">
            <w:pPr>
              <w:rPr>
                <w:lang w:val="en-US"/>
              </w:rPr>
            </w:pPr>
          </w:p>
        </w:tc>
      </w:tr>
      <w:tr w:rsidR="002559D5" w:rsidRPr="002E00B0" w14:paraId="73B0E90E" w14:textId="77777777" w:rsidTr="00D14B53">
        <w:tc>
          <w:tcPr>
            <w:tcW w:w="4531" w:type="dxa"/>
          </w:tcPr>
          <w:p w14:paraId="22851452" w14:textId="77777777" w:rsidR="002559D5" w:rsidRDefault="002559D5" w:rsidP="00D14B53">
            <w:pPr>
              <w:rPr>
                <w:lang w:val="en-US"/>
              </w:rPr>
            </w:pPr>
          </w:p>
        </w:tc>
        <w:tc>
          <w:tcPr>
            <w:tcW w:w="4531" w:type="dxa"/>
          </w:tcPr>
          <w:p w14:paraId="666960BC" w14:textId="334FD9DC" w:rsidR="002559D5" w:rsidRDefault="007A4D7C" w:rsidP="00D14B53">
            <w:pPr>
              <w:rPr>
                <w:lang w:val="en-US"/>
              </w:rPr>
            </w:pPr>
            <w:r>
              <w:rPr>
                <w:lang w:val="en-US"/>
              </w:rPr>
              <w:t xml:space="preserve">To what extent did formalities, such as the </w:t>
            </w:r>
            <w:r w:rsidR="003A419A">
              <w:rPr>
                <w:lang w:val="en-US"/>
              </w:rPr>
              <w:t>assigned resources, impact the campaign? Were these resources seen as sufficient?</w:t>
            </w:r>
          </w:p>
        </w:tc>
      </w:tr>
      <w:tr w:rsidR="002559D5" w:rsidRPr="00874288" w14:paraId="1FE92A11" w14:textId="77777777" w:rsidTr="00D14B53">
        <w:tc>
          <w:tcPr>
            <w:tcW w:w="4531" w:type="dxa"/>
          </w:tcPr>
          <w:p w14:paraId="64E9B957" w14:textId="77777777" w:rsidR="002559D5" w:rsidRDefault="002559D5" w:rsidP="00D14B53">
            <w:pPr>
              <w:rPr>
                <w:lang w:val="en-US"/>
              </w:rPr>
            </w:pPr>
          </w:p>
        </w:tc>
        <w:tc>
          <w:tcPr>
            <w:tcW w:w="4531" w:type="dxa"/>
          </w:tcPr>
          <w:p w14:paraId="7578372A" w14:textId="1D96AA54" w:rsidR="002559D5" w:rsidRDefault="003A419A" w:rsidP="00D14B53">
            <w:pPr>
              <w:rPr>
                <w:lang w:val="en-US"/>
              </w:rPr>
            </w:pPr>
            <w:r>
              <w:rPr>
                <w:lang w:val="en-US"/>
              </w:rPr>
              <w:t>What was the role of the Political Control Group?</w:t>
            </w:r>
            <w:r w:rsidR="004E7418">
              <w:rPr>
                <w:lang w:val="en-US"/>
              </w:rPr>
              <w:t xml:space="preserve"> How did civil servants interact with this?</w:t>
            </w:r>
          </w:p>
        </w:tc>
      </w:tr>
      <w:tr w:rsidR="002559D5" w:rsidRPr="002E00B0" w14:paraId="6E0F0F0E" w14:textId="77777777" w:rsidTr="00D14B53">
        <w:tc>
          <w:tcPr>
            <w:tcW w:w="4531" w:type="dxa"/>
          </w:tcPr>
          <w:p w14:paraId="4EFF7F8E" w14:textId="77777777" w:rsidR="002559D5" w:rsidRDefault="002559D5" w:rsidP="00D14B53">
            <w:pPr>
              <w:rPr>
                <w:lang w:val="en-US"/>
              </w:rPr>
            </w:pPr>
          </w:p>
        </w:tc>
        <w:tc>
          <w:tcPr>
            <w:tcW w:w="4531" w:type="dxa"/>
          </w:tcPr>
          <w:p w14:paraId="3ACD38F6" w14:textId="0E83390C" w:rsidR="002559D5" w:rsidRDefault="003A419A" w:rsidP="00D14B53">
            <w:pPr>
              <w:rPr>
                <w:lang w:val="en-US"/>
              </w:rPr>
            </w:pPr>
            <w:r>
              <w:rPr>
                <w:lang w:val="en-US"/>
              </w:rPr>
              <w:t>Did the Ministries of Foreign Affairs and the Interior differ in their views on the referendum? How did the departments perceive each other?</w:t>
            </w:r>
          </w:p>
        </w:tc>
      </w:tr>
      <w:tr w:rsidR="002559D5" w:rsidRPr="002E00B0" w14:paraId="3E704F3B" w14:textId="77777777" w:rsidTr="00D14B53">
        <w:tc>
          <w:tcPr>
            <w:tcW w:w="4531" w:type="dxa"/>
          </w:tcPr>
          <w:p w14:paraId="52C1762F" w14:textId="77777777" w:rsidR="002559D5" w:rsidRDefault="002559D5" w:rsidP="00D14B53">
            <w:pPr>
              <w:rPr>
                <w:lang w:val="en-US"/>
              </w:rPr>
            </w:pPr>
          </w:p>
        </w:tc>
        <w:tc>
          <w:tcPr>
            <w:tcW w:w="4531" w:type="dxa"/>
          </w:tcPr>
          <w:p w14:paraId="62DFCAB4" w14:textId="719BC968" w:rsidR="002559D5" w:rsidRDefault="003A419A" w:rsidP="00D14B53">
            <w:pPr>
              <w:rPr>
                <w:lang w:val="en-US"/>
              </w:rPr>
            </w:pPr>
            <w:r>
              <w:rPr>
                <w:lang w:val="en-US"/>
              </w:rPr>
              <w:t xml:space="preserve">To what </w:t>
            </w:r>
            <w:r w:rsidR="001822DD">
              <w:rPr>
                <w:lang w:val="en-US"/>
              </w:rPr>
              <w:t xml:space="preserve">extent did members of the Taskforce participate on behalf of their own department? To what extent did they represent their department’s </w:t>
            </w:r>
            <w:r w:rsidR="00814E54">
              <w:rPr>
                <w:lang w:val="en-US"/>
              </w:rPr>
              <w:t>interests?</w:t>
            </w:r>
          </w:p>
        </w:tc>
      </w:tr>
      <w:tr w:rsidR="002559D5" w:rsidRPr="00874288" w14:paraId="5406141D" w14:textId="77777777" w:rsidTr="00D14B53">
        <w:tc>
          <w:tcPr>
            <w:tcW w:w="4531" w:type="dxa"/>
          </w:tcPr>
          <w:p w14:paraId="759C5D3A" w14:textId="77777777" w:rsidR="002559D5" w:rsidRDefault="002559D5" w:rsidP="00D14B53">
            <w:pPr>
              <w:rPr>
                <w:lang w:val="en-US"/>
              </w:rPr>
            </w:pPr>
          </w:p>
        </w:tc>
        <w:tc>
          <w:tcPr>
            <w:tcW w:w="4531" w:type="dxa"/>
          </w:tcPr>
          <w:p w14:paraId="0AB16F43" w14:textId="09CEB737" w:rsidR="002559D5" w:rsidRDefault="00814E54" w:rsidP="00D14B53">
            <w:pPr>
              <w:rPr>
                <w:lang w:val="en-US"/>
              </w:rPr>
            </w:pPr>
            <w:r>
              <w:rPr>
                <w:lang w:val="en-US"/>
              </w:rPr>
              <w:t xml:space="preserve">To what extent </w:t>
            </w:r>
            <w:r w:rsidR="004E7418">
              <w:rPr>
                <w:lang w:val="en-US"/>
              </w:rPr>
              <w:t>was it possible to express diverging views within the Taskforce?</w:t>
            </w:r>
          </w:p>
        </w:tc>
      </w:tr>
      <w:tr w:rsidR="002559D5" w:rsidRPr="00874288" w14:paraId="23B96610" w14:textId="77777777" w:rsidTr="00D14B53">
        <w:tc>
          <w:tcPr>
            <w:tcW w:w="4531" w:type="dxa"/>
          </w:tcPr>
          <w:p w14:paraId="1AA6FE04" w14:textId="77777777" w:rsidR="002559D5" w:rsidRDefault="002559D5" w:rsidP="00D14B53">
            <w:pPr>
              <w:rPr>
                <w:lang w:val="en-US"/>
              </w:rPr>
            </w:pPr>
          </w:p>
        </w:tc>
        <w:tc>
          <w:tcPr>
            <w:tcW w:w="4531" w:type="dxa"/>
          </w:tcPr>
          <w:p w14:paraId="136BA584" w14:textId="77777777" w:rsidR="002559D5" w:rsidRDefault="002559D5" w:rsidP="00D14B53">
            <w:pPr>
              <w:rPr>
                <w:lang w:val="en-US"/>
              </w:rPr>
            </w:pPr>
          </w:p>
        </w:tc>
      </w:tr>
      <w:tr w:rsidR="002559D5" w:rsidRPr="008911A7" w14:paraId="53D5A883" w14:textId="77777777" w:rsidTr="00D14B53">
        <w:tc>
          <w:tcPr>
            <w:tcW w:w="4531" w:type="dxa"/>
            <w:shd w:val="clear" w:color="auto" w:fill="E7E6E6" w:themeFill="background2"/>
          </w:tcPr>
          <w:p w14:paraId="1A8D34A1" w14:textId="77777777" w:rsidR="002559D5" w:rsidRDefault="002559D5" w:rsidP="00D14B53">
            <w:pPr>
              <w:rPr>
                <w:lang w:val="en-US"/>
              </w:rPr>
            </w:pPr>
            <w:r>
              <w:rPr>
                <w:lang w:val="en-US"/>
              </w:rPr>
              <w:t>Closing</w:t>
            </w:r>
          </w:p>
        </w:tc>
        <w:tc>
          <w:tcPr>
            <w:tcW w:w="4531" w:type="dxa"/>
            <w:shd w:val="clear" w:color="auto" w:fill="E7E6E6" w:themeFill="background2"/>
          </w:tcPr>
          <w:p w14:paraId="3628BC89" w14:textId="77777777" w:rsidR="002559D5" w:rsidRDefault="002559D5" w:rsidP="00D14B53">
            <w:pPr>
              <w:rPr>
                <w:lang w:val="en-US"/>
              </w:rPr>
            </w:pPr>
          </w:p>
        </w:tc>
      </w:tr>
      <w:tr w:rsidR="002559D5" w:rsidRPr="00874288" w14:paraId="704A31DB" w14:textId="77777777" w:rsidTr="00D14B53">
        <w:tc>
          <w:tcPr>
            <w:tcW w:w="4531" w:type="dxa"/>
          </w:tcPr>
          <w:p w14:paraId="46AE9423" w14:textId="77777777" w:rsidR="002559D5" w:rsidRDefault="002559D5" w:rsidP="00D14B53">
            <w:pPr>
              <w:rPr>
                <w:lang w:val="en-US"/>
              </w:rPr>
            </w:pPr>
          </w:p>
        </w:tc>
        <w:tc>
          <w:tcPr>
            <w:tcW w:w="4531" w:type="dxa"/>
          </w:tcPr>
          <w:p w14:paraId="3275E7CB" w14:textId="77777777" w:rsidR="002559D5" w:rsidRDefault="002559D5" w:rsidP="00D14B53">
            <w:pPr>
              <w:rPr>
                <w:lang w:val="en-US"/>
              </w:rPr>
            </w:pPr>
            <w:r>
              <w:rPr>
                <w:lang w:val="en-US"/>
              </w:rPr>
              <w:t>Is there anything you feel was important in the campaign that has not yet been discussed?</w:t>
            </w:r>
          </w:p>
        </w:tc>
      </w:tr>
      <w:tr w:rsidR="002559D5" w:rsidRPr="00874288" w14:paraId="494B91D9" w14:textId="77777777" w:rsidTr="00D14B53">
        <w:tc>
          <w:tcPr>
            <w:tcW w:w="4531" w:type="dxa"/>
          </w:tcPr>
          <w:p w14:paraId="696799F7" w14:textId="77777777" w:rsidR="002559D5" w:rsidRDefault="002559D5" w:rsidP="00D14B53">
            <w:pPr>
              <w:rPr>
                <w:lang w:val="en-US"/>
              </w:rPr>
            </w:pPr>
          </w:p>
        </w:tc>
        <w:tc>
          <w:tcPr>
            <w:tcW w:w="4531" w:type="dxa"/>
          </w:tcPr>
          <w:p w14:paraId="468A78DD" w14:textId="70C90101" w:rsidR="002559D5" w:rsidRDefault="004E7418" w:rsidP="00D14B53">
            <w:pPr>
              <w:rPr>
                <w:lang w:val="en-US"/>
              </w:rPr>
            </w:pPr>
            <w:r>
              <w:rPr>
                <w:lang w:val="en-US"/>
              </w:rPr>
              <w:t>In your eyes, to what extent did the cabinet’s campaign</w:t>
            </w:r>
            <w:r w:rsidR="006C111A">
              <w:rPr>
                <w:lang w:val="en-US"/>
              </w:rPr>
              <w:t xml:space="preserve"> contribute to the outcome of the referendum?</w:t>
            </w:r>
          </w:p>
        </w:tc>
      </w:tr>
      <w:tr w:rsidR="002559D5" w:rsidRPr="00874288" w14:paraId="637B40E3" w14:textId="77777777" w:rsidTr="00D14B53">
        <w:tc>
          <w:tcPr>
            <w:tcW w:w="4531" w:type="dxa"/>
          </w:tcPr>
          <w:p w14:paraId="73270A52" w14:textId="77777777" w:rsidR="002559D5" w:rsidRDefault="002559D5" w:rsidP="00D14B53">
            <w:pPr>
              <w:rPr>
                <w:lang w:val="en-US"/>
              </w:rPr>
            </w:pPr>
          </w:p>
        </w:tc>
        <w:tc>
          <w:tcPr>
            <w:tcW w:w="4531" w:type="dxa"/>
          </w:tcPr>
          <w:p w14:paraId="3BC3D97C" w14:textId="77777777" w:rsidR="002559D5" w:rsidRPr="000F7BFB" w:rsidRDefault="002559D5" w:rsidP="00D14B53">
            <w:pPr>
              <w:rPr>
                <w:lang w:val="en-US"/>
              </w:rPr>
            </w:pPr>
            <w:r w:rsidRPr="000F7BFB">
              <w:rPr>
                <w:lang w:val="en-US"/>
              </w:rPr>
              <w:t>Are there documents/articles you</w:t>
            </w:r>
            <w:r>
              <w:rPr>
                <w:lang w:val="en-US"/>
              </w:rPr>
              <w:t xml:space="preserve"> would recommend me to read to better understand the decision making regarding the cabinet’s campaign?</w:t>
            </w:r>
          </w:p>
        </w:tc>
      </w:tr>
      <w:tr w:rsidR="002559D5" w:rsidRPr="000F7BFB" w14:paraId="28CB5EED" w14:textId="77777777" w:rsidTr="00D14B53">
        <w:tc>
          <w:tcPr>
            <w:tcW w:w="4531" w:type="dxa"/>
          </w:tcPr>
          <w:p w14:paraId="0A753250" w14:textId="77777777" w:rsidR="002559D5" w:rsidRDefault="002559D5" w:rsidP="00D14B53">
            <w:pPr>
              <w:rPr>
                <w:lang w:val="en-US"/>
              </w:rPr>
            </w:pPr>
          </w:p>
        </w:tc>
        <w:tc>
          <w:tcPr>
            <w:tcW w:w="4531" w:type="dxa"/>
          </w:tcPr>
          <w:p w14:paraId="4D17E57A" w14:textId="77777777" w:rsidR="002559D5" w:rsidRPr="000F7BFB" w:rsidRDefault="002559D5" w:rsidP="00D14B53">
            <w:pPr>
              <w:rPr>
                <w:lang w:val="en-US"/>
              </w:rPr>
            </w:pPr>
            <w:r>
              <w:rPr>
                <w:lang w:val="en-US"/>
              </w:rPr>
              <w:t>Is there anyone you would recommend me to speak with for my research? Would you be willing to serve as an intermediary?</w:t>
            </w:r>
          </w:p>
        </w:tc>
      </w:tr>
    </w:tbl>
    <w:p w14:paraId="72CD8BCE" w14:textId="54FA4AC4" w:rsidR="00D46362" w:rsidRDefault="00D46362"/>
    <w:p w14:paraId="21132C47" w14:textId="77777777" w:rsidR="002E50AB" w:rsidRDefault="002E50AB"/>
    <w:tbl>
      <w:tblPr>
        <w:tblStyle w:val="Tabelraster"/>
        <w:tblW w:w="0" w:type="auto"/>
        <w:tblLook w:val="04A0" w:firstRow="1" w:lastRow="0" w:firstColumn="1" w:lastColumn="0" w:noHBand="0" w:noVBand="1"/>
      </w:tblPr>
      <w:tblGrid>
        <w:gridCol w:w="4531"/>
        <w:gridCol w:w="4531"/>
      </w:tblGrid>
      <w:tr w:rsidR="00D46362" w:rsidRPr="00874288" w14:paraId="7CF0405D" w14:textId="77777777" w:rsidTr="00D14B53">
        <w:tc>
          <w:tcPr>
            <w:tcW w:w="9062" w:type="dxa"/>
            <w:gridSpan w:val="2"/>
            <w:shd w:val="clear" w:color="auto" w:fill="E7E6E6" w:themeFill="background2"/>
          </w:tcPr>
          <w:p w14:paraId="7D13D571" w14:textId="1DFCD789" w:rsidR="00D46362" w:rsidRPr="00D46362" w:rsidRDefault="00D46362" w:rsidP="00D14B53">
            <w:pPr>
              <w:jc w:val="center"/>
              <w:rPr>
                <w:lang w:val="en-US"/>
              </w:rPr>
            </w:pPr>
            <w:r w:rsidRPr="00D46362">
              <w:rPr>
                <w:lang w:val="en-US"/>
              </w:rPr>
              <w:t>Political Control Group-members a</w:t>
            </w:r>
            <w:r>
              <w:rPr>
                <w:lang w:val="en-US"/>
              </w:rPr>
              <w:t>nd staff</w:t>
            </w:r>
          </w:p>
        </w:tc>
      </w:tr>
      <w:tr w:rsidR="00D46362" w:rsidRPr="00874288" w14:paraId="6A3B73A4" w14:textId="77777777" w:rsidTr="00D14B53">
        <w:tc>
          <w:tcPr>
            <w:tcW w:w="4531" w:type="dxa"/>
          </w:tcPr>
          <w:p w14:paraId="27E23AC7" w14:textId="77777777" w:rsidR="00D46362" w:rsidRPr="00D46362" w:rsidRDefault="00D46362" w:rsidP="00D14B53">
            <w:pPr>
              <w:rPr>
                <w:lang w:val="en-US"/>
              </w:rPr>
            </w:pPr>
          </w:p>
        </w:tc>
        <w:tc>
          <w:tcPr>
            <w:tcW w:w="4531" w:type="dxa"/>
          </w:tcPr>
          <w:p w14:paraId="2CF5BC09" w14:textId="77777777" w:rsidR="00D46362" w:rsidRPr="00D46362" w:rsidRDefault="00D46362" w:rsidP="00D14B53">
            <w:pPr>
              <w:rPr>
                <w:lang w:val="en-US"/>
              </w:rPr>
            </w:pPr>
          </w:p>
        </w:tc>
      </w:tr>
      <w:tr w:rsidR="00D46362" w14:paraId="001CA821" w14:textId="77777777" w:rsidTr="00D14B53">
        <w:tc>
          <w:tcPr>
            <w:tcW w:w="4531" w:type="dxa"/>
            <w:shd w:val="clear" w:color="auto" w:fill="E7E6E6" w:themeFill="background2"/>
          </w:tcPr>
          <w:p w14:paraId="05D05AA2" w14:textId="77777777" w:rsidR="00D46362" w:rsidRDefault="00D46362" w:rsidP="00D14B53">
            <w:r>
              <w:t>Overview questions</w:t>
            </w:r>
          </w:p>
        </w:tc>
        <w:tc>
          <w:tcPr>
            <w:tcW w:w="4531" w:type="dxa"/>
            <w:shd w:val="clear" w:color="auto" w:fill="E7E6E6" w:themeFill="background2"/>
          </w:tcPr>
          <w:p w14:paraId="2531BC97" w14:textId="77777777" w:rsidR="00D46362" w:rsidRDefault="00D46362" w:rsidP="00D14B53"/>
        </w:tc>
      </w:tr>
      <w:tr w:rsidR="00D46362" w:rsidRPr="00874288" w14:paraId="2D0E68BC" w14:textId="77777777" w:rsidTr="00D14B53">
        <w:tc>
          <w:tcPr>
            <w:tcW w:w="4531" w:type="dxa"/>
          </w:tcPr>
          <w:p w14:paraId="666AA119" w14:textId="77777777" w:rsidR="00D46362" w:rsidRPr="008911A7" w:rsidRDefault="00D46362" w:rsidP="00D14B53">
            <w:pPr>
              <w:rPr>
                <w:lang w:val="en-US"/>
              </w:rPr>
            </w:pPr>
          </w:p>
        </w:tc>
        <w:tc>
          <w:tcPr>
            <w:tcW w:w="4531" w:type="dxa"/>
          </w:tcPr>
          <w:p w14:paraId="23B3353F" w14:textId="7AB29B09" w:rsidR="00D46362" w:rsidRPr="008911A7" w:rsidRDefault="00E83CE6" w:rsidP="00D14B53">
            <w:pPr>
              <w:rPr>
                <w:lang w:val="en-US"/>
              </w:rPr>
            </w:pPr>
            <w:r>
              <w:rPr>
                <w:lang w:val="en-US"/>
              </w:rPr>
              <w:t>Expressed in a percentage, how much would you say you remember about the period of the referendum on the European Constitutional Treaty?</w:t>
            </w:r>
          </w:p>
        </w:tc>
      </w:tr>
      <w:tr w:rsidR="00D46362" w:rsidRPr="00874288" w14:paraId="72B6F78A" w14:textId="77777777" w:rsidTr="00D14B53">
        <w:tc>
          <w:tcPr>
            <w:tcW w:w="4531" w:type="dxa"/>
          </w:tcPr>
          <w:p w14:paraId="1CD4CCA4" w14:textId="77777777" w:rsidR="00D46362" w:rsidRPr="008911A7" w:rsidRDefault="00D46362" w:rsidP="00D14B53">
            <w:pPr>
              <w:rPr>
                <w:lang w:val="en-US"/>
              </w:rPr>
            </w:pPr>
          </w:p>
        </w:tc>
        <w:tc>
          <w:tcPr>
            <w:tcW w:w="4531" w:type="dxa"/>
          </w:tcPr>
          <w:p w14:paraId="2ABB68FA" w14:textId="11A20424" w:rsidR="00D46362" w:rsidRPr="008911A7" w:rsidRDefault="00E83CE6" w:rsidP="00D14B53">
            <w:pPr>
              <w:rPr>
                <w:lang w:val="en-US"/>
              </w:rPr>
            </w:pPr>
            <w:r>
              <w:rPr>
                <w:lang w:val="en-US"/>
              </w:rPr>
              <w:t>What was your role in the campaign at the time?</w:t>
            </w:r>
            <w:r w:rsidR="00D46362">
              <w:rPr>
                <w:lang w:val="en-US"/>
              </w:rPr>
              <w:t xml:space="preserve"> </w:t>
            </w:r>
          </w:p>
        </w:tc>
      </w:tr>
      <w:tr w:rsidR="00D46362" w:rsidRPr="00874288" w14:paraId="2C8D455B" w14:textId="77777777" w:rsidTr="00D14B53">
        <w:tc>
          <w:tcPr>
            <w:tcW w:w="4531" w:type="dxa"/>
          </w:tcPr>
          <w:p w14:paraId="7043563A" w14:textId="77777777" w:rsidR="00D46362" w:rsidRPr="008911A7" w:rsidRDefault="00D46362" w:rsidP="00D14B53">
            <w:pPr>
              <w:rPr>
                <w:lang w:val="en-US"/>
              </w:rPr>
            </w:pPr>
          </w:p>
        </w:tc>
        <w:tc>
          <w:tcPr>
            <w:tcW w:w="4531" w:type="dxa"/>
          </w:tcPr>
          <w:p w14:paraId="624FDAE4" w14:textId="4A983CAA" w:rsidR="00D46362" w:rsidRPr="008911A7" w:rsidRDefault="00E83CE6" w:rsidP="00D14B53">
            <w:pPr>
              <w:rPr>
                <w:lang w:val="en-US"/>
              </w:rPr>
            </w:pPr>
            <w:r>
              <w:rPr>
                <w:lang w:val="en-US"/>
              </w:rPr>
              <w:t>If you think about this time, what is the first thing that comes to mind?</w:t>
            </w:r>
          </w:p>
        </w:tc>
      </w:tr>
      <w:tr w:rsidR="00D46362" w:rsidRPr="00874288" w14:paraId="21034CAF" w14:textId="77777777" w:rsidTr="00D14B53">
        <w:tc>
          <w:tcPr>
            <w:tcW w:w="4531" w:type="dxa"/>
          </w:tcPr>
          <w:p w14:paraId="42AA7672" w14:textId="77777777" w:rsidR="00D46362" w:rsidRPr="008911A7" w:rsidRDefault="00D46362" w:rsidP="00D14B53">
            <w:pPr>
              <w:rPr>
                <w:lang w:val="en-US"/>
              </w:rPr>
            </w:pPr>
          </w:p>
        </w:tc>
        <w:tc>
          <w:tcPr>
            <w:tcW w:w="4531" w:type="dxa"/>
          </w:tcPr>
          <w:p w14:paraId="208ECAB5" w14:textId="77777777" w:rsidR="00D46362" w:rsidRPr="008911A7" w:rsidRDefault="00D46362" w:rsidP="00D14B53">
            <w:pPr>
              <w:rPr>
                <w:lang w:val="en-US"/>
              </w:rPr>
            </w:pPr>
          </w:p>
        </w:tc>
      </w:tr>
      <w:tr w:rsidR="00D46362" w:rsidRPr="008911A7" w14:paraId="28C26D38" w14:textId="77777777" w:rsidTr="00D14B53">
        <w:tc>
          <w:tcPr>
            <w:tcW w:w="4531" w:type="dxa"/>
            <w:shd w:val="clear" w:color="auto" w:fill="E7E6E6" w:themeFill="background2"/>
          </w:tcPr>
          <w:p w14:paraId="16A1A1A1" w14:textId="77777777" w:rsidR="00D46362" w:rsidRPr="008911A7" w:rsidRDefault="00D46362" w:rsidP="00D14B53">
            <w:pPr>
              <w:rPr>
                <w:lang w:val="en-US"/>
              </w:rPr>
            </w:pPr>
            <w:r>
              <w:rPr>
                <w:lang w:val="en-US"/>
              </w:rPr>
              <w:t>Perceptions</w:t>
            </w:r>
          </w:p>
        </w:tc>
        <w:tc>
          <w:tcPr>
            <w:tcW w:w="4531" w:type="dxa"/>
            <w:shd w:val="clear" w:color="auto" w:fill="E7E6E6" w:themeFill="background2"/>
          </w:tcPr>
          <w:p w14:paraId="51C25EFA" w14:textId="77777777" w:rsidR="00D46362" w:rsidRPr="008911A7" w:rsidRDefault="00D46362" w:rsidP="00D14B53">
            <w:pPr>
              <w:rPr>
                <w:lang w:val="en-US"/>
              </w:rPr>
            </w:pPr>
          </w:p>
        </w:tc>
      </w:tr>
      <w:tr w:rsidR="00D46362" w:rsidRPr="00874288" w14:paraId="28691B5B" w14:textId="77777777" w:rsidTr="00D14B53">
        <w:tc>
          <w:tcPr>
            <w:tcW w:w="4531" w:type="dxa"/>
          </w:tcPr>
          <w:p w14:paraId="45E4D35D" w14:textId="77777777" w:rsidR="00D46362" w:rsidRPr="008911A7" w:rsidRDefault="00D46362" w:rsidP="00D14B53">
            <w:pPr>
              <w:rPr>
                <w:lang w:val="en-US"/>
              </w:rPr>
            </w:pPr>
          </w:p>
        </w:tc>
        <w:tc>
          <w:tcPr>
            <w:tcW w:w="4531" w:type="dxa"/>
          </w:tcPr>
          <w:p w14:paraId="768D5E57" w14:textId="4D5C1C00" w:rsidR="00D46362" w:rsidRPr="008911A7" w:rsidRDefault="00D46362" w:rsidP="00D14B53">
            <w:pPr>
              <w:rPr>
                <w:lang w:val="en-US"/>
              </w:rPr>
            </w:pPr>
            <w:r>
              <w:rPr>
                <w:lang w:val="en-US"/>
              </w:rPr>
              <w:t xml:space="preserve">How did members of cabinet and ministry officials perceive the referendum beforehand? </w:t>
            </w:r>
          </w:p>
        </w:tc>
      </w:tr>
      <w:tr w:rsidR="00D46362" w:rsidRPr="00874288" w14:paraId="415D2F12" w14:textId="77777777" w:rsidTr="00D14B53">
        <w:tc>
          <w:tcPr>
            <w:tcW w:w="4531" w:type="dxa"/>
          </w:tcPr>
          <w:p w14:paraId="634B2D53" w14:textId="77777777" w:rsidR="00D46362" w:rsidRPr="008911A7" w:rsidRDefault="00D46362" w:rsidP="00D14B53">
            <w:pPr>
              <w:rPr>
                <w:lang w:val="en-US"/>
              </w:rPr>
            </w:pPr>
          </w:p>
        </w:tc>
        <w:tc>
          <w:tcPr>
            <w:tcW w:w="4531" w:type="dxa"/>
          </w:tcPr>
          <w:p w14:paraId="5616BCFE" w14:textId="77777777" w:rsidR="00D46362" w:rsidRDefault="00D46362" w:rsidP="00D14B53">
            <w:pPr>
              <w:rPr>
                <w:lang w:val="en-US"/>
              </w:rPr>
            </w:pPr>
            <w:r>
              <w:rPr>
                <w:lang w:val="en-US"/>
              </w:rPr>
              <w:t>To what extent did members of cabinet feel they held ownership over the campaign? Did this have consequences for the priorities set in the campaign?</w:t>
            </w:r>
          </w:p>
        </w:tc>
      </w:tr>
      <w:tr w:rsidR="00D46362" w:rsidRPr="00604725" w14:paraId="2F277F1C" w14:textId="77777777" w:rsidTr="00D14B53">
        <w:tc>
          <w:tcPr>
            <w:tcW w:w="4531" w:type="dxa"/>
          </w:tcPr>
          <w:p w14:paraId="2EE3945D" w14:textId="77777777" w:rsidR="00D46362" w:rsidRPr="008911A7" w:rsidRDefault="00D46362" w:rsidP="00D14B53">
            <w:pPr>
              <w:rPr>
                <w:lang w:val="en-US"/>
              </w:rPr>
            </w:pPr>
          </w:p>
        </w:tc>
        <w:tc>
          <w:tcPr>
            <w:tcW w:w="4531" w:type="dxa"/>
          </w:tcPr>
          <w:p w14:paraId="6BBF90EB" w14:textId="16F2D93D" w:rsidR="00D46362" w:rsidRDefault="00D46362" w:rsidP="00D14B53">
            <w:pPr>
              <w:rPr>
                <w:lang w:val="en-US"/>
              </w:rPr>
            </w:pPr>
            <w:r>
              <w:rPr>
                <w:lang w:val="en-US"/>
              </w:rPr>
              <w:t>Before the campaign started, how high did members of cabinet deem the chances of the outcome of the referendum to be ‘no’, expressed in percentages? Did this change over the course of the campaign?</w:t>
            </w:r>
          </w:p>
        </w:tc>
      </w:tr>
      <w:tr w:rsidR="00D46362" w:rsidRPr="00874288" w14:paraId="2DE42657" w14:textId="77777777" w:rsidTr="00D14B53">
        <w:tc>
          <w:tcPr>
            <w:tcW w:w="4531" w:type="dxa"/>
          </w:tcPr>
          <w:p w14:paraId="194412D7" w14:textId="77777777" w:rsidR="00D46362" w:rsidRPr="008911A7" w:rsidRDefault="00D46362" w:rsidP="00D14B53">
            <w:pPr>
              <w:rPr>
                <w:lang w:val="en-US"/>
              </w:rPr>
            </w:pPr>
          </w:p>
        </w:tc>
        <w:tc>
          <w:tcPr>
            <w:tcW w:w="4531" w:type="dxa"/>
          </w:tcPr>
          <w:p w14:paraId="63938863" w14:textId="5A7A4432" w:rsidR="00D46362" w:rsidRDefault="00D46362" w:rsidP="00D14B53">
            <w:pPr>
              <w:rPr>
                <w:lang w:val="en-US"/>
              </w:rPr>
            </w:pPr>
            <w:r>
              <w:rPr>
                <w:lang w:val="en-US"/>
              </w:rPr>
              <w:t xml:space="preserve">What would a ‘no’ mean for </w:t>
            </w:r>
            <w:r w:rsidR="00E83CE6">
              <w:rPr>
                <w:lang w:val="en-US"/>
              </w:rPr>
              <w:t>the</w:t>
            </w:r>
            <w:r>
              <w:rPr>
                <w:lang w:val="en-US"/>
              </w:rPr>
              <w:t xml:space="preserve"> position</w:t>
            </w:r>
            <w:r w:rsidR="00E83CE6">
              <w:rPr>
                <w:lang w:val="en-US"/>
              </w:rPr>
              <w:t xml:space="preserve"> of involved </w:t>
            </w:r>
            <w:r w:rsidR="00454AF1">
              <w:rPr>
                <w:lang w:val="en-US"/>
              </w:rPr>
              <w:t>cabinet members</w:t>
            </w:r>
            <w:r>
              <w:rPr>
                <w:lang w:val="en-US"/>
              </w:rPr>
              <w:t xml:space="preserve"> in the coalition? </w:t>
            </w:r>
          </w:p>
        </w:tc>
      </w:tr>
      <w:tr w:rsidR="00C94442" w:rsidRPr="00454AF1" w14:paraId="008795B3" w14:textId="77777777" w:rsidTr="00D14B53">
        <w:tc>
          <w:tcPr>
            <w:tcW w:w="4531" w:type="dxa"/>
          </w:tcPr>
          <w:p w14:paraId="7A22DC6A" w14:textId="77777777" w:rsidR="00C94442" w:rsidRPr="008911A7" w:rsidRDefault="00C94442" w:rsidP="00D14B53">
            <w:pPr>
              <w:rPr>
                <w:lang w:val="en-US"/>
              </w:rPr>
            </w:pPr>
          </w:p>
        </w:tc>
        <w:tc>
          <w:tcPr>
            <w:tcW w:w="4531" w:type="dxa"/>
          </w:tcPr>
          <w:p w14:paraId="266EB7A2" w14:textId="01FEE52B" w:rsidR="00C94442" w:rsidRDefault="00C94442" w:rsidP="00D14B53">
            <w:pPr>
              <w:rPr>
                <w:lang w:val="en-US"/>
              </w:rPr>
            </w:pPr>
            <w:r>
              <w:rPr>
                <w:lang w:val="en-US"/>
              </w:rPr>
              <w:t>To what extent was there a shared vision on European integration among involved civil servants</w:t>
            </w:r>
            <w:r w:rsidR="00E83CE6">
              <w:rPr>
                <w:lang w:val="en-US"/>
              </w:rPr>
              <w:t xml:space="preserve"> and </w:t>
            </w:r>
            <w:r w:rsidR="00454AF1">
              <w:rPr>
                <w:lang w:val="en-US"/>
              </w:rPr>
              <w:t>cabinet members</w:t>
            </w:r>
            <w:r>
              <w:rPr>
                <w:lang w:val="en-US"/>
              </w:rPr>
              <w:t>? To what extent did this impact the campaign strategy?</w:t>
            </w:r>
          </w:p>
        </w:tc>
      </w:tr>
      <w:tr w:rsidR="00E83CE6" w:rsidRPr="00874288" w14:paraId="1D822400" w14:textId="77777777" w:rsidTr="00D14B53">
        <w:tc>
          <w:tcPr>
            <w:tcW w:w="4531" w:type="dxa"/>
          </w:tcPr>
          <w:p w14:paraId="224858EC" w14:textId="77777777" w:rsidR="00E83CE6" w:rsidRPr="008911A7" w:rsidRDefault="00E83CE6" w:rsidP="00D14B53">
            <w:pPr>
              <w:rPr>
                <w:lang w:val="en-US"/>
              </w:rPr>
            </w:pPr>
          </w:p>
        </w:tc>
        <w:tc>
          <w:tcPr>
            <w:tcW w:w="4531" w:type="dxa"/>
          </w:tcPr>
          <w:p w14:paraId="4C8821B6" w14:textId="619C46F0" w:rsidR="00E83CE6" w:rsidRDefault="00E83CE6" w:rsidP="00D14B53">
            <w:pPr>
              <w:rPr>
                <w:lang w:val="en-US"/>
              </w:rPr>
            </w:pPr>
            <w:r>
              <w:rPr>
                <w:lang w:val="en-US"/>
              </w:rPr>
              <w:t xml:space="preserve">How did </w:t>
            </w:r>
            <w:r w:rsidR="00454AF1">
              <w:rPr>
                <w:lang w:val="en-US"/>
              </w:rPr>
              <w:t>cabinet members</w:t>
            </w:r>
            <w:r>
              <w:rPr>
                <w:lang w:val="en-US"/>
              </w:rPr>
              <w:t xml:space="preserve"> and civil service view opponents of the European Constitution?</w:t>
            </w:r>
          </w:p>
        </w:tc>
      </w:tr>
      <w:tr w:rsidR="00D46362" w:rsidRPr="00874288" w14:paraId="34D969F6" w14:textId="77777777" w:rsidTr="00D14B53">
        <w:tc>
          <w:tcPr>
            <w:tcW w:w="4531" w:type="dxa"/>
          </w:tcPr>
          <w:p w14:paraId="249FB26C" w14:textId="77777777" w:rsidR="00D46362" w:rsidRPr="008911A7" w:rsidRDefault="00D46362" w:rsidP="00D14B53">
            <w:pPr>
              <w:rPr>
                <w:lang w:val="en-US"/>
              </w:rPr>
            </w:pPr>
          </w:p>
        </w:tc>
        <w:tc>
          <w:tcPr>
            <w:tcW w:w="4531" w:type="dxa"/>
          </w:tcPr>
          <w:p w14:paraId="1D8C9268" w14:textId="77777777" w:rsidR="00D46362" w:rsidRDefault="00D46362" w:rsidP="00D14B53">
            <w:pPr>
              <w:rPr>
                <w:lang w:val="en-US"/>
              </w:rPr>
            </w:pPr>
          </w:p>
        </w:tc>
      </w:tr>
      <w:tr w:rsidR="00D46362" w:rsidRPr="008911A7" w14:paraId="46305954" w14:textId="77777777" w:rsidTr="00D14B53">
        <w:tc>
          <w:tcPr>
            <w:tcW w:w="4531" w:type="dxa"/>
            <w:shd w:val="clear" w:color="auto" w:fill="E7E6E6" w:themeFill="background2"/>
          </w:tcPr>
          <w:p w14:paraId="13C2D577" w14:textId="77777777" w:rsidR="00D46362" w:rsidRPr="008911A7" w:rsidRDefault="00D46362" w:rsidP="00D14B53">
            <w:pPr>
              <w:rPr>
                <w:lang w:val="en-US"/>
              </w:rPr>
            </w:pPr>
            <w:r>
              <w:rPr>
                <w:lang w:val="en-US"/>
              </w:rPr>
              <w:t xml:space="preserve">Bureaucratic organizations </w:t>
            </w:r>
          </w:p>
        </w:tc>
        <w:tc>
          <w:tcPr>
            <w:tcW w:w="4531" w:type="dxa"/>
            <w:shd w:val="clear" w:color="auto" w:fill="E7E6E6" w:themeFill="background2"/>
          </w:tcPr>
          <w:p w14:paraId="3483FA91" w14:textId="77777777" w:rsidR="00D46362" w:rsidRDefault="00D46362" w:rsidP="00D14B53">
            <w:pPr>
              <w:rPr>
                <w:lang w:val="en-US"/>
              </w:rPr>
            </w:pPr>
          </w:p>
        </w:tc>
      </w:tr>
      <w:tr w:rsidR="00D46362" w:rsidRPr="002E00B0" w14:paraId="6F8B387D" w14:textId="77777777" w:rsidTr="00D14B53">
        <w:tc>
          <w:tcPr>
            <w:tcW w:w="4531" w:type="dxa"/>
          </w:tcPr>
          <w:p w14:paraId="47DFBE63" w14:textId="77777777" w:rsidR="00D46362" w:rsidRDefault="00D46362" w:rsidP="00D14B53">
            <w:pPr>
              <w:rPr>
                <w:lang w:val="en-US"/>
              </w:rPr>
            </w:pPr>
          </w:p>
        </w:tc>
        <w:tc>
          <w:tcPr>
            <w:tcW w:w="4531" w:type="dxa"/>
          </w:tcPr>
          <w:p w14:paraId="6D97B1C1" w14:textId="271AED54" w:rsidR="00D46362" w:rsidRDefault="00E83CE6" w:rsidP="00D14B53">
            <w:pPr>
              <w:rPr>
                <w:lang w:val="en-US"/>
              </w:rPr>
            </w:pPr>
            <w:r>
              <w:rPr>
                <w:lang w:val="en-US"/>
              </w:rPr>
              <w:t>To what extent did formalities, such as the assigned resources, impact the campaign? Were these seen as sufficient?</w:t>
            </w:r>
          </w:p>
        </w:tc>
      </w:tr>
      <w:tr w:rsidR="00E83CE6" w:rsidRPr="00874288" w14:paraId="668058C1" w14:textId="77777777" w:rsidTr="00D14B53">
        <w:tc>
          <w:tcPr>
            <w:tcW w:w="4531" w:type="dxa"/>
          </w:tcPr>
          <w:p w14:paraId="479C1C78" w14:textId="77777777" w:rsidR="00E83CE6" w:rsidRDefault="00E83CE6" w:rsidP="00D14B53">
            <w:pPr>
              <w:rPr>
                <w:lang w:val="en-US"/>
              </w:rPr>
            </w:pPr>
          </w:p>
        </w:tc>
        <w:tc>
          <w:tcPr>
            <w:tcW w:w="4531" w:type="dxa"/>
          </w:tcPr>
          <w:p w14:paraId="4AFCFCF0" w14:textId="64D9CE96" w:rsidR="00E83CE6" w:rsidRDefault="00E83CE6" w:rsidP="00D14B53">
            <w:pPr>
              <w:rPr>
                <w:lang w:val="en-US"/>
              </w:rPr>
            </w:pPr>
            <w:r>
              <w:rPr>
                <w:lang w:val="en-US"/>
              </w:rPr>
              <w:t>Was it considered to hire a professional communications bureau to run the campaign?</w:t>
            </w:r>
          </w:p>
        </w:tc>
      </w:tr>
      <w:tr w:rsidR="00D46362" w:rsidRPr="00874288" w14:paraId="2E2B0FD3" w14:textId="77777777" w:rsidTr="00D14B53">
        <w:tc>
          <w:tcPr>
            <w:tcW w:w="4531" w:type="dxa"/>
          </w:tcPr>
          <w:p w14:paraId="4B030B85" w14:textId="77777777" w:rsidR="00D46362" w:rsidRDefault="00D46362" w:rsidP="00D14B53">
            <w:pPr>
              <w:rPr>
                <w:lang w:val="en-US"/>
              </w:rPr>
            </w:pPr>
          </w:p>
        </w:tc>
        <w:tc>
          <w:tcPr>
            <w:tcW w:w="4531" w:type="dxa"/>
          </w:tcPr>
          <w:p w14:paraId="4EDDCDC0" w14:textId="4D792283" w:rsidR="00D46362" w:rsidRDefault="00E83CE6" w:rsidP="00D14B53">
            <w:pPr>
              <w:rPr>
                <w:lang w:val="en-US"/>
              </w:rPr>
            </w:pPr>
            <w:r>
              <w:rPr>
                <w:lang w:val="en-US"/>
              </w:rPr>
              <w:t>What was the role of the Political Coordination Group? How did civil service interact with this?</w:t>
            </w:r>
          </w:p>
        </w:tc>
      </w:tr>
      <w:tr w:rsidR="00D46362" w:rsidRPr="002E00B0" w14:paraId="3ECF06D3" w14:textId="77777777" w:rsidTr="00D14B53">
        <w:tc>
          <w:tcPr>
            <w:tcW w:w="4531" w:type="dxa"/>
          </w:tcPr>
          <w:p w14:paraId="450AD9A9" w14:textId="77777777" w:rsidR="00D46362" w:rsidRDefault="00D46362" w:rsidP="00D14B53">
            <w:pPr>
              <w:rPr>
                <w:lang w:val="en-US"/>
              </w:rPr>
            </w:pPr>
          </w:p>
        </w:tc>
        <w:tc>
          <w:tcPr>
            <w:tcW w:w="4531" w:type="dxa"/>
          </w:tcPr>
          <w:p w14:paraId="4C4CF139" w14:textId="74998E4C" w:rsidR="00D46362" w:rsidRDefault="00E83CE6" w:rsidP="00D14B53">
            <w:pPr>
              <w:rPr>
                <w:lang w:val="en-US"/>
              </w:rPr>
            </w:pPr>
            <w:r>
              <w:rPr>
                <w:lang w:val="en-US"/>
              </w:rPr>
              <w:t>Did the Ministries of Foreign Affairs and the Interior differ in their views on the referendum? How did the departments perceive each other?</w:t>
            </w:r>
          </w:p>
        </w:tc>
      </w:tr>
      <w:tr w:rsidR="00D46362" w:rsidRPr="00874288" w14:paraId="0BFA4CEC" w14:textId="77777777" w:rsidTr="00D14B53">
        <w:tc>
          <w:tcPr>
            <w:tcW w:w="4531" w:type="dxa"/>
          </w:tcPr>
          <w:p w14:paraId="2745B4CE" w14:textId="77777777" w:rsidR="00D46362" w:rsidRDefault="00D46362" w:rsidP="00D14B53">
            <w:pPr>
              <w:rPr>
                <w:lang w:val="en-US"/>
              </w:rPr>
            </w:pPr>
          </w:p>
        </w:tc>
        <w:tc>
          <w:tcPr>
            <w:tcW w:w="4531" w:type="dxa"/>
          </w:tcPr>
          <w:p w14:paraId="383608BF" w14:textId="77777777" w:rsidR="00D46362" w:rsidRDefault="00D46362" w:rsidP="00D14B53">
            <w:pPr>
              <w:rPr>
                <w:lang w:val="en-US"/>
              </w:rPr>
            </w:pPr>
            <w:r>
              <w:rPr>
                <w:lang w:val="en-US"/>
              </w:rPr>
              <w:t>What were the views on those involved in the ‘no’-campaign?</w:t>
            </w:r>
          </w:p>
        </w:tc>
      </w:tr>
      <w:tr w:rsidR="00D46362" w:rsidRPr="00874288" w14:paraId="0B0B8AC9" w14:textId="77777777" w:rsidTr="00D14B53">
        <w:tc>
          <w:tcPr>
            <w:tcW w:w="4531" w:type="dxa"/>
          </w:tcPr>
          <w:p w14:paraId="1C65C2CB" w14:textId="77777777" w:rsidR="00D46362" w:rsidRDefault="00D46362" w:rsidP="00D14B53">
            <w:pPr>
              <w:rPr>
                <w:lang w:val="en-US"/>
              </w:rPr>
            </w:pPr>
          </w:p>
        </w:tc>
        <w:tc>
          <w:tcPr>
            <w:tcW w:w="4531" w:type="dxa"/>
          </w:tcPr>
          <w:p w14:paraId="06EE9D0C" w14:textId="7C135477" w:rsidR="00D46362" w:rsidRDefault="00E83CE6" w:rsidP="00D14B53">
            <w:pPr>
              <w:rPr>
                <w:lang w:val="en-US"/>
              </w:rPr>
            </w:pPr>
            <w:r>
              <w:rPr>
                <w:lang w:val="en-US"/>
              </w:rPr>
              <w:t xml:space="preserve">To what extent was there competition among </w:t>
            </w:r>
            <w:r w:rsidR="00454AF1">
              <w:rPr>
                <w:lang w:val="en-US"/>
              </w:rPr>
              <w:t>cabinet members</w:t>
            </w:r>
            <w:r>
              <w:rPr>
                <w:lang w:val="en-US"/>
              </w:rPr>
              <w:t xml:space="preserve">? How did this </w:t>
            </w:r>
            <w:r w:rsidR="002E50AB">
              <w:rPr>
                <w:lang w:val="en-US"/>
              </w:rPr>
              <w:t>impact the campaign?</w:t>
            </w:r>
          </w:p>
        </w:tc>
      </w:tr>
      <w:tr w:rsidR="00D46362" w:rsidRPr="00874288" w14:paraId="36703D0D" w14:textId="77777777" w:rsidTr="00D14B53">
        <w:tc>
          <w:tcPr>
            <w:tcW w:w="4531" w:type="dxa"/>
          </w:tcPr>
          <w:p w14:paraId="54D8080D" w14:textId="77777777" w:rsidR="00D46362" w:rsidRDefault="00D46362" w:rsidP="00D14B53">
            <w:pPr>
              <w:rPr>
                <w:lang w:val="en-US"/>
              </w:rPr>
            </w:pPr>
          </w:p>
        </w:tc>
        <w:tc>
          <w:tcPr>
            <w:tcW w:w="4531" w:type="dxa"/>
          </w:tcPr>
          <w:p w14:paraId="7EB9BC0D" w14:textId="5053907B" w:rsidR="00D46362" w:rsidRDefault="00D46362" w:rsidP="00D14B53">
            <w:pPr>
              <w:rPr>
                <w:lang w:val="en-US"/>
              </w:rPr>
            </w:pPr>
          </w:p>
        </w:tc>
      </w:tr>
      <w:tr w:rsidR="00D46362" w:rsidRPr="00874288" w14:paraId="1AF79CF2" w14:textId="77777777" w:rsidTr="00D14B53">
        <w:tc>
          <w:tcPr>
            <w:tcW w:w="4531" w:type="dxa"/>
          </w:tcPr>
          <w:p w14:paraId="0AE2FF28" w14:textId="77777777" w:rsidR="00D46362" w:rsidRDefault="00D46362" w:rsidP="00D14B53">
            <w:pPr>
              <w:rPr>
                <w:lang w:val="en-US"/>
              </w:rPr>
            </w:pPr>
          </w:p>
        </w:tc>
        <w:tc>
          <w:tcPr>
            <w:tcW w:w="4531" w:type="dxa"/>
          </w:tcPr>
          <w:p w14:paraId="4163566E" w14:textId="6E388A09" w:rsidR="00D46362" w:rsidRDefault="00D46362" w:rsidP="00D14B53">
            <w:pPr>
              <w:rPr>
                <w:lang w:val="en-US"/>
              </w:rPr>
            </w:pPr>
          </w:p>
        </w:tc>
      </w:tr>
      <w:tr w:rsidR="00D46362" w:rsidRPr="008911A7" w14:paraId="33448584" w14:textId="77777777" w:rsidTr="00D14B53">
        <w:tc>
          <w:tcPr>
            <w:tcW w:w="4531" w:type="dxa"/>
            <w:shd w:val="clear" w:color="auto" w:fill="E7E6E6" w:themeFill="background2"/>
          </w:tcPr>
          <w:p w14:paraId="5D2F19EA" w14:textId="77777777" w:rsidR="00D46362" w:rsidRDefault="00D46362" w:rsidP="00D14B53">
            <w:pPr>
              <w:rPr>
                <w:lang w:val="en-US"/>
              </w:rPr>
            </w:pPr>
            <w:r>
              <w:rPr>
                <w:lang w:val="en-US"/>
              </w:rPr>
              <w:t>Closing</w:t>
            </w:r>
          </w:p>
        </w:tc>
        <w:tc>
          <w:tcPr>
            <w:tcW w:w="4531" w:type="dxa"/>
            <w:shd w:val="clear" w:color="auto" w:fill="E7E6E6" w:themeFill="background2"/>
          </w:tcPr>
          <w:p w14:paraId="73021DF7" w14:textId="77777777" w:rsidR="00D46362" w:rsidRDefault="00D46362" w:rsidP="00D14B53">
            <w:pPr>
              <w:rPr>
                <w:lang w:val="en-US"/>
              </w:rPr>
            </w:pPr>
          </w:p>
        </w:tc>
      </w:tr>
      <w:tr w:rsidR="00D46362" w:rsidRPr="00874288" w14:paraId="7B18B031" w14:textId="77777777" w:rsidTr="00D14B53">
        <w:tc>
          <w:tcPr>
            <w:tcW w:w="4531" w:type="dxa"/>
          </w:tcPr>
          <w:p w14:paraId="66C2EB4C" w14:textId="77777777" w:rsidR="00D46362" w:rsidRDefault="00D46362" w:rsidP="00D14B53">
            <w:pPr>
              <w:rPr>
                <w:lang w:val="en-US"/>
              </w:rPr>
            </w:pPr>
          </w:p>
        </w:tc>
        <w:tc>
          <w:tcPr>
            <w:tcW w:w="4531" w:type="dxa"/>
          </w:tcPr>
          <w:p w14:paraId="5EC9B459" w14:textId="77777777" w:rsidR="00D46362" w:rsidRDefault="00D46362" w:rsidP="00D14B53">
            <w:pPr>
              <w:rPr>
                <w:lang w:val="en-US"/>
              </w:rPr>
            </w:pPr>
            <w:r>
              <w:rPr>
                <w:lang w:val="en-US"/>
              </w:rPr>
              <w:t>Is there anything you feel was important in the campaign that has not yet been discussed?</w:t>
            </w:r>
          </w:p>
        </w:tc>
      </w:tr>
      <w:tr w:rsidR="00D46362" w:rsidRPr="00874288" w14:paraId="732BAC5E" w14:textId="77777777" w:rsidTr="00D14B53">
        <w:tc>
          <w:tcPr>
            <w:tcW w:w="4531" w:type="dxa"/>
          </w:tcPr>
          <w:p w14:paraId="7D2C3D49" w14:textId="77777777" w:rsidR="00D46362" w:rsidRDefault="00D46362" w:rsidP="00D14B53">
            <w:pPr>
              <w:rPr>
                <w:lang w:val="en-US"/>
              </w:rPr>
            </w:pPr>
          </w:p>
        </w:tc>
        <w:tc>
          <w:tcPr>
            <w:tcW w:w="4531" w:type="dxa"/>
          </w:tcPr>
          <w:p w14:paraId="25381288" w14:textId="45A79001" w:rsidR="00D46362" w:rsidRDefault="002E50AB" w:rsidP="00D14B53">
            <w:pPr>
              <w:rPr>
                <w:lang w:val="en-US"/>
              </w:rPr>
            </w:pPr>
            <w:r>
              <w:rPr>
                <w:lang w:val="en-US"/>
              </w:rPr>
              <w:t>In your eyes, to what extent did the cabinet’s campaign contribute to the outcome of the referendum?</w:t>
            </w:r>
          </w:p>
        </w:tc>
      </w:tr>
      <w:tr w:rsidR="00D46362" w:rsidRPr="00874288" w14:paraId="081C0A55" w14:textId="77777777" w:rsidTr="00D14B53">
        <w:tc>
          <w:tcPr>
            <w:tcW w:w="4531" w:type="dxa"/>
          </w:tcPr>
          <w:p w14:paraId="6D807E7E" w14:textId="77777777" w:rsidR="00D46362" w:rsidRDefault="00D46362" w:rsidP="00D14B53">
            <w:pPr>
              <w:rPr>
                <w:lang w:val="en-US"/>
              </w:rPr>
            </w:pPr>
          </w:p>
        </w:tc>
        <w:tc>
          <w:tcPr>
            <w:tcW w:w="4531" w:type="dxa"/>
          </w:tcPr>
          <w:p w14:paraId="75819AC9" w14:textId="77777777" w:rsidR="00D46362" w:rsidRPr="000F7BFB" w:rsidRDefault="00D46362" w:rsidP="00D14B53">
            <w:pPr>
              <w:rPr>
                <w:lang w:val="en-US"/>
              </w:rPr>
            </w:pPr>
            <w:r w:rsidRPr="000F7BFB">
              <w:rPr>
                <w:lang w:val="en-US"/>
              </w:rPr>
              <w:t>Are there documents/articles you</w:t>
            </w:r>
            <w:r>
              <w:rPr>
                <w:lang w:val="en-US"/>
              </w:rPr>
              <w:t xml:space="preserve"> would recommend me to read to better understand the decision making regarding the cabinet’s campaign?</w:t>
            </w:r>
          </w:p>
        </w:tc>
      </w:tr>
      <w:tr w:rsidR="00D46362" w:rsidRPr="000F7BFB" w14:paraId="0902B0F4" w14:textId="77777777" w:rsidTr="00D14B53">
        <w:tc>
          <w:tcPr>
            <w:tcW w:w="4531" w:type="dxa"/>
          </w:tcPr>
          <w:p w14:paraId="36C5155A" w14:textId="77777777" w:rsidR="00D46362" w:rsidRDefault="00D46362" w:rsidP="00D14B53">
            <w:pPr>
              <w:rPr>
                <w:lang w:val="en-US"/>
              </w:rPr>
            </w:pPr>
          </w:p>
        </w:tc>
        <w:tc>
          <w:tcPr>
            <w:tcW w:w="4531" w:type="dxa"/>
          </w:tcPr>
          <w:p w14:paraId="41D0F98F" w14:textId="77777777" w:rsidR="00D46362" w:rsidRPr="000F7BFB" w:rsidRDefault="00D46362" w:rsidP="00D14B53">
            <w:pPr>
              <w:rPr>
                <w:lang w:val="en-US"/>
              </w:rPr>
            </w:pPr>
            <w:r>
              <w:rPr>
                <w:lang w:val="en-US"/>
              </w:rPr>
              <w:t>Is there anyone you would recommend me to speak with for my research? Would you be willing to serve as an intermediary?</w:t>
            </w:r>
          </w:p>
        </w:tc>
      </w:tr>
    </w:tbl>
    <w:p w14:paraId="163EAA31" w14:textId="77777777" w:rsidR="00D46362" w:rsidRPr="00FD62C4" w:rsidRDefault="00D46362" w:rsidP="00FD62C4"/>
    <w:sectPr w:rsidR="00D46362" w:rsidRPr="00FD62C4" w:rsidSect="00CF540B">
      <w:footerReference w:type="default" r:id="rId41"/>
      <w:type w:val="continuous"/>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4C8F3B" w14:textId="77777777" w:rsidR="00DE7BE3" w:rsidRDefault="00DE7BE3" w:rsidP="004F4002">
      <w:pPr>
        <w:spacing w:after="0" w:line="240" w:lineRule="auto"/>
      </w:pPr>
      <w:r>
        <w:separator/>
      </w:r>
    </w:p>
  </w:endnote>
  <w:endnote w:type="continuationSeparator" w:id="0">
    <w:p w14:paraId="7FA24D0F" w14:textId="77777777" w:rsidR="00DE7BE3" w:rsidRDefault="00DE7BE3" w:rsidP="004F4002">
      <w:pPr>
        <w:spacing w:after="0" w:line="240" w:lineRule="auto"/>
      </w:pPr>
      <w:r>
        <w:continuationSeparator/>
      </w:r>
    </w:p>
  </w:endnote>
  <w:endnote w:type="continuationNotice" w:id="1">
    <w:p w14:paraId="314839DC" w14:textId="77777777" w:rsidR="00DE7BE3" w:rsidRDefault="00DE7BE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FD4972" w14:textId="0B4D11FB" w:rsidR="00A81153" w:rsidRDefault="00A81153">
    <w:pPr>
      <w:pStyle w:val="Voettekst"/>
      <w:jc w:val="center"/>
    </w:pPr>
  </w:p>
  <w:p w14:paraId="228AAFAD" w14:textId="77777777" w:rsidR="00A81153" w:rsidRDefault="00A81153">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52798082"/>
      <w:docPartObj>
        <w:docPartGallery w:val="Page Numbers (Bottom of Page)"/>
        <w:docPartUnique/>
      </w:docPartObj>
    </w:sdtPr>
    <w:sdtEndPr/>
    <w:sdtContent>
      <w:p w14:paraId="0ED34CDF" w14:textId="77777777" w:rsidR="00A81153" w:rsidRDefault="00A81153">
        <w:pPr>
          <w:pStyle w:val="Voettekst"/>
          <w:jc w:val="center"/>
        </w:pPr>
        <w:r>
          <w:fldChar w:fldCharType="begin"/>
        </w:r>
        <w:r>
          <w:instrText>PAGE   \* MERGEFORMAT</w:instrText>
        </w:r>
        <w:r>
          <w:fldChar w:fldCharType="separate"/>
        </w:r>
        <w:r>
          <w:t>2</w:t>
        </w:r>
        <w:r>
          <w:fldChar w:fldCharType="end"/>
        </w:r>
      </w:p>
    </w:sdtContent>
  </w:sdt>
  <w:p w14:paraId="5B38B5B1" w14:textId="77777777" w:rsidR="00A81153" w:rsidRDefault="00A81153">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0682B51" w14:textId="77777777" w:rsidR="00DE7BE3" w:rsidRDefault="00DE7BE3" w:rsidP="004F4002">
      <w:pPr>
        <w:spacing w:after="0" w:line="240" w:lineRule="auto"/>
      </w:pPr>
      <w:r>
        <w:separator/>
      </w:r>
    </w:p>
  </w:footnote>
  <w:footnote w:type="continuationSeparator" w:id="0">
    <w:p w14:paraId="0256A706" w14:textId="77777777" w:rsidR="00DE7BE3" w:rsidRDefault="00DE7BE3" w:rsidP="004F4002">
      <w:pPr>
        <w:spacing w:after="0" w:line="240" w:lineRule="auto"/>
      </w:pPr>
      <w:r>
        <w:continuationSeparator/>
      </w:r>
    </w:p>
  </w:footnote>
  <w:footnote w:type="continuationNotice" w:id="1">
    <w:p w14:paraId="5C5A301E" w14:textId="77777777" w:rsidR="00DE7BE3" w:rsidRDefault="00DE7BE3">
      <w:pPr>
        <w:spacing w:after="0" w:line="240" w:lineRule="auto"/>
      </w:pPr>
    </w:p>
  </w:footnote>
  <w:footnote w:id="2">
    <w:p w14:paraId="6A7344B5" w14:textId="77777777" w:rsidR="00A81153" w:rsidRPr="006E1457" w:rsidRDefault="00A81153" w:rsidP="00716930">
      <w:pPr>
        <w:pStyle w:val="Voetnoottekst"/>
        <w:rPr>
          <w:lang w:val="en-US"/>
        </w:rPr>
      </w:pPr>
      <w:r>
        <w:rPr>
          <w:rStyle w:val="Voetnootmarkering"/>
        </w:rPr>
        <w:footnoteRef/>
      </w:r>
      <w:r w:rsidRPr="006E1457">
        <w:rPr>
          <w:lang w:val="en-US"/>
        </w:rPr>
        <w:t xml:space="preserve"> </w:t>
      </w:r>
      <w:r>
        <w:rPr>
          <w:lang w:val="en-US"/>
        </w:rPr>
        <w:t>Berghuis was the political assistant of Minister of Finance Gerrit Zalm.</w:t>
      </w:r>
    </w:p>
  </w:footnote>
  <w:footnote w:id="3">
    <w:p w14:paraId="631FD4DB" w14:textId="77777777" w:rsidR="00A81153" w:rsidRPr="00DE42AB" w:rsidRDefault="00A81153" w:rsidP="00716930">
      <w:pPr>
        <w:pStyle w:val="Voetnoottekst"/>
        <w:rPr>
          <w:lang w:val="en-US"/>
        </w:rPr>
      </w:pPr>
      <w:r>
        <w:rPr>
          <w:rStyle w:val="Voetnootmarkering"/>
        </w:rPr>
        <w:footnoteRef/>
      </w:r>
      <w:r w:rsidRPr="00DE42AB">
        <w:rPr>
          <w:lang w:val="en-US"/>
        </w:rPr>
        <w:t xml:space="preserve"> </w:t>
      </w:r>
      <w:r>
        <w:rPr>
          <w:lang w:val="en-US"/>
        </w:rPr>
        <w:t>Bot was Minister of Foreign Affairs.</w:t>
      </w:r>
    </w:p>
  </w:footnote>
  <w:footnote w:id="4">
    <w:p w14:paraId="5735AE1F" w14:textId="77777777" w:rsidR="00A81153" w:rsidRPr="006E1457" w:rsidRDefault="00A81153" w:rsidP="00716930">
      <w:pPr>
        <w:pStyle w:val="Voetnoottekst"/>
        <w:rPr>
          <w:lang w:val="en-US"/>
        </w:rPr>
      </w:pPr>
      <w:r>
        <w:rPr>
          <w:rStyle w:val="Voetnootmarkering"/>
        </w:rPr>
        <w:footnoteRef/>
      </w:r>
      <w:r w:rsidRPr="006E1457">
        <w:rPr>
          <w:lang w:val="en-US"/>
        </w:rPr>
        <w:t xml:space="preserve"> </w:t>
      </w:r>
      <w:r>
        <w:rPr>
          <w:lang w:val="en-US"/>
        </w:rPr>
        <w:t>Nicolaï was State Secretary of Foreign Affairs, responsible for European Affairs.</w:t>
      </w:r>
    </w:p>
  </w:footnote>
  <w:footnote w:id="5">
    <w:p w14:paraId="4165CFED" w14:textId="77777777" w:rsidR="00A81153" w:rsidRPr="006E1457" w:rsidRDefault="00A81153" w:rsidP="00716930">
      <w:pPr>
        <w:pStyle w:val="Voetnoottekst"/>
        <w:rPr>
          <w:lang w:val="en-US"/>
        </w:rPr>
      </w:pPr>
      <w:r>
        <w:rPr>
          <w:rStyle w:val="Voetnootmarkering"/>
        </w:rPr>
        <w:footnoteRef/>
      </w:r>
      <w:r w:rsidRPr="006E1457">
        <w:rPr>
          <w:lang w:val="en-US"/>
        </w:rPr>
        <w:t xml:space="preserve"> </w:t>
      </w:r>
      <w:r>
        <w:rPr>
          <w:lang w:val="en-US"/>
        </w:rPr>
        <w:t>Zalm was Minister of Finance and Vice Prime Minister.</w:t>
      </w:r>
    </w:p>
  </w:footnote>
  <w:footnote w:id="6">
    <w:p w14:paraId="79E689D1" w14:textId="77777777" w:rsidR="00A81153" w:rsidRPr="00DC2F95" w:rsidRDefault="00A81153" w:rsidP="00716930">
      <w:pPr>
        <w:pStyle w:val="Voetnoottekst"/>
        <w:rPr>
          <w:lang w:val="en-US"/>
        </w:rPr>
      </w:pPr>
      <w:r>
        <w:rPr>
          <w:rStyle w:val="Voetnootmarkering"/>
        </w:rPr>
        <w:footnoteRef/>
      </w:r>
      <w:r w:rsidRPr="00DC2F95">
        <w:rPr>
          <w:lang w:val="en-US"/>
        </w:rPr>
        <w:t xml:space="preserve"> Van Aartsen was political leader and parliam</w:t>
      </w:r>
      <w:r>
        <w:rPr>
          <w:lang w:val="en-US"/>
        </w:rPr>
        <w:t xml:space="preserve">entary leader in the </w:t>
      </w:r>
      <w:r>
        <w:rPr>
          <w:i/>
          <w:iCs/>
          <w:lang w:val="en-US"/>
        </w:rPr>
        <w:t>Tweede Kamer</w:t>
      </w:r>
      <w:r>
        <w:rPr>
          <w:lang w:val="en-US"/>
        </w:rPr>
        <w:t xml:space="preserve"> for the VVD.</w:t>
      </w:r>
    </w:p>
  </w:footnote>
  <w:footnote w:id="7">
    <w:p w14:paraId="1C420526" w14:textId="77777777" w:rsidR="00A81153" w:rsidRPr="00DC2F95" w:rsidRDefault="00A81153" w:rsidP="00716930">
      <w:pPr>
        <w:pStyle w:val="Voetnoottekst"/>
        <w:rPr>
          <w:lang w:val="en-US"/>
        </w:rPr>
      </w:pPr>
      <w:r>
        <w:rPr>
          <w:rStyle w:val="Voetnootmarkering"/>
        </w:rPr>
        <w:footnoteRef/>
      </w:r>
      <w:r w:rsidRPr="00DC2F95">
        <w:rPr>
          <w:lang w:val="en-US"/>
        </w:rPr>
        <w:t xml:space="preserve"> Passchier w</w:t>
      </w:r>
      <w:r>
        <w:rPr>
          <w:lang w:val="en-US"/>
        </w:rPr>
        <w:t>orked in civil service for the Ministry of Foreign Affairs and was a member of the Taskforce.</w:t>
      </w:r>
    </w:p>
  </w:footnote>
  <w:footnote w:id="8">
    <w:p w14:paraId="2BCC3DC6" w14:textId="77777777" w:rsidR="00A81153" w:rsidRPr="00F15257" w:rsidRDefault="00A81153" w:rsidP="00716930">
      <w:pPr>
        <w:pStyle w:val="Voetnoottekst"/>
        <w:rPr>
          <w:lang w:val="en-US"/>
        </w:rPr>
      </w:pPr>
      <w:r>
        <w:rPr>
          <w:rStyle w:val="Voetnootmarkering"/>
        </w:rPr>
        <w:footnoteRef/>
      </w:r>
      <w:r w:rsidRPr="00F15257">
        <w:rPr>
          <w:lang w:val="en-US"/>
        </w:rPr>
        <w:t xml:space="preserve"> Van der Plas worked in civil serv</w:t>
      </w:r>
      <w:r>
        <w:rPr>
          <w:lang w:val="en-US"/>
        </w:rPr>
        <w:t>ice for the Ministry of Foreign Affairs and was deputy leader of the TFR.</w:t>
      </w:r>
    </w:p>
  </w:footnote>
  <w:footnote w:id="9">
    <w:p w14:paraId="556AACE5" w14:textId="77777777" w:rsidR="00A81153" w:rsidRPr="00F15257" w:rsidRDefault="00A81153" w:rsidP="00716930">
      <w:pPr>
        <w:pStyle w:val="Voetnoottekst"/>
        <w:rPr>
          <w:lang w:val="en-US"/>
        </w:rPr>
      </w:pPr>
      <w:r>
        <w:rPr>
          <w:rStyle w:val="Voetnootmarkering"/>
        </w:rPr>
        <w:footnoteRef/>
      </w:r>
      <w:r w:rsidRPr="00F15257">
        <w:rPr>
          <w:lang w:val="en-US"/>
        </w:rPr>
        <w:t xml:space="preserve"> Goeijenbier was the externally recruited p</w:t>
      </w:r>
      <w:r>
        <w:rPr>
          <w:lang w:val="en-US"/>
        </w:rPr>
        <w:t>roject leader of the TFR.</w:t>
      </w:r>
    </w:p>
  </w:footnote>
  <w:footnote w:id="10">
    <w:p w14:paraId="7877B078" w14:textId="77777777" w:rsidR="00A81153" w:rsidRPr="00F15257" w:rsidRDefault="00A81153" w:rsidP="00716930">
      <w:pPr>
        <w:pStyle w:val="Voetnoottekst"/>
        <w:rPr>
          <w:lang w:val="en-US"/>
        </w:rPr>
      </w:pPr>
      <w:r>
        <w:rPr>
          <w:rStyle w:val="Voetnootmarkering"/>
        </w:rPr>
        <w:footnoteRef/>
      </w:r>
      <w:r w:rsidRPr="00F15257">
        <w:rPr>
          <w:lang w:val="en-US"/>
        </w:rPr>
        <w:t xml:space="preserve"> Sprenger was Director Information at t</w:t>
      </w:r>
      <w:r>
        <w:rPr>
          <w:lang w:val="en-US"/>
        </w:rPr>
        <w:t>he Ministry of Finance and part of the working group Communications during the campaign.</w:t>
      </w:r>
    </w:p>
  </w:footnote>
  <w:footnote w:id="11">
    <w:p w14:paraId="22B9DF49" w14:textId="77777777" w:rsidR="00A81153" w:rsidRPr="00B31952" w:rsidRDefault="00A81153" w:rsidP="00716930">
      <w:pPr>
        <w:pStyle w:val="Voetnoottekst"/>
        <w:rPr>
          <w:lang w:val="en-US"/>
        </w:rPr>
      </w:pPr>
      <w:r>
        <w:rPr>
          <w:rStyle w:val="Voetnootmarkering"/>
        </w:rPr>
        <w:footnoteRef/>
      </w:r>
      <w:r w:rsidRPr="002A1E99">
        <w:rPr>
          <w:lang w:val="en-US"/>
        </w:rPr>
        <w:t xml:space="preserve"> </w:t>
      </w:r>
      <w:r>
        <w:rPr>
          <w:lang w:val="en-US"/>
        </w:rPr>
        <w:t>Aarts is Professor of Political Institutions and Behavior, specialized in elections and electoral behavior.</w:t>
      </w:r>
    </w:p>
  </w:footnote>
  <w:footnote w:id="12">
    <w:p w14:paraId="4FB7B861" w14:textId="35A7CF89" w:rsidR="00A81153" w:rsidRPr="00D04140" w:rsidRDefault="00A81153" w:rsidP="00716930">
      <w:pPr>
        <w:pStyle w:val="Voetnoottekst"/>
        <w:rPr>
          <w:lang w:val="en-US"/>
        </w:rPr>
      </w:pPr>
      <w:r>
        <w:rPr>
          <w:rStyle w:val="Voetnootmarkering"/>
        </w:rPr>
        <w:footnoteRef/>
      </w:r>
      <w:r w:rsidRPr="00D04140">
        <w:rPr>
          <w:lang w:val="en-US"/>
        </w:rPr>
        <w:t xml:space="preserve"> Boudewijn is training</w:t>
      </w:r>
      <w:r>
        <w:rPr>
          <w:lang w:val="en-US"/>
        </w:rPr>
        <w:t>-</w:t>
      </w:r>
      <w:r w:rsidRPr="00D04140">
        <w:rPr>
          <w:lang w:val="en-US"/>
        </w:rPr>
        <w:t>director at Europainstituut.nl</w:t>
      </w:r>
      <w:r>
        <w:rPr>
          <w:lang w:val="en-US"/>
        </w:rPr>
        <w:t>. He specializes in European affairs and was employed by Clingendael Institute at the time.</w:t>
      </w:r>
    </w:p>
  </w:footnote>
  <w:footnote w:id="13">
    <w:p w14:paraId="5629384E" w14:textId="77777777" w:rsidR="00A81153" w:rsidRPr="00804797" w:rsidRDefault="00A81153" w:rsidP="00716930">
      <w:pPr>
        <w:pStyle w:val="Voetnoottekst"/>
        <w:rPr>
          <w:lang w:val="en-US"/>
        </w:rPr>
      </w:pPr>
      <w:r>
        <w:rPr>
          <w:rStyle w:val="Voetnootmarkering"/>
        </w:rPr>
        <w:footnoteRef/>
      </w:r>
      <w:r w:rsidRPr="00804797">
        <w:rPr>
          <w:lang w:val="en-US"/>
        </w:rPr>
        <w:t xml:space="preserve"> Versteegh is a journalist</w:t>
      </w:r>
      <w:r>
        <w:rPr>
          <w:lang w:val="en-US"/>
        </w:rPr>
        <w:t xml:space="preserve"> who worked for the Europe editorial board for NRC Handelsblad at the time.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3F22F8"/>
    <w:multiLevelType w:val="hybridMultilevel"/>
    <w:tmpl w:val="0114C34A"/>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 w15:restartNumberingAfterBreak="0">
    <w:nsid w:val="14E01673"/>
    <w:multiLevelType w:val="hybridMultilevel"/>
    <w:tmpl w:val="4A228132"/>
    <w:lvl w:ilvl="0" w:tplc="0A68ABA4">
      <w:start w:val="5"/>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8412B89"/>
    <w:multiLevelType w:val="hybridMultilevel"/>
    <w:tmpl w:val="D7B4985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18B92532"/>
    <w:multiLevelType w:val="hybridMultilevel"/>
    <w:tmpl w:val="1AFC7C38"/>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4" w15:restartNumberingAfterBreak="0">
    <w:nsid w:val="3B8237B8"/>
    <w:multiLevelType w:val="hybridMultilevel"/>
    <w:tmpl w:val="A972E40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3BD92AB1"/>
    <w:multiLevelType w:val="hybridMultilevel"/>
    <w:tmpl w:val="C84A4234"/>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428777BF"/>
    <w:multiLevelType w:val="hybridMultilevel"/>
    <w:tmpl w:val="E54888D2"/>
    <w:lvl w:ilvl="0" w:tplc="E92AB56E">
      <w:start w:val="3"/>
      <w:numFmt w:val="bullet"/>
      <w:lvlText w:val=""/>
      <w:lvlJc w:val="left"/>
      <w:pPr>
        <w:ind w:left="720" w:hanging="360"/>
      </w:pPr>
      <w:rPr>
        <w:rFonts w:ascii="Symbol" w:eastAsiaTheme="minorHAnsi" w:hAnsi="Symbol"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45E82574"/>
    <w:multiLevelType w:val="hybridMultilevel"/>
    <w:tmpl w:val="ECC286C4"/>
    <w:lvl w:ilvl="0" w:tplc="0AF01C60">
      <w:start w:val="4"/>
      <w:numFmt w:val="bullet"/>
      <w:lvlText w:val=""/>
      <w:lvlJc w:val="left"/>
      <w:pPr>
        <w:ind w:left="720" w:hanging="360"/>
      </w:pPr>
      <w:rPr>
        <w:rFonts w:ascii="Symbol" w:eastAsiaTheme="minorHAnsi" w:hAnsi="Symbol"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49DD77AB"/>
    <w:multiLevelType w:val="hybridMultilevel"/>
    <w:tmpl w:val="6512042C"/>
    <w:lvl w:ilvl="0" w:tplc="0088BFB0">
      <w:start w:val="3"/>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4BBF2B27"/>
    <w:multiLevelType w:val="multilevel"/>
    <w:tmpl w:val="5148929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4C4C368D"/>
    <w:multiLevelType w:val="hybridMultilevel"/>
    <w:tmpl w:val="933838E8"/>
    <w:lvl w:ilvl="0" w:tplc="D1646D38">
      <w:start w:val="4"/>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4CE06C58"/>
    <w:multiLevelType w:val="hybridMultilevel"/>
    <w:tmpl w:val="D772C39A"/>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2" w15:restartNumberingAfterBreak="0">
    <w:nsid w:val="795A4972"/>
    <w:multiLevelType w:val="hybridMultilevel"/>
    <w:tmpl w:val="7CFA00B4"/>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num w:numId="1">
    <w:abstractNumId w:val="2"/>
  </w:num>
  <w:num w:numId="2">
    <w:abstractNumId w:val="6"/>
  </w:num>
  <w:num w:numId="3">
    <w:abstractNumId w:val="4"/>
  </w:num>
  <w:num w:numId="4">
    <w:abstractNumId w:val="8"/>
  </w:num>
  <w:num w:numId="5">
    <w:abstractNumId w:val="10"/>
  </w:num>
  <w:num w:numId="6">
    <w:abstractNumId w:val="12"/>
  </w:num>
  <w:num w:numId="7">
    <w:abstractNumId w:val="5"/>
  </w:num>
  <w:num w:numId="8">
    <w:abstractNumId w:val="11"/>
  </w:num>
  <w:num w:numId="9">
    <w:abstractNumId w:val="0"/>
  </w:num>
  <w:num w:numId="10">
    <w:abstractNumId w:val="3"/>
  </w:num>
  <w:num w:numId="11">
    <w:abstractNumId w:val="7"/>
  </w:num>
  <w:num w:numId="12">
    <w:abstractNumId w:val="1"/>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250E"/>
    <w:rsid w:val="0000043C"/>
    <w:rsid w:val="00000D7A"/>
    <w:rsid w:val="0000161A"/>
    <w:rsid w:val="000114D8"/>
    <w:rsid w:val="000145CD"/>
    <w:rsid w:val="000238FE"/>
    <w:rsid w:val="000269B8"/>
    <w:rsid w:val="00026DEE"/>
    <w:rsid w:val="00031387"/>
    <w:rsid w:val="00037C37"/>
    <w:rsid w:val="000457DF"/>
    <w:rsid w:val="00045C21"/>
    <w:rsid w:val="00047333"/>
    <w:rsid w:val="00047903"/>
    <w:rsid w:val="00051AF5"/>
    <w:rsid w:val="00054E27"/>
    <w:rsid w:val="0006156A"/>
    <w:rsid w:val="00061B1A"/>
    <w:rsid w:val="00064E6C"/>
    <w:rsid w:val="00066C47"/>
    <w:rsid w:val="0007016D"/>
    <w:rsid w:val="000711B7"/>
    <w:rsid w:val="00071B09"/>
    <w:rsid w:val="00075974"/>
    <w:rsid w:val="000766F1"/>
    <w:rsid w:val="000766F8"/>
    <w:rsid w:val="0007687A"/>
    <w:rsid w:val="000831F6"/>
    <w:rsid w:val="000848FA"/>
    <w:rsid w:val="00087E56"/>
    <w:rsid w:val="000900EF"/>
    <w:rsid w:val="00092D18"/>
    <w:rsid w:val="00093950"/>
    <w:rsid w:val="00096B68"/>
    <w:rsid w:val="000A014D"/>
    <w:rsid w:val="000A2F29"/>
    <w:rsid w:val="000A33A1"/>
    <w:rsid w:val="000A3FDD"/>
    <w:rsid w:val="000A6F3A"/>
    <w:rsid w:val="000B0C3C"/>
    <w:rsid w:val="000B21C2"/>
    <w:rsid w:val="000B4E80"/>
    <w:rsid w:val="000B7D4E"/>
    <w:rsid w:val="000C11A9"/>
    <w:rsid w:val="000C1F6C"/>
    <w:rsid w:val="000C2950"/>
    <w:rsid w:val="000C37A2"/>
    <w:rsid w:val="000C3AE9"/>
    <w:rsid w:val="000C42AD"/>
    <w:rsid w:val="000C55FE"/>
    <w:rsid w:val="000C5CA3"/>
    <w:rsid w:val="000D48AC"/>
    <w:rsid w:val="000D54EB"/>
    <w:rsid w:val="000D5F12"/>
    <w:rsid w:val="000E0D4F"/>
    <w:rsid w:val="000E447E"/>
    <w:rsid w:val="000E4736"/>
    <w:rsid w:val="000E4C36"/>
    <w:rsid w:val="000E509E"/>
    <w:rsid w:val="000E5E73"/>
    <w:rsid w:val="000E65C1"/>
    <w:rsid w:val="000E7C17"/>
    <w:rsid w:val="000E7C3F"/>
    <w:rsid w:val="000F10A9"/>
    <w:rsid w:val="000F165C"/>
    <w:rsid w:val="000F625F"/>
    <w:rsid w:val="000F7C0C"/>
    <w:rsid w:val="000F7E69"/>
    <w:rsid w:val="001001CB"/>
    <w:rsid w:val="00101D34"/>
    <w:rsid w:val="001028D3"/>
    <w:rsid w:val="001039B0"/>
    <w:rsid w:val="00103B26"/>
    <w:rsid w:val="00104555"/>
    <w:rsid w:val="00105E48"/>
    <w:rsid w:val="00106232"/>
    <w:rsid w:val="00113658"/>
    <w:rsid w:val="00114A2A"/>
    <w:rsid w:val="00115BF3"/>
    <w:rsid w:val="00121CC7"/>
    <w:rsid w:val="00124ABE"/>
    <w:rsid w:val="00125E07"/>
    <w:rsid w:val="0013051C"/>
    <w:rsid w:val="001310ED"/>
    <w:rsid w:val="00131C54"/>
    <w:rsid w:val="00131FFD"/>
    <w:rsid w:val="001336F7"/>
    <w:rsid w:val="00133E8A"/>
    <w:rsid w:val="0013405E"/>
    <w:rsid w:val="00134762"/>
    <w:rsid w:val="00135325"/>
    <w:rsid w:val="00137381"/>
    <w:rsid w:val="0014049F"/>
    <w:rsid w:val="0014131D"/>
    <w:rsid w:val="00141A13"/>
    <w:rsid w:val="001435CB"/>
    <w:rsid w:val="00143DE8"/>
    <w:rsid w:val="00146BC8"/>
    <w:rsid w:val="00151703"/>
    <w:rsid w:val="001517FE"/>
    <w:rsid w:val="00153A9F"/>
    <w:rsid w:val="00154F44"/>
    <w:rsid w:val="0016007B"/>
    <w:rsid w:val="00160DB6"/>
    <w:rsid w:val="00162C90"/>
    <w:rsid w:val="00163579"/>
    <w:rsid w:val="001649D0"/>
    <w:rsid w:val="00164FAE"/>
    <w:rsid w:val="00165B2F"/>
    <w:rsid w:val="00165D9B"/>
    <w:rsid w:val="0016603B"/>
    <w:rsid w:val="00171543"/>
    <w:rsid w:val="00172E7B"/>
    <w:rsid w:val="0017318D"/>
    <w:rsid w:val="001732A1"/>
    <w:rsid w:val="00174AF3"/>
    <w:rsid w:val="0017575A"/>
    <w:rsid w:val="00177795"/>
    <w:rsid w:val="001811A9"/>
    <w:rsid w:val="001822DD"/>
    <w:rsid w:val="00183525"/>
    <w:rsid w:val="001838BD"/>
    <w:rsid w:val="00184CB7"/>
    <w:rsid w:val="001856A6"/>
    <w:rsid w:val="00185900"/>
    <w:rsid w:val="00186EA9"/>
    <w:rsid w:val="00191631"/>
    <w:rsid w:val="001927CD"/>
    <w:rsid w:val="001928B5"/>
    <w:rsid w:val="001936F6"/>
    <w:rsid w:val="001940B8"/>
    <w:rsid w:val="00194403"/>
    <w:rsid w:val="001944AC"/>
    <w:rsid w:val="00197576"/>
    <w:rsid w:val="001A02EA"/>
    <w:rsid w:val="001A20DC"/>
    <w:rsid w:val="001A34F9"/>
    <w:rsid w:val="001A7276"/>
    <w:rsid w:val="001A7FFC"/>
    <w:rsid w:val="001B069E"/>
    <w:rsid w:val="001B0ACE"/>
    <w:rsid w:val="001B1BD6"/>
    <w:rsid w:val="001B300A"/>
    <w:rsid w:val="001B4557"/>
    <w:rsid w:val="001B7424"/>
    <w:rsid w:val="001C005C"/>
    <w:rsid w:val="001C2E78"/>
    <w:rsid w:val="001C388E"/>
    <w:rsid w:val="001C6ADE"/>
    <w:rsid w:val="001C7936"/>
    <w:rsid w:val="001D0190"/>
    <w:rsid w:val="001D0500"/>
    <w:rsid w:val="001D0FFD"/>
    <w:rsid w:val="001D4423"/>
    <w:rsid w:val="001D7A66"/>
    <w:rsid w:val="001E087E"/>
    <w:rsid w:val="001E23EE"/>
    <w:rsid w:val="001E44F1"/>
    <w:rsid w:val="001E50A2"/>
    <w:rsid w:val="001E6E52"/>
    <w:rsid w:val="001F0D85"/>
    <w:rsid w:val="001F2441"/>
    <w:rsid w:val="001F691C"/>
    <w:rsid w:val="001F7DCD"/>
    <w:rsid w:val="00201126"/>
    <w:rsid w:val="00202C3E"/>
    <w:rsid w:val="00203437"/>
    <w:rsid w:val="00203FD3"/>
    <w:rsid w:val="002046D7"/>
    <w:rsid w:val="00204B22"/>
    <w:rsid w:val="002067F7"/>
    <w:rsid w:val="0020700F"/>
    <w:rsid w:val="0020707C"/>
    <w:rsid w:val="00211CF4"/>
    <w:rsid w:val="00211E4B"/>
    <w:rsid w:val="00215EAF"/>
    <w:rsid w:val="00216B54"/>
    <w:rsid w:val="00220523"/>
    <w:rsid w:val="002259B0"/>
    <w:rsid w:val="00230C49"/>
    <w:rsid w:val="002324B5"/>
    <w:rsid w:val="0023318C"/>
    <w:rsid w:val="00233DDF"/>
    <w:rsid w:val="0023411F"/>
    <w:rsid w:val="00234CAF"/>
    <w:rsid w:val="00235B89"/>
    <w:rsid w:val="002365EA"/>
    <w:rsid w:val="00241555"/>
    <w:rsid w:val="0024209F"/>
    <w:rsid w:val="00242BBD"/>
    <w:rsid w:val="00242D2D"/>
    <w:rsid w:val="0024577F"/>
    <w:rsid w:val="00247BD4"/>
    <w:rsid w:val="00250062"/>
    <w:rsid w:val="002504F2"/>
    <w:rsid w:val="00250B55"/>
    <w:rsid w:val="002538F1"/>
    <w:rsid w:val="002559D5"/>
    <w:rsid w:val="0025701C"/>
    <w:rsid w:val="00257A73"/>
    <w:rsid w:val="0027237E"/>
    <w:rsid w:val="00272ED2"/>
    <w:rsid w:val="00275E85"/>
    <w:rsid w:val="00277C7E"/>
    <w:rsid w:val="00281CB5"/>
    <w:rsid w:val="00281F35"/>
    <w:rsid w:val="0028483A"/>
    <w:rsid w:val="00284D6A"/>
    <w:rsid w:val="00285DF9"/>
    <w:rsid w:val="00285FF1"/>
    <w:rsid w:val="00286280"/>
    <w:rsid w:val="0028664E"/>
    <w:rsid w:val="00287485"/>
    <w:rsid w:val="00287E31"/>
    <w:rsid w:val="002910ED"/>
    <w:rsid w:val="00291DED"/>
    <w:rsid w:val="00296469"/>
    <w:rsid w:val="0029700C"/>
    <w:rsid w:val="002975FA"/>
    <w:rsid w:val="002A2ED2"/>
    <w:rsid w:val="002A38E6"/>
    <w:rsid w:val="002A46C2"/>
    <w:rsid w:val="002A4B19"/>
    <w:rsid w:val="002A67E7"/>
    <w:rsid w:val="002B205F"/>
    <w:rsid w:val="002B72DB"/>
    <w:rsid w:val="002B7CCC"/>
    <w:rsid w:val="002C0274"/>
    <w:rsid w:val="002C2F78"/>
    <w:rsid w:val="002C3C91"/>
    <w:rsid w:val="002C4FF5"/>
    <w:rsid w:val="002C6673"/>
    <w:rsid w:val="002C6CE4"/>
    <w:rsid w:val="002C75A8"/>
    <w:rsid w:val="002D20D5"/>
    <w:rsid w:val="002D311B"/>
    <w:rsid w:val="002D5789"/>
    <w:rsid w:val="002D696B"/>
    <w:rsid w:val="002E20C7"/>
    <w:rsid w:val="002E4C58"/>
    <w:rsid w:val="002E50AB"/>
    <w:rsid w:val="002E6028"/>
    <w:rsid w:val="002E6ED0"/>
    <w:rsid w:val="002F0C99"/>
    <w:rsid w:val="002F1AB8"/>
    <w:rsid w:val="002F1FD9"/>
    <w:rsid w:val="002F224D"/>
    <w:rsid w:val="002F2A5B"/>
    <w:rsid w:val="002F2EB0"/>
    <w:rsid w:val="002F5820"/>
    <w:rsid w:val="002F7CD2"/>
    <w:rsid w:val="00301E26"/>
    <w:rsid w:val="00302782"/>
    <w:rsid w:val="00303509"/>
    <w:rsid w:val="00315A0B"/>
    <w:rsid w:val="00321587"/>
    <w:rsid w:val="00323ED3"/>
    <w:rsid w:val="003253F6"/>
    <w:rsid w:val="00326934"/>
    <w:rsid w:val="003276C2"/>
    <w:rsid w:val="003350CC"/>
    <w:rsid w:val="00340A1E"/>
    <w:rsid w:val="00340AE0"/>
    <w:rsid w:val="00340E3E"/>
    <w:rsid w:val="00341B15"/>
    <w:rsid w:val="003430D2"/>
    <w:rsid w:val="00350A94"/>
    <w:rsid w:val="00351074"/>
    <w:rsid w:val="003523DC"/>
    <w:rsid w:val="003543B9"/>
    <w:rsid w:val="0035491B"/>
    <w:rsid w:val="0035525E"/>
    <w:rsid w:val="00355FF5"/>
    <w:rsid w:val="00356B86"/>
    <w:rsid w:val="00363BC9"/>
    <w:rsid w:val="0036442E"/>
    <w:rsid w:val="00365383"/>
    <w:rsid w:val="00366727"/>
    <w:rsid w:val="003675E9"/>
    <w:rsid w:val="0037038F"/>
    <w:rsid w:val="00371BD2"/>
    <w:rsid w:val="00373702"/>
    <w:rsid w:val="00374AE5"/>
    <w:rsid w:val="00380C08"/>
    <w:rsid w:val="00382202"/>
    <w:rsid w:val="00382548"/>
    <w:rsid w:val="003847CE"/>
    <w:rsid w:val="003871BF"/>
    <w:rsid w:val="00391958"/>
    <w:rsid w:val="00392103"/>
    <w:rsid w:val="00393B6A"/>
    <w:rsid w:val="00396576"/>
    <w:rsid w:val="0039679E"/>
    <w:rsid w:val="003A1399"/>
    <w:rsid w:val="003A419A"/>
    <w:rsid w:val="003A7580"/>
    <w:rsid w:val="003A7C4F"/>
    <w:rsid w:val="003B0B47"/>
    <w:rsid w:val="003B0D00"/>
    <w:rsid w:val="003B2106"/>
    <w:rsid w:val="003B4242"/>
    <w:rsid w:val="003B506F"/>
    <w:rsid w:val="003B5128"/>
    <w:rsid w:val="003B7DE6"/>
    <w:rsid w:val="003C1DEC"/>
    <w:rsid w:val="003C2970"/>
    <w:rsid w:val="003C47F6"/>
    <w:rsid w:val="003C4F73"/>
    <w:rsid w:val="003D0965"/>
    <w:rsid w:val="003D381B"/>
    <w:rsid w:val="003D464F"/>
    <w:rsid w:val="003D49A9"/>
    <w:rsid w:val="003D7853"/>
    <w:rsid w:val="003E1ED1"/>
    <w:rsid w:val="003E2A69"/>
    <w:rsid w:val="003E2ADA"/>
    <w:rsid w:val="003E3A15"/>
    <w:rsid w:val="003E4F9E"/>
    <w:rsid w:val="003F0CDA"/>
    <w:rsid w:val="003F18B3"/>
    <w:rsid w:val="003F1C27"/>
    <w:rsid w:val="003F2002"/>
    <w:rsid w:val="003F450E"/>
    <w:rsid w:val="003F46FD"/>
    <w:rsid w:val="003F5A4F"/>
    <w:rsid w:val="0040005D"/>
    <w:rsid w:val="0040034F"/>
    <w:rsid w:val="00400E88"/>
    <w:rsid w:val="00402AD6"/>
    <w:rsid w:val="00403CC3"/>
    <w:rsid w:val="0040546C"/>
    <w:rsid w:val="00405F7F"/>
    <w:rsid w:val="00406D3C"/>
    <w:rsid w:val="004072C1"/>
    <w:rsid w:val="00407874"/>
    <w:rsid w:val="00411F41"/>
    <w:rsid w:val="00414C0F"/>
    <w:rsid w:val="00416B70"/>
    <w:rsid w:val="0041747D"/>
    <w:rsid w:val="00421E63"/>
    <w:rsid w:val="00422E16"/>
    <w:rsid w:val="00425829"/>
    <w:rsid w:val="0042608B"/>
    <w:rsid w:val="004360BC"/>
    <w:rsid w:val="00440639"/>
    <w:rsid w:val="00441A8B"/>
    <w:rsid w:val="004445C5"/>
    <w:rsid w:val="00445C9C"/>
    <w:rsid w:val="004465E8"/>
    <w:rsid w:val="00450CD8"/>
    <w:rsid w:val="004525C3"/>
    <w:rsid w:val="00454AF1"/>
    <w:rsid w:val="00455765"/>
    <w:rsid w:val="00455E1C"/>
    <w:rsid w:val="00460776"/>
    <w:rsid w:val="00461B49"/>
    <w:rsid w:val="00464D2A"/>
    <w:rsid w:val="00467D2A"/>
    <w:rsid w:val="00470FCD"/>
    <w:rsid w:val="00471677"/>
    <w:rsid w:val="00471763"/>
    <w:rsid w:val="004772A5"/>
    <w:rsid w:val="004828C2"/>
    <w:rsid w:val="00483039"/>
    <w:rsid w:val="0048466F"/>
    <w:rsid w:val="00487EFC"/>
    <w:rsid w:val="00491984"/>
    <w:rsid w:val="004922D7"/>
    <w:rsid w:val="00493EA1"/>
    <w:rsid w:val="00494EF4"/>
    <w:rsid w:val="00497ECA"/>
    <w:rsid w:val="004A01EE"/>
    <w:rsid w:val="004A021E"/>
    <w:rsid w:val="004A027E"/>
    <w:rsid w:val="004A0F97"/>
    <w:rsid w:val="004A2BFE"/>
    <w:rsid w:val="004A3CFA"/>
    <w:rsid w:val="004A56C2"/>
    <w:rsid w:val="004A5B41"/>
    <w:rsid w:val="004A5B74"/>
    <w:rsid w:val="004A6648"/>
    <w:rsid w:val="004B0B19"/>
    <w:rsid w:val="004B0E51"/>
    <w:rsid w:val="004B1B0A"/>
    <w:rsid w:val="004B2697"/>
    <w:rsid w:val="004B5FA0"/>
    <w:rsid w:val="004B630B"/>
    <w:rsid w:val="004B7018"/>
    <w:rsid w:val="004C37E6"/>
    <w:rsid w:val="004C51CF"/>
    <w:rsid w:val="004C5C8D"/>
    <w:rsid w:val="004C5CFE"/>
    <w:rsid w:val="004C6C8F"/>
    <w:rsid w:val="004C7E34"/>
    <w:rsid w:val="004D08D6"/>
    <w:rsid w:val="004D1B3C"/>
    <w:rsid w:val="004D20AC"/>
    <w:rsid w:val="004D3046"/>
    <w:rsid w:val="004D3964"/>
    <w:rsid w:val="004D3ADB"/>
    <w:rsid w:val="004D4692"/>
    <w:rsid w:val="004D76D5"/>
    <w:rsid w:val="004E11D5"/>
    <w:rsid w:val="004E2F48"/>
    <w:rsid w:val="004E3242"/>
    <w:rsid w:val="004E4D4C"/>
    <w:rsid w:val="004E7418"/>
    <w:rsid w:val="004F0337"/>
    <w:rsid w:val="004F03AA"/>
    <w:rsid w:val="004F16A1"/>
    <w:rsid w:val="004F2E3D"/>
    <w:rsid w:val="004F356D"/>
    <w:rsid w:val="004F4002"/>
    <w:rsid w:val="004F4FA0"/>
    <w:rsid w:val="004F5004"/>
    <w:rsid w:val="00502221"/>
    <w:rsid w:val="00502859"/>
    <w:rsid w:val="00503A50"/>
    <w:rsid w:val="00510522"/>
    <w:rsid w:val="0051399E"/>
    <w:rsid w:val="005151EF"/>
    <w:rsid w:val="00517DD9"/>
    <w:rsid w:val="005206AD"/>
    <w:rsid w:val="00522366"/>
    <w:rsid w:val="00523A9B"/>
    <w:rsid w:val="005244FC"/>
    <w:rsid w:val="00524A86"/>
    <w:rsid w:val="005275E1"/>
    <w:rsid w:val="00527F3F"/>
    <w:rsid w:val="00530DC5"/>
    <w:rsid w:val="00531012"/>
    <w:rsid w:val="00532069"/>
    <w:rsid w:val="005322B6"/>
    <w:rsid w:val="005339D8"/>
    <w:rsid w:val="00534069"/>
    <w:rsid w:val="00535E8B"/>
    <w:rsid w:val="00536E90"/>
    <w:rsid w:val="00540EA7"/>
    <w:rsid w:val="005410C6"/>
    <w:rsid w:val="00541A05"/>
    <w:rsid w:val="005426EE"/>
    <w:rsid w:val="00544740"/>
    <w:rsid w:val="00547246"/>
    <w:rsid w:val="00547779"/>
    <w:rsid w:val="00550166"/>
    <w:rsid w:val="0055050E"/>
    <w:rsid w:val="00563F3C"/>
    <w:rsid w:val="005645BB"/>
    <w:rsid w:val="00564FFC"/>
    <w:rsid w:val="005651C7"/>
    <w:rsid w:val="00565473"/>
    <w:rsid w:val="005665A4"/>
    <w:rsid w:val="00566FE9"/>
    <w:rsid w:val="00567313"/>
    <w:rsid w:val="00567D25"/>
    <w:rsid w:val="00572453"/>
    <w:rsid w:val="00574FBB"/>
    <w:rsid w:val="0057575F"/>
    <w:rsid w:val="00584982"/>
    <w:rsid w:val="005849B2"/>
    <w:rsid w:val="00585755"/>
    <w:rsid w:val="00585F31"/>
    <w:rsid w:val="00587FB7"/>
    <w:rsid w:val="00592419"/>
    <w:rsid w:val="005924CE"/>
    <w:rsid w:val="0059282A"/>
    <w:rsid w:val="005928BA"/>
    <w:rsid w:val="0059394B"/>
    <w:rsid w:val="00593BB0"/>
    <w:rsid w:val="005943CB"/>
    <w:rsid w:val="00594D78"/>
    <w:rsid w:val="00596F9A"/>
    <w:rsid w:val="005972F2"/>
    <w:rsid w:val="005A23AE"/>
    <w:rsid w:val="005A48A3"/>
    <w:rsid w:val="005A6224"/>
    <w:rsid w:val="005A7060"/>
    <w:rsid w:val="005B1D40"/>
    <w:rsid w:val="005B6813"/>
    <w:rsid w:val="005B6D1C"/>
    <w:rsid w:val="005C000B"/>
    <w:rsid w:val="005C06EB"/>
    <w:rsid w:val="005C1AC4"/>
    <w:rsid w:val="005C2501"/>
    <w:rsid w:val="005C2DC8"/>
    <w:rsid w:val="005C4CC9"/>
    <w:rsid w:val="005D4C3B"/>
    <w:rsid w:val="005D5476"/>
    <w:rsid w:val="005D552D"/>
    <w:rsid w:val="005D554B"/>
    <w:rsid w:val="005D7057"/>
    <w:rsid w:val="005E0199"/>
    <w:rsid w:val="005E3D2F"/>
    <w:rsid w:val="005E53FB"/>
    <w:rsid w:val="005E6EE2"/>
    <w:rsid w:val="005F1966"/>
    <w:rsid w:val="00600FA6"/>
    <w:rsid w:val="00602E94"/>
    <w:rsid w:val="00604725"/>
    <w:rsid w:val="00606615"/>
    <w:rsid w:val="00612A71"/>
    <w:rsid w:val="00613D57"/>
    <w:rsid w:val="006161EA"/>
    <w:rsid w:val="00617167"/>
    <w:rsid w:val="00622893"/>
    <w:rsid w:val="00622E50"/>
    <w:rsid w:val="00624DF6"/>
    <w:rsid w:val="006250CA"/>
    <w:rsid w:val="00625F4A"/>
    <w:rsid w:val="00626775"/>
    <w:rsid w:val="00627D1B"/>
    <w:rsid w:val="00631626"/>
    <w:rsid w:val="00632294"/>
    <w:rsid w:val="006322F2"/>
    <w:rsid w:val="00632B6B"/>
    <w:rsid w:val="00633308"/>
    <w:rsid w:val="00635496"/>
    <w:rsid w:val="00635512"/>
    <w:rsid w:val="00635A09"/>
    <w:rsid w:val="00635AF6"/>
    <w:rsid w:val="0063742A"/>
    <w:rsid w:val="006377CE"/>
    <w:rsid w:val="006411C4"/>
    <w:rsid w:val="0064317B"/>
    <w:rsid w:val="006455C0"/>
    <w:rsid w:val="006515AC"/>
    <w:rsid w:val="00652593"/>
    <w:rsid w:val="006535DC"/>
    <w:rsid w:val="00657845"/>
    <w:rsid w:val="006611F6"/>
    <w:rsid w:val="006616F9"/>
    <w:rsid w:val="00661A02"/>
    <w:rsid w:val="0066270A"/>
    <w:rsid w:val="00670244"/>
    <w:rsid w:val="0067170B"/>
    <w:rsid w:val="0067632C"/>
    <w:rsid w:val="00677027"/>
    <w:rsid w:val="00681CD4"/>
    <w:rsid w:val="006824DA"/>
    <w:rsid w:val="0068316C"/>
    <w:rsid w:val="00683B03"/>
    <w:rsid w:val="00684993"/>
    <w:rsid w:val="00686478"/>
    <w:rsid w:val="00693B1F"/>
    <w:rsid w:val="006A3C67"/>
    <w:rsid w:val="006A76C1"/>
    <w:rsid w:val="006B303A"/>
    <w:rsid w:val="006B34A4"/>
    <w:rsid w:val="006B3D00"/>
    <w:rsid w:val="006B4233"/>
    <w:rsid w:val="006B5ECA"/>
    <w:rsid w:val="006B7874"/>
    <w:rsid w:val="006C0C47"/>
    <w:rsid w:val="006C0D55"/>
    <w:rsid w:val="006C0DF8"/>
    <w:rsid w:val="006C111A"/>
    <w:rsid w:val="006C2537"/>
    <w:rsid w:val="006C25F1"/>
    <w:rsid w:val="006C3175"/>
    <w:rsid w:val="006C3D6B"/>
    <w:rsid w:val="006C71C1"/>
    <w:rsid w:val="006D09CF"/>
    <w:rsid w:val="006D1163"/>
    <w:rsid w:val="006D1BBF"/>
    <w:rsid w:val="006D309E"/>
    <w:rsid w:val="006D5BBF"/>
    <w:rsid w:val="006D60C9"/>
    <w:rsid w:val="006D657E"/>
    <w:rsid w:val="006E043A"/>
    <w:rsid w:val="006E0481"/>
    <w:rsid w:val="006E2156"/>
    <w:rsid w:val="006E327C"/>
    <w:rsid w:val="006E5B91"/>
    <w:rsid w:val="006E5CC9"/>
    <w:rsid w:val="006E657C"/>
    <w:rsid w:val="006F0BCD"/>
    <w:rsid w:val="006F34D0"/>
    <w:rsid w:val="006F34E7"/>
    <w:rsid w:val="006F47AC"/>
    <w:rsid w:val="006F5121"/>
    <w:rsid w:val="00701534"/>
    <w:rsid w:val="007045CB"/>
    <w:rsid w:val="0070542F"/>
    <w:rsid w:val="00707E42"/>
    <w:rsid w:val="0071038B"/>
    <w:rsid w:val="00710E4A"/>
    <w:rsid w:val="007112FB"/>
    <w:rsid w:val="007118FA"/>
    <w:rsid w:val="0071275D"/>
    <w:rsid w:val="00712FD0"/>
    <w:rsid w:val="00715390"/>
    <w:rsid w:val="00715D87"/>
    <w:rsid w:val="00716930"/>
    <w:rsid w:val="0071709C"/>
    <w:rsid w:val="00717298"/>
    <w:rsid w:val="007173C0"/>
    <w:rsid w:val="00720026"/>
    <w:rsid w:val="00722F34"/>
    <w:rsid w:val="00724AD4"/>
    <w:rsid w:val="007255F3"/>
    <w:rsid w:val="00725B23"/>
    <w:rsid w:val="00727A35"/>
    <w:rsid w:val="007302B2"/>
    <w:rsid w:val="007305D9"/>
    <w:rsid w:val="00730D01"/>
    <w:rsid w:val="00733F89"/>
    <w:rsid w:val="00737FD8"/>
    <w:rsid w:val="007408CF"/>
    <w:rsid w:val="00743959"/>
    <w:rsid w:val="007446C0"/>
    <w:rsid w:val="007460BE"/>
    <w:rsid w:val="00746B70"/>
    <w:rsid w:val="0074706F"/>
    <w:rsid w:val="00747BAD"/>
    <w:rsid w:val="0075076D"/>
    <w:rsid w:val="00750D95"/>
    <w:rsid w:val="007520FF"/>
    <w:rsid w:val="007521AA"/>
    <w:rsid w:val="0075264C"/>
    <w:rsid w:val="00753223"/>
    <w:rsid w:val="007537B7"/>
    <w:rsid w:val="00754BCE"/>
    <w:rsid w:val="00754EC6"/>
    <w:rsid w:val="00755FD9"/>
    <w:rsid w:val="00756645"/>
    <w:rsid w:val="00756929"/>
    <w:rsid w:val="00760150"/>
    <w:rsid w:val="00763CF5"/>
    <w:rsid w:val="007647EF"/>
    <w:rsid w:val="00766550"/>
    <w:rsid w:val="00770832"/>
    <w:rsid w:val="00771B06"/>
    <w:rsid w:val="00772595"/>
    <w:rsid w:val="007729E6"/>
    <w:rsid w:val="0077584C"/>
    <w:rsid w:val="00777DCD"/>
    <w:rsid w:val="00782C8C"/>
    <w:rsid w:val="00783C8D"/>
    <w:rsid w:val="0079079B"/>
    <w:rsid w:val="00791A2E"/>
    <w:rsid w:val="00792EF6"/>
    <w:rsid w:val="00797213"/>
    <w:rsid w:val="007A01A6"/>
    <w:rsid w:val="007A063E"/>
    <w:rsid w:val="007A320F"/>
    <w:rsid w:val="007A3355"/>
    <w:rsid w:val="007A41DA"/>
    <w:rsid w:val="007A4D7C"/>
    <w:rsid w:val="007A5965"/>
    <w:rsid w:val="007B14B7"/>
    <w:rsid w:val="007B63E4"/>
    <w:rsid w:val="007B71BC"/>
    <w:rsid w:val="007C1A0F"/>
    <w:rsid w:val="007C23F4"/>
    <w:rsid w:val="007C35C3"/>
    <w:rsid w:val="007C4635"/>
    <w:rsid w:val="007C523B"/>
    <w:rsid w:val="007C62A7"/>
    <w:rsid w:val="007C7C76"/>
    <w:rsid w:val="007D073C"/>
    <w:rsid w:val="007D70FB"/>
    <w:rsid w:val="007D7C72"/>
    <w:rsid w:val="007E0124"/>
    <w:rsid w:val="007E3819"/>
    <w:rsid w:val="007E3843"/>
    <w:rsid w:val="007F1595"/>
    <w:rsid w:val="007F412B"/>
    <w:rsid w:val="007F5D8F"/>
    <w:rsid w:val="007F76AF"/>
    <w:rsid w:val="00801123"/>
    <w:rsid w:val="00801689"/>
    <w:rsid w:val="00801B6A"/>
    <w:rsid w:val="00801B90"/>
    <w:rsid w:val="0080203F"/>
    <w:rsid w:val="00802530"/>
    <w:rsid w:val="00803C88"/>
    <w:rsid w:val="008058C9"/>
    <w:rsid w:val="0081292B"/>
    <w:rsid w:val="00813524"/>
    <w:rsid w:val="00814E54"/>
    <w:rsid w:val="0081559F"/>
    <w:rsid w:val="00815A75"/>
    <w:rsid w:val="0081653A"/>
    <w:rsid w:val="008202D0"/>
    <w:rsid w:val="008203C9"/>
    <w:rsid w:val="00823B6C"/>
    <w:rsid w:val="00823F98"/>
    <w:rsid w:val="008251F1"/>
    <w:rsid w:val="00826340"/>
    <w:rsid w:val="00826F0A"/>
    <w:rsid w:val="008274F5"/>
    <w:rsid w:val="0083050B"/>
    <w:rsid w:val="0083114E"/>
    <w:rsid w:val="00831435"/>
    <w:rsid w:val="00832B89"/>
    <w:rsid w:val="00834465"/>
    <w:rsid w:val="00834BA6"/>
    <w:rsid w:val="00835D2E"/>
    <w:rsid w:val="0084006A"/>
    <w:rsid w:val="00840BFF"/>
    <w:rsid w:val="00841324"/>
    <w:rsid w:val="0084197F"/>
    <w:rsid w:val="008462F6"/>
    <w:rsid w:val="00846DEA"/>
    <w:rsid w:val="008503DD"/>
    <w:rsid w:val="0085439D"/>
    <w:rsid w:val="00854D6E"/>
    <w:rsid w:val="00854E70"/>
    <w:rsid w:val="00855334"/>
    <w:rsid w:val="00856C78"/>
    <w:rsid w:val="008572DB"/>
    <w:rsid w:val="008572ED"/>
    <w:rsid w:val="00857A1A"/>
    <w:rsid w:val="00860219"/>
    <w:rsid w:val="0086055A"/>
    <w:rsid w:val="00862F7B"/>
    <w:rsid w:val="0086514A"/>
    <w:rsid w:val="00865570"/>
    <w:rsid w:val="008666D2"/>
    <w:rsid w:val="00866A8D"/>
    <w:rsid w:val="00866AFF"/>
    <w:rsid w:val="00870207"/>
    <w:rsid w:val="008715BD"/>
    <w:rsid w:val="008724CE"/>
    <w:rsid w:val="0087327B"/>
    <w:rsid w:val="00874288"/>
    <w:rsid w:val="00880E24"/>
    <w:rsid w:val="00881FB6"/>
    <w:rsid w:val="00885BED"/>
    <w:rsid w:val="00886532"/>
    <w:rsid w:val="008867FA"/>
    <w:rsid w:val="008878CF"/>
    <w:rsid w:val="00890CCB"/>
    <w:rsid w:val="008910B5"/>
    <w:rsid w:val="00892955"/>
    <w:rsid w:val="00894322"/>
    <w:rsid w:val="0089457E"/>
    <w:rsid w:val="00895945"/>
    <w:rsid w:val="008965E3"/>
    <w:rsid w:val="008972EE"/>
    <w:rsid w:val="008A092D"/>
    <w:rsid w:val="008A156A"/>
    <w:rsid w:val="008A3EAD"/>
    <w:rsid w:val="008A649C"/>
    <w:rsid w:val="008A6E55"/>
    <w:rsid w:val="008A7DC8"/>
    <w:rsid w:val="008B0692"/>
    <w:rsid w:val="008B3071"/>
    <w:rsid w:val="008B44A7"/>
    <w:rsid w:val="008B4524"/>
    <w:rsid w:val="008B4AF3"/>
    <w:rsid w:val="008B596D"/>
    <w:rsid w:val="008B686D"/>
    <w:rsid w:val="008C1433"/>
    <w:rsid w:val="008C1B98"/>
    <w:rsid w:val="008C1FFE"/>
    <w:rsid w:val="008C46BA"/>
    <w:rsid w:val="008C6197"/>
    <w:rsid w:val="008C634F"/>
    <w:rsid w:val="008C66B9"/>
    <w:rsid w:val="008D10EF"/>
    <w:rsid w:val="008D7F65"/>
    <w:rsid w:val="008E27EB"/>
    <w:rsid w:val="008E6C60"/>
    <w:rsid w:val="008F00EF"/>
    <w:rsid w:val="008F030C"/>
    <w:rsid w:val="008F182C"/>
    <w:rsid w:val="008F3837"/>
    <w:rsid w:val="008F3ACE"/>
    <w:rsid w:val="008F526F"/>
    <w:rsid w:val="0090189F"/>
    <w:rsid w:val="00903525"/>
    <w:rsid w:val="0090578C"/>
    <w:rsid w:val="00906712"/>
    <w:rsid w:val="009067FE"/>
    <w:rsid w:val="009078C3"/>
    <w:rsid w:val="00911C8F"/>
    <w:rsid w:val="009125AE"/>
    <w:rsid w:val="00912B38"/>
    <w:rsid w:val="009131AC"/>
    <w:rsid w:val="009136DC"/>
    <w:rsid w:val="00913CAB"/>
    <w:rsid w:val="009140CD"/>
    <w:rsid w:val="0091470F"/>
    <w:rsid w:val="00917226"/>
    <w:rsid w:val="0091739F"/>
    <w:rsid w:val="009225F8"/>
    <w:rsid w:val="009231CD"/>
    <w:rsid w:val="009233C6"/>
    <w:rsid w:val="00923813"/>
    <w:rsid w:val="0092386F"/>
    <w:rsid w:val="00927FBB"/>
    <w:rsid w:val="0093024C"/>
    <w:rsid w:val="00931DE5"/>
    <w:rsid w:val="00934EF8"/>
    <w:rsid w:val="00935761"/>
    <w:rsid w:val="00936252"/>
    <w:rsid w:val="0094059F"/>
    <w:rsid w:val="00940907"/>
    <w:rsid w:val="00941E86"/>
    <w:rsid w:val="00942626"/>
    <w:rsid w:val="00946761"/>
    <w:rsid w:val="00946E08"/>
    <w:rsid w:val="00950783"/>
    <w:rsid w:val="009530A3"/>
    <w:rsid w:val="0095320D"/>
    <w:rsid w:val="009542A6"/>
    <w:rsid w:val="00954E44"/>
    <w:rsid w:val="00956736"/>
    <w:rsid w:val="009578E8"/>
    <w:rsid w:val="009604BA"/>
    <w:rsid w:val="0096250E"/>
    <w:rsid w:val="009659CD"/>
    <w:rsid w:val="0096707A"/>
    <w:rsid w:val="00967554"/>
    <w:rsid w:val="00967BE7"/>
    <w:rsid w:val="00977DCB"/>
    <w:rsid w:val="0098240A"/>
    <w:rsid w:val="00983B39"/>
    <w:rsid w:val="00986B7B"/>
    <w:rsid w:val="0098796C"/>
    <w:rsid w:val="00990B93"/>
    <w:rsid w:val="0099522D"/>
    <w:rsid w:val="009A18FA"/>
    <w:rsid w:val="009A5AA0"/>
    <w:rsid w:val="009A7A09"/>
    <w:rsid w:val="009B12CB"/>
    <w:rsid w:val="009B1851"/>
    <w:rsid w:val="009B1D45"/>
    <w:rsid w:val="009B1E9B"/>
    <w:rsid w:val="009B23FB"/>
    <w:rsid w:val="009B27B5"/>
    <w:rsid w:val="009B375B"/>
    <w:rsid w:val="009B4228"/>
    <w:rsid w:val="009B780A"/>
    <w:rsid w:val="009B7952"/>
    <w:rsid w:val="009B7A4B"/>
    <w:rsid w:val="009C0880"/>
    <w:rsid w:val="009C1988"/>
    <w:rsid w:val="009C6452"/>
    <w:rsid w:val="009C72A0"/>
    <w:rsid w:val="009C7E88"/>
    <w:rsid w:val="009D0907"/>
    <w:rsid w:val="009D0AD4"/>
    <w:rsid w:val="009D2377"/>
    <w:rsid w:val="009D4158"/>
    <w:rsid w:val="009E0463"/>
    <w:rsid w:val="009E14BA"/>
    <w:rsid w:val="009E1DB7"/>
    <w:rsid w:val="009E1F56"/>
    <w:rsid w:val="009E4DF6"/>
    <w:rsid w:val="009E5515"/>
    <w:rsid w:val="009E58B0"/>
    <w:rsid w:val="009E6761"/>
    <w:rsid w:val="009E69E3"/>
    <w:rsid w:val="009F0C07"/>
    <w:rsid w:val="009F1213"/>
    <w:rsid w:val="009F338A"/>
    <w:rsid w:val="009F3D43"/>
    <w:rsid w:val="009F4F48"/>
    <w:rsid w:val="00A00F0D"/>
    <w:rsid w:val="00A01956"/>
    <w:rsid w:val="00A02254"/>
    <w:rsid w:val="00A05433"/>
    <w:rsid w:val="00A11351"/>
    <w:rsid w:val="00A11D60"/>
    <w:rsid w:val="00A129CB"/>
    <w:rsid w:val="00A1335C"/>
    <w:rsid w:val="00A1558B"/>
    <w:rsid w:val="00A16095"/>
    <w:rsid w:val="00A21734"/>
    <w:rsid w:val="00A2261F"/>
    <w:rsid w:val="00A23B4C"/>
    <w:rsid w:val="00A245D5"/>
    <w:rsid w:val="00A2529F"/>
    <w:rsid w:val="00A25422"/>
    <w:rsid w:val="00A30E5C"/>
    <w:rsid w:val="00A315A9"/>
    <w:rsid w:val="00A32362"/>
    <w:rsid w:val="00A32800"/>
    <w:rsid w:val="00A32914"/>
    <w:rsid w:val="00A33F0E"/>
    <w:rsid w:val="00A36907"/>
    <w:rsid w:val="00A36AAF"/>
    <w:rsid w:val="00A44E2C"/>
    <w:rsid w:val="00A45A20"/>
    <w:rsid w:val="00A462A6"/>
    <w:rsid w:val="00A463D9"/>
    <w:rsid w:val="00A517CD"/>
    <w:rsid w:val="00A51BDC"/>
    <w:rsid w:val="00A527B5"/>
    <w:rsid w:val="00A53880"/>
    <w:rsid w:val="00A53D07"/>
    <w:rsid w:val="00A56362"/>
    <w:rsid w:val="00A5666D"/>
    <w:rsid w:val="00A57D42"/>
    <w:rsid w:val="00A60F87"/>
    <w:rsid w:val="00A61958"/>
    <w:rsid w:val="00A6302C"/>
    <w:rsid w:val="00A647C5"/>
    <w:rsid w:val="00A65A72"/>
    <w:rsid w:val="00A65BEA"/>
    <w:rsid w:val="00A67537"/>
    <w:rsid w:val="00A67B39"/>
    <w:rsid w:val="00A72BD6"/>
    <w:rsid w:val="00A73EDF"/>
    <w:rsid w:val="00A74A27"/>
    <w:rsid w:val="00A7535E"/>
    <w:rsid w:val="00A76A4F"/>
    <w:rsid w:val="00A771BF"/>
    <w:rsid w:val="00A77741"/>
    <w:rsid w:val="00A81153"/>
    <w:rsid w:val="00A83826"/>
    <w:rsid w:val="00A83AEE"/>
    <w:rsid w:val="00A87499"/>
    <w:rsid w:val="00A87E64"/>
    <w:rsid w:val="00A90C5A"/>
    <w:rsid w:val="00A93B19"/>
    <w:rsid w:val="00A958E8"/>
    <w:rsid w:val="00AA13A2"/>
    <w:rsid w:val="00AA23FC"/>
    <w:rsid w:val="00AA42F6"/>
    <w:rsid w:val="00AA6F91"/>
    <w:rsid w:val="00AB2143"/>
    <w:rsid w:val="00AB248D"/>
    <w:rsid w:val="00AB4EAF"/>
    <w:rsid w:val="00AC07AE"/>
    <w:rsid w:val="00AC4E5E"/>
    <w:rsid w:val="00AC7196"/>
    <w:rsid w:val="00AD053C"/>
    <w:rsid w:val="00AD11A9"/>
    <w:rsid w:val="00AD3A07"/>
    <w:rsid w:val="00AD5165"/>
    <w:rsid w:val="00AD732F"/>
    <w:rsid w:val="00AE0259"/>
    <w:rsid w:val="00AE1009"/>
    <w:rsid w:val="00AE15BC"/>
    <w:rsid w:val="00AE1FE3"/>
    <w:rsid w:val="00AE339D"/>
    <w:rsid w:val="00AE4215"/>
    <w:rsid w:val="00AE50A2"/>
    <w:rsid w:val="00AE7985"/>
    <w:rsid w:val="00AE7DBA"/>
    <w:rsid w:val="00AF2439"/>
    <w:rsid w:val="00AF3031"/>
    <w:rsid w:val="00AF3808"/>
    <w:rsid w:val="00AF4108"/>
    <w:rsid w:val="00AF4A97"/>
    <w:rsid w:val="00AF4C5D"/>
    <w:rsid w:val="00AF5648"/>
    <w:rsid w:val="00AF6461"/>
    <w:rsid w:val="00AF7D95"/>
    <w:rsid w:val="00B01912"/>
    <w:rsid w:val="00B01BE0"/>
    <w:rsid w:val="00B02BAD"/>
    <w:rsid w:val="00B02EFB"/>
    <w:rsid w:val="00B0423B"/>
    <w:rsid w:val="00B04DF0"/>
    <w:rsid w:val="00B0556D"/>
    <w:rsid w:val="00B05F5F"/>
    <w:rsid w:val="00B07E72"/>
    <w:rsid w:val="00B10156"/>
    <w:rsid w:val="00B109A7"/>
    <w:rsid w:val="00B11233"/>
    <w:rsid w:val="00B122D8"/>
    <w:rsid w:val="00B12622"/>
    <w:rsid w:val="00B151A7"/>
    <w:rsid w:val="00B16006"/>
    <w:rsid w:val="00B23584"/>
    <w:rsid w:val="00B24C25"/>
    <w:rsid w:val="00B3215E"/>
    <w:rsid w:val="00B372B7"/>
    <w:rsid w:val="00B40C7C"/>
    <w:rsid w:val="00B41DF1"/>
    <w:rsid w:val="00B43236"/>
    <w:rsid w:val="00B43F59"/>
    <w:rsid w:val="00B44934"/>
    <w:rsid w:val="00B503A9"/>
    <w:rsid w:val="00B51FA0"/>
    <w:rsid w:val="00B53FF3"/>
    <w:rsid w:val="00B55CCF"/>
    <w:rsid w:val="00B56282"/>
    <w:rsid w:val="00B57B4D"/>
    <w:rsid w:val="00B6060C"/>
    <w:rsid w:val="00B611EC"/>
    <w:rsid w:val="00B644A8"/>
    <w:rsid w:val="00B6566C"/>
    <w:rsid w:val="00B67B21"/>
    <w:rsid w:val="00B67DFC"/>
    <w:rsid w:val="00B705F5"/>
    <w:rsid w:val="00B716DE"/>
    <w:rsid w:val="00B723D2"/>
    <w:rsid w:val="00B72FE2"/>
    <w:rsid w:val="00B74637"/>
    <w:rsid w:val="00B7471F"/>
    <w:rsid w:val="00B749DA"/>
    <w:rsid w:val="00B818F9"/>
    <w:rsid w:val="00B8231D"/>
    <w:rsid w:val="00B845E7"/>
    <w:rsid w:val="00B84A63"/>
    <w:rsid w:val="00B85703"/>
    <w:rsid w:val="00B85DEE"/>
    <w:rsid w:val="00B86001"/>
    <w:rsid w:val="00B875C3"/>
    <w:rsid w:val="00B91C4F"/>
    <w:rsid w:val="00B92302"/>
    <w:rsid w:val="00B943B9"/>
    <w:rsid w:val="00B97C24"/>
    <w:rsid w:val="00BA02CD"/>
    <w:rsid w:val="00BA0A44"/>
    <w:rsid w:val="00BA0EEF"/>
    <w:rsid w:val="00BA123A"/>
    <w:rsid w:val="00BA1E30"/>
    <w:rsid w:val="00BA2096"/>
    <w:rsid w:val="00BA473C"/>
    <w:rsid w:val="00BA4799"/>
    <w:rsid w:val="00BA6431"/>
    <w:rsid w:val="00BB012A"/>
    <w:rsid w:val="00BB07BC"/>
    <w:rsid w:val="00BB2A70"/>
    <w:rsid w:val="00BB3368"/>
    <w:rsid w:val="00BB349D"/>
    <w:rsid w:val="00BB4563"/>
    <w:rsid w:val="00BB5B3F"/>
    <w:rsid w:val="00BB665C"/>
    <w:rsid w:val="00BC05F5"/>
    <w:rsid w:val="00BC0ACD"/>
    <w:rsid w:val="00BC0F65"/>
    <w:rsid w:val="00BC31F4"/>
    <w:rsid w:val="00BC4A66"/>
    <w:rsid w:val="00BD00D6"/>
    <w:rsid w:val="00BD0704"/>
    <w:rsid w:val="00BD1A34"/>
    <w:rsid w:val="00BD3C68"/>
    <w:rsid w:val="00BD3E57"/>
    <w:rsid w:val="00BD7D9B"/>
    <w:rsid w:val="00BE1DD5"/>
    <w:rsid w:val="00BE76C5"/>
    <w:rsid w:val="00BF0EF3"/>
    <w:rsid w:val="00BF286B"/>
    <w:rsid w:val="00BF3D54"/>
    <w:rsid w:val="00BF6384"/>
    <w:rsid w:val="00BF75A2"/>
    <w:rsid w:val="00C010AC"/>
    <w:rsid w:val="00C0150F"/>
    <w:rsid w:val="00C02B39"/>
    <w:rsid w:val="00C049B3"/>
    <w:rsid w:val="00C06491"/>
    <w:rsid w:val="00C06DCD"/>
    <w:rsid w:val="00C06FE9"/>
    <w:rsid w:val="00C07D22"/>
    <w:rsid w:val="00C11372"/>
    <w:rsid w:val="00C12A57"/>
    <w:rsid w:val="00C158C8"/>
    <w:rsid w:val="00C15E26"/>
    <w:rsid w:val="00C171BE"/>
    <w:rsid w:val="00C173C5"/>
    <w:rsid w:val="00C20F71"/>
    <w:rsid w:val="00C22999"/>
    <w:rsid w:val="00C26428"/>
    <w:rsid w:val="00C31332"/>
    <w:rsid w:val="00C35CCC"/>
    <w:rsid w:val="00C3608F"/>
    <w:rsid w:val="00C4146F"/>
    <w:rsid w:val="00C4167B"/>
    <w:rsid w:val="00C43FF4"/>
    <w:rsid w:val="00C44590"/>
    <w:rsid w:val="00C5209B"/>
    <w:rsid w:val="00C52720"/>
    <w:rsid w:val="00C5666C"/>
    <w:rsid w:val="00C5703F"/>
    <w:rsid w:val="00C61B60"/>
    <w:rsid w:val="00C6311F"/>
    <w:rsid w:val="00C703F6"/>
    <w:rsid w:val="00C73DE0"/>
    <w:rsid w:val="00C75C6A"/>
    <w:rsid w:val="00C80750"/>
    <w:rsid w:val="00C812CC"/>
    <w:rsid w:val="00C84465"/>
    <w:rsid w:val="00C86AAE"/>
    <w:rsid w:val="00C91BF1"/>
    <w:rsid w:val="00C94089"/>
    <w:rsid w:val="00C94442"/>
    <w:rsid w:val="00C94A05"/>
    <w:rsid w:val="00C94D7E"/>
    <w:rsid w:val="00CA0269"/>
    <w:rsid w:val="00CA089F"/>
    <w:rsid w:val="00CA0F7E"/>
    <w:rsid w:val="00CA265E"/>
    <w:rsid w:val="00CA2DDF"/>
    <w:rsid w:val="00CA5112"/>
    <w:rsid w:val="00CA59A4"/>
    <w:rsid w:val="00CA6173"/>
    <w:rsid w:val="00CA6D32"/>
    <w:rsid w:val="00CA70CF"/>
    <w:rsid w:val="00CA7951"/>
    <w:rsid w:val="00CA7B2C"/>
    <w:rsid w:val="00CB432F"/>
    <w:rsid w:val="00CC2120"/>
    <w:rsid w:val="00CC2425"/>
    <w:rsid w:val="00CC5376"/>
    <w:rsid w:val="00CD03CA"/>
    <w:rsid w:val="00CD0B4D"/>
    <w:rsid w:val="00CD48E4"/>
    <w:rsid w:val="00CD5580"/>
    <w:rsid w:val="00CD56AA"/>
    <w:rsid w:val="00CD689D"/>
    <w:rsid w:val="00CD73EF"/>
    <w:rsid w:val="00CD7E3E"/>
    <w:rsid w:val="00CE10E5"/>
    <w:rsid w:val="00CE1514"/>
    <w:rsid w:val="00CE1FAD"/>
    <w:rsid w:val="00CE26C6"/>
    <w:rsid w:val="00CE2A81"/>
    <w:rsid w:val="00CE3667"/>
    <w:rsid w:val="00CE3BF5"/>
    <w:rsid w:val="00CE5285"/>
    <w:rsid w:val="00CE5FB4"/>
    <w:rsid w:val="00CE6301"/>
    <w:rsid w:val="00CE6D68"/>
    <w:rsid w:val="00CE6D77"/>
    <w:rsid w:val="00CE6EF9"/>
    <w:rsid w:val="00CE7CDF"/>
    <w:rsid w:val="00CF1C3C"/>
    <w:rsid w:val="00CF540B"/>
    <w:rsid w:val="00CF66FD"/>
    <w:rsid w:val="00D00D8C"/>
    <w:rsid w:val="00D00DFF"/>
    <w:rsid w:val="00D01198"/>
    <w:rsid w:val="00D030DE"/>
    <w:rsid w:val="00D04783"/>
    <w:rsid w:val="00D04F5F"/>
    <w:rsid w:val="00D05C1F"/>
    <w:rsid w:val="00D0659F"/>
    <w:rsid w:val="00D1038F"/>
    <w:rsid w:val="00D10AFA"/>
    <w:rsid w:val="00D1378E"/>
    <w:rsid w:val="00D14B53"/>
    <w:rsid w:val="00D14EC4"/>
    <w:rsid w:val="00D241BF"/>
    <w:rsid w:val="00D2468D"/>
    <w:rsid w:val="00D305C0"/>
    <w:rsid w:val="00D3555C"/>
    <w:rsid w:val="00D3560E"/>
    <w:rsid w:val="00D424D4"/>
    <w:rsid w:val="00D4312C"/>
    <w:rsid w:val="00D43CD1"/>
    <w:rsid w:val="00D44202"/>
    <w:rsid w:val="00D46362"/>
    <w:rsid w:val="00D4761D"/>
    <w:rsid w:val="00D50725"/>
    <w:rsid w:val="00D5247A"/>
    <w:rsid w:val="00D5600A"/>
    <w:rsid w:val="00D56510"/>
    <w:rsid w:val="00D56AAE"/>
    <w:rsid w:val="00D60490"/>
    <w:rsid w:val="00D61C7B"/>
    <w:rsid w:val="00D61E97"/>
    <w:rsid w:val="00D62A8A"/>
    <w:rsid w:val="00D62E4B"/>
    <w:rsid w:val="00D62FCB"/>
    <w:rsid w:val="00D64743"/>
    <w:rsid w:val="00D66A0F"/>
    <w:rsid w:val="00D72E99"/>
    <w:rsid w:val="00D73F2E"/>
    <w:rsid w:val="00D800FF"/>
    <w:rsid w:val="00D815F8"/>
    <w:rsid w:val="00D82AA1"/>
    <w:rsid w:val="00D8431B"/>
    <w:rsid w:val="00D84514"/>
    <w:rsid w:val="00D845CD"/>
    <w:rsid w:val="00D87E75"/>
    <w:rsid w:val="00D92481"/>
    <w:rsid w:val="00D94AD7"/>
    <w:rsid w:val="00D95A19"/>
    <w:rsid w:val="00D96315"/>
    <w:rsid w:val="00D97598"/>
    <w:rsid w:val="00D97C19"/>
    <w:rsid w:val="00DA0161"/>
    <w:rsid w:val="00DA0C5A"/>
    <w:rsid w:val="00DA16C0"/>
    <w:rsid w:val="00DA2203"/>
    <w:rsid w:val="00DA4846"/>
    <w:rsid w:val="00DA5C37"/>
    <w:rsid w:val="00DA5D19"/>
    <w:rsid w:val="00DA5D5F"/>
    <w:rsid w:val="00DA7617"/>
    <w:rsid w:val="00DA7C40"/>
    <w:rsid w:val="00DB3971"/>
    <w:rsid w:val="00DC083A"/>
    <w:rsid w:val="00DC4EF3"/>
    <w:rsid w:val="00DC68BC"/>
    <w:rsid w:val="00DC6A77"/>
    <w:rsid w:val="00DD6CA6"/>
    <w:rsid w:val="00DE25A2"/>
    <w:rsid w:val="00DE2795"/>
    <w:rsid w:val="00DE3880"/>
    <w:rsid w:val="00DE55D1"/>
    <w:rsid w:val="00DE58EE"/>
    <w:rsid w:val="00DE7BE3"/>
    <w:rsid w:val="00DF0521"/>
    <w:rsid w:val="00DF11B9"/>
    <w:rsid w:val="00DF532E"/>
    <w:rsid w:val="00DF60F7"/>
    <w:rsid w:val="00DF63AF"/>
    <w:rsid w:val="00E02154"/>
    <w:rsid w:val="00E03FEB"/>
    <w:rsid w:val="00E042E5"/>
    <w:rsid w:val="00E05EEE"/>
    <w:rsid w:val="00E06A38"/>
    <w:rsid w:val="00E125E3"/>
    <w:rsid w:val="00E14C82"/>
    <w:rsid w:val="00E163FD"/>
    <w:rsid w:val="00E179F6"/>
    <w:rsid w:val="00E22939"/>
    <w:rsid w:val="00E22B33"/>
    <w:rsid w:val="00E237D2"/>
    <w:rsid w:val="00E24676"/>
    <w:rsid w:val="00E25B02"/>
    <w:rsid w:val="00E26890"/>
    <w:rsid w:val="00E307FA"/>
    <w:rsid w:val="00E354CD"/>
    <w:rsid w:val="00E36891"/>
    <w:rsid w:val="00E370E2"/>
    <w:rsid w:val="00E409CF"/>
    <w:rsid w:val="00E40D37"/>
    <w:rsid w:val="00E41202"/>
    <w:rsid w:val="00E43552"/>
    <w:rsid w:val="00E45C8C"/>
    <w:rsid w:val="00E471E9"/>
    <w:rsid w:val="00E4745B"/>
    <w:rsid w:val="00E5040D"/>
    <w:rsid w:val="00E509F8"/>
    <w:rsid w:val="00E50B92"/>
    <w:rsid w:val="00E517AF"/>
    <w:rsid w:val="00E524AB"/>
    <w:rsid w:val="00E56571"/>
    <w:rsid w:val="00E574A7"/>
    <w:rsid w:val="00E61549"/>
    <w:rsid w:val="00E6232A"/>
    <w:rsid w:val="00E62CF6"/>
    <w:rsid w:val="00E638D9"/>
    <w:rsid w:val="00E63D23"/>
    <w:rsid w:val="00E64438"/>
    <w:rsid w:val="00E65029"/>
    <w:rsid w:val="00E6643A"/>
    <w:rsid w:val="00E715C2"/>
    <w:rsid w:val="00E72DE8"/>
    <w:rsid w:val="00E73590"/>
    <w:rsid w:val="00E74709"/>
    <w:rsid w:val="00E7513E"/>
    <w:rsid w:val="00E80E05"/>
    <w:rsid w:val="00E83CE6"/>
    <w:rsid w:val="00E84CB7"/>
    <w:rsid w:val="00E85C7E"/>
    <w:rsid w:val="00E87FF0"/>
    <w:rsid w:val="00E93F8B"/>
    <w:rsid w:val="00E940DE"/>
    <w:rsid w:val="00E95395"/>
    <w:rsid w:val="00E969DA"/>
    <w:rsid w:val="00E97EE7"/>
    <w:rsid w:val="00EA035A"/>
    <w:rsid w:val="00EA093D"/>
    <w:rsid w:val="00EA2FD4"/>
    <w:rsid w:val="00EA36DE"/>
    <w:rsid w:val="00EA3C47"/>
    <w:rsid w:val="00EA589B"/>
    <w:rsid w:val="00EB700B"/>
    <w:rsid w:val="00EB7E74"/>
    <w:rsid w:val="00EC0229"/>
    <w:rsid w:val="00EC19BC"/>
    <w:rsid w:val="00EC288A"/>
    <w:rsid w:val="00EC2AD7"/>
    <w:rsid w:val="00EC4415"/>
    <w:rsid w:val="00EC51D3"/>
    <w:rsid w:val="00EC5268"/>
    <w:rsid w:val="00EC61BA"/>
    <w:rsid w:val="00EC7C36"/>
    <w:rsid w:val="00ED12E4"/>
    <w:rsid w:val="00ED1DD9"/>
    <w:rsid w:val="00ED3FB5"/>
    <w:rsid w:val="00ED6DEF"/>
    <w:rsid w:val="00ED6EDE"/>
    <w:rsid w:val="00EE11C9"/>
    <w:rsid w:val="00EE2265"/>
    <w:rsid w:val="00EE2446"/>
    <w:rsid w:val="00EE3D75"/>
    <w:rsid w:val="00EE48D5"/>
    <w:rsid w:val="00EE4D17"/>
    <w:rsid w:val="00EE51E0"/>
    <w:rsid w:val="00EE6750"/>
    <w:rsid w:val="00EE67CD"/>
    <w:rsid w:val="00EF00B5"/>
    <w:rsid w:val="00EF1845"/>
    <w:rsid w:val="00EF22F6"/>
    <w:rsid w:val="00EF2F14"/>
    <w:rsid w:val="00F0041E"/>
    <w:rsid w:val="00F04AD1"/>
    <w:rsid w:val="00F054BE"/>
    <w:rsid w:val="00F121B7"/>
    <w:rsid w:val="00F161FC"/>
    <w:rsid w:val="00F20388"/>
    <w:rsid w:val="00F20844"/>
    <w:rsid w:val="00F23035"/>
    <w:rsid w:val="00F233E4"/>
    <w:rsid w:val="00F23D6C"/>
    <w:rsid w:val="00F25247"/>
    <w:rsid w:val="00F27E15"/>
    <w:rsid w:val="00F30837"/>
    <w:rsid w:val="00F319A3"/>
    <w:rsid w:val="00F31F20"/>
    <w:rsid w:val="00F354AB"/>
    <w:rsid w:val="00F3714B"/>
    <w:rsid w:val="00F37AE9"/>
    <w:rsid w:val="00F4216C"/>
    <w:rsid w:val="00F50673"/>
    <w:rsid w:val="00F5174A"/>
    <w:rsid w:val="00F53340"/>
    <w:rsid w:val="00F53A0F"/>
    <w:rsid w:val="00F60494"/>
    <w:rsid w:val="00F62A97"/>
    <w:rsid w:val="00F64119"/>
    <w:rsid w:val="00F65205"/>
    <w:rsid w:val="00F668DA"/>
    <w:rsid w:val="00F66E8E"/>
    <w:rsid w:val="00F72123"/>
    <w:rsid w:val="00F72469"/>
    <w:rsid w:val="00F72D3C"/>
    <w:rsid w:val="00F732D9"/>
    <w:rsid w:val="00F736EE"/>
    <w:rsid w:val="00F74CCB"/>
    <w:rsid w:val="00F7533B"/>
    <w:rsid w:val="00F755FB"/>
    <w:rsid w:val="00F76E6D"/>
    <w:rsid w:val="00F77A8F"/>
    <w:rsid w:val="00F87082"/>
    <w:rsid w:val="00F9141D"/>
    <w:rsid w:val="00F91861"/>
    <w:rsid w:val="00F92B92"/>
    <w:rsid w:val="00F9363D"/>
    <w:rsid w:val="00F9429F"/>
    <w:rsid w:val="00F9440D"/>
    <w:rsid w:val="00F974BA"/>
    <w:rsid w:val="00F97EBC"/>
    <w:rsid w:val="00FA04A3"/>
    <w:rsid w:val="00FA19C1"/>
    <w:rsid w:val="00FA228E"/>
    <w:rsid w:val="00FA3BF9"/>
    <w:rsid w:val="00FA5898"/>
    <w:rsid w:val="00FA7DAD"/>
    <w:rsid w:val="00FB1E57"/>
    <w:rsid w:val="00FB1F2B"/>
    <w:rsid w:val="00FB2960"/>
    <w:rsid w:val="00FB3AEC"/>
    <w:rsid w:val="00FB7D8E"/>
    <w:rsid w:val="00FC093D"/>
    <w:rsid w:val="00FC159D"/>
    <w:rsid w:val="00FC23CC"/>
    <w:rsid w:val="00FD01BA"/>
    <w:rsid w:val="00FD1E1C"/>
    <w:rsid w:val="00FD2CC9"/>
    <w:rsid w:val="00FD3550"/>
    <w:rsid w:val="00FD3787"/>
    <w:rsid w:val="00FD4D07"/>
    <w:rsid w:val="00FD62C4"/>
    <w:rsid w:val="00FD6742"/>
    <w:rsid w:val="00FD6ADA"/>
    <w:rsid w:val="00FD768B"/>
    <w:rsid w:val="00FE4DEA"/>
    <w:rsid w:val="00FE5697"/>
    <w:rsid w:val="00FF0DED"/>
    <w:rsid w:val="00FF37E8"/>
    <w:rsid w:val="00FF3CAD"/>
    <w:rsid w:val="00FF5B47"/>
    <w:rsid w:val="00FF606F"/>
    <w:rsid w:val="00FF62C4"/>
    <w:rsid w:val="00FF7A2B"/>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3F4497D"/>
  <w15:chartTrackingRefBased/>
  <w15:docId w15:val="{41989A02-3428-40E8-9714-DE1BF1479B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96250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Kop2">
    <w:name w:val="heading 2"/>
    <w:basedOn w:val="Standaard"/>
    <w:next w:val="Standaard"/>
    <w:link w:val="Kop2Char"/>
    <w:uiPriority w:val="9"/>
    <w:unhideWhenUsed/>
    <w:qFormat/>
    <w:rsid w:val="0096250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Kop3">
    <w:name w:val="heading 3"/>
    <w:basedOn w:val="Standaard"/>
    <w:next w:val="Standaard"/>
    <w:link w:val="Kop3Char"/>
    <w:uiPriority w:val="9"/>
    <w:unhideWhenUsed/>
    <w:qFormat/>
    <w:rsid w:val="00101D3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Kop4">
    <w:name w:val="heading 4"/>
    <w:basedOn w:val="Standaard"/>
    <w:next w:val="Standaard"/>
    <w:link w:val="Kop4Char"/>
    <w:uiPriority w:val="9"/>
    <w:unhideWhenUsed/>
    <w:qFormat/>
    <w:rsid w:val="00101D3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Kop5">
    <w:name w:val="heading 5"/>
    <w:basedOn w:val="Standaard"/>
    <w:next w:val="Standaard"/>
    <w:link w:val="Kop5Char"/>
    <w:uiPriority w:val="9"/>
    <w:unhideWhenUsed/>
    <w:qFormat/>
    <w:rsid w:val="005339D8"/>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96250E"/>
    <w:rPr>
      <w:rFonts w:asciiTheme="majorHAnsi" w:eastAsiaTheme="majorEastAsia" w:hAnsiTheme="majorHAnsi" w:cstheme="majorBidi"/>
      <w:color w:val="2E74B5" w:themeColor="accent1" w:themeShade="BF"/>
      <w:sz w:val="32"/>
      <w:szCs w:val="32"/>
    </w:rPr>
  </w:style>
  <w:style w:type="paragraph" w:customStyle="1" w:styleId="paragraph">
    <w:name w:val="paragraph"/>
    <w:basedOn w:val="Standaard"/>
    <w:rsid w:val="0096250E"/>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normaltextrun">
    <w:name w:val="normaltextrun"/>
    <w:basedOn w:val="Standaardalinea-lettertype"/>
    <w:rsid w:val="0096250E"/>
  </w:style>
  <w:style w:type="character" w:customStyle="1" w:styleId="contextualspellingandgrammarerror">
    <w:name w:val="contextualspellingandgrammarerror"/>
    <w:basedOn w:val="Standaardalinea-lettertype"/>
    <w:rsid w:val="0096250E"/>
  </w:style>
  <w:style w:type="character" w:customStyle="1" w:styleId="eop">
    <w:name w:val="eop"/>
    <w:basedOn w:val="Standaardalinea-lettertype"/>
    <w:rsid w:val="0096250E"/>
  </w:style>
  <w:style w:type="character" w:customStyle="1" w:styleId="spellingerror">
    <w:name w:val="spellingerror"/>
    <w:basedOn w:val="Standaardalinea-lettertype"/>
    <w:rsid w:val="0096250E"/>
  </w:style>
  <w:style w:type="character" w:customStyle="1" w:styleId="advancedproofingissue">
    <w:name w:val="advancedproofingissue"/>
    <w:basedOn w:val="Standaardalinea-lettertype"/>
    <w:rsid w:val="0096250E"/>
  </w:style>
  <w:style w:type="character" w:customStyle="1" w:styleId="Kop2Char">
    <w:name w:val="Kop 2 Char"/>
    <w:basedOn w:val="Standaardalinea-lettertype"/>
    <w:link w:val="Kop2"/>
    <w:uiPriority w:val="9"/>
    <w:rsid w:val="0096250E"/>
    <w:rPr>
      <w:rFonts w:asciiTheme="majorHAnsi" w:eastAsiaTheme="majorEastAsia" w:hAnsiTheme="majorHAnsi" w:cstheme="majorBidi"/>
      <w:color w:val="2E74B5" w:themeColor="accent1" w:themeShade="BF"/>
      <w:sz w:val="26"/>
      <w:szCs w:val="26"/>
    </w:rPr>
  </w:style>
  <w:style w:type="character" w:styleId="Verwijzingopmerking">
    <w:name w:val="annotation reference"/>
    <w:basedOn w:val="Standaardalinea-lettertype"/>
    <w:uiPriority w:val="99"/>
    <w:semiHidden/>
    <w:unhideWhenUsed/>
    <w:rsid w:val="0096250E"/>
    <w:rPr>
      <w:sz w:val="16"/>
      <w:szCs w:val="16"/>
    </w:rPr>
  </w:style>
  <w:style w:type="paragraph" w:styleId="Tekstopmerking">
    <w:name w:val="annotation text"/>
    <w:basedOn w:val="Standaard"/>
    <w:link w:val="TekstopmerkingChar"/>
    <w:uiPriority w:val="99"/>
    <w:semiHidden/>
    <w:unhideWhenUsed/>
    <w:rsid w:val="0096250E"/>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96250E"/>
    <w:rPr>
      <w:sz w:val="20"/>
      <w:szCs w:val="20"/>
    </w:rPr>
  </w:style>
  <w:style w:type="paragraph" w:styleId="Onderwerpvanopmerking">
    <w:name w:val="annotation subject"/>
    <w:basedOn w:val="Tekstopmerking"/>
    <w:next w:val="Tekstopmerking"/>
    <w:link w:val="OnderwerpvanopmerkingChar"/>
    <w:uiPriority w:val="99"/>
    <w:semiHidden/>
    <w:unhideWhenUsed/>
    <w:rsid w:val="0096250E"/>
    <w:rPr>
      <w:b/>
      <w:bCs/>
    </w:rPr>
  </w:style>
  <w:style w:type="character" w:customStyle="1" w:styleId="OnderwerpvanopmerkingChar">
    <w:name w:val="Onderwerp van opmerking Char"/>
    <w:basedOn w:val="TekstopmerkingChar"/>
    <w:link w:val="Onderwerpvanopmerking"/>
    <w:uiPriority w:val="99"/>
    <w:semiHidden/>
    <w:rsid w:val="0096250E"/>
    <w:rPr>
      <w:b/>
      <w:bCs/>
      <w:sz w:val="20"/>
      <w:szCs w:val="20"/>
    </w:rPr>
  </w:style>
  <w:style w:type="paragraph" w:styleId="Ballontekst">
    <w:name w:val="Balloon Text"/>
    <w:basedOn w:val="Standaard"/>
    <w:link w:val="BallontekstChar"/>
    <w:uiPriority w:val="99"/>
    <w:semiHidden/>
    <w:unhideWhenUsed/>
    <w:rsid w:val="0096250E"/>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96250E"/>
    <w:rPr>
      <w:rFonts w:ascii="Segoe UI" w:hAnsi="Segoe UI" w:cs="Segoe UI"/>
      <w:sz w:val="18"/>
      <w:szCs w:val="18"/>
    </w:rPr>
  </w:style>
  <w:style w:type="character" w:customStyle="1" w:styleId="Kop3Char">
    <w:name w:val="Kop 3 Char"/>
    <w:basedOn w:val="Standaardalinea-lettertype"/>
    <w:link w:val="Kop3"/>
    <w:uiPriority w:val="9"/>
    <w:rsid w:val="00101D34"/>
    <w:rPr>
      <w:rFonts w:asciiTheme="majorHAnsi" w:eastAsiaTheme="majorEastAsia" w:hAnsiTheme="majorHAnsi" w:cstheme="majorBidi"/>
      <w:color w:val="1F4D78" w:themeColor="accent1" w:themeShade="7F"/>
      <w:sz w:val="24"/>
      <w:szCs w:val="24"/>
    </w:rPr>
  </w:style>
  <w:style w:type="character" w:customStyle="1" w:styleId="Kop4Char">
    <w:name w:val="Kop 4 Char"/>
    <w:basedOn w:val="Standaardalinea-lettertype"/>
    <w:link w:val="Kop4"/>
    <w:uiPriority w:val="9"/>
    <w:rsid w:val="00101D34"/>
    <w:rPr>
      <w:rFonts w:asciiTheme="majorHAnsi" w:eastAsiaTheme="majorEastAsia" w:hAnsiTheme="majorHAnsi" w:cstheme="majorBidi"/>
      <w:i/>
      <w:iCs/>
      <w:color w:val="2E74B5" w:themeColor="accent1" w:themeShade="BF"/>
    </w:rPr>
  </w:style>
  <w:style w:type="paragraph" w:styleId="Kopvaninhoudsopgave">
    <w:name w:val="TOC Heading"/>
    <w:basedOn w:val="Kop1"/>
    <w:next w:val="Standaard"/>
    <w:uiPriority w:val="39"/>
    <w:unhideWhenUsed/>
    <w:qFormat/>
    <w:rsid w:val="0037038F"/>
    <w:pPr>
      <w:outlineLvl w:val="9"/>
    </w:pPr>
    <w:rPr>
      <w:lang w:val="en-US"/>
    </w:rPr>
  </w:style>
  <w:style w:type="paragraph" w:styleId="Inhopg1">
    <w:name w:val="toc 1"/>
    <w:basedOn w:val="Standaard"/>
    <w:next w:val="Standaard"/>
    <w:autoRedefine/>
    <w:uiPriority w:val="39"/>
    <w:unhideWhenUsed/>
    <w:rsid w:val="001732A1"/>
    <w:pPr>
      <w:tabs>
        <w:tab w:val="right" w:leader="dot" w:pos="9062"/>
      </w:tabs>
      <w:spacing w:after="100"/>
    </w:pPr>
    <w:rPr>
      <w:noProof/>
      <w:lang w:val="en-US"/>
    </w:rPr>
  </w:style>
  <w:style w:type="paragraph" w:styleId="Inhopg2">
    <w:name w:val="toc 2"/>
    <w:basedOn w:val="Standaard"/>
    <w:next w:val="Standaard"/>
    <w:autoRedefine/>
    <w:uiPriority w:val="39"/>
    <w:unhideWhenUsed/>
    <w:rsid w:val="0037038F"/>
    <w:pPr>
      <w:spacing w:after="100"/>
      <w:ind w:left="220"/>
    </w:pPr>
  </w:style>
  <w:style w:type="paragraph" w:styleId="Inhopg3">
    <w:name w:val="toc 3"/>
    <w:basedOn w:val="Standaard"/>
    <w:next w:val="Standaard"/>
    <w:autoRedefine/>
    <w:uiPriority w:val="39"/>
    <w:unhideWhenUsed/>
    <w:rsid w:val="0037038F"/>
    <w:pPr>
      <w:spacing w:after="100"/>
      <w:ind w:left="440"/>
    </w:pPr>
  </w:style>
  <w:style w:type="character" w:styleId="Hyperlink">
    <w:name w:val="Hyperlink"/>
    <w:basedOn w:val="Standaardalinea-lettertype"/>
    <w:uiPriority w:val="99"/>
    <w:unhideWhenUsed/>
    <w:rsid w:val="0037038F"/>
    <w:rPr>
      <w:color w:val="0563C1" w:themeColor="hyperlink"/>
      <w:u w:val="single"/>
    </w:rPr>
  </w:style>
  <w:style w:type="paragraph" w:styleId="Lijstalinea">
    <w:name w:val="List Paragraph"/>
    <w:basedOn w:val="Standaard"/>
    <w:uiPriority w:val="34"/>
    <w:qFormat/>
    <w:rsid w:val="009F1213"/>
    <w:pPr>
      <w:ind w:left="720"/>
      <w:contextualSpacing/>
    </w:pPr>
  </w:style>
  <w:style w:type="paragraph" w:styleId="Koptekst">
    <w:name w:val="header"/>
    <w:basedOn w:val="Standaard"/>
    <w:link w:val="KoptekstChar"/>
    <w:uiPriority w:val="99"/>
    <w:unhideWhenUsed/>
    <w:rsid w:val="004F4002"/>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4F4002"/>
  </w:style>
  <w:style w:type="paragraph" w:styleId="Voettekst">
    <w:name w:val="footer"/>
    <w:basedOn w:val="Standaard"/>
    <w:link w:val="VoettekstChar"/>
    <w:uiPriority w:val="99"/>
    <w:unhideWhenUsed/>
    <w:rsid w:val="004F4002"/>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4F4002"/>
  </w:style>
  <w:style w:type="table" w:styleId="Tabelraster">
    <w:name w:val="Table Grid"/>
    <w:basedOn w:val="Standaardtabel"/>
    <w:uiPriority w:val="39"/>
    <w:rsid w:val="00363B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Rastertabel2">
    <w:name w:val="Grid Table 2"/>
    <w:basedOn w:val="Standaardtabel"/>
    <w:uiPriority w:val="47"/>
    <w:rsid w:val="00CF66FD"/>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ijschrift">
    <w:name w:val="caption"/>
    <w:basedOn w:val="Standaard"/>
    <w:next w:val="Standaard"/>
    <w:uiPriority w:val="35"/>
    <w:unhideWhenUsed/>
    <w:qFormat/>
    <w:rsid w:val="00B97C24"/>
    <w:pPr>
      <w:spacing w:after="200" w:line="240" w:lineRule="auto"/>
    </w:pPr>
    <w:rPr>
      <w:i/>
      <w:iCs/>
      <w:color w:val="44546A" w:themeColor="text2"/>
      <w:sz w:val="18"/>
      <w:szCs w:val="18"/>
    </w:rPr>
  </w:style>
  <w:style w:type="paragraph" w:styleId="Lijstmetafbeeldingen">
    <w:name w:val="table of figures"/>
    <w:basedOn w:val="Standaard"/>
    <w:next w:val="Standaard"/>
    <w:uiPriority w:val="99"/>
    <w:unhideWhenUsed/>
    <w:rsid w:val="008251F1"/>
    <w:pPr>
      <w:spacing w:after="0"/>
    </w:pPr>
  </w:style>
  <w:style w:type="character" w:customStyle="1" w:styleId="Kop5Char">
    <w:name w:val="Kop 5 Char"/>
    <w:basedOn w:val="Standaardalinea-lettertype"/>
    <w:link w:val="Kop5"/>
    <w:uiPriority w:val="9"/>
    <w:rsid w:val="005339D8"/>
    <w:rPr>
      <w:rFonts w:asciiTheme="majorHAnsi" w:eastAsiaTheme="majorEastAsia" w:hAnsiTheme="majorHAnsi" w:cstheme="majorBidi"/>
      <w:color w:val="2E74B5" w:themeColor="accent1" w:themeShade="BF"/>
    </w:rPr>
  </w:style>
  <w:style w:type="table" w:styleId="Onopgemaaktetabel2">
    <w:name w:val="Plain Table 2"/>
    <w:basedOn w:val="Standaardtabel"/>
    <w:uiPriority w:val="42"/>
    <w:rsid w:val="00E05EE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Voetnoottekst">
    <w:name w:val="footnote text"/>
    <w:basedOn w:val="Standaard"/>
    <w:link w:val="VoetnoottekstChar"/>
    <w:uiPriority w:val="99"/>
    <w:semiHidden/>
    <w:unhideWhenUsed/>
    <w:rsid w:val="00716930"/>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716930"/>
    <w:rPr>
      <w:sz w:val="20"/>
      <w:szCs w:val="20"/>
    </w:rPr>
  </w:style>
  <w:style w:type="character" w:styleId="Voetnootmarkering">
    <w:name w:val="footnote reference"/>
    <w:basedOn w:val="Standaardalinea-lettertype"/>
    <w:uiPriority w:val="99"/>
    <w:semiHidden/>
    <w:unhideWhenUsed/>
    <w:rsid w:val="00716930"/>
    <w:rPr>
      <w:vertAlign w:val="superscript"/>
    </w:rPr>
  </w:style>
  <w:style w:type="character" w:customStyle="1" w:styleId="Onopgelostemelding1">
    <w:name w:val="Onopgeloste melding1"/>
    <w:basedOn w:val="Standaardalinea-lettertype"/>
    <w:uiPriority w:val="99"/>
    <w:semiHidden/>
    <w:unhideWhenUsed/>
    <w:rsid w:val="00B85703"/>
    <w:rPr>
      <w:color w:val="605E5C"/>
      <w:shd w:val="clear" w:color="auto" w:fill="E1DFDD"/>
    </w:rPr>
  </w:style>
  <w:style w:type="character" w:styleId="GevolgdeHyperlink">
    <w:name w:val="FollowedHyperlink"/>
    <w:basedOn w:val="Standaardalinea-lettertype"/>
    <w:uiPriority w:val="99"/>
    <w:semiHidden/>
    <w:unhideWhenUsed/>
    <w:rsid w:val="00A77741"/>
    <w:rPr>
      <w:color w:val="954F72" w:themeColor="followedHyperlink"/>
      <w:u w:val="single"/>
    </w:rPr>
  </w:style>
  <w:style w:type="paragraph" w:styleId="Geenafstand">
    <w:name w:val="No Spacing"/>
    <w:link w:val="GeenafstandChar"/>
    <w:uiPriority w:val="1"/>
    <w:qFormat/>
    <w:rsid w:val="003E3A15"/>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3E3A15"/>
    <w:rPr>
      <w:rFonts w:eastAsiaTheme="minorEastAsia"/>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1175966">
      <w:bodyDiv w:val="1"/>
      <w:marLeft w:val="0"/>
      <w:marRight w:val="0"/>
      <w:marTop w:val="0"/>
      <w:marBottom w:val="0"/>
      <w:divBdr>
        <w:top w:val="none" w:sz="0" w:space="0" w:color="auto"/>
        <w:left w:val="none" w:sz="0" w:space="0" w:color="auto"/>
        <w:bottom w:val="none" w:sz="0" w:space="0" w:color="auto"/>
        <w:right w:val="none" w:sz="0" w:space="0" w:color="auto"/>
      </w:divBdr>
      <w:divsChild>
        <w:div w:id="1046488060">
          <w:marLeft w:val="0"/>
          <w:marRight w:val="0"/>
          <w:marTop w:val="0"/>
          <w:marBottom w:val="0"/>
          <w:divBdr>
            <w:top w:val="none" w:sz="0" w:space="0" w:color="auto"/>
            <w:left w:val="none" w:sz="0" w:space="0" w:color="auto"/>
            <w:bottom w:val="none" w:sz="0" w:space="0" w:color="auto"/>
            <w:right w:val="none" w:sz="0" w:space="0" w:color="auto"/>
          </w:divBdr>
        </w:div>
        <w:div w:id="1099716844">
          <w:marLeft w:val="0"/>
          <w:marRight w:val="0"/>
          <w:marTop w:val="0"/>
          <w:marBottom w:val="0"/>
          <w:divBdr>
            <w:top w:val="none" w:sz="0" w:space="0" w:color="auto"/>
            <w:left w:val="none" w:sz="0" w:space="0" w:color="auto"/>
            <w:bottom w:val="none" w:sz="0" w:space="0" w:color="auto"/>
            <w:right w:val="none" w:sz="0" w:space="0" w:color="auto"/>
          </w:divBdr>
          <w:divsChild>
            <w:div w:id="309291571">
              <w:marLeft w:val="-75"/>
              <w:marRight w:val="0"/>
              <w:marTop w:val="30"/>
              <w:marBottom w:val="30"/>
              <w:divBdr>
                <w:top w:val="none" w:sz="0" w:space="0" w:color="auto"/>
                <w:left w:val="none" w:sz="0" w:space="0" w:color="auto"/>
                <w:bottom w:val="none" w:sz="0" w:space="0" w:color="auto"/>
                <w:right w:val="none" w:sz="0" w:space="0" w:color="auto"/>
              </w:divBdr>
              <w:divsChild>
                <w:div w:id="2087679099">
                  <w:marLeft w:val="0"/>
                  <w:marRight w:val="0"/>
                  <w:marTop w:val="0"/>
                  <w:marBottom w:val="0"/>
                  <w:divBdr>
                    <w:top w:val="none" w:sz="0" w:space="0" w:color="auto"/>
                    <w:left w:val="none" w:sz="0" w:space="0" w:color="auto"/>
                    <w:bottom w:val="none" w:sz="0" w:space="0" w:color="auto"/>
                    <w:right w:val="none" w:sz="0" w:space="0" w:color="auto"/>
                  </w:divBdr>
                  <w:divsChild>
                    <w:div w:id="252084059">
                      <w:marLeft w:val="0"/>
                      <w:marRight w:val="0"/>
                      <w:marTop w:val="0"/>
                      <w:marBottom w:val="0"/>
                      <w:divBdr>
                        <w:top w:val="none" w:sz="0" w:space="0" w:color="auto"/>
                        <w:left w:val="none" w:sz="0" w:space="0" w:color="auto"/>
                        <w:bottom w:val="none" w:sz="0" w:space="0" w:color="auto"/>
                        <w:right w:val="none" w:sz="0" w:space="0" w:color="auto"/>
                      </w:divBdr>
                    </w:div>
                  </w:divsChild>
                </w:div>
                <w:div w:id="1366053070">
                  <w:marLeft w:val="0"/>
                  <w:marRight w:val="0"/>
                  <w:marTop w:val="0"/>
                  <w:marBottom w:val="0"/>
                  <w:divBdr>
                    <w:top w:val="none" w:sz="0" w:space="0" w:color="auto"/>
                    <w:left w:val="none" w:sz="0" w:space="0" w:color="auto"/>
                    <w:bottom w:val="none" w:sz="0" w:space="0" w:color="auto"/>
                    <w:right w:val="none" w:sz="0" w:space="0" w:color="auto"/>
                  </w:divBdr>
                  <w:divsChild>
                    <w:div w:id="1305619318">
                      <w:marLeft w:val="0"/>
                      <w:marRight w:val="0"/>
                      <w:marTop w:val="0"/>
                      <w:marBottom w:val="0"/>
                      <w:divBdr>
                        <w:top w:val="none" w:sz="0" w:space="0" w:color="auto"/>
                        <w:left w:val="none" w:sz="0" w:space="0" w:color="auto"/>
                        <w:bottom w:val="none" w:sz="0" w:space="0" w:color="auto"/>
                        <w:right w:val="none" w:sz="0" w:space="0" w:color="auto"/>
                      </w:divBdr>
                    </w:div>
                  </w:divsChild>
                </w:div>
                <w:div w:id="1081365220">
                  <w:marLeft w:val="0"/>
                  <w:marRight w:val="0"/>
                  <w:marTop w:val="0"/>
                  <w:marBottom w:val="0"/>
                  <w:divBdr>
                    <w:top w:val="none" w:sz="0" w:space="0" w:color="auto"/>
                    <w:left w:val="none" w:sz="0" w:space="0" w:color="auto"/>
                    <w:bottom w:val="none" w:sz="0" w:space="0" w:color="auto"/>
                    <w:right w:val="none" w:sz="0" w:space="0" w:color="auto"/>
                  </w:divBdr>
                  <w:divsChild>
                    <w:div w:id="134685570">
                      <w:marLeft w:val="0"/>
                      <w:marRight w:val="0"/>
                      <w:marTop w:val="0"/>
                      <w:marBottom w:val="0"/>
                      <w:divBdr>
                        <w:top w:val="none" w:sz="0" w:space="0" w:color="auto"/>
                        <w:left w:val="none" w:sz="0" w:space="0" w:color="auto"/>
                        <w:bottom w:val="none" w:sz="0" w:space="0" w:color="auto"/>
                        <w:right w:val="none" w:sz="0" w:space="0" w:color="auto"/>
                      </w:divBdr>
                    </w:div>
                  </w:divsChild>
                </w:div>
                <w:div w:id="1568489927">
                  <w:marLeft w:val="0"/>
                  <w:marRight w:val="0"/>
                  <w:marTop w:val="0"/>
                  <w:marBottom w:val="0"/>
                  <w:divBdr>
                    <w:top w:val="none" w:sz="0" w:space="0" w:color="auto"/>
                    <w:left w:val="none" w:sz="0" w:space="0" w:color="auto"/>
                    <w:bottom w:val="none" w:sz="0" w:space="0" w:color="auto"/>
                    <w:right w:val="none" w:sz="0" w:space="0" w:color="auto"/>
                  </w:divBdr>
                  <w:divsChild>
                    <w:div w:id="397824879">
                      <w:marLeft w:val="0"/>
                      <w:marRight w:val="0"/>
                      <w:marTop w:val="0"/>
                      <w:marBottom w:val="0"/>
                      <w:divBdr>
                        <w:top w:val="none" w:sz="0" w:space="0" w:color="auto"/>
                        <w:left w:val="none" w:sz="0" w:space="0" w:color="auto"/>
                        <w:bottom w:val="none" w:sz="0" w:space="0" w:color="auto"/>
                        <w:right w:val="none" w:sz="0" w:space="0" w:color="auto"/>
                      </w:divBdr>
                    </w:div>
                  </w:divsChild>
                </w:div>
                <w:div w:id="913592608">
                  <w:marLeft w:val="0"/>
                  <w:marRight w:val="0"/>
                  <w:marTop w:val="0"/>
                  <w:marBottom w:val="0"/>
                  <w:divBdr>
                    <w:top w:val="none" w:sz="0" w:space="0" w:color="auto"/>
                    <w:left w:val="none" w:sz="0" w:space="0" w:color="auto"/>
                    <w:bottom w:val="none" w:sz="0" w:space="0" w:color="auto"/>
                    <w:right w:val="none" w:sz="0" w:space="0" w:color="auto"/>
                  </w:divBdr>
                  <w:divsChild>
                    <w:div w:id="2078816818">
                      <w:marLeft w:val="0"/>
                      <w:marRight w:val="0"/>
                      <w:marTop w:val="0"/>
                      <w:marBottom w:val="0"/>
                      <w:divBdr>
                        <w:top w:val="none" w:sz="0" w:space="0" w:color="auto"/>
                        <w:left w:val="none" w:sz="0" w:space="0" w:color="auto"/>
                        <w:bottom w:val="none" w:sz="0" w:space="0" w:color="auto"/>
                        <w:right w:val="none" w:sz="0" w:space="0" w:color="auto"/>
                      </w:divBdr>
                    </w:div>
                  </w:divsChild>
                </w:div>
                <w:div w:id="1126972568">
                  <w:marLeft w:val="0"/>
                  <w:marRight w:val="0"/>
                  <w:marTop w:val="0"/>
                  <w:marBottom w:val="0"/>
                  <w:divBdr>
                    <w:top w:val="none" w:sz="0" w:space="0" w:color="auto"/>
                    <w:left w:val="none" w:sz="0" w:space="0" w:color="auto"/>
                    <w:bottom w:val="none" w:sz="0" w:space="0" w:color="auto"/>
                    <w:right w:val="none" w:sz="0" w:space="0" w:color="auto"/>
                  </w:divBdr>
                  <w:divsChild>
                    <w:div w:id="1724138536">
                      <w:marLeft w:val="0"/>
                      <w:marRight w:val="0"/>
                      <w:marTop w:val="0"/>
                      <w:marBottom w:val="0"/>
                      <w:divBdr>
                        <w:top w:val="none" w:sz="0" w:space="0" w:color="auto"/>
                        <w:left w:val="none" w:sz="0" w:space="0" w:color="auto"/>
                        <w:bottom w:val="none" w:sz="0" w:space="0" w:color="auto"/>
                        <w:right w:val="none" w:sz="0" w:space="0" w:color="auto"/>
                      </w:divBdr>
                    </w:div>
                  </w:divsChild>
                </w:div>
                <w:div w:id="1687170215">
                  <w:marLeft w:val="0"/>
                  <w:marRight w:val="0"/>
                  <w:marTop w:val="0"/>
                  <w:marBottom w:val="0"/>
                  <w:divBdr>
                    <w:top w:val="none" w:sz="0" w:space="0" w:color="auto"/>
                    <w:left w:val="none" w:sz="0" w:space="0" w:color="auto"/>
                    <w:bottom w:val="none" w:sz="0" w:space="0" w:color="auto"/>
                    <w:right w:val="none" w:sz="0" w:space="0" w:color="auto"/>
                  </w:divBdr>
                  <w:divsChild>
                    <w:div w:id="528955765">
                      <w:marLeft w:val="0"/>
                      <w:marRight w:val="0"/>
                      <w:marTop w:val="0"/>
                      <w:marBottom w:val="0"/>
                      <w:divBdr>
                        <w:top w:val="none" w:sz="0" w:space="0" w:color="auto"/>
                        <w:left w:val="none" w:sz="0" w:space="0" w:color="auto"/>
                        <w:bottom w:val="none" w:sz="0" w:space="0" w:color="auto"/>
                        <w:right w:val="none" w:sz="0" w:space="0" w:color="auto"/>
                      </w:divBdr>
                    </w:div>
                  </w:divsChild>
                </w:div>
                <w:div w:id="358897617">
                  <w:marLeft w:val="0"/>
                  <w:marRight w:val="0"/>
                  <w:marTop w:val="0"/>
                  <w:marBottom w:val="0"/>
                  <w:divBdr>
                    <w:top w:val="none" w:sz="0" w:space="0" w:color="auto"/>
                    <w:left w:val="none" w:sz="0" w:space="0" w:color="auto"/>
                    <w:bottom w:val="none" w:sz="0" w:space="0" w:color="auto"/>
                    <w:right w:val="none" w:sz="0" w:space="0" w:color="auto"/>
                  </w:divBdr>
                  <w:divsChild>
                    <w:div w:id="527984781">
                      <w:marLeft w:val="0"/>
                      <w:marRight w:val="0"/>
                      <w:marTop w:val="0"/>
                      <w:marBottom w:val="0"/>
                      <w:divBdr>
                        <w:top w:val="none" w:sz="0" w:space="0" w:color="auto"/>
                        <w:left w:val="none" w:sz="0" w:space="0" w:color="auto"/>
                        <w:bottom w:val="none" w:sz="0" w:space="0" w:color="auto"/>
                        <w:right w:val="none" w:sz="0" w:space="0" w:color="auto"/>
                      </w:divBdr>
                    </w:div>
                  </w:divsChild>
                </w:div>
                <w:div w:id="206138297">
                  <w:marLeft w:val="0"/>
                  <w:marRight w:val="0"/>
                  <w:marTop w:val="0"/>
                  <w:marBottom w:val="0"/>
                  <w:divBdr>
                    <w:top w:val="none" w:sz="0" w:space="0" w:color="auto"/>
                    <w:left w:val="none" w:sz="0" w:space="0" w:color="auto"/>
                    <w:bottom w:val="none" w:sz="0" w:space="0" w:color="auto"/>
                    <w:right w:val="none" w:sz="0" w:space="0" w:color="auto"/>
                  </w:divBdr>
                  <w:divsChild>
                    <w:div w:id="382868302">
                      <w:marLeft w:val="0"/>
                      <w:marRight w:val="0"/>
                      <w:marTop w:val="0"/>
                      <w:marBottom w:val="0"/>
                      <w:divBdr>
                        <w:top w:val="none" w:sz="0" w:space="0" w:color="auto"/>
                        <w:left w:val="none" w:sz="0" w:space="0" w:color="auto"/>
                        <w:bottom w:val="none" w:sz="0" w:space="0" w:color="auto"/>
                        <w:right w:val="none" w:sz="0" w:space="0" w:color="auto"/>
                      </w:divBdr>
                    </w:div>
                  </w:divsChild>
                </w:div>
                <w:div w:id="576089215">
                  <w:marLeft w:val="0"/>
                  <w:marRight w:val="0"/>
                  <w:marTop w:val="0"/>
                  <w:marBottom w:val="0"/>
                  <w:divBdr>
                    <w:top w:val="none" w:sz="0" w:space="0" w:color="auto"/>
                    <w:left w:val="none" w:sz="0" w:space="0" w:color="auto"/>
                    <w:bottom w:val="none" w:sz="0" w:space="0" w:color="auto"/>
                    <w:right w:val="none" w:sz="0" w:space="0" w:color="auto"/>
                  </w:divBdr>
                  <w:divsChild>
                    <w:div w:id="1033116091">
                      <w:marLeft w:val="0"/>
                      <w:marRight w:val="0"/>
                      <w:marTop w:val="0"/>
                      <w:marBottom w:val="0"/>
                      <w:divBdr>
                        <w:top w:val="none" w:sz="0" w:space="0" w:color="auto"/>
                        <w:left w:val="none" w:sz="0" w:space="0" w:color="auto"/>
                        <w:bottom w:val="none" w:sz="0" w:space="0" w:color="auto"/>
                        <w:right w:val="none" w:sz="0" w:space="0" w:color="auto"/>
                      </w:divBdr>
                    </w:div>
                  </w:divsChild>
                </w:div>
                <w:div w:id="285308162">
                  <w:marLeft w:val="0"/>
                  <w:marRight w:val="0"/>
                  <w:marTop w:val="0"/>
                  <w:marBottom w:val="0"/>
                  <w:divBdr>
                    <w:top w:val="none" w:sz="0" w:space="0" w:color="auto"/>
                    <w:left w:val="none" w:sz="0" w:space="0" w:color="auto"/>
                    <w:bottom w:val="none" w:sz="0" w:space="0" w:color="auto"/>
                    <w:right w:val="none" w:sz="0" w:space="0" w:color="auto"/>
                  </w:divBdr>
                  <w:divsChild>
                    <w:div w:id="1812746476">
                      <w:marLeft w:val="0"/>
                      <w:marRight w:val="0"/>
                      <w:marTop w:val="0"/>
                      <w:marBottom w:val="0"/>
                      <w:divBdr>
                        <w:top w:val="none" w:sz="0" w:space="0" w:color="auto"/>
                        <w:left w:val="none" w:sz="0" w:space="0" w:color="auto"/>
                        <w:bottom w:val="none" w:sz="0" w:space="0" w:color="auto"/>
                        <w:right w:val="none" w:sz="0" w:space="0" w:color="auto"/>
                      </w:divBdr>
                    </w:div>
                  </w:divsChild>
                </w:div>
                <w:div w:id="1348561015">
                  <w:marLeft w:val="0"/>
                  <w:marRight w:val="0"/>
                  <w:marTop w:val="0"/>
                  <w:marBottom w:val="0"/>
                  <w:divBdr>
                    <w:top w:val="none" w:sz="0" w:space="0" w:color="auto"/>
                    <w:left w:val="none" w:sz="0" w:space="0" w:color="auto"/>
                    <w:bottom w:val="none" w:sz="0" w:space="0" w:color="auto"/>
                    <w:right w:val="none" w:sz="0" w:space="0" w:color="auto"/>
                  </w:divBdr>
                  <w:divsChild>
                    <w:div w:id="139421378">
                      <w:marLeft w:val="0"/>
                      <w:marRight w:val="0"/>
                      <w:marTop w:val="0"/>
                      <w:marBottom w:val="0"/>
                      <w:divBdr>
                        <w:top w:val="none" w:sz="0" w:space="0" w:color="auto"/>
                        <w:left w:val="none" w:sz="0" w:space="0" w:color="auto"/>
                        <w:bottom w:val="none" w:sz="0" w:space="0" w:color="auto"/>
                        <w:right w:val="none" w:sz="0" w:space="0" w:color="auto"/>
                      </w:divBdr>
                    </w:div>
                  </w:divsChild>
                </w:div>
                <w:div w:id="241449913">
                  <w:marLeft w:val="0"/>
                  <w:marRight w:val="0"/>
                  <w:marTop w:val="0"/>
                  <w:marBottom w:val="0"/>
                  <w:divBdr>
                    <w:top w:val="none" w:sz="0" w:space="0" w:color="auto"/>
                    <w:left w:val="none" w:sz="0" w:space="0" w:color="auto"/>
                    <w:bottom w:val="none" w:sz="0" w:space="0" w:color="auto"/>
                    <w:right w:val="none" w:sz="0" w:space="0" w:color="auto"/>
                  </w:divBdr>
                  <w:divsChild>
                    <w:div w:id="1444496466">
                      <w:marLeft w:val="0"/>
                      <w:marRight w:val="0"/>
                      <w:marTop w:val="0"/>
                      <w:marBottom w:val="0"/>
                      <w:divBdr>
                        <w:top w:val="none" w:sz="0" w:space="0" w:color="auto"/>
                        <w:left w:val="none" w:sz="0" w:space="0" w:color="auto"/>
                        <w:bottom w:val="none" w:sz="0" w:space="0" w:color="auto"/>
                        <w:right w:val="none" w:sz="0" w:space="0" w:color="auto"/>
                      </w:divBdr>
                    </w:div>
                  </w:divsChild>
                </w:div>
                <w:div w:id="1160921243">
                  <w:marLeft w:val="0"/>
                  <w:marRight w:val="0"/>
                  <w:marTop w:val="0"/>
                  <w:marBottom w:val="0"/>
                  <w:divBdr>
                    <w:top w:val="none" w:sz="0" w:space="0" w:color="auto"/>
                    <w:left w:val="none" w:sz="0" w:space="0" w:color="auto"/>
                    <w:bottom w:val="none" w:sz="0" w:space="0" w:color="auto"/>
                    <w:right w:val="none" w:sz="0" w:space="0" w:color="auto"/>
                  </w:divBdr>
                  <w:divsChild>
                    <w:div w:id="137285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598732">
      <w:bodyDiv w:val="1"/>
      <w:marLeft w:val="0"/>
      <w:marRight w:val="0"/>
      <w:marTop w:val="0"/>
      <w:marBottom w:val="0"/>
      <w:divBdr>
        <w:top w:val="none" w:sz="0" w:space="0" w:color="auto"/>
        <w:left w:val="none" w:sz="0" w:space="0" w:color="auto"/>
        <w:bottom w:val="none" w:sz="0" w:space="0" w:color="auto"/>
        <w:right w:val="none" w:sz="0" w:space="0" w:color="auto"/>
      </w:divBdr>
      <w:divsChild>
        <w:div w:id="1603222687">
          <w:marLeft w:val="0"/>
          <w:marRight w:val="0"/>
          <w:marTop w:val="0"/>
          <w:marBottom w:val="0"/>
          <w:divBdr>
            <w:top w:val="none" w:sz="0" w:space="0" w:color="auto"/>
            <w:left w:val="none" w:sz="0" w:space="0" w:color="auto"/>
            <w:bottom w:val="none" w:sz="0" w:space="0" w:color="auto"/>
            <w:right w:val="none" w:sz="0" w:space="0" w:color="auto"/>
          </w:divBdr>
        </w:div>
        <w:div w:id="1134178635">
          <w:marLeft w:val="0"/>
          <w:marRight w:val="0"/>
          <w:marTop w:val="0"/>
          <w:marBottom w:val="0"/>
          <w:divBdr>
            <w:top w:val="none" w:sz="0" w:space="0" w:color="auto"/>
            <w:left w:val="none" w:sz="0" w:space="0" w:color="auto"/>
            <w:bottom w:val="none" w:sz="0" w:space="0" w:color="auto"/>
            <w:right w:val="none" w:sz="0" w:space="0" w:color="auto"/>
          </w:divBdr>
        </w:div>
        <w:div w:id="416900587">
          <w:marLeft w:val="0"/>
          <w:marRight w:val="0"/>
          <w:marTop w:val="0"/>
          <w:marBottom w:val="0"/>
          <w:divBdr>
            <w:top w:val="none" w:sz="0" w:space="0" w:color="auto"/>
            <w:left w:val="none" w:sz="0" w:space="0" w:color="auto"/>
            <w:bottom w:val="none" w:sz="0" w:space="0" w:color="auto"/>
            <w:right w:val="none" w:sz="0" w:space="0" w:color="auto"/>
          </w:divBdr>
        </w:div>
      </w:divsChild>
    </w:div>
    <w:div w:id="123811594">
      <w:bodyDiv w:val="1"/>
      <w:marLeft w:val="0"/>
      <w:marRight w:val="0"/>
      <w:marTop w:val="0"/>
      <w:marBottom w:val="0"/>
      <w:divBdr>
        <w:top w:val="none" w:sz="0" w:space="0" w:color="auto"/>
        <w:left w:val="none" w:sz="0" w:space="0" w:color="auto"/>
        <w:bottom w:val="none" w:sz="0" w:space="0" w:color="auto"/>
        <w:right w:val="none" w:sz="0" w:space="0" w:color="auto"/>
      </w:divBdr>
      <w:divsChild>
        <w:div w:id="873690510">
          <w:marLeft w:val="0"/>
          <w:marRight w:val="0"/>
          <w:marTop w:val="0"/>
          <w:marBottom w:val="0"/>
          <w:divBdr>
            <w:top w:val="none" w:sz="0" w:space="0" w:color="auto"/>
            <w:left w:val="none" w:sz="0" w:space="0" w:color="auto"/>
            <w:bottom w:val="none" w:sz="0" w:space="0" w:color="auto"/>
            <w:right w:val="none" w:sz="0" w:space="0" w:color="auto"/>
          </w:divBdr>
        </w:div>
        <w:div w:id="30763427">
          <w:marLeft w:val="0"/>
          <w:marRight w:val="0"/>
          <w:marTop w:val="0"/>
          <w:marBottom w:val="0"/>
          <w:divBdr>
            <w:top w:val="none" w:sz="0" w:space="0" w:color="auto"/>
            <w:left w:val="none" w:sz="0" w:space="0" w:color="auto"/>
            <w:bottom w:val="none" w:sz="0" w:space="0" w:color="auto"/>
            <w:right w:val="none" w:sz="0" w:space="0" w:color="auto"/>
          </w:divBdr>
        </w:div>
        <w:div w:id="1091048910">
          <w:marLeft w:val="0"/>
          <w:marRight w:val="0"/>
          <w:marTop w:val="0"/>
          <w:marBottom w:val="0"/>
          <w:divBdr>
            <w:top w:val="none" w:sz="0" w:space="0" w:color="auto"/>
            <w:left w:val="none" w:sz="0" w:space="0" w:color="auto"/>
            <w:bottom w:val="none" w:sz="0" w:space="0" w:color="auto"/>
            <w:right w:val="none" w:sz="0" w:space="0" w:color="auto"/>
          </w:divBdr>
        </w:div>
        <w:div w:id="363333382">
          <w:marLeft w:val="0"/>
          <w:marRight w:val="0"/>
          <w:marTop w:val="0"/>
          <w:marBottom w:val="0"/>
          <w:divBdr>
            <w:top w:val="none" w:sz="0" w:space="0" w:color="auto"/>
            <w:left w:val="none" w:sz="0" w:space="0" w:color="auto"/>
            <w:bottom w:val="none" w:sz="0" w:space="0" w:color="auto"/>
            <w:right w:val="none" w:sz="0" w:space="0" w:color="auto"/>
          </w:divBdr>
        </w:div>
      </w:divsChild>
    </w:div>
    <w:div w:id="190145577">
      <w:bodyDiv w:val="1"/>
      <w:marLeft w:val="0"/>
      <w:marRight w:val="0"/>
      <w:marTop w:val="0"/>
      <w:marBottom w:val="0"/>
      <w:divBdr>
        <w:top w:val="none" w:sz="0" w:space="0" w:color="auto"/>
        <w:left w:val="none" w:sz="0" w:space="0" w:color="auto"/>
        <w:bottom w:val="none" w:sz="0" w:space="0" w:color="auto"/>
        <w:right w:val="none" w:sz="0" w:space="0" w:color="auto"/>
      </w:divBdr>
      <w:divsChild>
        <w:div w:id="1534805110">
          <w:marLeft w:val="0"/>
          <w:marRight w:val="0"/>
          <w:marTop w:val="0"/>
          <w:marBottom w:val="0"/>
          <w:divBdr>
            <w:top w:val="none" w:sz="0" w:space="0" w:color="auto"/>
            <w:left w:val="none" w:sz="0" w:space="0" w:color="auto"/>
            <w:bottom w:val="none" w:sz="0" w:space="0" w:color="auto"/>
            <w:right w:val="none" w:sz="0" w:space="0" w:color="auto"/>
          </w:divBdr>
        </w:div>
        <w:div w:id="1832217404">
          <w:marLeft w:val="0"/>
          <w:marRight w:val="0"/>
          <w:marTop w:val="0"/>
          <w:marBottom w:val="0"/>
          <w:divBdr>
            <w:top w:val="none" w:sz="0" w:space="0" w:color="auto"/>
            <w:left w:val="none" w:sz="0" w:space="0" w:color="auto"/>
            <w:bottom w:val="none" w:sz="0" w:space="0" w:color="auto"/>
            <w:right w:val="none" w:sz="0" w:space="0" w:color="auto"/>
          </w:divBdr>
        </w:div>
        <w:div w:id="2106922254">
          <w:marLeft w:val="0"/>
          <w:marRight w:val="0"/>
          <w:marTop w:val="0"/>
          <w:marBottom w:val="0"/>
          <w:divBdr>
            <w:top w:val="none" w:sz="0" w:space="0" w:color="auto"/>
            <w:left w:val="none" w:sz="0" w:space="0" w:color="auto"/>
            <w:bottom w:val="none" w:sz="0" w:space="0" w:color="auto"/>
            <w:right w:val="none" w:sz="0" w:space="0" w:color="auto"/>
          </w:divBdr>
        </w:div>
        <w:div w:id="1179394356">
          <w:marLeft w:val="0"/>
          <w:marRight w:val="0"/>
          <w:marTop w:val="0"/>
          <w:marBottom w:val="0"/>
          <w:divBdr>
            <w:top w:val="none" w:sz="0" w:space="0" w:color="auto"/>
            <w:left w:val="none" w:sz="0" w:space="0" w:color="auto"/>
            <w:bottom w:val="none" w:sz="0" w:space="0" w:color="auto"/>
            <w:right w:val="none" w:sz="0" w:space="0" w:color="auto"/>
          </w:divBdr>
        </w:div>
        <w:div w:id="1534466704">
          <w:marLeft w:val="0"/>
          <w:marRight w:val="0"/>
          <w:marTop w:val="0"/>
          <w:marBottom w:val="0"/>
          <w:divBdr>
            <w:top w:val="none" w:sz="0" w:space="0" w:color="auto"/>
            <w:left w:val="none" w:sz="0" w:space="0" w:color="auto"/>
            <w:bottom w:val="none" w:sz="0" w:space="0" w:color="auto"/>
            <w:right w:val="none" w:sz="0" w:space="0" w:color="auto"/>
          </w:divBdr>
        </w:div>
        <w:div w:id="682320425">
          <w:marLeft w:val="0"/>
          <w:marRight w:val="0"/>
          <w:marTop w:val="0"/>
          <w:marBottom w:val="0"/>
          <w:divBdr>
            <w:top w:val="none" w:sz="0" w:space="0" w:color="auto"/>
            <w:left w:val="none" w:sz="0" w:space="0" w:color="auto"/>
            <w:bottom w:val="none" w:sz="0" w:space="0" w:color="auto"/>
            <w:right w:val="none" w:sz="0" w:space="0" w:color="auto"/>
          </w:divBdr>
        </w:div>
        <w:div w:id="1899828199">
          <w:marLeft w:val="0"/>
          <w:marRight w:val="0"/>
          <w:marTop w:val="0"/>
          <w:marBottom w:val="0"/>
          <w:divBdr>
            <w:top w:val="none" w:sz="0" w:space="0" w:color="auto"/>
            <w:left w:val="none" w:sz="0" w:space="0" w:color="auto"/>
            <w:bottom w:val="none" w:sz="0" w:space="0" w:color="auto"/>
            <w:right w:val="none" w:sz="0" w:space="0" w:color="auto"/>
          </w:divBdr>
        </w:div>
        <w:div w:id="553930297">
          <w:marLeft w:val="0"/>
          <w:marRight w:val="0"/>
          <w:marTop w:val="0"/>
          <w:marBottom w:val="0"/>
          <w:divBdr>
            <w:top w:val="none" w:sz="0" w:space="0" w:color="auto"/>
            <w:left w:val="none" w:sz="0" w:space="0" w:color="auto"/>
            <w:bottom w:val="none" w:sz="0" w:space="0" w:color="auto"/>
            <w:right w:val="none" w:sz="0" w:space="0" w:color="auto"/>
          </w:divBdr>
        </w:div>
        <w:div w:id="92289164">
          <w:marLeft w:val="0"/>
          <w:marRight w:val="0"/>
          <w:marTop w:val="0"/>
          <w:marBottom w:val="0"/>
          <w:divBdr>
            <w:top w:val="none" w:sz="0" w:space="0" w:color="auto"/>
            <w:left w:val="none" w:sz="0" w:space="0" w:color="auto"/>
            <w:bottom w:val="none" w:sz="0" w:space="0" w:color="auto"/>
            <w:right w:val="none" w:sz="0" w:space="0" w:color="auto"/>
          </w:divBdr>
        </w:div>
        <w:div w:id="1767312834">
          <w:marLeft w:val="0"/>
          <w:marRight w:val="0"/>
          <w:marTop w:val="0"/>
          <w:marBottom w:val="0"/>
          <w:divBdr>
            <w:top w:val="none" w:sz="0" w:space="0" w:color="auto"/>
            <w:left w:val="none" w:sz="0" w:space="0" w:color="auto"/>
            <w:bottom w:val="none" w:sz="0" w:space="0" w:color="auto"/>
            <w:right w:val="none" w:sz="0" w:space="0" w:color="auto"/>
          </w:divBdr>
        </w:div>
        <w:div w:id="1696539426">
          <w:marLeft w:val="0"/>
          <w:marRight w:val="0"/>
          <w:marTop w:val="0"/>
          <w:marBottom w:val="0"/>
          <w:divBdr>
            <w:top w:val="none" w:sz="0" w:space="0" w:color="auto"/>
            <w:left w:val="none" w:sz="0" w:space="0" w:color="auto"/>
            <w:bottom w:val="none" w:sz="0" w:space="0" w:color="auto"/>
            <w:right w:val="none" w:sz="0" w:space="0" w:color="auto"/>
          </w:divBdr>
        </w:div>
        <w:div w:id="1450246973">
          <w:marLeft w:val="0"/>
          <w:marRight w:val="0"/>
          <w:marTop w:val="0"/>
          <w:marBottom w:val="0"/>
          <w:divBdr>
            <w:top w:val="none" w:sz="0" w:space="0" w:color="auto"/>
            <w:left w:val="none" w:sz="0" w:space="0" w:color="auto"/>
            <w:bottom w:val="none" w:sz="0" w:space="0" w:color="auto"/>
            <w:right w:val="none" w:sz="0" w:space="0" w:color="auto"/>
          </w:divBdr>
        </w:div>
        <w:div w:id="988365510">
          <w:marLeft w:val="0"/>
          <w:marRight w:val="0"/>
          <w:marTop w:val="0"/>
          <w:marBottom w:val="0"/>
          <w:divBdr>
            <w:top w:val="none" w:sz="0" w:space="0" w:color="auto"/>
            <w:left w:val="none" w:sz="0" w:space="0" w:color="auto"/>
            <w:bottom w:val="none" w:sz="0" w:space="0" w:color="auto"/>
            <w:right w:val="none" w:sz="0" w:space="0" w:color="auto"/>
          </w:divBdr>
        </w:div>
        <w:div w:id="1029650614">
          <w:marLeft w:val="0"/>
          <w:marRight w:val="0"/>
          <w:marTop w:val="0"/>
          <w:marBottom w:val="0"/>
          <w:divBdr>
            <w:top w:val="none" w:sz="0" w:space="0" w:color="auto"/>
            <w:left w:val="none" w:sz="0" w:space="0" w:color="auto"/>
            <w:bottom w:val="none" w:sz="0" w:space="0" w:color="auto"/>
            <w:right w:val="none" w:sz="0" w:space="0" w:color="auto"/>
          </w:divBdr>
        </w:div>
        <w:div w:id="657537351">
          <w:marLeft w:val="0"/>
          <w:marRight w:val="0"/>
          <w:marTop w:val="0"/>
          <w:marBottom w:val="0"/>
          <w:divBdr>
            <w:top w:val="none" w:sz="0" w:space="0" w:color="auto"/>
            <w:left w:val="none" w:sz="0" w:space="0" w:color="auto"/>
            <w:bottom w:val="none" w:sz="0" w:space="0" w:color="auto"/>
            <w:right w:val="none" w:sz="0" w:space="0" w:color="auto"/>
          </w:divBdr>
        </w:div>
        <w:div w:id="1804733410">
          <w:marLeft w:val="0"/>
          <w:marRight w:val="0"/>
          <w:marTop w:val="0"/>
          <w:marBottom w:val="0"/>
          <w:divBdr>
            <w:top w:val="none" w:sz="0" w:space="0" w:color="auto"/>
            <w:left w:val="none" w:sz="0" w:space="0" w:color="auto"/>
            <w:bottom w:val="none" w:sz="0" w:space="0" w:color="auto"/>
            <w:right w:val="none" w:sz="0" w:space="0" w:color="auto"/>
          </w:divBdr>
        </w:div>
        <w:div w:id="1501458907">
          <w:marLeft w:val="0"/>
          <w:marRight w:val="0"/>
          <w:marTop w:val="0"/>
          <w:marBottom w:val="0"/>
          <w:divBdr>
            <w:top w:val="none" w:sz="0" w:space="0" w:color="auto"/>
            <w:left w:val="none" w:sz="0" w:space="0" w:color="auto"/>
            <w:bottom w:val="none" w:sz="0" w:space="0" w:color="auto"/>
            <w:right w:val="none" w:sz="0" w:space="0" w:color="auto"/>
          </w:divBdr>
        </w:div>
        <w:div w:id="59446554">
          <w:marLeft w:val="0"/>
          <w:marRight w:val="0"/>
          <w:marTop w:val="0"/>
          <w:marBottom w:val="0"/>
          <w:divBdr>
            <w:top w:val="none" w:sz="0" w:space="0" w:color="auto"/>
            <w:left w:val="none" w:sz="0" w:space="0" w:color="auto"/>
            <w:bottom w:val="none" w:sz="0" w:space="0" w:color="auto"/>
            <w:right w:val="none" w:sz="0" w:space="0" w:color="auto"/>
          </w:divBdr>
        </w:div>
        <w:div w:id="80763653">
          <w:marLeft w:val="0"/>
          <w:marRight w:val="0"/>
          <w:marTop w:val="0"/>
          <w:marBottom w:val="0"/>
          <w:divBdr>
            <w:top w:val="none" w:sz="0" w:space="0" w:color="auto"/>
            <w:left w:val="none" w:sz="0" w:space="0" w:color="auto"/>
            <w:bottom w:val="none" w:sz="0" w:space="0" w:color="auto"/>
            <w:right w:val="none" w:sz="0" w:space="0" w:color="auto"/>
          </w:divBdr>
        </w:div>
        <w:div w:id="1623919067">
          <w:marLeft w:val="0"/>
          <w:marRight w:val="0"/>
          <w:marTop w:val="0"/>
          <w:marBottom w:val="0"/>
          <w:divBdr>
            <w:top w:val="none" w:sz="0" w:space="0" w:color="auto"/>
            <w:left w:val="none" w:sz="0" w:space="0" w:color="auto"/>
            <w:bottom w:val="none" w:sz="0" w:space="0" w:color="auto"/>
            <w:right w:val="none" w:sz="0" w:space="0" w:color="auto"/>
          </w:divBdr>
        </w:div>
        <w:div w:id="766459929">
          <w:marLeft w:val="0"/>
          <w:marRight w:val="0"/>
          <w:marTop w:val="0"/>
          <w:marBottom w:val="0"/>
          <w:divBdr>
            <w:top w:val="none" w:sz="0" w:space="0" w:color="auto"/>
            <w:left w:val="none" w:sz="0" w:space="0" w:color="auto"/>
            <w:bottom w:val="none" w:sz="0" w:space="0" w:color="auto"/>
            <w:right w:val="none" w:sz="0" w:space="0" w:color="auto"/>
          </w:divBdr>
        </w:div>
        <w:div w:id="137305843">
          <w:marLeft w:val="0"/>
          <w:marRight w:val="0"/>
          <w:marTop w:val="0"/>
          <w:marBottom w:val="0"/>
          <w:divBdr>
            <w:top w:val="none" w:sz="0" w:space="0" w:color="auto"/>
            <w:left w:val="none" w:sz="0" w:space="0" w:color="auto"/>
            <w:bottom w:val="none" w:sz="0" w:space="0" w:color="auto"/>
            <w:right w:val="none" w:sz="0" w:space="0" w:color="auto"/>
          </w:divBdr>
        </w:div>
        <w:div w:id="1594317985">
          <w:marLeft w:val="0"/>
          <w:marRight w:val="0"/>
          <w:marTop w:val="0"/>
          <w:marBottom w:val="0"/>
          <w:divBdr>
            <w:top w:val="none" w:sz="0" w:space="0" w:color="auto"/>
            <w:left w:val="none" w:sz="0" w:space="0" w:color="auto"/>
            <w:bottom w:val="none" w:sz="0" w:space="0" w:color="auto"/>
            <w:right w:val="none" w:sz="0" w:space="0" w:color="auto"/>
          </w:divBdr>
        </w:div>
        <w:div w:id="757289695">
          <w:marLeft w:val="0"/>
          <w:marRight w:val="0"/>
          <w:marTop w:val="0"/>
          <w:marBottom w:val="0"/>
          <w:divBdr>
            <w:top w:val="none" w:sz="0" w:space="0" w:color="auto"/>
            <w:left w:val="none" w:sz="0" w:space="0" w:color="auto"/>
            <w:bottom w:val="none" w:sz="0" w:space="0" w:color="auto"/>
            <w:right w:val="none" w:sz="0" w:space="0" w:color="auto"/>
          </w:divBdr>
        </w:div>
        <w:div w:id="1466847665">
          <w:marLeft w:val="0"/>
          <w:marRight w:val="0"/>
          <w:marTop w:val="0"/>
          <w:marBottom w:val="0"/>
          <w:divBdr>
            <w:top w:val="none" w:sz="0" w:space="0" w:color="auto"/>
            <w:left w:val="none" w:sz="0" w:space="0" w:color="auto"/>
            <w:bottom w:val="none" w:sz="0" w:space="0" w:color="auto"/>
            <w:right w:val="none" w:sz="0" w:space="0" w:color="auto"/>
          </w:divBdr>
        </w:div>
        <w:div w:id="295724147">
          <w:marLeft w:val="0"/>
          <w:marRight w:val="0"/>
          <w:marTop w:val="0"/>
          <w:marBottom w:val="0"/>
          <w:divBdr>
            <w:top w:val="none" w:sz="0" w:space="0" w:color="auto"/>
            <w:left w:val="none" w:sz="0" w:space="0" w:color="auto"/>
            <w:bottom w:val="none" w:sz="0" w:space="0" w:color="auto"/>
            <w:right w:val="none" w:sz="0" w:space="0" w:color="auto"/>
          </w:divBdr>
        </w:div>
        <w:div w:id="1080056601">
          <w:marLeft w:val="0"/>
          <w:marRight w:val="0"/>
          <w:marTop w:val="0"/>
          <w:marBottom w:val="0"/>
          <w:divBdr>
            <w:top w:val="none" w:sz="0" w:space="0" w:color="auto"/>
            <w:left w:val="none" w:sz="0" w:space="0" w:color="auto"/>
            <w:bottom w:val="none" w:sz="0" w:space="0" w:color="auto"/>
            <w:right w:val="none" w:sz="0" w:space="0" w:color="auto"/>
          </w:divBdr>
        </w:div>
        <w:div w:id="1979526731">
          <w:marLeft w:val="0"/>
          <w:marRight w:val="0"/>
          <w:marTop w:val="0"/>
          <w:marBottom w:val="0"/>
          <w:divBdr>
            <w:top w:val="none" w:sz="0" w:space="0" w:color="auto"/>
            <w:left w:val="none" w:sz="0" w:space="0" w:color="auto"/>
            <w:bottom w:val="none" w:sz="0" w:space="0" w:color="auto"/>
            <w:right w:val="none" w:sz="0" w:space="0" w:color="auto"/>
          </w:divBdr>
        </w:div>
      </w:divsChild>
    </w:div>
    <w:div w:id="198905630">
      <w:bodyDiv w:val="1"/>
      <w:marLeft w:val="0"/>
      <w:marRight w:val="0"/>
      <w:marTop w:val="0"/>
      <w:marBottom w:val="0"/>
      <w:divBdr>
        <w:top w:val="none" w:sz="0" w:space="0" w:color="auto"/>
        <w:left w:val="none" w:sz="0" w:space="0" w:color="auto"/>
        <w:bottom w:val="none" w:sz="0" w:space="0" w:color="auto"/>
        <w:right w:val="none" w:sz="0" w:space="0" w:color="auto"/>
      </w:divBdr>
    </w:div>
    <w:div w:id="342585178">
      <w:bodyDiv w:val="1"/>
      <w:marLeft w:val="0"/>
      <w:marRight w:val="0"/>
      <w:marTop w:val="0"/>
      <w:marBottom w:val="0"/>
      <w:divBdr>
        <w:top w:val="none" w:sz="0" w:space="0" w:color="auto"/>
        <w:left w:val="none" w:sz="0" w:space="0" w:color="auto"/>
        <w:bottom w:val="none" w:sz="0" w:space="0" w:color="auto"/>
        <w:right w:val="none" w:sz="0" w:space="0" w:color="auto"/>
      </w:divBdr>
    </w:div>
    <w:div w:id="443697172">
      <w:bodyDiv w:val="1"/>
      <w:marLeft w:val="0"/>
      <w:marRight w:val="0"/>
      <w:marTop w:val="0"/>
      <w:marBottom w:val="0"/>
      <w:divBdr>
        <w:top w:val="none" w:sz="0" w:space="0" w:color="auto"/>
        <w:left w:val="none" w:sz="0" w:space="0" w:color="auto"/>
        <w:bottom w:val="none" w:sz="0" w:space="0" w:color="auto"/>
        <w:right w:val="none" w:sz="0" w:space="0" w:color="auto"/>
      </w:divBdr>
      <w:divsChild>
        <w:div w:id="393310004">
          <w:marLeft w:val="0"/>
          <w:marRight w:val="0"/>
          <w:marTop w:val="0"/>
          <w:marBottom w:val="0"/>
          <w:divBdr>
            <w:top w:val="none" w:sz="0" w:space="0" w:color="auto"/>
            <w:left w:val="none" w:sz="0" w:space="0" w:color="auto"/>
            <w:bottom w:val="none" w:sz="0" w:space="0" w:color="auto"/>
            <w:right w:val="none" w:sz="0" w:space="0" w:color="auto"/>
          </w:divBdr>
        </w:div>
        <w:div w:id="961885457">
          <w:marLeft w:val="0"/>
          <w:marRight w:val="0"/>
          <w:marTop w:val="0"/>
          <w:marBottom w:val="0"/>
          <w:divBdr>
            <w:top w:val="none" w:sz="0" w:space="0" w:color="auto"/>
            <w:left w:val="none" w:sz="0" w:space="0" w:color="auto"/>
            <w:bottom w:val="none" w:sz="0" w:space="0" w:color="auto"/>
            <w:right w:val="none" w:sz="0" w:space="0" w:color="auto"/>
          </w:divBdr>
        </w:div>
        <w:div w:id="1882355051">
          <w:marLeft w:val="0"/>
          <w:marRight w:val="0"/>
          <w:marTop w:val="0"/>
          <w:marBottom w:val="0"/>
          <w:divBdr>
            <w:top w:val="none" w:sz="0" w:space="0" w:color="auto"/>
            <w:left w:val="none" w:sz="0" w:space="0" w:color="auto"/>
            <w:bottom w:val="none" w:sz="0" w:space="0" w:color="auto"/>
            <w:right w:val="none" w:sz="0" w:space="0" w:color="auto"/>
          </w:divBdr>
        </w:div>
        <w:div w:id="1081876591">
          <w:marLeft w:val="0"/>
          <w:marRight w:val="0"/>
          <w:marTop w:val="0"/>
          <w:marBottom w:val="0"/>
          <w:divBdr>
            <w:top w:val="none" w:sz="0" w:space="0" w:color="auto"/>
            <w:left w:val="none" w:sz="0" w:space="0" w:color="auto"/>
            <w:bottom w:val="none" w:sz="0" w:space="0" w:color="auto"/>
            <w:right w:val="none" w:sz="0" w:space="0" w:color="auto"/>
          </w:divBdr>
        </w:div>
        <w:div w:id="1286931147">
          <w:marLeft w:val="0"/>
          <w:marRight w:val="0"/>
          <w:marTop w:val="0"/>
          <w:marBottom w:val="0"/>
          <w:divBdr>
            <w:top w:val="none" w:sz="0" w:space="0" w:color="auto"/>
            <w:left w:val="none" w:sz="0" w:space="0" w:color="auto"/>
            <w:bottom w:val="none" w:sz="0" w:space="0" w:color="auto"/>
            <w:right w:val="none" w:sz="0" w:space="0" w:color="auto"/>
          </w:divBdr>
        </w:div>
        <w:div w:id="656491742">
          <w:marLeft w:val="0"/>
          <w:marRight w:val="0"/>
          <w:marTop w:val="0"/>
          <w:marBottom w:val="0"/>
          <w:divBdr>
            <w:top w:val="none" w:sz="0" w:space="0" w:color="auto"/>
            <w:left w:val="none" w:sz="0" w:space="0" w:color="auto"/>
            <w:bottom w:val="none" w:sz="0" w:space="0" w:color="auto"/>
            <w:right w:val="none" w:sz="0" w:space="0" w:color="auto"/>
          </w:divBdr>
        </w:div>
      </w:divsChild>
    </w:div>
    <w:div w:id="655914977">
      <w:bodyDiv w:val="1"/>
      <w:marLeft w:val="0"/>
      <w:marRight w:val="0"/>
      <w:marTop w:val="0"/>
      <w:marBottom w:val="0"/>
      <w:divBdr>
        <w:top w:val="none" w:sz="0" w:space="0" w:color="auto"/>
        <w:left w:val="none" w:sz="0" w:space="0" w:color="auto"/>
        <w:bottom w:val="none" w:sz="0" w:space="0" w:color="auto"/>
        <w:right w:val="none" w:sz="0" w:space="0" w:color="auto"/>
      </w:divBdr>
      <w:divsChild>
        <w:div w:id="741946947">
          <w:marLeft w:val="0"/>
          <w:marRight w:val="0"/>
          <w:marTop w:val="0"/>
          <w:marBottom w:val="0"/>
          <w:divBdr>
            <w:top w:val="none" w:sz="0" w:space="0" w:color="auto"/>
            <w:left w:val="none" w:sz="0" w:space="0" w:color="auto"/>
            <w:bottom w:val="none" w:sz="0" w:space="0" w:color="auto"/>
            <w:right w:val="none" w:sz="0" w:space="0" w:color="auto"/>
          </w:divBdr>
        </w:div>
        <w:div w:id="1148202359">
          <w:marLeft w:val="0"/>
          <w:marRight w:val="0"/>
          <w:marTop w:val="0"/>
          <w:marBottom w:val="0"/>
          <w:divBdr>
            <w:top w:val="none" w:sz="0" w:space="0" w:color="auto"/>
            <w:left w:val="none" w:sz="0" w:space="0" w:color="auto"/>
            <w:bottom w:val="none" w:sz="0" w:space="0" w:color="auto"/>
            <w:right w:val="none" w:sz="0" w:space="0" w:color="auto"/>
          </w:divBdr>
        </w:div>
        <w:div w:id="871383793">
          <w:marLeft w:val="0"/>
          <w:marRight w:val="0"/>
          <w:marTop w:val="0"/>
          <w:marBottom w:val="0"/>
          <w:divBdr>
            <w:top w:val="none" w:sz="0" w:space="0" w:color="auto"/>
            <w:left w:val="none" w:sz="0" w:space="0" w:color="auto"/>
            <w:bottom w:val="none" w:sz="0" w:space="0" w:color="auto"/>
            <w:right w:val="none" w:sz="0" w:space="0" w:color="auto"/>
          </w:divBdr>
        </w:div>
      </w:divsChild>
    </w:div>
    <w:div w:id="666203846">
      <w:bodyDiv w:val="1"/>
      <w:marLeft w:val="0"/>
      <w:marRight w:val="0"/>
      <w:marTop w:val="0"/>
      <w:marBottom w:val="0"/>
      <w:divBdr>
        <w:top w:val="none" w:sz="0" w:space="0" w:color="auto"/>
        <w:left w:val="none" w:sz="0" w:space="0" w:color="auto"/>
        <w:bottom w:val="none" w:sz="0" w:space="0" w:color="auto"/>
        <w:right w:val="none" w:sz="0" w:space="0" w:color="auto"/>
      </w:divBdr>
      <w:divsChild>
        <w:div w:id="1583946822">
          <w:marLeft w:val="0"/>
          <w:marRight w:val="0"/>
          <w:marTop w:val="0"/>
          <w:marBottom w:val="0"/>
          <w:divBdr>
            <w:top w:val="none" w:sz="0" w:space="0" w:color="auto"/>
            <w:left w:val="none" w:sz="0" w:space="0" w:color="auto"/>
            <w:bottom w:val="none" w:sz="0" w:space="0" w:color="auto"/>
            <w:right w:val="none" w:sz="0" w:space="0" w:color="auto"/>
          </w:divBdr>
        </w:div>
        <w:div w:id="979766046">
          <w:marLeft w:val="0"/>
          <w:marRight w:val="0"/>
          <w:marTop w:val="0"/>
          <w:marBottom w:val="0"/>
          <w:divBdr>
            <w:top w:val="none" w:sz="0" w:space="0" w:color="auto"/>
            <w:left w:val="none" w:sz="0" w:space="0" w:color="auto"/>
            <w:bottom w:val="none" w:sz="0" w:space="0" w:color="auto"/>
            <w:right w:val="none" w:sz="0" w:space="0" w:color="auto"/>
          </w:divBdr>
        </w:div>
        <w:div w:id="152452408">
          <w:marLeft w:val="0"/>
          <w:marRight w:val="0"/>
          <w:marTop w:val="0"/>
          <w:marBottom w:val="0"/>
          <w:divBdr>
            <w:top w:val="none" w:sz="0" w:space="0" w:color="auto"/>
            <w:left w:val="none" w:sz="0" w:space="0" w:color="auto"/>
            <w:bottom w:val="none" w:sz="0" w:space="0" w:color="auto"/>
            <w:right w:val="none" w:sz="0" w:space="0" w:color="auto"/>
          </w:divBdr>
        </w:div>
      </w:divsChild>
    </w:div>
    <w:div w:id="879320769">
      <w:bodyDiv w:val="1"/>
      <w:marLeft w:val="0"/>
      <w:marRight w:val="0"/>
      <w:marTop w:val="0"/>
      <w:marBottom w:val="0"/>
      <w:divBdr>
        <w:top w:val="none" w:sz="0" w:space="0" w:color="auto"/>
        <w:left w:val="none" w:sz="0" w:space="0" w:color="auto"/>
        <w:bottom w:val="none" w:sz="0" w:space="0" w:color="auto"/>
        <w:right w:val="none" w:sz="0" w:space="0" w:color="auto"/>
      </w:divBdr>
      <w:divsChild>
        <w:div w:id="399602309">
          <w:marLeft w:val="0"/>
          <w:marRight w:val="0"/>
          <w:marTop w:val="0"/>
          <w:marBottom w:val="0"/>
          <w:divBdr>
            <w:top w:val="none" w:sz="0" w:space="0" w:color="auto"/>
            <w:left w:val="none" w:sz="0" w:space="0" w:color="auto"/>
            <w:bottom w:val="none" w:sz="0" w:space="0" w:color="auto"/>
            <w:right w:val="none" w:sz="0" w:space="0" w:color="auto"/>
          </w:divBdr>
        </w:div>
        <w:div w:id="2095468115">
          <w:marLeft w:val="0"/>
          <w:marRight w:val="0"/>
          <w:marTop w:val="0"/>
          <w:marBottom w:val="0"/>
          <w:divBdr>
            <w:top w:val="none" w:sz="0" w:space="0" w:color="auto"/>
            <w:left w:val="none" w:sz="0" w:space="0" w:color="auto"/>
            <w:bottom w:val="none" w:sz="0" w:space="0" w:color="auto"/>
            <w:right w:val="none" w:sz="0" w:space="0" w:color="auto"/>
          </w:divBdr>
        </w:div>
        <w:div w:id="1654988917">
          <w:marLeft w:val="0"/>
          <w:marRight w:val="0"/>
          <w:marTop w:val="0"/>
          <w:marBottom w:val="0"/>
          <w:divBdr>
            <w:top w:val="none" w:sz="0" w:space="0" w:color="auto"/>
            <w:left w:val="none" w:sz="0" w:space="0" w:color="auto"/>
            <w:bottom w:val="none" w:sz="0" w:space="0" w:color="auto"/>
            <w:right w:val="none" w:sz="0" w:space="0" w:color="auto"/>
          </w:divBdr>
        </w:div>
        <w:div w:id="808475736">
          <w:marLeft w:val="0"/>
          <w:marRight w:val="0"/>
          <w:marTop w:val="0"/>
          <w:marBottom w:val="0"/>
          <w:divBdr>
            <w:top w:val="none" w:sz="0" w:space="0" w:color="auto"/>
            <w:left w:val="none" w:sz="0" w:space="0" w:color="auto"/>
            <w:bottom w:val="none" w:sz="0" w:space="0" w:color="auto"/>
            <w:right w:val="none" w:sz="0" w:space="0" w:color="auto"/>
          </w:divBdr>
        </w:div>
        <w:div w:id="1189754884">
          <w:marLeft w:val="0"/>
          <w:marRight w:val="0"/>
          <w:marTop w:val="0"/>
          <w:marBottom w:val="0"/>
          <w:divBdr>
            <w:top w:val="none" w:sz="0" w:space="0" w:color="auto"/>
            <w:left w:val="none" w:sz="0" w:space="0" w:color="auto"/>
            <w:bottom w:val="none" w:sz="0" w:space="0" w:color="auto"/>
            <w:right w:val="none" w:sz="0" w:space="0" w:color="auto"/>
          </w:divBdr>
        </w:div>
        <w:div w:id="10379270">
          <w:marLeft w:val="0"/>
          <w:marRight w:val="0"/>
          <w:marTop w:val="0"/>
          <w:marBottom w:val="0"/>
          <w:divBdr>
            <w:top w:val="none" w:sz="0" w:space="0" w:color="auto"/>
            <w:left w:val="none" w:sz="0" w:space="0" w:color="auto"/>
            <w:bottom w:val="none" w:sz="0" w:space="0" w:color="auto"/>
            <w:right w:val="none" w:sz="0" w:space="0" w:color="auto"/>
          </w:divBdr>
        </w:div>
        <w:div w:id="1635060376">
          <w:marLeft w:val="0"/>
          <w:marRight w:val="0"/>
          <w:marTop w:val="0"/>
          <w:marBottom w:val="0"/>
          <w:divBdr>
            <w:top w:val="none" w:sz="0" w:space="0" w:color="auto"/>
            <w:left w:val="none" w:sz="0" w:space="0" w:color="auto"/>
            <w:bottom w:val="none" w:sz="0" w:space="0" w:color="auto"/>
            <w:right w:val="none" w:sz="0" w:space="0" w:color="auto"/>
          </w:divBdr>
        </w:div>
        <w:div w:id="1999307462">
          <w:marLeft w:val="0"/>
          <w:marRight w:val="0"/>
          <w:marTop w:val="0"/>
          <w:marBottom w:val="0"/>
          <w:divBdr>
            <w:top w:val="none" w:sz="0" w:space="0" w:color="auto"/>
            <w:left w:val="none" w:sz="0" w:space="0" w:color="auto"/>
            <w:bottom w:val="none" w:sz="0" w:space="0" w:color="auto"/>
            <w:right w:val="none" w:sz="0" w:space="0" w:color="auto"/>
          </w:divBdr>
        </w:div>
        <w:div w:id="1563561694">
          <w:marLeft w:val="0"/>
          <w:marRight w:val="0"/>
          <w:marTop w:val="0"/>
          <w:marBottom w:val="0"/>
          <w:divBdr>
            <w:top w:val="none" w:sz="0" w:space="0" w:color="auto"/>
            <w:left w:val="none" w:sz="0" w:space="0" w:color="auto"/>
            <w:bottom w:val="none" w:sz="0" w:space="0" w:color="auto"/>
            <w:right w:val="none" w:sz="0" w:space="0" w:color="auto"/>
          </w:divBdr>
        </w:div>
        <w:div w:id="1457874955">
          <w:marLeft w:val="0"/>
          <w:marRight w:val="0"/>
          <w:marTop w:val="0"/>
          <w:marBottom w:val="0"/>
          <w:divBdr>
            <w:top w:val="none" w:sz="0" w:space="0" w:color="auto"/>
            <w:left w:val="none" w:sz="0" w:space="0" w:color="auto"/>
            <w:bottom w:val="none" w:sz="0" w:space="0" w:color="auto"/>
            <w:right w:val="none" w:sz="0" w:space="0" w:color="auto"/>
          </w:divBdr>
        </w:div>
        <w:div w:id="252473915">
          <w:marLeft w:val="0"/>
          <w:marRight w:val="0"/>
          <w:marTop w:val="0"/>
          <w:marBottom w:val="0"/>
          <w:divBdr>
            <w:top w:val="none" w:sz="0" w:space="0" w:color="auto"/>
            <w:left w:val="none" w:sz="0" w:space="0" w:color="auto"/>
            <w:bottom w:val="none" w:sz="0" w:space="0" w:color="auto"/>
            <w:right w:val="none" w:sz="0" w:space="0" w:color="auto"/>
          </w:divBdr>
        </w:div>
        <w:div w:id="1736507695">
          <w:marLeft w:val="0"/>
          <w:marRight w:val="0"/>
          <w:marTop w:val="0"/>
          <w:marBottom w:val="0"/>
          <w:divBdr>
            <w:top w:val="none" w:sz="0" w:space="0" w:color="auto"/>
            <w:left w:val="none" w:sz="0" w:space="0" w:color="auto"/>
            <w:bottom w:val="none" w:sz="0" w:space="0" w:color="auto"/>
            <w:right w:val="none" w:sz="0" w:space="0" w:color="auto"/>
          </w:divBdr>
        </w:div>
        <w:div w:id="1867715831">
          <w:marLeft w:val="0"/>
          <w:marRight w:val="0"/>
          <w:marTop w:val="0"/>
          <w:marBottom w:val="0"/>
          <w:divBdr>
            <w:top w:val="none" w:sz="0" w:space="0" w:color="auto"/>
            <w:left w:val="none" w:sz="0" w:space="0" w:color="auto"/>
            <w:bottom w:val="none" w:sz="0" w:space="0" w:color="auto"/>
            <w:right w:val="none" w:sz="0" w:space="0" w:color="auto"/>
          </w:divBdr>
        </w:div>
        <w:div w:id="1235317464">
          <w:marLeft w:val="0"/>
          <w:marRight w:val="0"/>
          <w:marTop w:val="0"/>
          <w:marBottom w:val="0"/>
          <w:divBdr>
            <w:top w:val="none" w:sz="0" w:space="0" w:color="auto"/>
            <w:left w:val="none" w:sz="0" w:space="0" w:color="auto"/>
            <w:bottom w:val="none" w:sz="0" w:space="0" w:color="auto"/>
            <w:right w:val="none" w:sz="0" w:space="0" w:color="auto"/>
          </w:divBdr>
        </w:div>
        <w:div w:id="2012873852">
          <w:marLeft w:val="0"/>
          <w:marRight w:val="0"/>
          <w:marTop w:val="0"/>
          <w:marBottom w:val="0"/>
          <w:divBdr>
            <w:top w:val="none" w:sz="0" w:space="0" w:color="auto"/>
            <w:left w:val="none" w:sz="0" w:space="0" w:color="auto"/>
            <w:bottom w:val="none" w:sz="0" w:space="0" w:color="auto"/>
            <w:right w:val="none" w:sz="0" w:space="0" w:color="auto"/>
          </w:divBdr>
        </w:div>
        <w:div w:id="170338751">
          <w:marLeft w:val="0"/>
          <w:marRight w:val="0"/>
          <w:marTop w:val="0"/>
          <w:marBottom w:val="0"/>
          <w:divBdr>
            <w:top w:val="none" w:sz="0" w:space="0" w:color="auto"/>
            <w:left w:val="none" w:sz="0" w:space="0" w:color="auto"/>
            <w:bottom w:val="none" w:sz="0" w:space="0" w:color="auto"/>
            <w:right w:val="none" w:sz="0" w:space="0" w:color="auto"/>
          </w:divBdr>
        </w:div>
        <w:div w:id="527565344">
          <w:marLeft w:val="0"/>
          <w:marRight w:val="0"/>
          <w:marTop w:val="0"/>
          <w:marBottom w:val="0"/>
          <w:divBdr>
            <w:top w:val="none" w:sz="0" w:space="0" w:color="auto"/>
            <w:left w:val="none" w:sz="0" w:space="0" w:color="auto"/>
            <w:bottom w:val="none" w:sz="0" w:space="0" w:color="auto"/>
            <w:right w:val="none" w:sz="0" w:space="0" w:color="auto"/>
          </w:divBdr>
        </w:div>
        <w:div w:id="227303351">
          <w:marLeft w:val="0"/>
          <w:marRight w:val="0"/>
          <w:marTop w:val="0"/>
          <w:marBottom w:val="0"/>
          <w:divBdr>
            <w:top w:val="none" w:sz="0" w:space="0" w:color="auto"/>
            <w:left w:val="none" w:sz="0" w:space="0" w:color="auto"/>
            <w:bottom w:val="none" w:sz="0" w:space="0" w:color="auto"/>
            <w:right w:val="none" w:sz="0" w:space="0" w:color="auto"/>
          </w:divBdr>
        </w:div>
        <w:div w:id="51774716">
          <w:marLeft w:val="0"/>
          <w:marRight w:val="0"/>
          <w:marTop w:val="0"/>
          <w:marBottom w:val="0"/>
          <w:divBdr>
            <w:top w:val="none" w:sz="0" w:space="0" w:color="auto"/>
            <w:left w:val="none" w:sz="0" w:space="0" w:color="auto"/>
            <w:bottom w:val="none" w:sz="0" w:space="0" w:color="auto"/>
            <w:right w:val="none" w:sz="0" w:space="0" w:color="auto"/>
          </w:divBdr>
        </w:div>
        <w:div w:id="853306084">
          <w:marLeft w:val="0"/>
          <w:marRight w:val="0"/>
          <w:marTop w:val="0"/>
          <w:marBottom w:val="0"/>
          <w:divBdr>
            <w:top w:val="none" w:sz="0" w:space="0" w:color="auto"/>
            <w:left w:val="none" w:sz="0" w:space="0" w:color="auto"/>
            <w:bottom w:val="none" w:sz="0" w:space="0" w:color="auto"/>
            <w:right w:val="none" w:sz="0" w:space="0" w:color="auto"/>
          </w:divBdr>
        </w:div>
        <w:div w:id="1349872110">
          <w:marLeft w:val="0"/>
          <w:marRight w:val="0"/>
          <w:marTop w:val="0"/>
          <w:marBottom w:val="0"/>
          <w:divBdr>
            <w:top w:val="none" w:sz="0" w:space="0" w:color="auto"/>
            <w:left w:val="none" w:sz="0" w:space="0" w:color="auto"/>
            <w:bottom w:val="none" w:sz="0" w:space="0" w:color="auto"/>
            <w:right w:val="none" w:sz="0" w:space="0" w:color="auto"/>
          </w:divBdr>
        </w:div>
        <w:div w:id="5256685">
          <w:marLeft w:val="0"/>
          <w:marRight w:val="0"/>
          <w:marTop w:val="0"/>
          <w:marBottom w:val="0"/>
          <w:divBdr>
            <w:top w:val="none" w:sz="0" w:space="0" w:color="auto"/>
            <w:left w:val="none" w:sz="0" w:space="0" w:color="auto"/>
            <w:bottom w:val="none" w:sz="0" w:space="0" w:color="auto"/>
            <w:right w:val="none" w:sz="0" w:space="0" w:color="auto"/>
          </w:divBdr>
        </w:div>
        <w:div w:id="1688172335">
          <w:marLeft w:val="0"/>
          <w:marRight w:val="0"/>
          <w:marTop w:val="0"/>
          <w:marBottom w:val="0"/>
          <w:divBdr>
            <w:top w:val="none" w:sz="0" w:space="0" w:color="auto"/>
            <w:left w:val="none" w:sz="0" w:space="0" w:color="auto"/>
            <w:bottom w:val="none" w:sz="0" w:space="0" w:color="auto"/>
            <w:right w:val="none" w:sz="0" w:space="0" w:color="auto"/>
          </w:divBdr>
        </w:div>
        <w:div w:id="1901817872">
          <w:marLeft w:val="0"/>
          <w:marRight w:val="0"/>
          <w:marTop w:val="0"/>
          <w:marBottom w:val="0"/>
          <w:divBdr>
            <w:top w:val="none" w:sz="0" w:space="0" w:color="auto"/>
            <w:left w:val="none" w:sz="0" w:space="0" w:color="auto"/>
            <w:bottom w:val="none" w:sz="0" w:space="0" w:color="auto"/>
            <w:right w:val="none" w:sz="0" w:space="0" w:color="auto"/>
          </w:divBdr>
        </w:div>
        <w:div w:id="1183588250">
          <w:marLeft w:val="0"/>
          <w:marRight w:val="0"/>
          <w:marTop w:val="0"/>
          <w:marBottom w:val="0"/>
          <w:divBdr>
            <w:top w:val="none" w:sz="0" w:space="0" w:color="auto"/>
            <w:left w:val="none" w:sz="0" w:space="0" w:color="auto"/>
            <w:bottom w:val="none" w:sz="0" w:space="0" w:color="auto"/>
            <w:right w:val="none" w:sz="0" w:space="0" w:color="auto"/>
          </w:divBdr>
        </w:div>
        <w:div w:id="1827087705">
          <w:marLeft w:val="0"/>
          <w:marRight w:val="0"/>
          <w:marTop w:val="0"/>
          <w:marBottom w:val="0"/>
          <w:divBdr>
            <w:top w:val="none" w:sz="0" w:space="0" w:color="auto"/>
            <w:left w:val="none" w:sz="0" w:space="0" w:color="auto"/>
            <w:bottom w:val="none" w:sz="0" w:space="0" w:color="auto"/>
            <w:right w:val="none" w:sz="0" w:space="0" w:color="auto"/>
          </w:divBdr>
        </w:div>
        <w:div w:id="1495533576">
          <w:marLeft w:val="0"/>
          <w:marRight w:val="0"/>
          <w:marTop w:val="0"/>
          <w:marBottom w:val="0"/>
          <w:divBdr>
            <w:top w:val="none" w:sz="0" w:space="0" w:color="auto"/>
            <w:left w:val="none" w:sz="0" w:space="0" w:color="auto"/>
            <w:bottom w:val="none" w:sz="0" w:space="0" w:color="auto"/>
            <w:right w:val="none" w:sz="0" w:space="0" w:color="auto"/>
          </w:divBdr>
        </w:div>
        <w:div w:id="440414056">
          <w:marLeft w:val="0"/>
          <w:marRight w:val="0"/>
          <w:marTop w:val="0"/>
          <w:marBottom w:val="0"/>
          <w:divBdr>
            <w:top w:val="none" w:sz="0" w:space="0" w:color="auto"/>
            <w:left w:val="none" w:sz="0" w:space="0" w:color="auto"/>
            <w:bottom w:val="none" w:sz="0" w:space="0" w:color="auto"/>
            <w:right w:val="none" w:sz="0" w:space="0" w:color="auto"/>
          </w:divBdr>
        </w:div>
      </w:divsChild>
    </w:div>
    <w:div w:id="1209994544">
      <w:bodyDiv w:val="1"/>
      <w:marLeft w:val="0"/>
      <w:marRight w:val="0"/>
      <w:marTop w:val="0"/>
      <w:marBottom w:val="0"/>
      <w:divBdr>
        <w:top w:val="none" w:sz="0" w:space="0" w:color="auto"/>
        <w:left w:val="none" w:sz="0" w:space="0" w:color="auto"/>
        <w:bottom w:val="none" w:sz="0" w:space="0" w:color="auto"/>
        <w:right w:val="none" w:sz="0" w:space="0" w:color="auto"/>
      </w:divBdr>
      <w:divsChild>
        <w:div w:id="1024483459">
          <w:marLeft w:val="0"/>
          <w:marRight w:val="0"/>
          <w:marTop w:val="0"/>
          <w:marBottom w:val="0"/>
          <w:divBdr>
            <w:top w:val="none" w:sz="0" w:space="0" w:color="auto"/>
            <w:left w:val="none" w:sz="0" w:space="0" w:color="auto"/>
            <w:bottom w:val="none" w:sz="0" w:space="0" w:color="auto"/>
            <w:right w:val="none" w:sz="0" w:space="0" w:color="auto"/>
          </w:divBdr>
        </w:div>
        <w:div w:id="870923590">
          <w:marLeft w:val="0"/>
          <w:marRight w:val="0"/>
          <w:marTop w:val="0"/>
          <w:marBottom w:val="0"/>
          <w:divBdr>
            <w:top w:val="none" w:sz="0" w:space="0" w:color="auto"/>
            <w:left w:val="none" w:sz="0" w:space="0" w:color="auto"/>
            <w:bottom w:val="none" w:sz="0" w:space="0" w:color="auto"/>
            <w:right w:val="none" w:sz="0" w:space="0" w:color="auto"/>
          </w:divBdr>
        </w:div>
      </w:divsChild>
    </w:div>
    <w:div w:id="1694914555">
      <w:bodyDiv w:val="1"/>
      <w:marLeft w:val="0"/>
      <w:marRight w:val="0"/>
      <w:marTop w:val="0"/>
      <w:marBottom w:val="0"/>
      <w:divBdr>
        <w:top w:val="none" w:sz="0" w:space="0" w:color="auto"/>
        <w:left w:val="none" w:sz="0" w:space="0" w:color="auto"/>
        <w:bottom w:val="none" w:sz="0" w:space="0" w:color="auto"/>
        <w:right w:val="none" w:sz="0" w:space="0" w:color="auto"/>
      </w:divBdr>
      <w:divsChild>
        <w:div w:id="263851382">
          <w:marLeft w:val="0"/>
          <w:marRight w:val="0"/>
          <w:marTop w:val="0"/>
          <w:marBottom w:val="0"/>
          <w:divBdr>
            <w:top w:val="none" w:sz="0" w:space="0" w:color="auto"/>
            <w:left w:val="none" w:sz="0" w:space="0" w:color="auto"/>
            <w:bottom w:val="none" w:sz="0" w:space="0" w:color="auto"/>
            <w:right w:val="none" w:sz="0" w:space="0" w:color="auto"/>
          </w:divBdr>
        </w:div>
        <w:div w:id="1772772547">
          <w:marLeft w:val="0"/>
          <w:marRight w:val="0"/>
          <w:marTop w:val="0"/>
          <w:marBottom w:val="0"/>
          <w:divBdr>
            <w:top w:val="none" w:sz="0" w:space="0" w:color="auto"/>
            <w:left w:val="none" w:sz="0" w:space="0" w:color="auto"/>
            <w:bottom w:val="none" w:sz="0" w:space="0" w:color="auto"/>
            <w:right w:val="none" w:sz="0" w:space="0" w:color="auto"/>
          </w:divBdr>
        </w:div>
        <w:div w:id="1055813619">
          <w:marLeft w:val="0"/>
          <w:marRight w:val="0"/>
          <w:marTop w:val="0"/>
          <w:marBottom w:val="0"/>
          <w:divBdr>
            <w:top w:val="none" w:sz="0" w:space="0" w:color="auto"/>
            <w:left w:val="none" w:sz="0" w:space="0" w:color="auto"/>
            <w:bottom w:val="none" w:sz="0" w:space="0" w:color="auto"/>
            <w:right w:val="none" w:sz="0" w:space="0" w:color="auto"/>
          </w:divBdr>
        </w:div>
        <w:div w:id="1928034588">
          <w:marLeft w:val="0"/>
          <w:marRight w:val="0"/>
          <w:marTop w:val="0"/>
          <w:marBottom w:val="0"/>
          <w:divBdr>
            <w:top w:val="none" w:sz="0" w:space="0" w:color="auto"/>
            <w:left w:val="none" w:sz="0" w:space="0" w:color="auto"/>
            <w:bottom w:val="none" w:sz="0" w:space="0" w:color="auto"/>
            <w:right w:val="none" w:sz="0" w:space="0" w:color="auto"/>
          </w:divBdr>
        </w:div>
      </w:divsChild>
    </w:div>
    <w:div w:id="1834449602">
      <w:bodyDiv w:val="1"/>
      <w:marLeft w:val="0"/>
      <w:marRight w:val="0"/>
      <w:marTop w:val="0"/>
      <w:marBottom w:val="0"/>
      <w:divBdr>
        <w:top w:val="none" w:sz="0" w:space="0" w:color="auto"/>
        <w:left w:val="none" w:sz="0" w:space="0" w:color="auto"/>
        <w:bottom w:val="none" w:sz="0" w:space="0" w:color="auto"/>
        <w:right w:val="none" w:sz="0" w:space="0" w:color="auto"/>
      </w:divBdr>
      <w:divsChild>
        <w:div w:id="1758867723">
          <w:marLeft w:val="0"/>
          <w:marRight w:val="0"/>
          <w:marTop w:val="0"/>
          <w:marBottom w:val="0"/>
          <w:divBdr>
            <w:top w:val="none" w:sz="0" w:space="0" w:color="auto"/>
            <w:left w:val="none" w:sz="0" w:space="0" w:color="auto"/>
            <w:bottom w:val="none" w:sz="0" w:space="0" w:color="auto"/>
            <w:right w:val="none" w:sz="0" w:space="0" w:color="auto"/>
          </w:divBdr>
        </w:div>
        <w:div w:id="454107738">
          <w:marLeft w:val="0"/>
          <w:marRight w:val="0"/>
          <w:marTop w:val="0"/>
          <w:marBottom w:val="0"/>
          <w:divBdr>
            <w:top w:val="none" w:sz="0" w:space="0" w:color="auto"/>
            <w:left w:val="none" w:sz="0" w:space="0" w:color="auto"/>
            <w:bottom w:val="none" w:sz="0" w:space="0" w:color="auto"/>
            <w:right w:val="none" w:sz="0" w:space="0" w:color="auto"/>
          </w:divBdr>
        </w:div>
      </w:divsChild>
    </w:div>
    <w:div w:id="1908223571">
      <w:bodyDiv w:val="1"/>
      <w:marLeft w:val="0"/>
      <w:marRight w:val="0"/>
      <w:marTop w:val="0"/>
      <w:marBottom w:val="0"/>
      <w:divBdr>
        <w:top w:val="none" w:sz="0" w:space="0" w:color="auto"/>
        <w:left w:val="none" w:sz="0" w:space="0" w:color="auto"/>
        <w:bottom w:val="none" w:sz="0" w:space="0" w:color="auto"/>
        <w:right w:val="none" w:sz="0" w:space="0" w:color="auto"/>
      </w:divBdr>
      <w:divsChild>
        <w:div w:id="957181559">
          <w:marLeft w:val="0"/>
          <w:marRight w:val="0"/>
          <w:marTop w:val="0"/>
          <w:marBottom w:val="0"/>
          <w:divBdr>
            <w:top w:val="none" w:sz="0" w:space="0" w:color="auto"/>
            <w:left w:val="none" w:sz="0" w:space="0" w:color="auto"/>
            <w:bottom w:val="none" w:sz="0" w:space="0" w:color="auto"/>
            <w:right w:val="none" w:sz="0" w:space="0" w:color="auto"/>
          </w:divBdr>
        </w:div>
        <w:div w:id="1974361050">
          <w:marLeft w:val="0"/>
          <w:marRight w:val="0"/>
          <w:marTop w:val="0"/>
          <w:marBottom w:val="0"/>
          <w:divBdr>
            <w:top w:val="none" w:sz="0" w:space="0" w:color="auto"/>
            <w:left w:val="none" w:sz="0" w:space="0" w:color="auto"/>
            <w:bottom w:val="none" w:sz="0" w:space="0" w:color="auto"/>
            <w:right w:val="none" w:sz="0" w:space="0" w:color="auto"/>
          </w:divBdr>
        </w:div>
        <w:div w:id="1339239133">
          <w:marLeft w:val="0"/>
          <w:marRight w:val="0"/>
          <w:marTop w:val="0"/>
          <w:marBottom w:val="0"/>
          <w:divBdr>
            <w:top w:val="none" w:sz="0" w:space="0" w:color="auto"/>
            <w:left w:val="none" w:sz="0" w:space="0" w:color="auto"/>
            <w:bottom w:val="none" w:sz="0" w:space="0" w:color="auto"/>
            <w:right w:val="none" w:sz="0" w:space="0" w:color="auto"/>
          </w:divBdr>
        </w:div>
        <w:div w:id="2067751032">
          <w:marLeft w:val="0"/>
          <w:marRight w:val="0"/>
          <w:marTop w:val="0"/>
          <w:marBottom w:val="0"/>
          <w:divBdr>
            <w:top w:val="none" w:sz="0" w:space="0" w:color="auto"/>
            <w:left w:val="none" w:sz="0" w:space="0" w:color="auto"/>
            <w:bottom w:val="none" w:sz="0" w:space="0" w:color="auto"/>
            <w:right w:val="none" w:sz="0" w:space="0" w:color="auto"/>
          </w:divBdr>
        </w:div>
      </w:divsChild>
    </w:div>
    <w:div w:id="1948004447">
      <w:bodyDiv w:val="1"/>
      <w:marLeft w:val="0"/>
      <w:marRight w:val="0"/>
      <w:marTop w:val="0"/>
      <w:marBottom w:val="0"/>
      <w:divBdr>
        <w:top w:val="none" w:sz="0" w:space="0" w:color="auto"/>
        <w:left w:val="none" w:sz="0" w:space="0" w:color="auto"/>
        <w:bottom w:val="none" w:sz="0" w:space="0" w:color="auto"/>
        <w:right w:val="none" w:sz="0" w:space="0" w:color="auto"/>
      </w:divBdr>
      <w:divsChild>
        <w:div w:id="1012223320">
          <w:marLeft w:val="0"/>
          <w:marRight w:val="0"/>
          <w:marTop w:val="0"/>
          <w:marBottom w:val="0"/>
          <w:divBdr>
            <w:top w:val="none" w:sz="0" w:space="0" w:color="auto"/>
            <w:left w:val="none" w:sz="0" w:space="0" w:color="auto"/>
            <w:bottom w:val="none" w:sz="0" w:space="0" w:color="auto"/>
            <w:right w:val="none" w:sz="0" w:space="0" w:color="auto"/>
          </w:divBdr>
        </w:div>
        <w:div w:id="1158420389">
          <w:marLeft w:val="0"/>
          <w:marRight w:val="0"/>
          <w:marTop w:val="0"/>
          <w:marBottom w:val="0"/>
          <w:divBdr>
            <w:top w:val="none" w:sz="0" w:space="0" w:color="auto"/>
            <w:left w:val="none" w:sz="0" w:space="0" w:color="auto"/>
            <w:bottom w:val="none" w:sz="0" w:space="0" w:color="auto"/>
            <w:right w:val="none" w:sz="0" w:space="0" w:color="auto"/>
          </w:divBdr>
        </w:div>
        <w:div w:id="898982439">
          <w:marLeft w:val="0"/>
          <w:marRight w:val="0"/>
          <w:marTop w:val="0"/>
          <w:marBottom w:val="0"/>
          <w:divBdr>
            <w:top w:val="none" w:sz="0" w:space="0" w:color="auto"/>
            <w:left w:val="none" w:sz="0" w:space="0" w:color="auto"/>
            <w:bottom w:val="none" w:sz="0" w:space="0" w:color="auto"/>
            <w:right w:val="none" w:sz="0" w:space="0" w:color="auto"/>
          </w:divBdr>
        </w:div>
        <w:div w:id="279843667">
          <w:marLeft w:val="0"/>
          <w:marRight w:val="0"/>
          <w:marTop w:val="0"/>
          <w:marBottom w:val="0"/>
          <w:divBdr>
            <w:top w:val="none" w:sz="0" w:space="0" w:color="auto"/>
            <w:left w:val="none" w:sz="0" w:space="0" w:color="auto"/>
            <w:bottom w:val="none" w:sz="0" w:space="0" w:color="auto"/>
            <w:right w:val="none" w:sz="0" w:space="0" w:color="auto"/>
          </w:divBdr>
        </w:div>
        <w:div w:id="1792698849">
          <w:marLeft w:val="0"/>
          <w:marRight w:val="0"/>
          <w:marTop w:val="0"/>
          <w:marBottom w:val="0"/>
          <w:divBdr>
            <w:top w:val="none" w:sz="0" w:space="0" w:color="auto"/>
            <w:left w:val="none" w:sz="0" w:space="0" w:color="auto"/>
            <w:bottom w:val="none" w:sz="0" w:space="0" w:color="auto"/>
            <w:right w:val="none" w:sz="0" w:space="0" w:color="auto"/>
          </w:divBdr>
        </w:div>
        <w:div w:id="214784421">
          <w:marLeft w:val="0"/>
          <w:marRight w:val="0"/>
          <w:marTop w:val="0"/>
          <w:marBottom w:val="0"/>
          <w:divBdr>
            <w:top w:val="none" w:sz="0" w:space="0" w:color="auto"/>
            <w:left w:val="none" w:sz="0" w:space="0" w:color="auto"/>
            <w:bottom w:val="none" w:sz="0" w:space="0" w:color="auto"/>
            <w:right w:val="none" w:sz="0" w:space="0" w:color="auto"/>
          </w:divBdr>
        </w:div>
        <w:div w:id="922644354">
          <w:marLeft w:val="0"/>
          <w:marRight w:val="0"/>
          <w:marTop w:val="0"/>
          <w:marBottom w:val="0"/>
          <w:divBdr>
            <w:top w:val="none" w:sz="0" w:space="0" w:color="auto"/>
            <w:left w:val="none" w:sz="0" w:space="0" w:color="auto"/>
            <w:bottom w:val="none" w:sz="0" w:space="0" w:color="auto"/>
            <w:right w:val="none" w:sz="0" w:space="0" w:color="auto"/>
          </w:divBdr>
        </w:div>
      </w:divsChild>
    </w:div>
    <w:div w:id="2027899060">
      <w:bodyDiv w:val="1"/>
      <w:marLeft w:val="0"/>
      <w:marRight w:val="0"/>
      <w:marTop w:val="0"/>
      <w:marBottom w:val="0"/>
      <w:divBdr>
        <w:top w:val="none" w:sz="0" w:space="0" w:color="auto"/>
        <w:left w:val="none" w:sz="0" w:space="0" w:color="auto"/>
        <w:bottom w:val="none" w:sz="0" w:space="0" w:color="auto"/>
        <w:right w:val="none" w:sz="0" w:space="0" w:color="auto"/>
      </w:divBdr>
      <w:divsChild>
        <w:div w:id="863056015">
          <w:marLeft w:val="0"/>
          <w:marRight w:val="0"/>
          <w:marTop w:val="0"/>
          <w:marBottom w:val="0"/>
          <w:divBdr>
            <w:top w:val="none" w:sz="0" w:space="0" w:color="auto"/>
            <w:left w:val="none" w:sz="0" w:space="0" w:color="auto"/>
            <w:bottom w:val="none" w:sz="0" w:space="0" w:color="auto"/>
            <w:right w:val="none" w:sz="0" w:space="0" w:color="auto"/>
          </w:divBdr>
        </w:div>
        <w:div w:id="1696155463">
          <w:marLeft w:val="0"/>
          <w:marRight w:val="0"/>
          <w:marTop w:val="0"/>
          <w:marBottom w:val="0"/>
          <w:divBdr>
            <w:top w:val="none" w:sz="0" w:space="0" w:color="auto"/>
            <w:left w:val="none" w:sz="0" w:space="0" w:color="auto"/>
            <w:bottom w:val="none" w:sz="0" w:space="0" w:color="auto"/>
            <w:right w:val="none" w:sz="0" w:space="0" w:color="auto"/>
          </w:divBdr>
        </w:div>
        <w:div w:id="151026907">
          <w:marLeft w:val="0"/>
          <w:marRight w:val="0"/>
          <w:marTop w:val="0"/>
          <w:marBottom w:val="0"/>
          <w:divBdr>
            <w:top w:val="none" w:sz="0" w:space="0" w:color="auto"/>
            <w:left w:val="none" w:sz="0" w:space="0" w:color="auto"/>
            <w:bottom w:val="none" w:sz="0" w:space="0" w:color="auto"/>
            <w:right w:val="none" w:sz="0" w:space="0" w:color="auto"/>
          </w:divBdr>
        </w:div>
      </w:divsChild>
    </w:div>
    <w:div w:id="2059743895">
      <w:bodyDiv w:val="1"/>
      <w:marLeft w:val="0"/>
      <w:marRight w:val="0"/>
      <w:marTop w:val="0"/>
      <w:marBottom w:val="0"/>
      <w:divBdr>
        <w:top w:val="none" w:sz="0" w:space="0" w:color="auto"/>
        <w:left w:val="none" w:sz="0" w:space="0" w:color="auto"/>
        <w:bottom w:val="none" w:sz="0" w:space="0" w:color="auto"/>
        <w:right w:val="none" w:sz="0" w:space="0" w:color="auto"/>
      </w:divBdr>
      <w:divsChild>
        <w:div w:id="1939023473">
          <w:marLeft w:val="0"/>
          <w:marRight w:val="0"/>
          <w:marTop w:val="0"/>
          <w:marBottom w:val="0"/>
          <w:divBdr>
            <w:top w:val="none" w:sz="0" w:space="0" w:color="auto"/>
            <w:left w:val="none" w:sz="0" w:space="0" w:color="auto"/>
            <w:bottom w:val="none" w:sz="0" w:space="0" w:color="auto"/>
            <w:right w:val="none" w:sz="0" w:space="0" w:color="auto"/>
          </w:divBdr>
        </w:div>
        <w:div w:id="1659918531">
          <w:marLeft w:val="0"/>
          <w:marRight w:val="0"/>
          <w:marTop w:val="0"/>
          <w:marBottom w:val="0"/>
          <w:divBdr>
            <w:top w:val="none" w:sz="0" w:space="0" w:color="auto"/>
            <w:left w:val="none" w:sz="0" w:space="0" w:color="auto"/>
            <w:bottom w:val="none" w:sz="0" w:space="0" w:color="auto"/>
            <w:right w:val="none" w:sz="0" w:space="0" w:color="auto"/>
          </w:divBdr>
        </w:div>
        <w:div w:id="1401059029">
          <w:marLeft w:val="0"/>
          <w:marRight w:val="0"/>
          <w:marTop w:val="0"/>
          <w:marBottom w:val="0"/>
          <w:divBdr>
            <w:top w:val="none" w:sz="0" w:space="0" w:color="auto"/>
            <w:left w:val="none" w:sz="0" w:space="0" w:color="auto"/>
            <w:bottom w:val="none" w:sz="0" w:space="0" w:color="auto"/>
            <w:right w:val="none" w:sz="0" w:space="0" w:color="auto"/>
          </w:divBdr>
        </w:div>
      </w:divsChild>
    </w:div>
    <w:div w:id="2095932608">
      <w:bodyDiv w:val="1"/>
      <w:marLeft w:val="0"/>
      <w:marRight w:val="0"/>
      <w:marTop w:val="0"/>
      <w:marBottom w:val="0"/>
      <w:divBdr>
        <w:top w:val="none" w:sz="0" w:space="0" w:color="auto"/>
        <w:left w:val="none" w:sz="0" w:space="0" w:color="auto"/>
        <w:bottom w:val="none" w:sz="0" w:space="0" w:color="auto"/>
        <w:right w:val="none" w:sz="0" w:space="0" w:color="auto"/>
      </w:divBdr>
      <w:divsChild>
        <w:div w:id="428736539">
          <w:marLeft w:val="0"/>
          <w:marRight w:val="0"/>
          <w:marTop w:val="0"/>
          <w:marBottom w:val="0"/>
          <w:divBdr>
            <w:top w:val="none" w:sz="0" w:space="0" w:color="auto"/>
            <w:left w:val="none" w:sz="0" w:space="0" w:color="auto"/>
            <w:bottom w:val="none" w:sz="0" w:space="0" w:color="auto"/>
            <w:right w:val="none" w:sz="0" w:space="0" w:color="auto"/>
          </w:divBdr>
        </w:div>
        <w:div w:id="176308020">
          <w:marLeft w:val="0"/>
          <w:marRight w:val="0"/>
          <w:marTop w:val="0"/>
          <w:marBottom w:val="0"/>
          <w:divBdr>
            <w:top w:val="none" w:sz="0" w:space="0" w:color="auto"/>
            <w:left w:val="none" w:sz="0" w:space="0" w:color="auto"/>
            <w:bottom w:val="none" w:sz="0" w:space="0" w:color="auto"/>
            <w:right w:val="none" w:sz="0" w:space="0" w:color="auto"/>
          </w:divBdr>
        </w:div>
        <w:div w:id="1513455516">
          <w:marLeft w:val="0"/>
          <w:marRight w:val="0"/>
          <w:marTop w:val="0"/>
          <w:marBottom w:val="0"/>
          <w:divBdr>
            <w:top w:val="none" w:sz="0" w:space="0" w:color="auto"/>
            <w:left w:val="none" w:sz="0" w:space="0" w:color="auto"/>
            <w:bottom w:val="none" w:sz="0" w:space="0" w:color="auto"/>
            <w:right w:val="none" w:sz="0" w:space="0" w:color="auto"/>
          </w:divBdr>
        </w:div>
        <w:div w:id="541790057">
          <w:marLeft w:val="0"/>
          <w:marRight w:val="0"/>
          <w:marTop w:val="0"/>
          <w:marBottom w:val="0"/>
          <w:divBdr>
            <w:top w:val="none" w:sz="0" w:space="0" w:color="auto"/>
            <w:left w:val="none" w:sz="0" w:space="0" w:color="auto"/>
            <w:bottom w:val="none" w:sz="0" w:space="0" w:color="auto"/>
            <w:right w:val="none" w:sz="0" w:space="0" w:color="auto"/>
          </w:divBdr>
        </w:div>
        <w:div w:id="986007897">
          <w:marLeft w:val="0"/>
          <w:marRight w:val="0"/>
          <w:marTop w:val="0"/>
          <w:marBottom w:val="0"/>
          <w:divBdr>
            <w:top w:val="none" w:sz="0" w:space="0" w:color="auto"/>
            <w:left w:val="none" w:sz="0" w:space="0" w:color="auto"/>
            <w:bottom w:val="none" w:sz="0" w:space="0" w:color="auto"/>
            <w:right w:val="none" w:sz="0" w:space="0" w:color="auto"/>
          </w:divBdr>
        </w:div>
      </w:divsChild>
    </w:div>
    <w:div w:id="2145388867">
      <w:bodyDiv w:val="1"/>
      <w:marLeft w:val="0"/>
      <w:marRight w:val="0"/>
      <w:marTop w:val="0"/>
      <w:marBottom w:val="0"/>
      <w:divBdr>
        <w:top w:val="none" w:sz="0" w:space="0" w:color="auto"/>
        <w:left w:val="none" w:sz="0" w:space="0" w:color="auto"/>
        <w:bottom w:val="none" w:sz="0" w:space="0" w:color="auto"/>
        <w:right w:val="none" w:sz="0" w:space="0" w:color="auto"/>
      </w:divBdr>
      <w:divsChild>
        <w:div w:id="984355645">
          <w:marLeft w:val="0"/>
          <w:marRight w:val="0"/>
          <w:marTop w:val="0"/>
          <w:marBottom w:val="0"/>
          <w:divBdr>
            <w:top w:val="none" w:sz="0" w:space="0" w:color="auto"/>
            <w:left w:val="none" w:sz="0" w:space="0" w:color="auto"/>
            <w:bottom w:val="none" w:sz="0" w:space="0" w:color="auto"/>
            <w:right w:val="none" w:sz="0" w:space="0" w:color="auto"/>
          </w:divBdr>
          <w:divsChild>
            <w:div w:id="19670140">
              <w:marLeft w:val="0"/>
              <w:marRight w:val="0"/>
              <w:marTop w:val="0"/>
              <w:marBottom w:val="0"/>
              <w:divBdr>
                <w:top w:val="none" w:sz="0" w:space="0" w:color="auto"/>
                <w:left w:val="none" w:sz="0" w:space="0" w:color="auto"/>
                <w:bottom w:val="none" w:sz="0" w:space="0" w:color="auto"/>
                <w:right w:val="none" w:sz="0" w:space="0" w:color="auto"/>
              </w:divBdr>
            </w:div>
          </w:divsChild>
        </w:div>
        <w:div w:id="643507420">
          <w:marLeft w:val="0"/>
          <w:marRight w:val="0"/>
          <w:marTop w:val="0"/>
          <w:marBottom w:val="0"/>
          <w:divBdr>
            <w:top w:val="none" w:sz="0" w:space="0" w:color="auto"/>
            <w:left w:val="none" w:sz="0" w:space="0" w:color="auto"/>
            <w:bottom w:val="none" w:sz="0" w:space="0" w:color="auto"/>
            <w:right w:val="none" w:sz="0" w:space="0" w:color="auto"/>
          </w:divBdr>
          <w:divsChild>
            <w:div w:id="356736701">
              <w:marLeft w:val="0"/>
              <w:marRight w:val="0"/>
              <w:marTop w:val="0"/>
              <w:marBottom w:val="0"/>
              <w:divBdr>
                <w:top w:val="none" w:sz="0" w:space="0" w:color="auto"/>
                <w:left w:val="none" w:sz="0" w:space="0" w:color="auto"/>
                <w:bottom w:val="none" w:sz="0" w:space="0" w:color="auto"/>
                <w:right w:val="none" w:sz="0" w:space="0" w:color="auto"/>
              </w:divBdr>
            </w:div>
          </w:divsChild>
        </w:div>
        <w:div w:id="159926845">
          <w:marLeft w:val="0"/>
          <w:marRight w:val="0"/>
          <w:marTop w:val="0"/>
          <w:marBottom w:val="0"/>
          <w:divBdr>
            <w:top w:val="none" w:sz="0" w:space="0" w:color="auto"/>
            <w:left w:val="none" w:sz="0" w:space="0" w:color="auto"/>
            <w:bottom w:val="none" w:sz="0" w:space="0" w:color="auto"/>
            <w:right w:val="none" w:sz="0" w:space="0" w:color="auto"/>
          </w:divBdr>
          <w:divsChild>
            <w:div w:id="261424682">
              <w:marLeft w:val="0"/>
              <w:marRight w:val="0"/>
              <w:marTop w:val="0"/>
              <w:marBottom w:val="0"/>
              <w:divBdr>
                <w:top w:val="none" w:sz="0" w:space="0" w:color="auto"/>
                <w:left w:val="none" w:sz="0" w:space="0" w:color="auto"/>
                <w:bottom w:val="none" w:sz="0" w:space="0" w:color="auto"/>
                <w:right w:val="none" w:sz="0" w:space="0" w:color="auto"/>
              </w:divBdr>
            </w:div>
          </w:divsChild>
        </w:div>
        <w:div w:id="1662345843">
          <w:marLeft w:val="0"/>
          <w:marRight w:val="0"/>
          <w:marTop w:val="0"/>
          <w:marBottom w:val="0"/>
          <w:divBdr>
            <w:top w:val="none" w:sz="0" w:space="0" w:color="auto"/>
            <w:left w:val="none" w:sz="0" w:space="0" w:color="auto"/>
            <w:bottom w:val="none" w:sz="0" w:space="0" w:color="auto"/>
            <w:right w:val="none" w:sz="0" w:space="0" w:color="auto"/>
          </w:divBdr>
          <w:divsChild>
            <w:div w:id="515730325">
              <w:marLeft w:val="0"/>
              <w:marRight w:val="0"/>
              <w:marTop w:val="0"/>
              <w:marBottom w:val="0"/>
              <w:divBdr>
                <w:top w:val="none" w:sz="0" w:space="0" w:color="auto"/>
                <w:left w:val="none" w:sz="0" w:space="0" w:color="auto"/>
                <w:bottom w:val="none" w:sz="0" w:space="0" w:color="auto"/>
                <w:right w:val="none" w:sz="0" w:space="0" w:color="auto"/>
              </w:divBdr>
            </w:div>
          </w:divsChild>
        </w:div>
        <w:div w:id="1338507568">
          <w:marLeft w:val="0"/>
          <w:marRight w:val="0"/>
          <w:marTop w:val="0"/>
          <w:marBottom w:val="0"/>
          <w:divBdr>
            <w:top w:val="none" w:sz="0" w:space="0" w:color="auto"/>
            <w:left w:val="none" w:sz="0" w:space="0" w:color="auto"/>
            <w:bottom w:val="none" w:sz="0" w:space="0" w:color="auto"/>
            <w:right w:val="none" w:sz="0" w:space="0" w:color="auto"/>
          </w:divBdr>
          <w:divsChild>
            <w:div w:id="75784878">
              <w:marLeft w:val="0"/>
              <w:marRight w:val="0"/>
              <w:marTop w:val="0"/>
              <w:marBottom w:val="0"/>
              <w:divBdr>
                <w:top w:val="none" w:sz="0" w:space="0" w:color="auto"/>
                <w:left w:val="none" w:sz="0" w:space="0" w:color="auto"/>
                <w:bottom w:val="none" w:sz="0" w:space="0" w:color="auto"/>
                <w:right w:val="none" w:sz="0" w:space="0" w:color="auto"/>
              </w:divBdr>
            </w:div>
          </w:divsChild>
        </w:div>
        <w:div w:id="1502504324">
          <w:marLeft w:val="0"/>
          <w:marRight w:val="0"/>
          <w:marTop w:val="0"/>
          <w:marBottom w:val="0"/>
          <w:divBdr>
            <w:top w:val="none" w:sz="0" w:space="0" w:color="auto"/>
            <w:left w:val="none" w:sz="0" w:space="0" w:color="auto"/>
            <w:bottom w:val="none" w:sz="0" w:space="0" w:color="auto"/>
            <w:right w:val="none" w:sz="0" w:space="0" w:color="auto"/>
          </w:divBdr>
          <w:divsChild>
            <w:div w:id="441069584">
              <w:marLeft w:val="0"/>
              <w:marRight w:val="0"/>
              <w:marTop w:val="0"/>
              <w:marBottom w:val="0"/>
              <w:divBdr>
                <w:top w:val="none" w:sz="0" w:space="0" w:color="auto"/>
                <w:left w:val="none" w:sz="0" w:space="0" w:color="auto"/>
                <w:bottom w:val="none" w:sz="0" w:space="0" w:color="auto"/>
                <w:right w:val="none" w:sz="0" w:space="0" w:color="auto"/>
              </w:divBdr>
            </w:div>
          </w:divsChild>
        </w:div>
        <w:div w:id="1175339916">
          <w:marLeft w:val="0"/>
          <w:marRight w:val="0"/>
          <w:marTop w:val="0"/>
          <w:marBottom w:val="0"/>
          <w:divBdr>
            <w:top w:val="none" w:sz="0" w:space="0" w:color="auto"/>
            <w:left w:val="none" w:sz="0" w:space="0" w:color="auto"/>
            <w:bottom w:val="none" w:sz="0" w:space="0" w:color="auto"/>
            <w:right w:val="none" w:sz="0" w:space="0" w:color="auto"/>
          </w:divBdr>
          <w:divsChild>
            <w:div w:id="74086200">
              <w:marLeft w:val="0"/>
              <w:marRight w:val="0"/>
              <w:marTop w:val="0"/>
              <w:marBottom w:val="0"/>
              <w:divBdr>
                <w:top w:val="none" w:sz="0" w:space="0" w:color="auto"/>
                <w:left w:val="none" w:sz="0" w:space="0" w:color="auto"/>
                <w:bottom w:val="none" w:sz="0" w:space="0" w:color="auto"/>
                <w:right w:val="none" w:sz="0" w:space="0" w:color="auto"/>
              </w:divBdr>
            </w:div>
          </w:divsChild>
        </w:div>
        <w:div w:id="1954246986">
          <w:marLeft w:val="0"/>
          <w:marRight w:val="0"/>
          <w:marTop w:val="0"/>
          <w:marBottom w:val="0"/>
          <w:divBdr>
            <w:top w:val="none" w:sz="0" w:space="0" w:color="auto"/>
            <w:left w:val="none" w:sz="0" w:space="0" w:color="auto"/>
            <w:bottom w:val="none" w:sz="0" w:space="0" w:color="auto"/>
            <w:right w:val="none" w:sz="0" w:space="0" w:color="auto"/>
          </w:divBdr>
          <w:divsChild>
            <w:div w:id="2040159975">
              <w:marLeft w:val="0"/>
              <w:marRight w:val="0"/>
              <w:marTop w:val="0"/>
              <w:marBottom w:val="0"/>
              <w:divBdr>
                <w:top w:val="none" w:sz="0" w:space="0" w:color="auto"/>
                <w:left w:val="none" w:sz="0" w:space="0" w:color="auto"/>
                <w:bottom w:val="none" w:sz="0" w:space="0" w:color="auto"/>
                <w:right w:val="none" w:sz="0" w:space="0" w:color="auto"/>
              </w:divBdr>
            </w:div>
          </w:divsChild>
        </w:div>
        <w:div w:id="1335300289">
          <w:marLeft w:val="0"/>
          <w:marRight w:val="0"/>
          <w:marTop w:val="0"/>
          <w:marBottom w:val="0"/>
          <w:divBdr>
            <w:top w:val="none" w:sz="0" w:space="0" w:color="auto"/>
            <w:left w:val="none" w:sz="0" w:space="0" w:color="auto"/>
            <w:bottom w:val="none" w:sz="0" w:space="0" w:color="auto"/>
            <w:right w:val="none" w:sz="0" w:space="0" w:color="auto"/>
          </w:divBdr>
          <w:divsChild>
            <w:div w:id="1388721838">
              <w:marLeft w:val="0"/>
              <w:marRight w:val="0"/>
              <w:marTop w:val="0"/>
              <w:marBottom w:val="0"/>
              <w:divBdr>
                <w:top w:val="none" w:sz="0" w:space="0" w:color="auto"/>
                <w:left w:val="none" w:sz="0" w:space="0" w:color="auto"/>
                <w:bottom w:val="none" w:sz="0" w:space="0" w:color="auto"/>
                <w:right w:val="none" w:sz="0" w:space="0" w:color="auto"/>
              </w:divBdr>
            </w:div>
          </w:divsChild>
        </w:div>
        <w:div w:id="948321975">
          <w:marLeft w:val="0"/>
          <w:marRight w:val="0"/>
          <w:marTop w:val="0"/>
          <w:marBottom w:val="0"/>
          <w:divBdr>
            <w:top w:val="none" w:sz="0" w:space="0" w:color="auto"/>
            <w:left w:val="none" w:sz="0" w:space="0" w:color="auto"/>
            <w:bottom w:val="none" w:sz="0" w:space="0" w:color="auto"/>
            <w:right w:val="none" w:sz="0" w:space="0" w:color="auto"/>
          </w:divBdr>
          <w:divsChild>
            <w:div w:id="926307836">
              <w:marLeft w:val="0"/>
              <w:marRight w:val="0"/>
              <w:marTop w:val="0"/>
              <w:marBottom w:val="0"/>
              <w:divBdr>
                <w:top w:val="none" w:sz="0" w:space="0" w:color="auto"/>
                <w:left w:val="none" w:sz="0" w:space="0" w:color="auto"/>
                <w:bottom w:val="none" w:sz="0" w:space="0" w:color="auto"/>
                <w:right w:val="none" w:sz="0" w:space="0" w:color="auto"/>
              </w:divBdr>
            </w:div>
          </w:divsChild>
        </w:div>
        <w:div w:id="1050035960">
          <w:marLeft w:val="0"/>
          <w:marRight w:val="0"/>
          <w:marTop w:val="0"/>
          <w:marBottom w:val="0"/>
          <w:divBdr>
            <w:top w:val="none" w:sz="0" w:space="0" w:color="auto"/>
            <w:left w:val="none" w:sz="0" w:space="0" w:color="auto"/>
            <w:bottom w:val="none" w:sz="0" w:space="0" w:color="auto"/>
            <w:right w:val="none" w:sz="0" w:space="0" w:color="auto"/>
          </w:divBdr>
          <w:divsChild>
            <w:div w:id="1966228196">
              <w:marLeft w:val="0"/>
              <w:marRight w:val="0"/>
              <w:marTop w:val="0"/>
              <w:marBottom w:val="0"/>
              <w:divBdr>
                <w:top w:val="none" w:sz="0" w:space="0" w:color="auto"/>
                <w:left w:val="none" w:sz="0" w:space="0" w:color="auto"/>
                <w:bottom w:val="none" w:sz="0" w:space="0" w:color="auto"/>
                <w:right w:val="none" w:sz="0" w:space="0" w:color="auto"/>
              </w:divBdr>
            </w:div>
          </w:divsChild>
        </w:div>
        <w:div w:id="780610305">
          <w:marLeft w:val="0"/>
          <w:marRight w:val="0"/>
          <w:marTop w:val="0"/>
          <w:marBottom w:val="0"/>
          <w:divBdr>
            <w:top w:val="none" w:sz="0" w:space="0" w:color="auto"/>
            <w:left w:val="none" w:sz="0" w:space="0" w:color="auto"/>
            <w:bottom w:val="none" w:sz="0" w:space="0" w:color="auto"/>
            <w:right w:val="none" w:sz="0" w:space="0" w:color="auto"/>
          </w:divBdr>
          <w:divsChild>
            <w:div w:id="943804356">
              <w:marLeft w:val="0"/>
              <w:marRight w:val="0"/>
              <w:marTop w:val="0"/>
              <w:marBottom w:val="0"/>
              <w:divBdr>
                <w:top w:val="none" w:sz="0" w:space="0" w:color="auto"/>
                <w:left w:val="none" w:sz="0" w:space="0" w:color="auto"/>
                <w:bottom w:val="none" w:sz="0" w:space="0" w:color="auto"/>
                <w:right w:val="none" w:sz="0" w:space="0" w:color="auto"/>
              </w:divBdr>
            </w:div>
          </w:divsChild>
        </w:div>
        <w:div w:id="1988897314">
          <w:marLeft w:val="0"/>
          <w:marRight w:val="0"/>
          <w:marTop w:val="0"/>
          <w:marBottom w:val="0"/>
          <w:divBdr>
            <w:top w:val="none" w:sz="0" w:space="0" w:color="auto"/>
            <w:left w:val="none" w:sz="0" w:space="0" w:color="auto"/>
            <w:bottom w:val="none" w:sz="0" w:space="0" w:color="auto"/>
            <w:right w:val="none" w:sz="0" w:space="0" w:color="auto"/>
          </w:divBdr>
          <w:divsChild>
            <w:div w:id="1809088320">
              <w:marLeft w:val="0"/>
              <w:marRight w:val="0"/>
              <w:marTop w:val="0"/>
              <w:marBottom w:val="0"/>
              <w:divBdr>
                <w:top w:val="none" w:sz="0" w:space="0" w:color="auto"/>
                <w:left w:val="none" w:sz="0" w:space="0" w:color="auto"/>
                <w:bottom w:val="none" w:sz="0" w:space="0" w:color="auto"/>
                <w:right w:val="none" w:sz="0" w:space="0" w:color="auto"/>
              </w:divBdr>
            </w:div>
          </w:divsChild>
        </w:div>
        <w:div w:id="77559957">
          <w:marLeft w:val="0"/>
          <w:marRight w:val="0"/>
          <w:marTop w:val="0"/>
          <w:marBottom w:val="0"/>
          <w:divBdr>
            <w:top w:val="none" w:sz="0" w:space="0" w:color="auto"/>
            <w:left w:val="none" w:sz="0" w:space="0" w:color="auto"/>
            <w:bottom w:val="none" w:sz="0" w:space="0" w:color="auto"/>
            <w:right w:val="none" w:sz="0" w:space="0" w:color="auto"/>
          </w:divBdr>
          <w:divsChild>
            <w:div w:id="2116049389">
              <w:marLeft w:val="0"/>
              <w:marRight w:val="0"/>
              <w:marTop w:val="0"/>
              <w:marBottom w:val="0"/>
              <w:divBdr>
                <w:top w:val="none" w:sz="0" w:space="0" w:color="auto"/>
                <w:left w:val="none" w:sz="0" w:space="0" w:color="auto"/>
                <w:bottom w:val="none" w:sz="0" w:space="0" w:color="auto"/>
                <w:right w:val="none" w:sz="0" w:space="0" w:color="auto"/>
              </w:divBdr>
            </w:div>
          </w:divsChild>
        </w:div>
        <w:div w:id="868031090">
          <w:marLeft w:val="0"/>
          <w:marRight w:val="0"/>
          <w:marTop w:val="0"/>
          <w:marBottom w:val="0"/>
          <w:divBdr>
            <w:top w:val="none" w:sz="0" w:space="0" w:color="auto"/>
            <w:left w:val="none" w:sz="0" w:space="0" w:color="auto"/>
            <w:bottom w:val="none" w:sz="0" w:space="0" w:color="auto"/>
            <w:right w:val="none" w:sz="0" w:space="0" w:color="auto"/>
          </w:divBdr>
          <w:divsChild>
            <w:div w:id="1089616371">
              <w:marLeft w:val="0"/>
              <w:marRight w:val="0"/>
              <w:marTop w:val="0"/>
              <w:marBottom w:val="0"/>
              <w:divBdr>
                <w:top w:val="none" w:sz="0" w:space="0" w:color="auto"/>
                <w:left w:val="none" w:sz="0" w:space="0" w:color="auto"/>
                <w:bottom w:val="none" w:sz="0" w:space="0" w:color="auto"/>
                <w:right w:val="none" w:sz="0" w:space="0" w:color="auto"/>
              </w:divBdr>
            </w:div>
          </w:divsChild>
        </w:div>
        <w:div w:id="2077583933">
          <w:marLeft w:val="0"/>
          <w:marRight w:val="0"/>
          <w:marTop w:val="0"/>
          <w:marBottom w:val="0"/>
          <w:divBdr>
            <w:top w:val="none" w:sz="0" w:space="0" w:color="auto"/>
            <w:left w:val="none" w:sz="0" w:space="0" w:color="auto"/>
            <w:bottom w:val="none" w:sz="0" w:space="0" w:color="auto"/>
            <w:right w:val="none" w:sz="0" w:space="0" w:color="auto"/>
          </w:divBdr>
          <w:divsChild>
            <w:div w:id="2003120692">
              <w:marLeft w:val="0"/>
              <w:marRight w:val="0"/>
              <w:marTop w:val="0"/>
              <w:marBottom w:val="0"/>
              <w:divBdr>
                <w:top w:val="none" w:sz="0" w:space="0" w:color="auto"/>
                <w:left w:val="none" w:sz="0" w:space="0" w:color="auto"/>
                <w:bottom w:val="none" w:sz="0" w:space="0" w:color="auto"/>
                <w:right w:val="none" w:sz="0" w:space="0" w:color="auto"/>
              </w:divBdr>
            </w:div>
          </w:divsChild>
        </w:div>
        <w:div w:id="1055546573">
          <w:marLeft w:val="0"/>
          <w:marRight w:val="0"/>
          <w:marTop w:val="0"/>
          <w:marBottom w:val="0"/>
          <w:divBdr>
            <w:top w:val="none" w:sz="0" w:space="0" w:color="auto"/>
            <w:left w:val="none" w:sz="0" w:space="0" w:color="auto"/>
            <w:bottom w:val="none" w:sz="0" w:space="0" w:color="auto"/>
            <w:right w:val="none" w:sz="0" w:space="0" w:color="auto"/>
          </w:divBdr>
          <w:divsChild>
            <w:div w:id="736125120">
              <w:marLeft w:val="0"/>
              <w:marRight w:val="0"/>
              <w:marTop w:val="0"/>
              <w:marBottom w:val="0"/>
              <w:divBdr>
                <w:top w:val="none" w:sz="0" w:space="0" w:color="auto"/>
                <w:left w:val="none" w:sz="0" w:space="0" w:color="auto"/>
                <w:bottom w:val="none" w:sz="0" w:space="0" w:color="auto"/>
                <w:right w:val="none" w:sz="0" w:space="0" w:color="auto"/>
              </w:divBdr>
            </w:div>
          </w:divsChild>
        </w:div>
        <w:div w:id="2079671480">
          <w:marLeft w:val="0"/>
          <w:marRight w:val="0"/>
          <w:marTop w:val="0"/>
          <w:marBottom w:val="0"/>
          <w:divBdr>
            <w:top w:val="none" w:sz="0" w:space="0" w:color="auto"/>
            <w:left w:val="none" w:sz="0" w:space="0" w:color="auto"/>
            <w:bottom w:val="none" w:sz="0" w:space="0" w:color="auto"/>
            <w:right w:val="none" w:sz="0" w:space="0" w:color="auto"/>
          </w:divBdr>
          <w:divsChild>
            <w:div w:id="1127237930">
              <w:marLeft w:val="0"/>
              <w:marRight w:val="0"/>
              <w:marTop w:val="0"/>
              <w:marBottom w:val="0"/>
              <w:divBdr>
                <w:top w:val="none" w:sz="0" w:space="0" w:color="auto"/>
                <w:left w:val="none" w:sz="0" w:space="0" w:color="auto"/>
                <w:bottom w:val="none" w:sz="0" w:space="0" w:color="auto"/>
                <w:right w:val="none" w:sz="0" w:space="0" w:color="auto"/>
              </w:divBdr>
            </w:div>
          </w:divsChild>
        </w:div>
        <w:div w:id="488837320">
          <w:marLeft w:val="0"/>
          <w:marRight w:val="0"/>
          <w:marTop w:val="0"/>
          <w:marBottom w:val="0"/>
          <w:divBdr>
            <w:top w:val="none" w:sz="0" w:space="0" w:color="auto"/>
            <w:left w:val="none" w:sz="0" w:space="0" w:color="auto"/>
            <w:bottom w:val="none" w:sz="0" w:space="0" w:color="auto"/>
            <w:right w:val="none" w:sz="0" w:space="0" w:color="auto"/>
          </w:divBdr>
          <w:divsChild>
            <w:div w:id="2016759611">
              <w:marLeft w:val="0"/>
              <w:marRight w:val="0"/>
              <w:marTop w:val="0"/>
              <w:marBottom w:val="0"/>
              <w:divBdr>
                <w:top w:val="none" w:sz="0" w:space="0" w:color="auto"/>
                <w:left w:val="none" w:sz="0" w:space="0" w:color="auto"/>
                <w:bottom w:val="none" w:sz="0" w:space="0" w:color="auto"/>
                <w:right w:val="none" w:sz="0" w:space="0" w:color="auto"/>
              </w:divBdr>
            </w:div>
            <w:div w:id="522673896">
              <w:marLeft w:val="0"/>
              <w:marRight w:val="0"/>
              <w:marTop w:val="0"/>
              <w:marBottom w:val="0"/>
              <w:divBdr>
                <w:top w:val="none" w:sz="0" w:space="0" w:color="auto"/>
                <w:left w:val="none" w:sz="0" w:space="0" w:color="auto"/>
                <w:bottom w:val="none" w:sz="0" w:space="0" w:color="auto"/>
                <w:right w:val="none" w:sz="0" w:space="0" w:color="auto"/>
              </w:divBdr>
            </w:div>
          </w:divsChild>
        </w:div>
        <w:div w:id="690110914">
          <w:marLeft w:val="0"/>
          <w:marRight w:val="0"/>
          <w:marTop w:val="0"/>
          <w:marBottom w:val="0"/>
          <w:divBdr>
            <w:top w:val="none" w:sz="0" w:space="0" w:color="auto"/>
            <w:left w:val="none" w:sz="0" w:space="0" w:color="auto"/>
            <w:bottom w:val="none" w:sz="0" w:space="0" w:color="auto"/>
            <w:right w:val="none" w:sz="0" w:space="0" w:color="auto"/>
          </w:divBdr>
          <w:divsChild>
            <w:div w:id="197010409">
              <w:marLeft w:val="0"/>
              <w:marRight w:val="0"/>
              <w:marTop w:val="0"/>
              <w:marBottom w:val="0"/>
              <w:divBdr>
                <w:top w:val="none" w:sz="0" w:space="0" w:color="auto"/>
                <w:left w:val="none" w:sz="0" w:space="0" w:color="auto"/>
                <w:bottom w:val="none" w:sz="0" w:space="0" w:color="auto"/>
                <w:right w:val="none" w:sz="0" w:space="0" w:color="auto"/>
              </w:divBdr>
            </w:div>
          </w:divsChild>
        </w:div>
        <w:div w:id="286131945">
          <w:marLeft w:val="0"/>
          <w:marRight w:val="0"/>
          <w:marTop w:val="0"/>
          <w:marBottom w:val="0"/>
          <w:divBdr>
            <w:top w:val="none" w:sz="0" w:space="0" w:color="auto"/>
            <w:left w:val="none" w:sz="0" w:space="0" w:color="auto"/>
            <w:bottom w:val="none" w:sz="0" w:space="0" w:color="auto"/>
            <w:right w:val="none" w:sz="0" w:space="0" w:color="auto"/>
          </w:divBdr>
          <w:divsChild>
            <w:div w:id="596864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rijksoverheid.nl/onderwerpen/overheidscommunicatie/documenten/rapporten/2007/09/20/in-dienst-van-de-democratie-het-rapport-van-de-commissie-toekomst-overheidscommunicatie" TargetMode="External"/><Relationship Id="rId18" Type="http://schemas.openxmlformats.org/officeDocument/2006/relationships/hyperlink" Target="https://www.europa-nu.nl/id/vgrykiehdpim/ondertekening_europese_grondwet" TargetMode="External"/><Relationship Id="rId26" Type="http://schemas.openxmlformats.org/officeDocument/2006/relationships/hyperlink" Target="https://www.ad.nl/politiek/kamer-steunt-hoekstra-in-verzet-tegen-eurobonds~a622e58d/" TargetMode="External"/><Relationship Id="rId39" Type="http://schemas.openxmlformats.org/officeDocument/2006/relationships/hyperlink" Target="https://zoek.officielebekendmakingen.nl/h-tk-20042005-4821-4825.html" TargetMode="External"/><Relationship Id="rId21" Type="http://schemas.openxmlformats.org/officeDocument/2006/relationships/hyperlink" Target="https://europa.eu/european-union/about-eu/symbols/motto_en" TargetMode="External"/><Relationship Id="rId34" Type="http://schemas.openxmlformats.org/officeDocument/2006/relationships/hyperlink" Target="https://web.archive.org/web/20050604005447/http:/www.referendumeuropesegrondwet.nl/samenvatting_van_het"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zoek.officielebekendmakingen.nl/h-ek-20042005-1268-1301.html" TargetMode="External"/><Relationship Id="rId20" Type="http://schemas.openxmlformats.org/officeDocument/2006/relationships/hyperlink" Target="https://www.europarl.europa.eu/about-parliament/nl/in-the-past/the-parliament-and-the-treaties/draft-treaty-establishing-a-constitution-for-europe" TargetMode="External"/><Relationship Id="rId29" Type="http://schemas.openxmlformats.org/officeDocument/2006/relationships/hyperlink" Target="https://web.archive.org/web/20050607134519/http:/www.grondweteu.nl/weblogartikel/618" TargetMode="Externa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erstekamer.nl/9370000/1/j9vviasdcklgjqj/vhfzbz9wszh0?key=vhfzbz9wszh0" TargetMode="External"/><Relationship Id="rId24" Type="http://schemas.openxmlformats.org/officeDocument/2006/relationships/hyperlink" Target="https://www.politico.eu/article/virtual-summit-real-acrimony-eu-leaders-clash-over-corona-bonds/" TargetMode="External"/><Relationship Id="rId32" Type="http://schemas.openxmlformats.org/officeDocument/2006/relationships/hyperlink" Target="https://nos.nl/artikel/2321162-brexist-is-een-feit-duizenden-vieren-brits-vertrek-uit-eu-in-londen.html" TargetMode="External"/><Relationship Id="rId37" Type="http://schemas.openxmlformats.org/officeDocument/2006/relationships/hyperlink" Target="https://zoek.officielebekendmakingen.nl/h-tk-20042005-3349-3354.html" TargetMode="External"/><Relationship Id="rId40" Type="http://schemas.openxmlformats.org/officeDocument/2006/relationships/hyperlink" Target="https://web.archive.org/web/20050522232640/www2.minocw.nl/bewindslieden/weekboek_m.jsp" TargetMode="External"/><Relationship Id="rId5" Type="http://schemas.openxmlformats.org/officeDocument/2006/relationships/webSettings" Target="webSettings.xml"/><Relationship Id="rId15" Type="http://schemas.openxmlformats.org/officeDocument/2006/relationships/hyperlink" Target="https://www.eerstekamer.nl/wetsvoorstel/28885_initiatiefvoorstel_karimi" TargetMode="External"/><Relationship Id="rId23" Type="http://schemas.openxmlformats.org/officeDocument/2006/relationships/hyperlink" Target="http://www.sussex.ac.uk/sei/research/europeanpartieselectionsreferendumsnetwork/epernreferendumbriefings" TargetMode="External"/><Relationship Id="rId28" Type="http://schemas.openxmlformats.org/officeDocument/2006/relationships/hyperlink" Target="https://web.archive.org/web/20050607134435/http:/www.grondweteu.nl/weblogartikel/504" TargetMode="External"/><Relationship Id="rId36" Type="http://schemas.openxmlformats.org/officeDocument/2006/relationships/hyperlink" Target="https://zoek.officielebekendmakingen.nl/h-tk-20032004-1938-1939.html" TargetMode="External"/><Relationship Id="rId10" Type="http://schemas.openxmlformats.org/officeDocument/2006/relationships/hyperlink" Target="http://in.beeldengeluid.nl/collectie/details/expressie/69213/false/true" TargetMode="External"/><Relationship Id="rId19" Type="http://schemas.openxmlformats.org/officeDocument/2006/relationships/hyperlink" Target="https://www.europa-nu.nl/id/vgvqpnqs5qbn/referendum_over_eu_grondwet_in_nederland" TargetMode="External"/><Relationship Id="rId31" Type="http://schemas.openxmlformats.org/officeDocument/2006/relationships/hyperlink" Target="https://www.anderetijden.nl/programma/1/Andere-Tijden/aflevering/675/Welkom-in-de-EU"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eb.archive.org/web/20050421140628/http:/www.cda.nl/domains/cda/content/downloads/speeches/2005/De%20C%20van%20het%20CDA.pdf" TargetMode="External"/><Relationship Id="rId22" Type="http://schemas.openxmlformats.org/officeDocument/2006/relationships/hyperlink" Target="https://web.archive.org/web/20050601010757/http:/www.grondweteu.nl/mythes" TargetMode="External"/><Relationship Id="rId27" Type="http://schemas.openxmlformats.org/officeDocument/2006/relationships/hyperlink" Target="https://zoek.officielebekendmakingen.nl/kst-29993-1.html" TargetMode="External"/><Relationship Id="rId30" Type="http://schemas.openxmlformats.org/officeDocument/2006/relationships/hyperlink" Target="https://zoek.officielebekendmakingen.nl/kst-29993-11.html" TargetMode="External"/><Relationship Id="rId35" Type="http://schemas.openxmlformats.org/officeDocument/2006/relationships/hyperlink" Target="https://zoek.officielebekendmakingen.nl/h-tk-20032004-1892-1909.html" TargetMode="External"/><Relationship Id="rId43" Type="http://schemas.openxmlformats.org/officeDocument/2006/relationships/theme" Target="theme/theme1.xml"/><Relationship Id="rId8" Type="http://schemas.openxmlformats.org/officeDocument/2006/relationships/hyperlink" Target="https://d.docs.live.net/51d2c66807d0f782/Documenten/Universiteit/Master%20IR/Thesis/1.%20European%20Constitution/Hoofdstukken/Draft%20Thesis.docx" TargetMode="External"/><Relationship Id="rId3" Type="http://schemas.openxmlformats.org/officeDocument/2006/relationships/styles" Target="styles.xml"/><Relationship Id="rId12" Type="http://schemas.openxmlformats.org/officeDocument/2006/relationships/hyperlink" Target="https://zoek.officielebekendmakingen.nl/kst-30105-V-2.html" TargetMode="External"/><Relationship Id="rId17" Type="http://schemas.openxmlformats.org/officeDocument/2006/relationships/hyperlink" Target="https://www.europa-nu.nl/id/vg9hk0cimaqz/europese_conventie" TargetMode="External"/><Relationship Id="rId25" Type="http://schemas.openxmlformats.org/officeDocument/2006/relationships/hyperlink" Target="https://www.kiesraad.nl/adviezen-en-publicaties/proces-verbalen/2005/06/06/proces-verbaal-zitting-uitslag-referendum-europese-grondwet-2005" TargetMode="External"/><Relationship Id="rId33" Type="http://schemas.openxmlformats.org/officeDocument/2006/relationships/hyperlink" Target="https://wetten.overheid.nl/BWBR0017966/2005-02-04" TargetMode="External"/><Relationship Id="rId38" Type="http://schemas.openxmlformats.org/officeDocument/2006/relationships/hyperlink" Target="https://zoek.officielebekendmakingen.nl/ah-tk-20042005-1247.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E08937-857F-43E0-AC31-41BF214CEB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30569</Words>
  <Characters>168132</Characters>
  <Application>Microsoft Office Word</Application>
  <DocSecurity>0</DocSecurity>
  <Lines>1401</Lines>
  <Paragraphs>396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Radboud Universiteit Nijmegen</Company>
  <LinksUpToDate>false</LinksUpToDate>
  <CharactersWithSpaces>198305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Verhoef, S.F. (Sylvie)</dc:creator>
  <cp:keywords/>
  <dc:description/>
  <cp:lastModifiedBy>Gebruiker</cp:lastModifiedBy>
  <cp:revision>2</cp:revision>
  <cp:lastPrinted>2020-08-19T13:59:00Z</cp:lastPrinted>
  <dcterms:created xsi:type="dcterms:W3CDTF">2020-08-28T05:11:00Z</dcterms:created>
  <dcterms:modified xsi:type="dcterms:W3CDTF">2020-08-28T05:11:00Z</dcterms:modified>
</cp:coreProperties>
</file>