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FE44A8" w14:textId="77777777" w:rsidR="00646C2B" w:rsidRPr="00317CB4" w:rsidRDefault="00646C2B" w:rsidP="00E42E5A">
      <w:pPr>
        <w:pStyle w:val="TOCHeading"/>
        <w:jc w:val="center"/>
        <w:rPr>
          <w:rFonts w:ascii="Times New Roman" w:eastAsiaTheme="minorHAnsi" w:hAnsi="Times New Roman" w:cs="Times New Roman"/>
          <w:i/>
          <w:iCs/>
          <w:color w:val="auto"/>
          <w:sz w:val="28"/>
          <w:szCs w:val="28"/>
          <w:lang w:eastAsia="en-US"/>
        </w:rPr>
      </w:pPr>
    </w:p>
    <w:p w14:paraId="4D495CB5" w14:textId="77777777" w:rsidR="00646C2B" w:rsidRPr="00317CB4" w:rsidRDefault="00646C2B" w:rsidP="00E42E5A">
      <w:pPr>
        <w:pStyle w:val="TOCHeading"/>
        <w:jc w:val="center"/>
        <w:rPr>
          <w:rFonts w:ascii="Times New Roman" w:eastAsiaTheme="minorHAnsi" w:hAnsi="Times New Roman" w:cs="Times New Roman"/>
          <w:i/>
          <w:iCs/>
          <w:color w:val="auto"/>
          <w:sz w:val="28"/>
          <w:szCs w:val="28"/>
          <w:lang w:eastAsia="en-US"/>
        </w:rPr>
      </w:pPr>
    </w:p>
    <w:p w14:paraId="6377A623" w14:textId="4F0B254B" w:rsidR="00646C2B" w:rsidRPr="00317CB4" w:rsidRDefault="00646C2B" w:rsidP="00E42E5A">
      <w:pPr>
        <w:pStyle w:val="TOCHeading"/>
        <w:jc w:val="center"/>
        <w:rPr>
          <w:rFonts w:ascii="Times New Roman" w:eastAsiaTheme="minorHAnsi" w:hAnsi="Times New Roman" w:cs="Times New Roman"/>
          <w:b/>
          <w:bCs/>
          <w:i/>
          <w:iCs/>
          <w:color w:val="auto"/>
          <w:sz w:val="28"/>
          <w:szCs w:val="28"/>
          <w:lang w:eastAsia="en-US"/>
        </w:rPr>
      </w:pPr>
      <w:r w:rsidRPr="00317CB4">
        <w:rPr>
          <w:rFonts w:ascii="Times New Roman" w:eastAsiaTheme="minorHAnsi" w:hAnsi="Times New Roman" w:cs="Times New Roman"/>
          <w:b/>
          <w:bCs/>
          <w:i/>
          <w:iCs/>
          <w:color w:val="auto"/>
          <w:sz w:val="28"/>
          <w:szCs w:val="28"/>
          <w:lang w:eastAsia="en-US"/>
        </w:rPr>
        <w:t xml:space="preserve">Bridging two </w:t>
      </w:r>
      <w:r w:rsidR="00AD6139" w:rsidRPr="00317CB4">
        <w:rPr>
          <w:rFonts w:ascii="Times New Roman" w:eastAsiaTheme="minorHAnsi" w:hAnsi="Times New Roman" w:cs="Times New Roman"/>
          <w:b/>
          <w:bCs/>
          <w:i/>
          <w:iCs/>
          <w:color w:val="auto"/>
          <w:sz w:val="28"/>
          <w:szCs w:val="28"/>
          <w:lang w:eastAsia="en-US"/>
        </w:rPr>
        <w:t>Spheres</w:t>
      </w:r>
      <w:r w:rsidRPr="00317CB4">
        <w:rPr>
          <w:rFonts w:ascii="Times New Roman" w:eastAsiaTheme="minorHAnsi" w:hAnsi="Times New Roman" w:cs="Times New Roman"/>
          <w:b/>
          <w:bCs/>
          <w:i/>
          <w:iCs/>
          <w:color w:val="auto"/>
          <w:sz w:val="28"/>
          <w:szCs w:val="28"/>
          <w:lang w:eastAsia="en-US"/>
        </w:rPr>
        <w:t xml:space="preserve"> </w:t>
      </w:r>
    </w:p>
    <w:p w14:paraId="423F01C2" w14:textId="36B5FD67" w:rsidR="000D0BB2" w:rsidRPr="00317CB4" w:rsidRDefault="004927FC" w:rsidP="00E42E5A">
      <w:pPr>
        <w:pStyle w:val="TOCHeading"/>
        <w:jc w:val="center"/>
        <w:rPr>
          <w:rFonts w:ascii="Times New Roman" w:eastAsiaTheme="minorHAnsi" w:hAnsi="Times New Roman" w:cs="Times New Roman"/>
          <w:i/>
          <w:iCs/>
          <w:color w:val="auto"/>
          <w:sz w:val="28"/>
          <w:szCs w:val="28"/>
          <w:lang w:eastAsia="en-US"/>
        </w:rPr>
      </w:pPr>
      <w:r w:rsidRPr="00317CB4">
        <w:rPr>
          <w:rFonts w:ascii="Times New Roman" w:eastAsiaTheme="minorHAnsi" w:hAnsi="Times New Roman" w:cs="Times New Roman"/>
          <w:i/>
          <w:iCs/>
          <w:color w:val="auto"/>
          <w:sz w:val="28"/>
          <w:szCs w:val="28"/>
          <w:lang w:eastAsia="en-US"/>
        </w:rPr>
        <w:t xml:space="preserve">Frontex between </w:t>
      </w:r>
      <w:r w:rsidR="003F2E17" w:rsidRPr="00317CB4">
        <w:rPr>
          <w:rFonts w:ascii="Times New Roman" w:eastAsiaTheme="minorHAnsi" w:hAnsi="Times New Roman" w:cs="Times New Roman"/>
          <w:i/>
          <w:iCs/>
          <w:color w:val="auto"/>
          <w:sz w:val="28"/>
          <w:szCs w:val="28"/>
          <w:lang w:eastAsia="en-US"/>
        </w:rPr>
        <w:t>member states and institutions</w:t>
      </w:r>
      <w:r w:rsidRPr="00317CB4">
        <w:rPr>
          <w:rFonts w:ascii="Times New Roman" w:eastAsiaTheme="minorHAnsi" w:hAnsi="Times New Roman" w:cs="Times New Roman"/>
          <w:i/>
          <w:iCs/>
          <w:color w:val="auto"/>
          <w:sz w:val="28"/>
          <w:szCs w:val="28"/>
          <w:lang w:eastAsia="en-US"/>
        </w:rPr>
        <w:t xml:space="preserve">  </w:t>
      </w:r>
      <w:r w:rsidR="008E0945" w:rsidRPr="00317CB4">
        <w:rPr>
          <w:rFonts w:ascii="Times New Roman" w:eastAsiaTheme="minorHAnsi" w:hAnsi="Times New Roman" w:cs="Times New Roman"/>
          <w:i/>
          <w:iCs/>
          <w:color w:val="auto"/>
          <w:sz w:val="28"/>
          <w:szCs w:val="28"/>
          <w:lang w:eastAsia="en-US"/>
        </w:rPr>
        <w:t>- h</w:t>
      </w:r>
      <w:r w:rsidRPr="00317CB4">
        <w:rPr>
          <w:rFonts w:ascii="Times New Roman" w:eastAsiaTheme="minorHAnsi" w:hAnsi="Times New Roman" w:cs="Times New Roman"/>
          <w:i/>
          <w:iCs/>
          <w:color w:val="auto"/>
          <w:sz w:val="28"/>
          <w:szCs w:val="28"/>
          <w:lang w:eastAsia="en-US"/>
        </w:rPr>
        <w:t xml:space="preserve">ow core state power dynamics are at play </w:t>
      </w:r>
      <w:r w:rsidR="000F5874" w:rsidRPr="00317CB4">
        <w:rPr>
          <w:rFonts w:ascii="Times New Roman" w:eastAsiaTheme="minorHAnsi" w:hAnsi="Times New Roman" w:cs="Times New Roman"/>
          <w:i/>
          <w:iCs/>
          <w:color w:val="auto"/>
          <w:sz w:val="28"/>
          <w:szCs w:val="28"/>
          <w:lang w:eastAsia="en-US"/>
        </w:rPr>
        <w:t>with</w:t>
      </w:r>
      <w:r w:rsidR="000F5874" w:rsidRPr="00317CB4">
        <w:rPr>
          <w:rFonts w:ascii="Times New Roman" w:eastAsiaTheme="minorHAnsi" w:hAnsi="Times New Roman" w:cs="Times New Roman"/>
          <w:i/>
          <w:iCs/>
          <w:color w:val="auto"/>
          <w:sz w:val="28"/>
          <w:szCs w:val="28"/>
          <w:lang w:eastAsia="en-US"/>
        </w:rPr>
        <w:t xml:space="preserve"> </w:t>
      </w:r>
      <w:r w:rsidR="00E42E5A" w:rsidRPr="00317CB4">
        <w:rPr>
          <w:rFonts w:ascii="Times New Roman" w:eastAsiaTheme="minorHAnsi" w:hAnsi="Times New Roman" w:cs="Times New Roman"/>
          <w:i/>
          <w:iCs/>
          <w:color w:val="auto"/>
          <w:sz w:val="28"/>
          <w:szCs w:val="28"/>
          <w:lang w:eastAsia="en-US"/>
        </w:rPr>
        <w:t>the example of a</w:t>
      </w:r>
      <w:r w:rsidR="00F11C2F" w:rsidRPr="00317CB4">
        <w:rPr>
          <w:rFonts w:ascii="Times New Roman" w:eastAsiaTheme="minorHAnsi" w:hAnsi="Times New Roman" w:cs="Times New Roman"/>
          <w:i/>
          <w:iCs/>
          <w:color w:val="auto"/>
          <w:sz w:val="28"/>
          <w:szCs w:val="28"/>
          <w:lang w:eastAsia="en-US"/>
        </w:rPr>
        <w:t xml:space="preserve"> European Union</w:t>
      </w:r>
      <w:r w:rsidR="00E42E5A" w:rsidRPr="00317CB4">
        <w:rPr>
          <w:rFonts w:ascii="Times New Roman" w:eastAsiaTheme="minorHAnsi" w:hAnsi="Times New Roman" w:cs="Times New Roman"/>
          <w:i/>
          <w:iCs/>
          <w:color w:val="auto"/>
          <w:sz w:val="28"/>
          <w:szCs w:val="28"/>
          <w:lang w:eastAsia="en-US"/>
        </w:rPr>
        <w:t xml:space="preserve"> agency</w:t>
      </w:r>
    </w:p>
    <w:p w14:paraId="79653086" w14:textId="77777777" w:rsidR="00E42E5A" w:rsidRPr="00317CB4" w:rsidRDefault="00E42E5A" w:rsidP="00E42E5A">
      <w:pPr>
        <w:rPr>
          <w:lang w:val="en-GB"/>
        </w:rPr>
      </w:pPr>
    </w:p>
    <w:p w14:paraId="05C0F5F1" w14:textId="77777777" w:rsidR="00646C2B" w:rsidRPr="00317CB4" w:rsidRDefault="00646C2B" w:rsidP="00E42E5A">
      <w:pPr>
        <w:jc w:val="center"/>
        <w:rPr>
          <w:lang w:val="en-GB"/>
        </w:rPr>
      </w:pPr>
    </w:p>
    <w:p w14:paraId="7F70655E" w14:textId="77777777" w:rsidR="00646C2B" w:rsidRPr="00317CB4" w:rsidRDefault="00646C2B" w:rsidP="00E42E5A">
      <w:pPr>
        <w:jc w:val="center"/>
        <w:rPr>
          <w:lang w:val="en-GB"/>
        </w:rPr>
      </w:pPr>
    </w:p>
    <w:p w14:paraId="5BDDB245" w14:textId="77777777" w:rsidR="00646C2B" w:rsidRPr="00317CB4" w:rsidRDefault="00646C2B" w:rsidP="00E42E5A">
      <w:pPr>
        <w:jc w:val="center"/>
        <w:rPr>
          <w:lang w:val="en-GB"/>
        </w:rPr>
      </w:pPr>
    </w:p>
    <w:p w14:paraId="03C8B352" w14:textId="77777777" w:rsidR="00646C2B" w:rsidRPr="00317CB4" w:rsidRDefault="00646C2B" w:rsidP="00E42E5A">
      <w:pPr>
        <w:jc w:val="center"/>
        <w:rPr>
          <w:lang w:val="en-GB"/>
        </w:rPr>
      </w:pPr>
    </w:p>
    <w:p w14:paraId="34472143" w14:textId="630CF966" w:rsidR="00E42E5A" w:rsidRPr="00317CB4" w:rsidRDefault="00E42E5A" w:rsidP="00E42E5A">
      <w:pPr>
        <w:jc w:val="center"/>
        <w:rPr>
          <w:lang w:val="en-GB"/>
        </w:rPr>
      </w:pPr>
      <w:r w:rsidRPr="00317CB4">
        <w:rPr>
          <w:lang w:val="en-GB"/>
        </w:rPr>
        <w:t xml:space="preserve">Anna Abel </w:t>
      </w:r>
    </w:p>
    <w:p w14:paraId="2876558B" w14:textId="708D711A" w:rsidR="00E42E5A" w:rsidRPr="00317CB4" w:rsidRDefault="00E42E5A" w:rsidP="00E42E5A">
      <w:pPr>
        <w:jc w:val="center"/>
        <w:rPr>
          <w:lang w:val="en-GB"/>
        </w:rPr>
      </w:pPr>
      <w:r w:rsidRPr="00317CB4">
        <w:rPr>
          <w:lang w:val="en-GB"/>
        </w:rPr>
        <w:t>1062773</w:t>
      </w:r>
    </w:p>
    <w:p w14:paraId="690568E6" w14:textId="77777777" w:rsidR="008863FA" w:rsidRPr="00317CB4" w:rsidRDefault="008863FA" w:rsidP="008863FA">
      <w:pPr>
        <w:jc w:val="center"/>
        <w:rPr>
          <w:lang w:val="en-GB"/>
        </w:rPr>
      </w:pPr>
      <w:r w:rsidRPr="00317CB4">
        <w:rPr>
          <w:lang w:val="en-GB"/>
        </w:rPr>
        <w:t xml:space="preserve">Thesis Submitted in Partial Fulfilment of the Requirements for the Degree of Master in Political Science (MSc) </w:t>
      </w:r>
    </w:p>
    <w:p w14:paraId="0E3DA682" w14:textId="18461DC7" w:rsidR="008863FA" w:rsidRPr="00317CB4" w:rsidRDefault="008863FA" w:rsidP="008863FA">
      <w:pPr>
        <w:jc w:val="center"/>
        <w:rPr>
          <w:lang w:val="en-GB"/>
        </w:rPr>
      </w:pPr>
      <w:r w:rsidRPr="00317CB4">
        <w:rPr>
          <w:lang w:val="en-GB"/>
        </w:rPr>
        <w:t xml:space="preserve">Specialisation in Conflict, Power, and Politics </w:t>
      </w:r>
    </w:p>
    <w:p w14:paraId="423A45EC" w14:textId="47873AB0" w:rsidR="008863FA" w:rsidRPr="00317CB4" w:rsidRDefault="008863FA" w:rsidP="008863FA">
      <w:pPr>
        <w:jc w:val="center"/>
        <w:rPr>
          <w:lang w:val="en-GB"/>
        </w:rPr>
      </w:pPr>
      <w:r w:rsidRPr="00317CB4">
        <w:rPr>
          <w:lang w:val="en-GB"/>
        </w:rPr>
        <w:t>Supervisor: Dr</w:t>
      </w:r>
      <w:r w:rsidR="003F2E17" w:rsidRPr="00317CB4">
        <w:rPr>
          <w:lang w:val="en-GB"/>
        </w:rPr>
        <w:t xml:space="preserve">. </w:t>
      </w:r>
      <w:r w:rsidRPr="00317CB4">
        <w:rPr>
          <w:lang w:val="en-GB"/>
        </w:rPr>
        <w:t xml:space="preserve">R.A. van der Veer </w:t>
      </w:r>
    </w:p>
    <w:p w14:paraId="79C5170E" w14:textId="77777777" w:rsidR="008863FA" w:rsidRPr="00317CB4" w:rsidRDefault="008863FA" w:rsidP="008863FA">
      <w:pPr>
        <w:jc w:val="center"/>
        <w:rPr>
          <w:lang w:val="en-GB"/>
        </w:rPr>
      </w:pPr>
    </w:p>
    <w:p w14:paraId="6D9EAE6D" w14:textId="77777777" w:rsidR="00191928" w:rsidRPr="00317CB4" w:rsidRDefault="00191928" w:rsidP="00191928">
      <w:pPr>
        <w:jc w:val="center"/>
        <w:rPr>
          <w:lang w:val="en-GB"/>
        </w:rPr>
      </w:pPr>
      <w:r w:rsidRPr="00317CB4">
        <w:rPr>
          <w:lang w:val="en-GB"/>
        </w:rPr>
        <w:t xml:space="preserve">Nijmegen School of Management </w:t>
      </w:r>
    </w:p>
    <w:p w14:paraId="7B96802F" w14:textId="77777777" w:rsidR="00191928" w:rsidRPr="00317CB4" w:rsidRDefault="00191928" w:rsidP="00191928">
      <w:pPr>
        <w:jc w:val="center"/>
        <w:rPr>
          <w:lang w:val="en-GB"/>
        </w:rPr>
      </w:pPr>
      <w:r w:rsidRPr="00317CB4">
        <w:rPr>
          <w:lang w:val="en-GB"/>
        </w:rPr>
        <w:t xml:space="preserve">Radboud University, Nijmegen, the Netherlands </w:t>
      </w:r>
    </w:p>
    <w:p w14:paraId="57C07D30" w14:textId="22BD8F2B" w:rsidR="00191928" w:rsidRPr="00317CB4" w:rsidRDefault="00191928" w:rsidP="00191928">
      <w:pPr>
        <w:jc w:val="center"/>
        <w:rPr>
          <w:lang w:val="en-GB"/>
        </w:rPr>
      </w:pPr>
      <w:r w:rsidRPr="00317CB4">
        <w:rPr>
          <w:lang w:val="en-GB"/>
        </w:rPr>
        <w:t>Date submitted: June 2</w:t>
      </w:r>
      <w:r w:rsidR="00382687" w:rsidRPr="00317CB4">
        <w:rPr>
          <w:lang w:val="en-GB"/>
        </w:rPr>
        <w:t>2</w:t>
      </w:r>
      <w:r w:rsidRPr="00317CB4">
        <w:rPr>
          <w:lang w:val="en-GB"/>
        </w:rPr>
        <w:t>, 202</w:t>
      </w:r>
      <w:r w:rsidR="005C22CA" w:rsidRPr="00317CB4">
        <w:rPr>
          <w:lang w:val="en-GB"/>
        </w:rPr>
        <w:t>3</w:t>
      </w:r>
      <w:r w:rsidRPr="00317CB4">
        <w:rPr>
          <w:lang w:val="en-GB"/>
        </w:rPr>
        <w:t xml:space="preserve"> </w:t>
      </w:r>
    </w:p>
    <w:p w14:paraId="73D04EF4" w14:textId="029395EA" w:rsidR="008863FA" w:rsidRPr="00317CB4" w:rsidRDefault="00191928" w:rsidP="00191928">
      <w:pPr>
        <w:jc w:val="center"/>
        <w:rPr>
          <w:lang w:val="en-GB"/>
        </w:rPr>
      </w:pPr>
      <w:r w:rsidRPr="00317CB4">
        <w:rPr>
          <w:lang w:val="en-GB"/>
        </w:rPr>
        <w:t xml:space="preserve">Number of words: </w:t>
      </w:r>
      <w:r w:rsidR="00556E51" w:rsidRPr="00317CB4">
        <w:rPr>
          <w:lang w:val="en-GB"/>
        </w:rPr>
        <w:t>22.</w:t>
      </w:r>
      <w:r w:rsidR="00382687" w:rsidRPr="00317CB4">
        <w:rPr>
          <w:lang w:val="en-GB"/>
        </w:rPr>
        <w:t>6</w:t>
      </w:r>
      <w:r w:rsidR="004768C1">
        <w:rPr>
          <w:lang w:val="en-GB"/>
        </w:rPr>
        <w:t>2</w:t>
      </w:r>
      <w:r w:rsidR="00382687" w:rsidRPr="00317CB4">
        <w:rPr>
          <w:lang w:val="en-GB"/>
        </w:rPr>
        <w:t>8</w:t>
      </w:r>
    </w:p>
    <w:p w14:paraId="069211F7" w14:textId="77777777" w:rsidR="00E42E5A" w:rsidRPr="00317CB4" w:rsidRDefault="00E42E5A" w:rsidP="00E42E5A">
      <w:pPr>
        <w:jc w:val="center"/>
        <w:rPr>
          <w:lang w:val="en-GB"/>
        </w:rPr>
      </w:pPr>
    </w:p>
    <w:p w14:paraId="4A60DF8A" w14:textId="77777777" w:rsidR="00B4594B" w:rsidRPr="00317CB4" w:rsidRDefault="00B4594B" w:rsidP="00E42E5A">
      <w:pPr>
        <w:jc w:val="center"/>
        <w:rPr>
          <w:lang w:val="en-GB"/>
        </w:rPr>
      </w:pPr>
    </w:p>
    <w:p w14:paraId="3A789703" w14:textId="77777777" w:rsidR="00B4594B" w:rsidRPr="00317CB4" w:rsidRDefault="00B4594B" w:rsidP="00E42E5A">
      <w:pPr>
        <w:jc w:val="center"/>
        <w:rPr>
          <w:lang w:val="en-GB"/>
        </w:rPr>
      </w:pPr>
    </w:p>
    <w:p w14:paraId="7F93C852" w14:textId="77777777" w:rsidR="00B4594B" w:rsidRPr="00317CB4" w:rsidRDefault="00B4594B" w:rsidP="00E42E5A">
      <w:pPr>
        <w:jc w:val="center"/>
        <w:rPr>
          <w:lang w:val="en-GB"/>
        </w:rPr>
      </w:pPr>
    </w:p>
    <w:p w14:paraId="30E89A9B" w14:textId="77777777" w:rsidR="00B4594B" w:rsidRPr="00317CB4" w:rsidRDefault="00B4594B" w:rsidP="00E42E5A">
      <w:pPr>
        <w:jc w:val="center"/>
        <w:rPr>
          <w:lang w:val="en-GB"/>
        </w:rPr>
      </w:pPr>
    </w:p>
    <w:p w14:paraId="57F7574C" w14:textId="77777777" w:rsidR="00B4594B" w:rsidRPr="00317CB4" w:rsidRDefault="00B4594B" w:rsidP="00E42E5A">
      <w:pPr>
        <w:jc w:val="center"/>
        <w:rPr>
          <w:lang w:val="en-GB"/>
        </w:rPr>
      </w:pPr>
    </w:p>
    <w:p w14:paraId="2062F138" w14:textId="77777777" w:rsidR="00B4594B" w:rsidRPr="00317CB4" w:rsidRDefault="00B4594B" w:rsidP="00E42E5A">
      <w:pPr>
        <w:jc w:val="center"/>
        <w:rPr>
          <w:lang w:val="en-GB"/>
        </w:rPr>
      </w:pPr>
    </w:p>
    <w:p w14:paraId="603FCB65" w14:textId="77777777" w:rsidR="00B4594B" w:rsidRPr="00317CB4" w:rsidRDefault="00B4594B" w:rsidP="00E42E5A">
      <w:pPr>
        <w:jc w:val="center"/>
        <w:rPr>
          <w:lang w:val="en-GB"/>
        </w:rPr>
      </w:pPr>
    </w:p>
    <w:p w14:paraId="3B9502FC" w14:textId="77777777" w:rsidR="00B4594B" w:rsidRPr="00317CB4" w:rsidRDefault="00B4594B" w:rsidP="00E42E5A">
      <w:pPr>
        <w:jc w:val="center"/>
        <w:rPr>
          <w:lang w:val="en-GB"/>
        </w:rPr>
      </w:pPr>
    </w:p>
    <w:p w14:paraId="46C6F3D6" w14:textId="77777777" w:rsidR="00B4594B" w:rsidRPr="00317CB4" w:rsidRDefault="00B4594B" w:rsidP="00E42E5A">
      <w:pPr>
        <w:jc w:val="center"/>
        <w:rPr>
          <w:lang w:val="en-GB"/>
        </w:rPr>
      </w:pPr>
    </w:p>
    <w:p w14:paraId="42A3AE40" w14:textId="77777777" w:rsidR="00DA4638" w:rsidRPr="00317CB4" w:rsidRDefault="00B4594B" w:rsidP="00FD7CC5">
      <w:pPr>
        <w:spacing w:line="360" w:lineRule="auto"/>
        <w:rPr>
          <w:b/>
          <w:bCs/>
          <w:color w:val="2F5496" w:themeColor="accent1" w:themeShade="BF"/>
          <w:sz w:val="28"/>
          <w:szCs w:val="28"/>
          <w:lang w:val="en-GB"/>
        </w:rPr>
      </w:pPr>
      <w:r w:rsidRPr="00317CB4">
        <w:rPr>
          <w:b/>
          <w:bCs/>
          <w:color w:val="2F5496" w:themeColor="accent1" w:themeShade="BF"/>
          <w:sz w:val="28"/>
          <w:szCs w:val="28"/>
          <w:lang w:val="en-GB"/>
        </w:rPr>
        <w:lastRenderedPageBreak/>
        <w:t>Abstract</w:t>
      </w:r>
    </w:p>
    <w:p w14:paraId="75E74274" w14:textId="1A0A6E32" w:rsidR="00511340" w:rsidRPr="00317CB4" w:rsidRDefault="00FD7CC5" w:rsidP="00FD7CC5">
      <w:pPr>
        <w:spacing w:line="360" w:lineRule="auto"/>
        <w:rPr>
          <w:lang w:val="en-GB"/>
        </w:rPr>
      </w:pPr>
      <w:r w:rsidRPr="00317CB4">
        <w:rPr>
          <w:lang w:val="en-GB"/>
        </w:rPr>
        <w:t>Agencies are an integral part to the EU, and Frontex</w:t>
      </w:r>
      <w:r w:rsidR="00084A76" w:rsidRPr="00317CB4">
        <w:rPr>
          <w:lang w:val="en-GB"/>
        </w:rPr>
        <w:t xml:space="preserve"> as </w:t>
      </w:r>
      <w:r w:rsidR="00FF4ECA" w:rsidRPr="00317CB4">
        <w:rPr>
          <w:lang w:val="en-GB"/>
        </w:rPr>
        <w:t>its</w:t>
      </w:r>
      <w:r w:rsidR="00084A76" w:rsidRPr="00317CB4">
        <w:rPr>
          <w:lang w:val="en-GB"/>
        </w:rPr>
        <w:t xml:space="preserve"> external border protection service</w:t>
      </w:r>
      <w:r w:rsidRPr="00317CB4">
        <w:rPr>
          <w:lang w:val="en-GB"/>
        </w:rPr>
        <w:t xml:space="preserve"> is no different. The migration crisis </w:t>
      </w:r>
      <w:r w:rsidR="009F163A" w:rsidRPr="00317CB4">
        <w:rPr>
          <w:lang w:val="en-GB"/>
        </w:rPr>
        <w:t xml:space="preserve">2015 </w:t>
      </w:r>
      <w:r w:rsidRPr="00317CB4">
        <w:rPr>
          <w:lang w:val="en-GB"/>
        </w:rPr>
        <w:t xml:space="preserve">has led to this agency in particular to be in the focus of both the EU’s institutions and its member states. </w:t>
      </w:r>
      <w:r w:rsidR="00C31EFD" w:rsidRPr="00317CB4">
        <w:rPr>
          <w:lang w:val="en-GB"/>
        </w:rPr>
        <w:t>With an ever increasing independence being granted to agencies</w:t>
      </w:r>
      <w:r w:rsidR="00722000" w:rsidRPr="00317CB4">
        <w:rPr>
          <w:lang w:val="en-GB"/>
        </w:rPr>
        <w:t xml:space="preserve"> in general</w:t>
      </w:r>
      <w:r w:rsidR="00C31EFD" w:rsidRPr="00317CB4">
        <w:rPr>
          <w:lang w:val="en-GB"/>
        </w:rPr>
        <w:t>, the question that is dealt with in this research concerns the position Frontex holds between the institutions and the member states</w:t>
      </w:r>
      <w:r w:rsidR="00DA2B31" w:rsidRPr="00317CB4">
        <w:rPr>
          <w:lang w:val="en-GB"/>
        </w:rPr>
        <w:t xml:space="preserve">. The answer to this will provide insights into the so-called core state power dynamics that </w:t>
      </w:r>
      <w:r w:rsidR="00871D28" w:rsidRPr="00317CB4">
        <w:rPr>
          <w:lang w:val="en-GB"/>
        </w:rPr>
        <w:t>cause tensions between these two instances. Frontex is caught in between</w:t>
      </w:r>
      <w:r w:rsidR="00651DCE" w:rsidRPr="00317CB4">
        <w:rPr>
          <w:lang w:val="en-GB"/>
        </w:rPr>
        <w:t xml:space="preserve"> them</w:t>
      </w:r>
      <w:r w:rsidR="00871D28" w:rsidRPr="00317CB4">
        <w:rPr>
          <w:lang w:val="en-GB"/>
        </w:rPr>
        <w:t xml:space="preserve">, and yet has to ensure that </w:t>
      </w:r>
      <w:r w:rsidR="00A43F16" w:rsidRPr="00317CB4">
        <w:rPr>
          <w:lang w:val="en-GB"/>
        </w:rPr>
        <w:t xml:space="preserve">responding to either side’s demands does not result in a loss of </w:t>
      </w:r>
      <w:r w:rsidR="00DD014A" w:rsidRPr="00317CB4">
        <w:rPr>
          <w:lang w:val="en-GB"/>
        </w:rPr>
        <w:t>its</w:t>
      </w:r>
      <w:r w:rsidR="00B94246" w:rsidRPr="00317CB4">
        <w:rPr>
          <w:lang w:val="en-GB"/>
        </w:rPr>
        <w:t xml:space="preserve"> own </w:t>
      </w:r>
      <w:r w:rsidR="00A43F16" w:rsidRPr="00317CB4">
        <w:rPr>
          <w:lang w:val="en-GB"/>
        </w:rPr>
        <w:t xml:space="preserve">reputation. To therefore arrive at a conclusion about the core state power dynamics in </w:t>
      </w:r>
      <w:r w:rsidR="00151D69" w:rsidRPr="00317CB4">
        <w:rPr>
          <w:lang w:val="en-GB"/>
        </w:rPr>
        <w:t xml:space="preserve">the EU’s migration &amp; asylum policy, this research takes a look at how Frontex manages its reputation vis-à-vis </w:t>
      </w:r>
      <w:r w:rsidR="00C75BCB" w:rsidRPr="00317CB4">
        <w:rPr>
          <w:lang w:val="en-GB"/>
        </w:rPr>
        <w:t xml:space="preserve">the EU institutions and member states. </w:t>
      </w:r>
    </w:p>
    <w:p w14:paraId="053C819F" w14:textId="45D347AA" w:rsidR="00C75BCB" w:rsidRPr="00317CB4" w:rsidRDefault="00C75BCB" w:rsidP="00FD7CC5">
      <w:pPr>
        <w:spacing w:line="360" w:lineRule="auto"/>
        <w:rPr>
          <w:lang w:val="en-GB"/>
        </w:rPr>
      </w:pPr>
      <w:r w:rsidRPr="00317CB4">
        <w:rPr>
          <w:lang w:val="en-GB"/>
        </w:rPr>
        <w:tab/>
        <w:t xml:space="preserve">The analysis is conducted by using Frontex as a </w:t>
      </w:r>
      <w:r w:rsidR="004215B3" w:rsidRPr="00317CB4">
        <w:rPr>
          <w:lang w:val="en-GB"/>
        </w:rPr>
        <w:t xml:space="preserve">most likely case. This </w:t>
      </w:r>
      <w:r w:rsidR="000A5AAD" w:rsidRPr="00317CB4">
        <w:rPr>
          <w:lang w:val="en-GB"/>
        </w:rPr>
        <w:t>is</w:t>
      </w:r>
      <w:r w:rsidR="004215B3" w:rsidRPr="00317CB4">
        <w:rPr>
          <w:lang w:val="en-GB"/>
        </w:rPr>
        <w:t xml:space="preserve"> to show whether the demands that are made to </w:t>
      </w:r>
      <w:r w:rsidR="00953B75" w:rsidRPr="00317CB4">
        <w:rPr>
          <w:lang w:val="en-GB"/>
        </w:rPr>
        <w:t>Frontex</w:t>
      </w:r>
      <w:r w:rsidR="004215B3" w:rsidRPr="00317CB4">
        <w:rPr>
          <w:lang w:val="en-GB"/>
        </w:rPr>
        <w:t>, and how it</w:t>
      </w:r>
      <w:r w:rsidR="00BE549D" w:rsidRPr="00317CB4">
        <w:rPr>
          <w:lang w:val="en-GB"/>
        </w:rPr>
        <w:t xml:space="preserve"> subsequently</w:t>
      </w:r>
      <w:r w:rsidR="004215B3" w:rsidRPr="00317CB4">
        <w:rPr>
          <w:lang w:val="en-GB"/>
        </w:rPr>
        <w:t xml:space="preserve"> manages its reputation</w:t>
      </w:r>
      <w:r w:rsidR="008124D5" w:rsidRPr="00317CB4">
        <w:rPr>
          <w:lang w:val="en-GB"/>
        </w:rPr>
        <w:t xml:space="preserve"> when implementing said demands</w:t>
      </w:r>
      <w:r w:rsidR="00953B75" w:rsidRPr="00317CB4">
        <w:rPr>
          <w:lang w:val="en-GB"/>
        </w:rPr>
        <w:t>, can provide a satisfactory conclusion about core state power dynamics within the EU.</w:t>
      </w:r>
      <w:r w:rsidR="008F4F7E" w:rsidRPr="00317CB4">
        <w:rPr>
          <w:lang w:val="en-GB"/>
        </w:rPr>
        <w:t xml:space="preserve"> The results show that</w:t>
      </w:r>
      <w:r w:rsidR="00050829" w:rsidRPr="00317CB4">
        <w:rPr>
          <w:lang w:val="en-GB"/>
        </w:rPr>
        <w:t>,</w:t>
      </w:r>
      <w:r w:rsidR="008F4F7E" w:rsidRPr="00317CB4">
        <w:rPr>
          <w:lang w:val="en-GB"/>
        </w:rPr>
        <w:t xml:space="preserve"> </w:t>
      </w:r>
      <w:r w:rsidR="00050829" w:rsidRPr="00317CB4">
        <w:rPr>
          <w:lang w:val="en-GB"/>
        </w:rPr>
        <w:t xml:space="preserve">while it was assumed to be likely that Frontex tends to be the agent of the member states, this agency is very much prone to </w:t>
      </w:r>
      <w:r w:rsidR="00576ECA" w:rsidRPr="00317CB4">
        <w:rPr>
          <w:lang w:val="en-GB"/>
        </w:rPr>
        <w:t xml:space="preserve">assessing each situation separately and weighing benefits </w:t>
      </w:r>
      <w:r w:rsidR="008124D5" w:rsidRPr="00317CB4">
        <w:rPr>
          <w:lang w:val="en-GB"/>
        </w:rPr>
        <w:t xml:space="preserve">before </w:t>
      </w:r>
      <w:r w:rsidR="00576ECA" w:rsidRPr="00317CB4">
        <w:rPr>
          <w:lang w:val="en-GB"/>
        </w:rPr>
        <w:t xml:space="preserve">taking a stance. Even though core state powers are the inherent </w:t>
      </w:r>
      <w:r w:rsidR="008101A5" w:rsidRPr="00317CB4">
        <w:rPr>
          <w:lang w:val="en-GB"/>
        </w:rPr>
        <w:t xml:space="preserve">domain of the member states, </w:t>
      </w:r>
      <w:r w:rsidR="007B768C" w:rsidRPr="00317CB4">
        <w:rPr>
          <w:lang w:val="en-GB"/>
        </w:rPr>
        <w:t xml:space="preserve">and they can make significant demands to Frontex that require adherence, a strategic adjustment to the institution’s demands also takes place. </w:t>
      </w:r>
    </w:p>
    <w:p w14:paraId="0397D22C" w14:textId="77777777" w:rsidR="008B5CFD" w:rsidRPr="00317CB4" w:rsidRDefault="008B5CFD" w:rsidP="00FD7CC5">
      <w:pPr>
        <w:spacing w:line="360" w:lineRule="auto"/>
        <w:rPr>
          <w:lang w:val="en-GB"/>
        </w:rPr>
      </w:pPr>
    </w:p>
    <w:p w14:paraId="689B229B" w14:textId="1B097EDA" w:rsidR="008B5CFD" w:rsidRPr="00317CB4" w:rsidRDefault="008B5CFD" w:rsidP="00FD7CC5">
      <w:pPr>
        <w:spacing w:line="360" w:lineRule="auto"/>
        <w:rPr>
          <w:b/>
          <w:bCs/>
          <w:sz w:val="28"/>
          <w:szCs w:val="28"/>
          <w:lang w:val="en-GB"/>
        </w:rPr>
        <w:sectPr w:rsidR="008B5CFD" w:rsidRPr="00317CB4" w:rsidSect="006F43C6">
          <w:pgSz w:w="11906" w:h="16838"/>
          <w:pgMar w:top="1440" w:right="1440" w:bottom="1440" w:left="1440" w:header="708" w:footer="708" w:gutter="0"/>
          <w:cols w:space="708"/>
          <w:docGrid w:linePitch="360"/>
        </w:sectPr>
      </w:pPr>
    </w:p>
    <w:sdt>
      <w:sdtPr>
        <w:rPr>
          <w:rFonts w:ascii="Times New Roman" w:eastAsiaTheme="minorHAnsi" w:hAnsi="Times New Roman" w:cs="Times New Roman"/>
          <w:b/>
          <w:bCs/>
          <w:color w:val="auto"/>
          <w:sz w:val="22"/>
          <w:szCs w:val="22"/>
          <w:lang w:eastAsia="en-US"/>
        </w:rPr>
        <w:id w:val="-1163852590"/>
        <w:docPartObj>
          <w:docPartGallery w:val="Table of Contents"/>
          <w:docPartUnique/>
        </w:docPartObj>
      </w:sdtPr>
      <w:sdtEndPr>
        <w:rPr>
          <w:b w:val="0"/>
          <w:bCs w:val="0"/>
        </w:rPr>
      </w:sdtEndPr>
      <w:sdtContent>
        <w:p w14:paraId="3157E5A1" w14:textId="5D7BE036" w:rsidR="00083997" w:rsidRPr="00317CB4" w:rsidRDefault="00083997" w:rsidP="006D6A1F">
          <w:pPr>
            <w:pStyle w:val="TOCHeading"/>
            <w:jc w:val="both"/>
            <w:rPr>
              <w:rFonts w:ascii="Times New Roman" w:hAnsi="Times New Roman" w:cs="Times New Roman"/>
              <w:b/>
              <w:bCs/>
            </w:rPr>
          </w:pPr>
          <w:r w:rsidRPr="00317CB4">
            <w:rPr>
              <w:rFonts w:ascii="Times New Roman" w:hAnsi="Times New Roman" w:cs="Times New Roman"/>
              <w:b/>
              <w:bCs/>
            </w:rPr>
            <w:t>Table of Contents</w:t>
          </w:r>
        </w:p>
        <w:p w14:paraId="09F016CF" w14:textId="1980B696" w:rsidR="00635E48" w:rsidRPr="00317CB4" w:rsidRDefault="00635E48" w:rsidP="00D570FA">
          <w:pPr>
            <w:pStyle w:val="TOC1"/>
            <w:rPr>
              <w:b/>
              <w:bCs/>
              <w:lang w:val="en-GB"/>
            </w:rPr>
          </w:pPr>
          <w:r w:rsidRPr="00317CB4">
            <w:rPr>
              <w:b/>
              <w:bCs/>
              <w:lang w:val="en-GB"/>
            </w:rPr>
            <w:t xml:space="preserve">Abstract </w:t>
          </w:r>
        </w:p>
        <w:p w14:paraId="5AA7B0D4" w14:textId="4EDE9C78" w:rsidR="00635E48" w:rsidRPr="00317CB4" w:rsidRDefault="00635E48" w:rsidP="00D570FA">
          <w:pPr>
            <w:pStyle w:val="TOC1"/>
            <w:rPr>
              <w:b/>
              <w:bCs/>
              <w:lang w:val="en-GB"/>
            </w:rPr>
          </w:pPr>
          <w:r w:rsidRPr="00317CB4">
            <w:rPr>
              <w:b/>
              <w:bCs/>
              <w:lang w:val="en-GB"/>
            </w:rPr>
            <w:t>List of Tables</w:t>
          </w:r>
          <w:r w:rsidRPr="00317CB4">
            <w:rPr>
              <w:b/>
              <w:bCs/>
              <w:lang w:val="en-GB"/>
            </w:rPr>
            <w:ptab w:relativeTo="margin" w:alignment="right" w:leader="dot"/>
          </w:r>
          <w:r w:rsidRPr="00317CB4">
            <w:rPr>
              <w:b/>
              <w:bCs/>
              <w:lang w:val="en-GB"/>
            </w:rPr>
            <w:t>1</w:t>
          </w:r>
        </w:p>
        <w:p w14:paraId="6E37A69B" w14:textId="0669E091" w:rsidR="00635E48" w:rsidRPr="00317CB4" w:rsidRDefault="00635E48" w:rsidP="00D570FA">
          <w:pPr>
            <w:pStyle w:val="TOC1"/>
            <w:rPr>
              <w:b/>
              <w:bCs/>
              <w:lang w:val="en-GB"/>
            </w:rPr>
          </w:pPr>
          <w:r w:rsidRPr="00317CB4">
            <w:rPr>
              <w:b/>
              <w:bCs/>
              <w:lang w:val="en-GB"/>
            </w:rPr>
            <w:t xml:space="preserve">List of Figures </w:t>
          </w:r>
          <w:r w:rsidRPr="00317CB4">
            <w:rPr>
              <w:b/>
              <w:bCs/>
              <w:lang w:val="en-GB"/>
            </w:rPr>
            <w:ptab w:relativeTo="margin" w:alignment="right" w:leader="dot"/>
          </w:r>
          <w:r w:rsidRPr="00317CB4">
            <w:rPr>
              <w:b/>
              <w:bCs/>
              <w:lang w:val="en-GB"/>
            </w:rPr>
            <w:t>1</w:t>
          </w:r>
        </w:p>
        <w:p w14:paraId="5F7D4958" w14:textId="085600C6" w:rsidR="002A7BD9" w:rsidRPr="00317CB4" w:rsidRDefault="002A7BD9" w:rsidP="00D570FA">
          <w:pPr>
            <w:pStyle w:val="TOC1"/>
            <w:rPr>
              <w:b/>
              <w:bCs/>
              <w:lang w:val="en-GB"/>
            </w:rPr>
          </w:pPr>
          <w:r w:rsidRPr="00317CB4">
            <w:rPr>
              <w:b/>
              <w:bCs/>
              <w:lang w:val="en-GB"/>
            </w:rPr>
            <w:t>List of Abbreviations</w:t>
          </w:r>
          <w:r w:rsidRPr="00317CB4">
            <w:rPr>
              <w:b/>
              <w:bCs/>
              <w:lang w:val="en-GB"/>
            </w:rPr>
            <w:ptab w:relativeTo="margin" w:alignment="right" w:leader="dot"/>
          </w:r>
          <w:r w:rsidR="00A53C39" w:rsidRPr="00317CB4">
            <w:rPr>
              <w:b/>
              <w:bCs/>
              <w:lang w:val="en-GB"/>
            </w:rPr>
            <w:t>2</w:t>
          </w:r>
        </w:p>
        <w:p w14:paraId="14112D0E" w14:textId="75F3D216" w:rsidR="00083997" w:rsidRPr="00317CB4" w:rsidRDefault="00887B9E" w:rsidP="00D570FA">
          <w:pPr>
            <w:pStyle w:val="TOC1"/>
            <w:rPr>
              <w:lang w:val="en-GB"/>
            </w:rPr>
          </w:pPr>
          <w:r w:rsidRPr="00317CB4">
            <w:rPr>
              <w:b/>
              <w:bCs/>
              <w:lang w:val="en-GB"/>
            </w:rPr>
            <w:t xml:space="preserve">1. </w:t>
          </w:r>
          <w:r w:rsidR="00083997" w:rsidRPr="00317CB4">
            <w:rPr>
              <w:b/>
              <w:bCs/>
              <w:lang w:val="en-GB"/>
            </w:rPr>
            <w:t>Introduction</w:t>
          </w:r>
          <w:r w:rsidR="00083997" w:rsidRPr="00317CB4">
            <w:rPr>
              <w:b/>
              <w:bCs/>
              <w:lang w:val="en-GB"/>
            </w:rPr>
            <w:ptab w:relativeTo="margin" w:alignment="right" w:leader="dot"/>
          </w:r>
          <w:r w:rsidR="00A53C39" w:rsidRPr="00317CB4">
            <w:rPr>
              <w:b/>
              <w:bCs/>
              <w:lang w:val="en-GB"/>
            </w:rPr>
            <w:t>3</w:t>
          </w:r>
        </w:p>
        <w:p w14:paraId="71FA2436" w14:textId="39C9F158" w:rsidR="00083997" w:rsidRPr="00317CB4" w:rsidRDefault="00887B9E" w:rsidP="00EA28C5">
          <w:pPr>
            <w:pStyle w:val="TOC2"/>
          </w:pPr>
          <w:r w:rsidRPr="00317CB4">
            <w:t xml:space="preserve">1.1 </w:t>
          </w:r>
          <w:r w:rsidR="00E2128B" w:rsidRPr="00317CB4">
            <w:t>Research Puzzle</w:t>
          </w:r>
          <w:r w:rsidR="00083997" w:rsidRPr="00317CB4">
            <w:ptab w:relativeTo="margin" w:alignment="right" w:leader="dot"/>
          </w:r>
          <w:r w:rsidR="00BE5E5A" w:rsidRPr="00317CB4">
            <w:t>5</w:t>
          </w:r>
        </w:p>
        <w:p w14:paraId="37BA8581" w14:textId="4E73C356" w:rsidR="00E2128B" w:rsidRPr="00317CB4" w:rsidRDefault="00887B9E" w:rsidP="00EA28C5">
          <w:pPr>
            <w:pStyle w:val="TOC2"/>
          </w:pPr>
          <w:r w:rsidRPr="00317CB4">
            <w:t xml:space="preserve">1.2 </w:t>
          </w:r>
          <w:r w:rsidR="00E2128B" w:rsidRPr="00317CB4">
            <w:t>Relevance</w:t>
          </w:r>
          <w:r w:rsidR="00E2128B" w:rsidRPr="00317CB4">
            <w:ptab w:relativeTo="margin" w:alignment="right" w:leader="dot"/>
          </w:r>
          <w:r w:rsidR="00A53C39" w:rsidRPr="00317CB4">
            <w:t>6</w:t>
          </w:r>
        </w:p>
        <w:p w14:paraId="1673E8E8" w14:textId="09F14E36" w:rsidR="00083997" w:rsidRPr="00317CB4" w:rsidRDefault="00887B9E" w:rsidP="00D570FA">
          <w:pPr>
            <w:pStyle w:val="TOC1"/>
            <w:rPr>
              <w:lang w:val="en-GB"/>
            </w:rPr>
          </w:pPr>
          <w:r w:rsidRPr="00317CB4">
            <w:rPr>
              <w:b/>
              <w:bCs/>
              <w:lang w:val="en-GB"/>
            </w:rPr>
            <w:t xml:space="preserve">2. </w:t>
          </w:r>
          <w:r w:rsidR="00083997" w:rsidRPr="00317CB4">
            <w:rPr>
              <w:b/>
              <w:bCs/>
              <w:lang w:val="en-GB"/>
            </w:rPr>
            <w:t>Literature Review</w:t>
          </w:r>
          <w:r w:rsidR="00083997" w:rsidRPr="00317CB4">
            <w:rPr>
              <w:b/>
              <w:bCs/>
              <w:lang w:val="en-GB"/>
            </w:rPr>
            <w:ptab w:relativeTo="margin" w:alignment="right" w:leader="dot"/>
          </w:r>
          <w:r w:rsidR="00A53C39" w:rsidRPr="00317CB4">
            <w:rPr>
              <w:b/>
              <w:bCs/>
              <w:lang w:val="en-GB"/>
            </w:rPr>
            <w:t>7</w:t>
          </w:r>
        </w:p>
        <w:p w14:paraId="77BAD3C3" w14:textId="6D47EFED" w:rsidR="00083997" w:rsidRPr="00317CB4" w:rsidRDefault="00887B9E" w:rsidP="00EA28C5">
          <w:pPr>
            <w:pStyle w:val="TOC2"/>
          </w:pPr>
          <w:r w:rsidRPr="00317CB4">
            <w:t xml:space="preserve">2.1 </w:t>
          </w:r>
          <w:r w:rsidR="00083997" w:rsidRPr="00317CB4">
            <w:t>Core state powers</w:t>
          </w:r>
          <w:r w:rsidR="00083997" w:rsidRPr="00317CB4">
            <w:ptab w:relativeTo="margin" w:alignment="right" w:leader="dot"/>
          </w:r>
          <w:r w:rsidR="00A53C39" w:rsidRPr="00317CB4">
            <w:t>7</w:t>
          </w:r>
        </w:p>
        <w:p w14:paraId="48B0612B" w14:textId="192A8895" w:rsidR="00083997" w:rsidRPr="00317CB4" w:rsidRDefault="005C68DD" w:rsidP="005C68DD">
          <w:pPr>
            <w:pStyle w:val="TOC3"/>
            <w:ind w:left="0"/>
            <w:rPr>
              <w:rFonts w:ascii="Times New Roman" w:hAnsi="Times New Roman"/>
            </w:rPr>
          </w:pPr>
          <w:r w:rsidRPr="00317CB4">
            <w:rPr>
              <w:rFonts w:ascii="Times New Roman" w:hAnsi="Times New Roman"/>
            </w:rPr>
            <w:t xml:space="preserve">    2.1 </w:t>
          </w:r>
          <w:r w:rsidR="00083997" w:rsidRPr="00317CB4">
            <w:rPr>
              <w:rFonts w:ascii="Times New Roman" w:hAnsi="Times New Roman"/>
            </w:rPr>
            <w:t xml:space="preserve">Agencification </w:t>
          </w:r>
          <w:r w:rsidR="00083997" w:rsidRPr="00317CB4">
            <w:rPr>
              <w:rFonts w:ascii="Times New Roman" w:hAnsi="Times New Roman"/>
            </w:rPr>
            <w:ptab w:relativeTo="margin" w:alignment="right" w:leader="dot"/>
          </w:r>
          <w:r w:rsidR="00A53C39" w:rsidRPr="00317CB4">
            <w:rPr>
              <w:rFonts w:ascii="Times New Roman" w:hAnsi="Times New Roman"/>
            </w:rPr>
            <w:t>8</w:t>
          </w:r>
          <w:r w:rsidR="00083997" w:rsidRPr="00317CB4">
            <w:rPr>
              <w:rFonts w:ascii="Times New Roman" w:hAnsi="Times New Roman"/>
            </w:rPr>
            <w:t xml:space="preserve"> </w:t>
          </w:r>
        </w:p>
        <w:p w14:paraId="6E1E6D1F" w14:textId="7698BD27" w:rsidR="00083997" w:rsidRPr="00317CB4" w:rsidRDefault="00887B9E" w:rsidP="00FF4ECA">
          <w:pPr>
            <w:pStyle w:val="TOC3"/>
            <w:rPr>
              <w:rFonts w:ascii="Times New Roman" w:hAnsi="Times New Roman"/>
            </w:rPr>
          </w:pPr>
          <w:r w:rsidRPr="00317CB4">
            <w:rPr>
              <w:rFonts w:ascii="Times New Roman" w:hAnsi="Times New Roman"/>
            </w:rPr>
            <w:t xml:space="preserve">2.2.1 </w:t>
          </w:r>
          <w:r w:rsidR="00083997" w:rsidRPr="00317CB4">
            <w:rPr>
              <w:rFonts w:ascii="Times New Roman" w:hAnsi="Times New Roman"/>
            </w:rPr>
            <w:t xml:space="preserve">Expanded mandate – good or bad? </w:t>
          </w:r>
          <w:r w:rsidR="00083997" w:rsidRPr="00317CB4">
            <w:rPr>
              <w:rFonts w:ascii="Times New Roman" w:hAnsi="Times New Roman"/>
            </w:rPr>
            <w:ptab w:relativeTo="margin" w:alignment="right" w:leader="dot"/>
          </w:r>
          <w:r w:rsidR="0009420B" w:rsidRPr="00317CB4">
            <w:rPr>
              <w:rFonts w:ascii="Times New Roman" w:hAnsi="Times New Roman"/>
            </w:rPr>
            <w:t>9</w:t>
          </w:r>
        </w:p>
        <w:p w14:paraId="20CBC111" w14:textId="623C9F0E" w:rsidR="00083997" w:rsidRPr="00317CB4" w:rsidRDefault="00887B9E" w:rsidP="005C68DD">
          <w:pPr>
            <w:pStyle w:val="TOC2"/>
            <w:ind w:firstLine="230"/>
          </w:pPr>
          <w:r w:rsidRPr="00317CB4">
            <w:t xml:space="preserve">2.2.2 </w:t>
          </w:r>
          <w:r w:rsidR="001E7944" w:rsidRPr="00317CB4">
            <w:t>Tipping the scale – member state governments or supranational institutions?</w:t>
          </w:r>
          <w:r w:rsidR="00083997" w:rsidRPr="00317CB4">
            <w:ptab w:relativeTo="margin" w:alignment="right" w:leader="dot"/>
          </w:r>
          <w:r w:rsidR="00A53C39" w:rsidRPr="00317CB4">
            <w:t>11</w:t>
          </w:r>
        </w:p>
        <w:p w14:paraId="2CBD899D" w14:textId="03873A45" w:rsidR="00083997" w:rsidRPr="00317CB4" w:rsidRDefault="00887B9E" w:rsidP="00D570FA">
          <w:pPr>
            <w:pStyle w:val="TOC1"/>
            <w:rPr>
              <w:b/>
              <w:bCs/>
              <w:lang w:val="en-GB"/>
            </w:rPr>
          </w:pPr>
          <w:bookmarkStart w:id="0" w:name="_Hlk136533198"/>
          <w:r w:rsidRPr="00317CB4">
            <w:rPr>
              <w:b/>
              <w:bCs/>
              <w:lang w:val="en-GB"/>
            </w:rPr>
            <w:t xml:space="preserve">3. </w:t>
          </w:r>
          <w:r w:rsidR="00083997" w:rsidRPr="00317CB4">
            <w:rPr>
              <w:b/>
              <w:bCs/>
              <w:lang w:val="en-GB"/>
            </w:rPr>
            <w:t xml:space="preserve">Theoretical Framework </w:t>
          </w:r>
          <w:r w:rsidR="00083997" w:rsidRPr="00317CB4">
            <w:rPr>
              <w:b/>
              <w:bCs/>
              <w:lang w:val="en-GB"/>
            </w:rPr>
            <w:ptab w:relativeTo="margin" w:alignment="right" w:leader="dot"/>
          </w:r>
          <w:r w:rsidR="007030CC" w:rsidRPr="00317CB4">
            <w:rPr>
              <w:b/>
              <w:bCs/>
              <w:lang w:val="en-GB"/>
            </w:rPr>
            <w:t>1</w:t>
          </w:r>
          <w:r w:rsidR="00A53C39" w:rsidRPr="00317CB4">
            <w:rPr>
              <w:b/>
              <w:bCs/>
              <w:lang w:val="en-GB"/>
            </w:rPr>
            <w:t>2</w:t>
          </w:r>
        </w:p>
        <w:p w14:paraId="306A27EE" w14:textId="38F79DCD" w:rsidR="00E81A76" w:rsidRPr="00317CB4" w:rsidRDefault="00887B9E" w:rsidP="00EA28C5">
          <w:pPr>
            <w:pStyle w:val="TOC2"/>
          </w:pPr>
          <w:r w:rsidRPr="00317CB4">
            <w:t xml:space="preserve">3.1 </w:t>
          </w:r>
          <w:r w:rsidR="00E81A76" w:rsidRPr="00317CB4">
            <w:t xml:space="preserve">Reputation theory </w:t>
          </w:r>
          <w:r w:rsidR="00E81A76" w:rsidRPr="00317CB4">
            <w:ptab w:relativeTo="margin" w:alignment="right" w:leader="dot"/>
          </w:r>
          <w:r w:rsidR="007030CC" w:rsidRPr="00317CB4">
            <w:t>1</w:t>
          </w:r>
          <w:r w:rsidR="00A53C39" w:rsidRPr="00317CB4">
            <w:t>3</w:t>
          </w:r>
        </w:p>
        <w:p w14:paraId="5C51E4D3" w14:textId="189D243E" w:rsidR="00E81A76" w:rsidRPr="00317CB4" w:rsidRDefault="00F166E5" w:rsidP="00EA28C5">
          <w:pPr>
            <w:pStyle w:val="TOC2"/>
          </w:pPr>
          <w:r w:rsidRPr="00317CB4">
            <w:t xml:space="preserve">3.2 </w:t>
          </w:r>
          <w:r w:rsidR="00A31104" w:rsidRPr="00317CB4">
            <w:t>The role of core state powers</w:t>
          </w:r>
          <w:r w:rsidR="00E81A76" w:rsidRPr="00317CB4">
            <w:ptab w:relativeTo="margin" w:alignment="right" w:leader="dot"/>
          </w:r>
          <w:r w:rsidR="007030CC" w:rsidRPr="00317CB4">
            <w:t>1</w:t>
          </w:r>
          <w:r w:rsidR="007F670F" w:rsidRPr="00317CB4">
            <w:t>4</w:t>
          </w:r>
        </w:p>
        <w:p w14:paraId="05335BD5" w14:textId="526ED49B" w:rsidR="00F166E5" w:rsidRPr="00317CB4" w:rsidRDefault="00F166E5" w:rsidP="00F166E5">
          <w:pPr>
            <w:pStyle w:val="TOC2"/>
          </w:pPr>
          <w:r w:rsidRPr="00317CB4">
            <w:t>3.3 The role of reputational threats</w:t>
          </w:r>
          <w:r w:rsidRPr="00317CB4">
            <w:ptab w:relativeTo="margin" w:alignment="right" w:leader="dot"/>
          </w:r>
          <w:r w:rsidR="007F670F" w:rsidRPr="00317CB4">
            <w:t>14</w:t>
          </w:r>
        </w:p>
        <w:p w14:paraId="69476E46" w14:textId="767CE18A" w:rsidR="00E81A76" w:rsidRPr="00317CB4" w:rsidRDefault="00F166E5" w:rsidP="00EA28C5">
          <w:pPr>
            <w:pStyle w:val="TOC2"/>
          </w:pPr>
          <w:r w:rsidRPr="00317CB4">
            <w:t xml:space="preserve">3.4 </w:t>
          </w:r>
          <w:r w:rsidR="00A31104" w:rsidRPr="00317CB4">
            <w:t>The role of saliency</w:t>
          </w:r>
          <w:r w:rsidR="00E81A76" w:rsidRPr="00317CB4">
            <w:ptab w:relativeTo="margin" w:alignment="right" w:leader="dot"/>
          </w:r>
          <w:r w:rsidR="007030CC" w:rsidRPr="00317CB4">
            <w:t>1</w:t>
          </w:r>
          <w:r w:rsidR="00A53C39" w:rsidRPr="00317CB4">
            <w:t>6</w:t>
          </w:r>
        </w:p>
        <w:p w14:paraId="0BAA90E2" w14:textId="4FEE6EE2" w:rsidR="00E81A76" w:rsidRPr="00317CB4" w:rsidRDefault="007F670F" w:rsidP="00D570FA">
          <w:pPr>
            <w:pStyle w:val="TOC1"/>
            <w:rPr>
              <w:b/>
              <w:bCs/>
              <w:lang w:val="en-GB"/>
            </w:rPr>
          </w:pPr>
          <w:r w:rsidRPr="00317CB4">
            <w:rPr>
              <w:b/>
              <w:bCs/>
              <w:lang w:val="en-GB"/>
            </w:rPr>
            <w:t xml:space="preserve">4. </w:t>
          </w:r>
          <w:r w:rsidR="00E81A76" w:rsidRPr="00317CB4">
            <w:rPr>
              <w:b/>
              <w:bCs/>
              <w:lang w:val="en-GB"/>
            </w:rPr>
            <w:t xml:space="preserve">Methodology </w:t>
          </w:r>
          <w:r w:rsidR="00E81A76" w:rsidRPr="00317CB4">
            <w:rPr>
              <w:b/>
              <w:bCs/>
              <w:lang w:val="en-GB"/>
            </w:rPr>
            <w:ptab w:relativeTo="margin" w:alignment="right" w:leader="dot"/>
          </w:r>
          <w:r w:rsidR="007030CC" w:rsidRPr="00317CB4">
            <w:rPr>
              <w:b/>
              <w:bCs/>
              <w:lang w:val="en-GB"/>
            </w:rPr>
            <w:t>1</w:t>
          </w:r>
          <w:r w:rsidR="00AC5BB9" w:rsidRPr="00317CB4">
            <w:rPr>
              <w:b/>
              <w:bCs/>
              <w:lang w:val="en-GB"/>
            </w:rPr>
            <w:t>7</w:t>
          </w:r>
        </w:p>
        <w:p w14:paraId="745E5A01" w14:textId="2C6C600E" w:rsidR="00E81A76" w:rsidRPr="00317CB4" w:rsidRDefault="00092058" w:rsidP="00EA28C5">
          <w:pPr>
            <w:pStyle w:val="TOC2"/>
          </w:pPr>
          <w:r w:rsidRPr="00317CB4">
            <w:t xml:space="preserve">4.1 </w:t>
          </w:r>
          <w:r w:rsidR="00E81A76" w:rsidRPr="00317CB4">
            <w:t>Research approach</w:t>
          </w:r>
          <w:r w:rsidR="00E81A76" w:rsidRPr="00317CB4">
            <w:ptab w:relativeTo="margin" w:alignment="right" w:leader="dot"/>
          </w:r>
          <w:r w:rsidR="00CE4320" w:rsidRPr="00317CB4">
            <w:t>1</w:t>
          </w:r>
          <w:r w:rsidR="00FA2F81" w:rsidRPr="00317CB4">
            <w:t>7</w:t>
          </w:r>
        </w:p>
        <w:p w14:paraId="62AFCBC0" w14:textId="072505A5" w:rsidR="00E81A76" w:rsidRPr="00317CB4" w:rsidRDefault="00092058" w:rsidP="00EA28C5">
          <w:pPr>
            <w:pStyle w:val="TOC2"/>
          </w:pPr>
          <w:r w:rsidRPr="00317CB4">
            <w:t xml:space="preserve">4.2 </w:t>
          </w:r>
          <w:r w:rsidR="00BB4AD7" w:rsidRPr="00317CB4">
            <w:t xml:space="preserve">Research design &amp; case selection </w:t>
          </w:r>
          <w:r w:rsidR="00E81A76" w:rsidRPr="00317CB4">
            <w:ptab w:relativeTo="margin" w:alignment="right" w:leader="dot"/>
          </w:r>
          <w:r w:rsidR="00CE4320" w:rsidRPr="00317CB4">
            <w:t>1</w:t>
          </w:r>
          <w:r w:rsidR="00A53C39" w:rsidRPr="00317CB4">
            <w:t>7</w:t>
          </w:r>
        </w:p>
        <w:p w14:paraId="6B317FD6" w14:textId="5BB8EAE8" w:rsidR="00BB4AD7" w:rsidRPr="00317CB4" w:rsidRDefault="00633B46" w:rsidP="00686810">
          <w:pPr>
            <w:pStyle w:val="TOC3"/>
            <w:rPr>
              <w:rFonts w:ascii="Times New Roman" w:hAnsi="Times New Roman"/>
            </w:rPr>
          </w:pPr>
          <w:r w:rsidRPr="00317CB4">
            <w:rPr>
              <w:rFonts w:ascii="Times New Roman" w:hAnsi="Times New Roman"/>
            </w:rPr>
            <w:t xml:space="preserve">4.2.1 </w:t>
          </w:r>
          <w:r w:rsidR="00BB4AD7" w:rsidRPr="00317CB4">
            <w:rPr>
              <w:rFonts w:ascii="Times New Roman" w:hAnsi="Times New Roman"/>
            </w:rPr>
            <w:t>Why a case study?</w:t>
          </w:r>
          <w:r w:rsidR="00BB4AD7" w:rsidRPr="00317CB4">
            <w:rPr>
              <w:rFonts w:ascii="Times New Roman" w:hAnsi="Times New Roman"/>
            </w:rPr>
            <w:ptab w:relativeTo="margin" w:alignment="right" w:leader="dot"/>
          </w:r>
          <w:r w:rsidR="00CE4320" w:rsidRPr="00317CB4">
            <w:rPr>
              <w:rFonts w:ascii="Times New Roman" w:hAnsi="Times New Roman"/>
            </w:rPr>
            <w:t>1</w:t>
          </w:r>
          <w:r w:rsidR="00D07B27" w:rsidRPr="00317CB4">
            <w:rPr>
              <w:rFonts w:ascii="Times New Roman" w:hAnsi="Times New Roman"/>
            </w:rPr>
            <w:t>7</w:t>
          </w:r>
        </w:p>
        <w:p w14:paraId="05ECF61E" w14:textId="2F640D2A" w:rsidR="00BB4AD7" w:rsidRPr="00317CB4" w:rsidRDefault="00633B46" w:rsidP="00686810">
          <w:pPr>
            <w:pStyle w:val="TOC3"/>
            <w:rPr>
              <w:rFonts w:ascii="Times New Roman" w:hAnsi="Times New Roman"/>
            </w:rPr>
          </w:pPr>
          <w:r w:rsidRPr="00317CB4">
            <w:rPr>
              <w:rFonts w:ascii="Times New Roman" w:hAnsi="Times New Roman"/>
            </w:rPr>
            <w:t xml:space="preserve">4.2.2 </w:t>
          </w:r>
          <w:r w:rsidR="00BB4AD7" w:rsidRPr="00317CB4">
            <w:rPr>
              <w:rFonts w:ascii="Times New Roman" w:hAnsi="Times New Roman"/>
            </w:rPr>
            <w:t xml:space="preserve">What kind of case study? </w:t>
          </w:r>
          <w:r w:rsidR="00BB4AD7" w:rsidRPr="00317CB4">
            <w:rPr>
              <w:rFonts w:ascii="Times New Roman" w:hAnsi="Times New Roman"/>
            </w:rPr>
            <w:ptab w:relativeTo="margin" w:alignment="right" w:leader="dot"/>
          </w:r>
          <w:r w:rsidR="008E27E5" w:rsidRPr="00317CB4">
            <w:rPr>
              <w:rFonts w:ascii="Times New Roman" w:hAnsi="Times New Roman"/>
            </w:rPr>
            <w:t>1</w:t>
          </w:r>
          <w:r w:rsidR="00D07B27" w:rsidRPr="00317CB4">
            <w:rPr>
              <w:rFonts w:ascii="Times New Roman" w:hAnsi="Times New Roman"/>
            </w:rPr>
            <w:t>8</w:t>
          </w:r>
        </w:p>
        <w:p w14:paraId="376E09E6" w14:textId="76D7607B" w:rsidR="00BB4AD7" w:rsidRPr="00317CB4" w:rsidRDefault="00633B46" w:rsidP="00EA28C5">
          <w:pPr>
            <w:pStyle w:val="TOC2"/>
          </w:pPr>
          <w:r w:rsidRPr="00317CB4">
            <w:t xml:space="preserve">4.3 </w:t>
          </w:r>
          <w:r w:rsidR="00BB4AD7" w:rsidRPr="00317CB4">
            <w:t>Data collection method</w:t>
          </w:r>
          <w:r w:rsidR="00BB4AD7" w:rsidRPr="00317CB4">
            <w:ptab w:relativeTo="margin" w:alignment="right" w:leader="dot"/>
          </w:r>
          <w:r w:rsidR="00D07B27" w:rsidRPr="00317CB4">
            <w:t>19</w:t>
          </w:r>
        </w:p>
        <w:p w14:paraId="4C3574CC" w14:textId="571EE95E" w:rsidR="00BB4AD7" w:rsidRPr="00317CB4" w:rsidRDefault="00633B46" w:rsidP="00686810">
          <w:pPr>
            <w:pStyle w:val="TOC3"/>
            <w:rPr>
              <w:rFonts w:ascii="Times New Roman" w:hAnsi="Times New Roman"/>
            </w:rPr>
          </w:pPr>
          <w:r w:rsidRPr="00317CB4">
            <w:rPr>
              <w:rFonts w:ascii="Times New Roman" w:hAnsi="Times New Roman"/>
            </w:rPr>
            <w:t>4.</w:t>
          </w:r>
          <w:r w:rsidR="006D5AA3" w:rsidRPr="00317CB4">
            <w:rPr>
              <w:rFonts w:ascii="Times New Roman" w:hAnsi="Times New Roman"/>
            </w:rPr>
            <w:t xml:space="preserve">3.1 </w:t>
          </w:r>
          <w:r w:rsidR="00BB4AD7" w:rsidRPr="00317CB4">
            <w:rPr>
              <w:rFonts w:ascii="Times New Roman" w:hAnsi="Times New Roman"/>
            </w:rPr>
            <w:t>Secondary data</w:t>
          </w:r>
          <w:r w:rsidR="00BB4AD7" w:rsidRPr="00317CB4">
            <w:rPr>
              <w:rFonts w:ascii="Times New Roman" w:hAnsi="Times New Roman"/>
            </w:rPr>
            <w:ptab w:relativeTo="margin" w:alignment="right" w:leader="dot"/>
          </w:r>
          <w:r w:rsidR="00D07B27" w:rsidRPr="00317CB4">
            <w:rPr>
              <w:rFonts w:ascii="Times New Roman" w:hAnsi="Times New Roman"/>
            </w:rPr>
            <w:t>19</w:t>
          </w:r>
        </w:p>
        <w:p w14:paraId="76CE2BCD" w14:textId="23E8A4C5" w:rsidR="00BB4AD7" w:rsidRPr="00317CB4" w:rsidRDefault="006D5AA3" w:rsidP="00686810">
          <w:pPr>
            <w:pStyle w:val="TOC3"/>
            <w:rPr>
              <w:rFonts w:ascii="Times New Roman" w:hAnsi="Times New Roman"/>
            </w:rPr>
          </w:pPr>
          <w:r w:rsidRPr="00317CB4">
            <w:rPr>
              <w:rFonts w:ascii="Times New Roman" w:hAnsi="Times New Roman"/>
            </w:rPr>
            <w:t xml:space="preserve">4.3.2 </w:t>
          </w:r>
          <w:r w:rsidR="00BB4AD7" w:rsidRPr="00317CB4">
            <w:rPr>
              <w:rFonts w:ascii="Times New Roman" w:hAnsi="Times New Roman"/>
            </w:rPr>
            <w:t>Interview</w:t>
          </w:r>
          <w:r w:rsidR="00722000" w:rsidRPr="00317CB4">
            <w:rPr>
              <w:rFonts w:ascii="Times New Roman" w:hAnsi="Times New Roman"/>
            </w:rPr>
            <w:t xml:space="preserve"> &amp; Questionnaire</w:t>
          </w:r>
          <w:r w:rsidR="00BB4AD7" w:rsidRPr="00317CB4">
            <w:rPr>
              <w:rFonts w:ascii="Times New Roman" w:hAnsi="Times New Roman"/>
            </w:rPr>
            <w:t xml:space="preserve"> data</w:t>
          </w:r>
          <w:r w:rsidR="00BB4AD7" w:rsidRPr="00317CB4">
            <w:rPr>
              <w:rFonts w:ascii="Times New Roman" w:hAnsi="Times New Roman"/>
            </w:rPr>
            <w:ptab w:relativeTo="margin" w:alignment="right" w:leader="dot"/>
          </w:r>
          <w:r w:rsidR="00A53C39" w:rsidRPr="00317CB4">
            <w:rPr>
              <w:rFonts w:ascii="Times New Roman" w:hAnsi="Times New Roman"/>
            </w:rPr>
            <w:t>2</w:t>
          </w:r>
          <w:r w:rsidR="00D07B27" w:rsidRPr="00317CB4">
            <w:rPr>
              <w:rFonts w:ascii="Times New Roman" w:hAnsi="Times New Roman"/>
            </w:rPr>
            <w:t>0</w:t>
          </w:r>
        </w:p>
        <w:p w14:paraId="14DDCD24" w14:textId="26F29447" w:rsidR="00BB4AD7" w:rsidRPr="00317CB4" w:rsidRDefault="006D5AA3" w:rsidP="00EA28C5">
          <w:pPr>
            <w:pStyle w:val="TOC2"/>
          </w:pPr>
          <w:r w:rsidRPr="00317CB4">
            <w:t xml:space="preserve">4.4 </w:t>
          </w:r>
          <w:r w:rsidR="00BB4AD7" w:rsidRPr="00317CB4">
            <w:t xml:space="preserve">Operationalisation </w:t>
          </w:r>
          <w:r w:rsidR="00BB4AD7" w:rsidRPr="00317CB4">
            <w:ptab w:relativeTo="margin" w:alignment="right" w:leader="dot"/>
          </w:r>
          <w:r w:rsidR="00A53C39" w:rsidRPr="00317CB4">
            <w:t>2</w:t>
          </w:r>
          <w:r w:rsidR="00FA2F81" w:rsidRPr="00317CB4">
            <w:t>1</w:t>
          </w:r>
        </w:p>
        <w:p w14:paraId="6EAF0057" w14:textId="1619BA43" w:rsidR="00BB4AD7" w:rsidRPr="00317CB4" w:rsidRDefault="006D5AA3" w:rsidP="00686810">
          <w:pPr>
            <w:pStyle w:val="TOC3"/>
            <w:rPr>
              <w:rFonts w:ascii="Times New Roman" w:hAnsi="Times New Roman"/>
            </w:rPr>
          </w:pPr>
          <w:r w:rsidRPr="00317CB4">
            <w:rPr>
              <w:rFonts w:ascii="Times New Roman" w:hAnsi="Times New Roman"/>
            </w:rPr>
            <w:t xml:space="preserve">4.4.1 </w:t>
          </w:r>
          <w:r w:rsidR="00BB4AD7" w:rsidRPr="00317CB4">
            <w:rPr>
              <w:rFonts w:ascii="Times New Roman" w:hAnsi="Times New Roman"/>
            </w:rPr>
            <w:t>Core state power dynamics</w:t>
          </w:r>
          <w:r w:rsidR="00BB4AD7" w:rsidRPr="00317CB4">
            <w:rPr>
              <w:rFonts w:ascii="Times New Roman" w:hAnsi="Times New Roman"/>
            </w:rPr>
            <w:ptab w:relativeTo="margin" w:alignment="right" w:leader="dot"/>
          </w:r>
          <w:r w:rsidR="00BA1B5C" w:rsidRPr="00317CB4">
            <w:rPr>
              <w:rFonts w:ascii="Times New Roman" w:hAnsi="Times New Roman"/>
            </w:rPr>
            <w:t>2</w:t>
          </w:r>
          <w:r w:rsidR="00271D5F" w:rsidRPr="00317CB4">
            <w:rPr>
              <w:rFonts w:ascii="Times New Roman" w:hAnsi="Times New Roman"/>
            </w:rPr>
            <w:t>1</w:t>
          </w:r>
        </w:p>
        <w:p w14:paraId="511B599E" w14:textId="73613FDC" w:rsidR="00BB4AD7" w:rsidRPr="00317CB4" w:rsidRDefault="006D5AA3" w:rsidP="00686810">
          <w:pPr>
            <w:pStyle w:val="TOC3"/>
            <w:rPr>
              <w:rFonts w:ascii="Times New Roman" w:hAnsi="Times New Roman"/>
            </w:rPr>
          </w:pPr>
          <w:r w:rsidRPr="00317CB4">
            <w:rPr>
              <w:rFonts w:ascii="Times New Roman" w:hAnsi="Times New Roman"/>
            </w:rPr>
            <w:t xml:space="preserve">4.4.2 </w:t>
          </w:r>
          <w:r w:rsidR="00567A1D" w:rsidRPr="00317CB4">
            <w:rPr>
              <w:rFonts w:ascii="Times New Roman" w:hAnsi="Times New Roman"/>
            </w:rPr>
            <w:t>Reputational threats</w:t>
          </w:r>
          <w:r w:rsidR="00BB4AD7" w:rsidRPr="00317CB4">
            <w:rPr>
              <w:rFonts w:ascii="Times New Roman" w:hAnsi="Times New Roman"/>
            </w:rPr>
            <w:ptab w:relativeTo="margin" w:alignment="right" w:leader="dot"/>
          </w:r>
          <w:r w:rsidR="00CE4320" w:rsidRPr="00317CB4">
            <w:rPr>
              <w:rFonts w:ascii="Times New Roman" w:hAnsi="Times New Roman"/>
            </w:rPr>
            <w:t>2</w:t>
          </w:r>
          <w:r w:rsidR="00271D5F" w:rsidRPr="00317CB4">
            <w:rPr>
              <w:rFonts w:ascii="Times New Roman" w:hAnsi="Times New Roman"/>
            </w:rPr>
            <w:t>1</w:t>
          </w:r>
        </w:p>
        <w:p w14:paraId="32EDFBDF" w14:textId="58FB870E" w:rsidR="00BB4AD7" w:rsidRPr="00317CB4" w:rsidRDefault="006D5AA3" w:rsidP="00686810">
          <w:pPr>
            <w:pStyle w:val="TOC3"/>
            <w:rPr>
              <w:rFonts w:ascii="Times New Roman" w:hAnsi="Times New Roman"/>
            </w:rPr>
          </w:pPr>
          <w:r w:rsidRPr="00317CB4">
            <w:rPr>
              <w:rFonts w:ascii="Times New Roman" w:hAnsi="Times New Roman"/>
            </w:rPr>
            <w:t xml:space="preserve">4.4.3 </w:t>
          </w:r>
          <w:r w:rsidR="00567A1D" w:rsidRPr="00317CB4">
            <w:rPr>
              <w:rFonts w:ascii="Times New Roman" w:hAnsi="Times New Roman"/>
            </w:rPr>
            <w:t xml:space="preserve">Reputational gains &amp; losses </w:t>
          </w:r>
          <w:r w:rsidR="00BB4AD7" w:rsidRPr="00317CB4">
            <w:rPr>
              <w:rFonts w:ascii="Times New Roman" w:hAnsi="Times New Roman"/>
            </w:rPr>
            <w:ptab w:relativeTo="margin" w:alignment="right" w:leader="dot"/>
          </w:r>
          <w:r w:rsidR="00CE4320" w:rsidRPr="00317CB4">
            <w:rPr>
              <w:rFonts w:ascii="Times New Roman" w:hAnsi="Times New Roman"/>
            </w:rPr>
            <w:t>2</w:t>
          </w:r>
          <w:r w:rsidR="00271D5F" w:rsidRPr="00317CB4">
            <w:rPr>
              <w:rFonts w:ascii="Times New Roman" w:hAnsi="Times New Roman"/>
            </w:rPr>
            <w:t>2</w:t>
          </w:r>
        </w:p>
        <w:p w14:paraId="56704905" w14:textId="7987624D" w:rsidR="00BB4AD7" w:rsidRPr="00317CB4" w:rsidRDefault="006D5AA3" w:rsidP="00686810">
          <w:pPr>
            <w:pStyle w:val="TOC3"/>
          </w:pPr>
          <w:r w:rsidRPr="00317CB4">
            <w:rPr>
              <w:rFonts w:ascii="Times New Roman" w:hAnsi="Times New Roman"/>
            </w:rPr>
            <w:t xml:space="preserve">4.4.4 </w:t>
          </w:r>
          <w:r w:rsidR="00BB4AD7" w:rsidRPr="00317CB4">
            <w:rPr>
              <w:rFonts w:ascii="Times New Roman" w:hAnsi="Times New Roman"/>
            </w:rPr>
            <w:t>Political salien</w:t>
          </w:r>
          <w:r w:rsidR="00D33545" w:rsidRPr="00317CB4">
            <w:rPr>
              <w:rFonts w:ascii="Times New Roman" w:hAnsi="Times New Roman"/>
            </w:rPr>
            <w:t>ce</w:t>
          </w:r>
          <w:r w:rsidR="00BB4AD7" w:rsidRPr="00317CB4">
            <w:rPr>
              <w:rFonts w:ascii="Times New Roman" w:hAnsi="Times New Roman"/>
            </w:rPr>
            <w:ptab w:relativeTo="margin" w:alignment="right" w:leader="dot"/>
          </w:r>
          <w:r w:rsidR="00CE4320" w:rsidRPr="00317CB4">
            <w:rPr>
              <w:rFonts w:ascii="Times New Roman" w:hAnsi="Times New Roman"/>
            </w:rPr>
            <w:t>2</w:t>
          </w:r>
          <w:r w:rsidR="00EB778F" w:rsidRPr="00317CB4">
            <w:rPr>
              <w:rFonts w:ascii="Times New Roman" w:hAnsi="Times New Roman"/>
            </w:rPr>
            <w:t>2</w:t>
          </w:r>
        </w:p>
        <w:p w14:paraId="080CC2DC" w14:textId="04AB4FE9" w:rsidR="00D33545" w:rsidRPr="00317CB4" w:rsidRDefault="00D570FA" w:rsidP="00D570FA">
          <w:pPr>
            <w:pStyle w:val="TOC1"/>
            <w:rPr>
              <w:b/>
              <w:bCs/>
              <w:lang w:val="en-GB"/>
            </w:rPr>
          </w:pPr>
          <w:r w:rsidRPr="00317CB4">
            <w:rPr>
              <w:b/>
              <w:bCs/>
              <w:lang w:val="en-GB"/>
            </w:rPr>
            <w:t xml:space="preserve">5. </w:t>
          </w:r>
          <w:r w:rsidR="00D33545" w:rsidRPr="00317CB4">
            <w:rPr>
              <w:b/>
              <w:bCs/>
              <w:lang w:val="en-GB"/>
            </w:rPr>
            <w:t>Ana</w:t>
          </w:r>
          <w:r w:rsidR="00CE4320" w:rsidRPr="00317CB4">
            <w:rPr>
              <w:b/>
              <w:bCs/>
              <w:lang w:val="en-GB"/>
            </w:rPr>
            <w:t>l</w:t>
          </w:r>
          <w:r w:rsidR="00D33545" w:rsidRPr="00317CB4">
            <w:rPr>
              <w:b/>
              <w:bCs/>
              <w:lang w:val="en-GB"/>
            </w:rPr>
            <w:t>ysis</w:t>
          </w:r>
          <w:r w:rsidR="00D33545" w:rsidRPr="00317CB4">
            <w:rPr>
              <w:b/>
              <w:bCs/>
              <w:lang w:val="en-GB"/>
            </w:rPr>
            <w:ptab w:relativeTo="margin" w:alignment="right" w:leader="dot"/>
          </w:r>
          <w:r w:rsidR="00CE4320" w:rsidRPr="00317CB4">
            <w:rPr>
              <w:b/>
              <w:bCs/>
              <w:lang w:val="en-GB"/>
            </w:rPr>
            <w:t>2</w:t>
          </w:r>
          <w:r w:rsidR="00FA2F81" w:rsidRPr="00317CB4">
            <w:rPr>
              <w:b/>
              <w:bCs/>
              <w:lang w:val="en-GB"/>
            </w:rPr>
            <w:t>3</w:t>
          </w:r>
        </w:p>
        <w:p w14:paraId="35617AF2" w14:textId="21162A67" w:rsidR="00B45090" w:rsidRPr="00317CB4" w:rsidRDefault="008E533F" w:rsidP="00B20762">
          <w:pPr>
            <w:pStyle w:val="TOC2"/>
            <w:numPr>
              <w:ilvl w:val="1"/>
              <w:numId w:val="59"/>
            </w:numPr>
          </w:pPr>
          <w:r w:rsidRPr="00317CB4">
            <w:t>Frontex during the migration crisis</w:t>
          </w:r>
          <w:r w:rsidR="00DE48B9" w:rsidRPr="00317CB4">
            <w:t xml:space="preserve"> (2015-2016)</w:t>
          </w:r>
          <w:r w:rsidR="00B45090" w:rsidRPr="00317CB4">
            <w:ptab w:relativeTo="margin" w:alignment="right" w:leader="dot"/>
          </w:r>
          <w:r w:rsidR="00B45090" w:rsidRPr="00317CB4">
            <w:t>2</w:t>
          </w:r>
          <w:r w:rsidR="00FA2F81" w:rsidRPr="00317CB4">
            <w:t>3</w:t>
          </w:r>
        </w:p>
        <w:p w14:paraId="76B4EB74" w14:textId="7D4932C5" w:rsidR="00B45090" w:rsidRPr="00317CB4" w:rsidRDefault="008E533F" w:rsidP="00B20762">
          <w:pPr>
            <w:pStyle w:val="TOC2"/>
            <w:numPr>
              <w:ilvl w:val="1"/>
              <w:numId w:val="59"/>
            </w:numPr>
          </w:pPr>
          <w:r w:rsidRPr="00317CB4">
            <w:t xml:space="preserve">The fence debate </w:t>
          </w:r>
          <w:r w:rsidR="00B45090" w:rsidRPr="00317CB4">
            <w:ptab w:relativeTo="margin" w:alignment="right" w:leader="dot"/>
          </w:r>
          <w:r w:rsidR="00B45090" w:rsidRPr="00317CB4">
            <w:t>2</w:t>
          </w:r>
          <w:r w:rsidR="00EB778F" w:rsidRPr="00317CB4">
            <w:t>4</w:t>
          </w:r>
        </w:p>
        <w:p w14:paraId="4E5EE4CE" w14:textId="088373F7" w:rsidR="00B45090" w:rsidRPr="00317CB4" w:rsidRDefault="00E20F3D" w:rsidP="00B20762">
          <w:pPr>
            <w:pStyle w:val="TOC2"/>
            <w:numPr>
              <w:ilvl w:val="1"/>
              <w:numId w:val="59"/>
            </w:numPr>
          </w:pPr>
          <w:r w:rsidRPr="00317CB4">
            <w:t xml:space="preserve">The </w:t>
          </w:r>
          <w:r w:rsidR="008E533F" w:rsidRPr="00317CB4">
            <w:t xml:space="preserve">2016 debate about the new Frontex regulation </w:t>
          </w:r>
          <w:r w:rsidR="00B45090" w:rsidRPr="00317CB4">
            <w:ptab w:relativeTo="margin" w:alignment="right" w:leader="dot"/>
          </w:r>
          <w:r w:rsidR="00B45090" w:rsidRPr="00317CB4">
            <w:t>2</w:t>
          </w:r>
          <w:r w:rsidR="00EB778F" w:rsidRPr="00317CB4">
            <w:t>7</w:t>
          </w:r>
        </w:p>
        <w:p w14:paraId="57992DAB" w14:textId="6493C161" w:rsidR="00B45090" w:rsidRPr="00317CB4" w:rsidRDefault="008E533F" w:rsidP="00B20762">
          <w:pPr>
            <w:pStyle w:val="TOC2"/>
            <w:numPr>
              <w:ilvl w:val="1"/>
              <w:numId w:val="59"/>
            </w:numPr>
          </w:pPr>
          <w:r w:rsidRPr="00317CB4">
            <w:t>The EU-Turkey Deal</w:t>
          </w:r>
          <w:r w:rsidR="00F401C4" w:rsidRPr="00317CB4">
            <w:t xml:space="preserve"> 2016</w:t>
          </w:r>
          <w:r w:rsidR="00B45090" w:rsidRPr="00317CB4">
            <w:ptab w:relativeTo="margin" w:alignment="right" w:leader="dot"/>
          </w:r>
          <w:r w:rsidR="00B45090" w:rsidRPr="00317CB4">
            <w:t>2</w:t>
          </w:r>
          <w:r w:rsidR="00FA2F81" w:rsidRPr="00317CB4">
            <w:t>9</w:t>
          </w:r>
        </w:p>
        <w:p w14:paraId="20935040" w14:textId="09A520DE" w:rsidR="00B45090" w:rsidRPr="00317CB4" w:rsidRDefault="00F46103" w:rsidP="00B20762">
          <w:pPr>
            <w:pStyle w:val="TOC2"/>
            <w:numPr>
              <w:ilvl w:val="1"/>
              <w:numId w:val="59"/>
            </w:numPr>
          </w:pPr>
          <w:r w:rsidRPr="00317CB4">
            <w:t>Expansion of the mandate (2016-2019)</w:t>
          </w:r>
          <w:r w:rsidR="00B45090" w:rsidRPr="00317CB4">
            <w:ptab w:relativeTo="margin" w:alignment="right" w:leader="dot"/>
          </w:r>
          <w:r w:rsidR="0094399A" w:rsidRPr="00317CB4">
            <w:t>3</w:t>
          </w:r>
          <w:r w:rsidRPr="00317CB4">
            <w:t>1</w:t>
          </w:r>
        </w:p>
        <w:p w14:paraId="0B4D4723" w14:textId="19A8A70D" w:rsidR="00B45090" w:rsidRPr="00317CB4" w:rsidRDefault="00F46103" w:rsidP="00B20762">
          <w:pPr>
            <w:pStyle w:val="TOC2"/>
            <w:numPr>
              <w:ilvl w:val="1"/>
              <w:numId w:val="59"/>
            </w:numPr>
          </w:pPr>
          <w:r w:rsidRPr="00317CB4">
            <w:lastRenderedPageBreak/>
            <w:t>Frontex after the migration crisis</w:t>
          </w:r>
          <w:r w:rsidR="0094399A" w:rsidRPr="00317CB4">
            <w:t xml:space="preserve"> </w:t>
          </w:r>
          <w:r w:rsidR="00266CB9" w:rsidRPr="00317CB4">
            <w:t>(2016-2023)</w:t>
          </w:r>
          <w:r w:rsidR="00B45090" w:rsidRPr="00317CB4">
            <w:ptab w:relativeTo="margin" w:alignment="right" w:leader="dot"/>
          </w:r>
          <w:r w:rsidR="0094399A" w:rsidRPr="00317CB4">
            <w:t>3</w:t>
          </w:r>
          <w:r w:rsidR="00D40A81" w:rsidRPr="00317CB4">
            <w:t>3</w:t>
          </w:r>
        </w:p>
        <w:p w14:paraId="1D294B64" w14:textId="29781953" w:rsidR="00B45090" w:rsidRPr="00317CB4" w:rsidRDefault="0094399A" w:rsidP="00B20762">
          <w:pPr>
            <w:pStyle w:val="TOC2"/>
            <w:numPr>
              <w:ilvl w:val="1"/>
              <w:numId w:val="59"/>
            </w:numPr>
          </w:pPr>
          <w:r w:rsidRPr="00317CB4">
            <w:t>Pushback allegations (2021)</w:t>
          </w:r>
          <w:r w:rsidR="00B45090" w:rsidRPr="00317CB4">
            <w:ptab w:relativeTo="margin" w:alignment="right" w:leader="dot"/>
          </w:r>
          <w:r w:rsidRPr="00317CB4">
            <w:t>3</w:t>
          </w:r>
          <w:r w:rsidR="00D40A81" w:rsidRPr="00317CB4">
            <w:t>6</w:t>
          </w:r>
        </w:p>
        <w:p w14:paraId="4840AA1C" w14:textId="773CA830" w:rsidR="0094399A" w:rsidRPr="00317CB4" w:rsidRDefault="0094399A" w:rsidP="00B20762">
          <w:pPr>
            <w:pStyle w:val="TOC2"/>
            <w:numPr>
              <w:ilvl w:val="1"/>
              <w:numId w:val="59"/>
            </w:numPr>
          </w:pPr>
          <w:r w:rsidRPr="00317CB4">
            <w:t>Frontex’ Research &amp; Innovation Unit</w:t>
          </w:r>
          <w:r w:rsidRPr="00317CB4">
            <w:ptab w:relativeTo="margin" w:alignment="right" w:leader="dot"/>
          </w:r>
          <w:r w:rsidR="00D40A81" w:rsidRPr="00317CB4">
            <w:t>39</w:t>
          </w:r>
        </w:p>
        <w:p w14:paraId="5D9EBB73" w14:textId="676FC4F8" w:rsidR="00ED662A" w:rsidRPr="00317CB4" w:rsidRDefault="00D570FA" w:rsidP="00EA28C5">
          <w:pPr>
            <w:pStyle w:val="TOC2"/>
          </w:pPr>
          <w:r w:rsidRPr="00317CB4">
            <w:t xml:space="preserve">5.9 </w:t>
          </w:r>
          <w:r w:rsidR="00ED662A" w:rsidRPr="00317CB4">
            <w:t xml:space="preserve">Analysis Summary </w:t>
          </w:r>
          <w:r w:rsidR="00ED662A" w:rsidRPr="00317CB4">
            <w:ptab w:relativeTo="margin" w:alignment="right" w:leader="dot"/>
          </w:r>
          <w:r w:rsidR="00ED662A" w:rsidRPr="00317CB4">
            <w:t>4</w:t>
          </w:r>
          <w:r w:rsidR="00D40A81" w:rsidRPr="00317CB4">
            <w:t>1</w:t>
          </w:r>
        </w:p>
        <w:p w14:paraId="4BF6F074" w14:textId="5F0901BE" w:rsidR="00CB18CC" w:rsidRPr="00317CB4" w:rsidRDefault="00D570FA" w:rsidP="00D570FA">
          <w:pPr>
            <w:pStyle w:val="TOC1"/>
            <w:rPr>
              <w:b/>
              <w:bCs/>
              <w:lang w:val="en-GB"/>
            </w:rPr>
          </w:pPr>
          <w:r w:rsidRPr="00317CB4">
            <w:rPr>
              <w:b/>
              <w:bCs/>
              <w:lang w:val="en-GB"/>
            </w:rPr>
            <w:t xml:space="preserve">6. </w:t>
          </w:r>
          <w:r w:rsidR="0012561E" w:rsidRPr="00317CB4">
            <w:rPr>
              <w:b/>
              <w:bCs/>
              <w:lang w:val="en-GB"/>
            </w:rPr>
            <w:t>Conclusion</w:t>
          </w:r>
          <w:r w:rsidR="00CB18CC" w:rsidRPr="00317CB4">
            <w:rPr>
              <w:b/>
              <w:bCs/>
              <w:lang w:val="en-GB"/>
            </w:rPr>
            <w:ptab w:relativeTo="margin" w:alignment="right" w:leader="dot"/>
          </w:r>
          <w:r w:rsidR="0012561E" w:rsidRPr="00317CB4">
            <w:rPr>
              <w:b/>
              <w:bCs/>
              <w:lang w:val="en-GB"/>
            </w:rPr>
            <w:t>4</w:t>
          </w:r>
          <w:r w:rsidR="0052756B" w:rsidRPr="00317CB4">
            <w:rPr>
              <w:b/>
              <w:bCs/>
              <w:lang w:val="en-GB"/>
            </w:rPr>
            <w:t>4</w:t>
          </w:r>
        </w:p>
        <w:p w14:paraId="7AA3566F" w14:textId="224A737F" w:rsidR="00D40A81" w:rsidRPr="00317CB4" w:rsidRDefault="00D40A81" w:rsidP="00D40A81">
          <w:pPr>
            <w:pStyle w:val="TOC2"/>
          </w:pPr>
          <w:r w:rsidRPr="00317CB4">
            <w:t>6.1 Transferability</w:t>
          </w:r>
          <w:r w:rsidR="004E1339" w:rsidRPr="00317CB4">
            <w:t xml:space="preserve"> of this research</w:t>
          </w:r>
          <w:r w:rsidRPr="00317CB4">
            <w:ptab w:relativeTo="margin" w:alignment="right" w:leader="dot"/>
          </w:r>
          <w:r w:rsidR="006425FB" w:rsidRPr="00317CB4">
            <w:t>4</w:t>
          </w:r>
          <w:r w:rsidR="0052756B" w:rsidRPr="00317CB4">
            <w:t>5</w:t>
          </w:r>
        </w:p>
        <w:p w14:paraId="5538AF21" w14:textId="1FD991E1" w:rsidR="00D40A81" w:rsidRPr="00317CB4" w:rsidRDefault="006425FB" w:rsidP="00D40A81">
          <w:pPr>
            <w:pStyle w:val="TOC2"/>
          </w:pPr>
          <w:r w:rsidRPr="00317CB4">
            <w:t>6.2 Limitations</w:t>
          </w:r>
          <w:r w:rsidR="00D40A81" w:rsidRPr="00317CB4">
            <w:ptab w:relativeTo="margin" w:alignment="right" w:leader="dot"/>
          </w:r>
          <w:r w:rsidRPr="00317CB4">
            <w:t>45</w:t>
          </w:r>
        </w:p>
        <w:p w14:paraId="31F58DA9" w14:textId="54A4300B" w:rsidR="006425FB" w:rsidRPr="00317CB4" w:rsidRDefault="006425FB" w:rsidP="006425FB">
          <w:pPr>
            <w:pStyle w:val="TOC2"/>
          </w:pPr>
          <w:r w:rsidRPr="00317CB4">
            <w:t>6.3 Future research</w:t>
          </w:r>
          <w:r w:rsidRPr="00317CB4">
            <w:ptab w:relativeTo="margin" w:alignment="right" w:leader="dot"/>
          </w:r>
          <w:r w:rsidRPr="00317CB4">
            <w:t>4</w:t>
          </w:r>
          <w:r w:rsidR="009B5DEB" w:rsidRPr="00317CB4">
            <w:t>6</w:t>
          </w:r>
        </w:p>
        <w:p w14:paraId="6EDFDD66" w14:textId="2D3A77DC" w:rsidR="00E81238" w:rsidRPr="00317CB4" w:rsidRDefault="00E81238" w:rsidP="00D570FA">
          <w:pPr>
            <w:pStyle w:val="TOC1"/>
            <w:rPr>
              <w:b/>
              <w:bCs/>
              <w:lang w:val="en-GB"/>
            </w:rPr>
          </w:pPr>
          <w:r w:rsidRPr="00317CB4">
            <w:rPr>
              <w:b/>
              <w:bCs/>
              <w:lang w:val="en-GB"/>
            </w:rPr>
            <w:t>References</w:t>
          </w:r>
          <w:r w:rsidRPr="00317CB4">
            <w:rPr>
              <w:b/>
              <w:bCs/>
              <w:lang w:val="en-GB"/>
            </w:rPr>
            <w:ptab w:relativeTo="margin" w:alignment="right" w:leader="dot"/>
          </w:r>
          <w:r w:rsidR="008D05AC" w:rsidRPr="00317CB4">
            <w:rPr>
              <w:b/>
              <w:bCs/>
              <w:lang w:val="en-GB"/>
            </w:rPr>
            <w:t>4</w:t>
          </w:r>
          <w:r w:rsidR="00262B8E" w:rsidRPr="00317CB4">
            <w:rPr>
              <w:b/>
              <w:bCs/>
              <w:lang w:val="en-GB"/>
            </w:rPr>
            <w:t>7</w:t>
          </w:r>
        </w:p>
        <w:p w14:paraId="2FA6C459" w14:textId="3E1BA090" w:rsidR="00E81238" w:rsidRPr="00317CB4" w:rsidRDefault="00E81238" w:rsidP="00D570FA">
          <w:pPr>
            <w:pStyle w:val="TOC1"/>
            <w:rPr>
              <w:b/>
              <w:bCs/>
              <w:lang w:val="en-GB"/>
            </w:rPr>
          </w:pPr>
          <w:r w:rsidRPr="00317CB4">
            <w:rPr>
              <w:b/>
              <w:bCs/>
              <w:lang w:val="en-GB"/>
            </w:rPr>
            <w:t>Appendi</w:t>
          </w:r>
          <w:r w:rsidR="006546B3" w:rsidRPr="00317CB4">
            <w:rPr>
              <w:b/>
              <w:bCs/>
              <w:lang w:val="en-GB"/>
            </w:rPr>
            <w:t>ces</w:t>
          </w:r>
          <w:r w:rsidRPr="00317CB4">
            <w:rPr>
              <w:b/>
              <w:bCs/>
              <w:lang w:val="en-GB"/>
            </w:rPr>
            <w:ptab w:relativeTo="margin" w:alignment="right" w:leader="dot"/>
          </w:r>
          <w:r w:rsidR="008D05AC" w:rsidRPr="00317CB4">
            <w:rPr>
              <w:b/>
              <w:bCs/>
              <w:lang w:val="en-GB"/>
            </w:rPr>
            <w:t>5</w:t>
          </w:r>
          <w:r w:rsidR="00262B8E" w:rsidRPr="00317CB4">
            <w:rPr>
              <w:b/>
              <w:bCs/>
              <w:lang w:val="en-GB"/>
            </w:rPr>
            <w:t>4</w:t>
          </w:r>
        </w:p>
        <w:p w14:paraId="27605BA7" w14:textId="1BFE3CBD" w:rsidR="007B5373" w:rsidRPr="00317CB4" w:rsidRDefault="00922657" w:rsidP="00EA28C5">
          <w:pPr>
            <w:pStyle w:val="TOC2"/>
          </w:pPr>
          <w:r w:rsidRPr="00317CB4">
            <w:t xml:space="preserve">Appendix 1: Questionnaire answered by Frontex </w:t>
          </w:r>
          <w:r w:rsidR="007B5373" w:rsidRPr="00317CB4">
            <w:ptab w:relativeTo="margin" w:alignment="right" w:leader="dot"/>
          </w:r>
          <w:r w:rsidRPr="00317CB4">
            <w:t>5</w:t>
          </w:r>
          <w:r w:rsidR="00262B8E" w:rsidRPr="00317CB4">
            <w:t>4</w:t>
          </w:r>
        </w:p>
        <w:p w14:paraId="673C6F5E" w14:textId="76EB78DD" w:rsidR="007B5373" w:rsidRPr="00317CB4" w:rsidRDefault="00922657" w:rsidP="00EA28C5">
          <w:pPr>
            <w:pStyle w:val="TOC2"/>
          </w:pPr>
          <w:r w:rsidRPr="00317CB4">
            <w:t>Appendix 2: Intended use of Interviews</w:t>
          </w:r>
          <w:r w:rsidR="007B5373" w:rsidRPr="00317CB4">
            <w:ptab w:relativeTo="margin" w:alignment="right" w:leader="dot"/>
          </w:r>
          <w:r w:rsidR="00262B8E" w:rsidRPr="00317CB4">
            <w:t>59</w:t>
          </w:r>
        </w:p>
        <w:p w14:paraId="547E972A" w14:textId="118B8E0F" w:rsidR="007B5373" w:rsidRPr="00317CB4" w:rsidRDefault="00922657" w:rsidP="00EA28C5">
          <w:pPr>
            <w:pStyle w:val="TOC2"/>
          </w:pPr>
          <w:r w:rsidRPr="00317CB4">
            <w:t>Appendix 3: Numbers of irregular migrants from Syria via various routes, July 2015 – December 2016</w:t>
          </w:r>
          <w:r w:rsidR="007B5373" w:rsidRPr="00317CB4">
            <w:ptab w:relativeTo="margin" w:alignment="right" w:leader="dot"/>
          </w:r>
          <w:r w:rsidRPr="00317CB4">
            <w:t>6</w:t>
          </w:r>
          <w:r w:rsidR="00262B8E" w:rsidRPr="00317CB4">
            <w:t>0</w:t>
          </w:r>
        </w:p>
        <w:p w14:paraId="1D3C37CD" w14:textId="6A963F60" w:rsidR="00E81238" w:rsidRPr="00317CB4" w:rsidRDefault="00922657" w:rsidP="00EA28C5">
          <w:pPr>
            <w:pStyle w:val="TOC2"/>
          </w:pPr>
          <w:r w:rsidRPr="00317CB4">
            <w:t>Appendix 4: Comparison of Regulations</w:t>
          </w:r>
          <w:r w:rsidR="007B5373" w:rsidRPr="00317CB4">
            <w:ptab w:relativeTo="margin" w:alignment="right" w:leader="dot"/>
          </w:r>
          <w:r w:rsidRPr="00317CB4">
            <w:t>6</w:t>
          </w:r>
          <w:r w:rsidR="00262B8E" w:rsidRPr="00317CB4">
            <w:t>1</w:t>
          </w:r>
        </w:p>
        <w:p w14:paraId="555AC49E" w14:textId="5E3303AB" w:rsidR="00083997" w:rsidRPr="00317CB4" w:rsidRDefault="00000000" w:rsidP="00122A62">
          <w:pPr>
            <w:rPr>
              <w:lang w:val="en-GB" w:eastAsia="en-GB"/>
            </w:rPr>
          </w:pPr>
        </w:p>
      </w:sdtContent>
    </w:sdt>
    <w:bookmarkEnd w:id="0"/>
    <w:p w14:paraId="32B4B69D" w14:textId="77777777" w:rsidR="00D33545" w:rsidRPr="00317CB4" w:rsidRDefault="00D33545">
      <w:pPr>
        <w:rPr>
          <w:lang w:val="en-GB"/>
        </w:rPr>
        <w:sectPr w:rsidR="00D33545" w:rsidRPr="00317CB4" w:rsidSect="006F43C6">
          <w:pgSz w:w="11906" w:h="16838"/>
          <w:pgMar w:top="1440" w:right="1440" w:bottom="1440" w:left="1440" w:header="708" w:footer="708" w:gutter="0"/>
          <w:cols w:space="708"/>
          <w:docGrid w:linePitch="360"/>
        </w:sectPr>
      </w:pPr>
    </w:p>
    <w:sdt>
      <w:sdtPr>
        <w:rPr>
          <w:rFonts w:ascii="Times New Roman" w:eastAsiaTheme="minorEastAsia" w:hAnsi="Times New Roman" w:cs="Times New Roman"/>
          <w:b/>
          <w:bCs/>
          <w:color w:val="auto"/>
          <w:sz w:val="28"/>
          <w:szCs w:val="28"/>
        </w:rPr>
        <w:id w:val="-1847777126"/>
        <w:docPartObj>
          <w:docPartGallery w:val="Table of Contents"/>
          <w:docPartUnique/>
        </w:docPartObj>
      </w:sdtPr>
      <w:sdtEndPr>
        <w:rPr>
          <w:rFonts w:asciiTheme="minorHAnsi" w:hAnsiTheme="minorHAnsi"/>
          <w:b w:val="0"/>
          <w:bCs w:val="0"/>
          <w:sz w:val="22"/>
          <w:szCs w:val="22"/>
        </w:rPr>
      </w:sdtEndPr>
      <w:sdtContent>
        <w:p w14:paraId="1573C8A4" w14:textId="77777777" w:rsidR="006A293B" w:rsidRPr="00317CB4" w:rsidRDefault="006A293B" w:rsidP="006A293B">
          <w:pPr>
            <w:pStyle w:val="TOCHeading"/>
            <w:rPr>
              <w:rFonts w:ascii="Times New Roman" w:hAnsi="Times New Roman" w:cs="Times New Roman"/>
              <w:b/>
              <w:bCs/>
              <w:color w:val="auto"/>
              <w:sz w:val="28"/>
              <w:szCs w:val="28"/>
            </w:rPr>
          </w:pPr>
          <w:r w:rsidRPr="00317CB4">
            <w:rPr>
              <w:rFonts w:ascii="Times New Roman" w:hAnsi="Times New Roman" w:cs="Times New Roman"/>
              <w:b/>
              <w:bCs/>
              <w:color w:val="auto"/>
              <w:sz w:val="28"/>
              <w:szCs w:val="28"/>
            </w:rPr>
            <w:t xml:space="preserve">List of Tables </w:t>
          </w:r>
        </w:p>
        <w:p w14:paraId="6E44DA5A" w14:textId="77777777" w:rsidR="00C7354D" w:rsidRPr="00317CB4" w:rsidRDefault="00C7354D" w:rsidP="00C7354D">
          <w:pPr>
            <w:rPr>
              <w:lang w:val="en-GB" w:eastAsia="en-GB"/>
            </w:rPr>
          </w:pPr>
        </w:p>
        <w:p w14:paraId="15E4EBC3" w14:textId="2FF39705" w:rsidR="006A293B" w:rsidRPr="00317CB4" w:rsidRDefault="006A293B" w:rsidP="00D570FA">
          <w:pPr>
            <w:pStyle w:val="TOC1"/>
            <w:rPr>
              <w:lang w:val="en-GB"/>
            </w:rPr>
          </w:pPr>
          <w:r w:rsidRPr="00317CB4">
            <w:rPr>
              <w:b/>
              <w:bCs/>
              <w:lang w:val="en-GB"/>
            </w:rPr>
            <w:t xml:space="preserve">Table 1: </w:t>
          </w:r>
          <w:r w:rsidRPr="00317CB4">
            <w:rPr>
              <w:lang w:val="en-GB"/>
            </w:rPr>
            <w:t>Numbers of irregular migrants from Syria, July-September 2015</w:t>
          </w:r>
          <w:r w:rsidRPr="00317CB4">
            <w:rPr>
              <w:lang w:val="en-GB"/>
            </w:rPr>
            <w:ptab w:relativeTo="margin" w:alignment="right" w:leader="dot"/>
          </w:r>
          <w:r w:rsidR="00EA6418" w:rsidRPr="00317CB4">
            <w:rPr>
              <w:lang w:val="en-GB"/>
            </w:rPr>
            <w:t>30</w:t>
          </w:r>
        </w:p>
        <w:p w14:paraId="0A354374" w14:textId="77777777" w:rsidR="006A293B" w:rsidRPr="00317CB4" w:rsidRDefault="006A293B" w:rsidP="00D570FA">
          <w:pPr>
            <w:pStyle w:val="TOC1"/>
            <w:rPr>
              <w:lang w:val="en-GB"/>
            </w:rPr>
          </w:pPr>
          <w:r w:rsidRPr="00317CB4">
            <w:rPr>
              <w:b/>
              <w:bCs/>
              <w:lang w:val="en-GB"/>
            </w:rPr>
            <w:t xml:space="preserve">Table 2: </w:t>
          </w:r>
          <w:r w:rsidRPr="00317CB4">
            <w:rPr>
              <w:lang w:val="en-GB"/>
            </w:rPr>
            <w:t>Numbers of irregular migrants from Syria, March-August, 2016</w:t>
          </w:r>
          <w:r w:rsidRPr="00317CB4">
            <w:rPr>
              <w:lang w:val="en-GB"/>
            </w:rPr>
            <w:ptab w:relativeTo="margin" w:alignment="right" w:leader="dot"/>
          </w:r>
          <w:r w:rsidRPr="00317CB4">
            <w:rPr>
              <w:lang w:val="en-GB"/>
            </w:rPr>
            <w:t>30</w:t>
          </w:r>
        </w:p>
        <w:p w14:paraId="386961AD" w14:textId="1558F2F2" w:rsidR="006A293B" w:rsidRPr="00317CB4" w:rsidRDefault="006A293B" w:rsidP="00D570FA">
          <w:pPr>
            <w:pStyle w:val="TOC1"/>
            <w:rPr>
              <w:b/>
              <w:bCs/>
              <w:lang w:val="en-GB"/>
            </w:rPr>
          </w:pPr>
          <w:r w:rsidRPr="00317CB4">
            <w:rPr>
              <w:b/>
              <w:bCs/>
              <w:lang w:val="en-GB"/>
            </w:rPr>
            <w:t xml:space="preserve">Table 3: </w:t>
          </w:r>
          <w:r w:rsidRPr="00317CB4">
            <w:rPr>
              <w:lang w:val="en-GB"/>
            </w:rPr>
            <w:t>Excerpts from the 2004 – 2016 – 2019 Frontex Regulations</w:t>
          </w:r>
          <w:r w:rsidRPr="00317CB4">
            <w:rPr>
              <w:lang w:val="en-GB"/>
            </w:rPr>
            <w:ptab w:relativeTo="margin" w:alignment="right" w:leader="dot"/>
          </w:r>
          <w:r w:rsidRPr="00317CB4">
            <w:rPr>
              <w:lang w:val="en-GB"/>
            </w:rPr>
            <w:t>3</w:t>
          </w:r>
          <w:r w:rsidR="00EA6418" w:rsidRPr="00317CB4">
            <w:rPr>
              <w:lang w:val="en-GB"/>
            </w:rPr>
            <w:t>3</w:t>
          </w:r>
        </w:p>
        <w:p w14:paraId="3DD50DF4" w14:textId="77777777" w:rsidR="006A293B" w:rsidRPr="00317CB4" w:rsidRDefault="006A293B" w:rsidP="00D570FA">
          <w:pPr>
            <w:pStyle w:val="TOC1"/>
            <w:rPr>
              <w:lang w:val="en-GB"/>
            </w:rPr>
          </w:pPr>
          <w:r w:rsidRPr="00317CB4">
            <w:rPr>
              <w:b/>
              <w:bCs/>
              <w:lang w:val="en-GB"/>
            </w:rPr>
            <w:t xml:space="preserve">Table 4: </w:t>
          </w:r>
          <w:r w:rsidRPr="00317CB4">
            <w:rPr>
              <w:lang w:val="en-GB"/>
            </w:rPr>
            <w:t>EUROSUR in the 2019 Frontex Regulation</w:t>
          </w:r>
          <w:r w:rsidRPr="00317CB4">
            <w:rPr>
              <w:lang w:val="en-GB"/>
            </w:rPr>
            <w:ptab w:relativeTo="margin" w:alignment="right" w:leader="dot"/>
          </w:r>
          <w:r w:rsidRPr="00317CB4">
            <w:rPr>
              <w:lang w:val="en-GB"/>
            </w:rPr>
            <w:t>41</w:t>
          </w:r>
        </w:p>
        <w:p w14:paraId="318516E5" w14:textId="77777777" w:rsidR="006A293B" w:rsidRPr="00317CB4" w:rsidRDefault="006A293B" w:rsidP="006A293B">
          <w:pPr>
            <w:rPr>
              <w:lang w:val="en-GB" w:eastAsia="en-GB"/>
            </w:rPr>
          </w:pPr>
        </w:p>
        <w:p w14:paraId="59CC0D15" w14:textId="77777777" w:rsidR="006A293B" w:rsidRPr="00317CB4" w:rsidRDefault="00000000" w:rsidP="00686810">
          <w:pPr>
            <w:pStyle w:val="TOC3"/>
          </w:pPr>
        </w:p>
      </w:sdtContent>
    </w:sdt>
    <w:p w14:paraId="041EB9D2" w14:textId="77777777" w:rsidR="006A293B" w:rsidRPr="00317CB4" w:rsidRDefault="006A293B" w:rsidP="006A293B">
      <w:pPr>
        <w:rPr>
          <w:lang w:val="en-GB"/>
        </w:rPr>
      </w:pPr>
    </w:p>
    <w:sdt>
      <w:sdtPr>
        <w:rPr>
          <w:rFonts w:ascii="Times New Roman" w:eastAsiaTheme="minorHAnsi" w:hAnsi="Times New Roman" w:cs="Times New Roman"/>
          <w:b/>
          <w:bCs/>
          <w:color w:val="auto"/>
          <w:sz w:val="28"/>
          <w:szCs w:val="28"/>
          <w:lang w:eastAsia="en-US"/>
        </w:rPr>
        <w:id w:val="-1538184144"/>
        <w:docPartObj>
          <w:docPartGallery w:val="Table of Contents"/>
          <w:docPartUnique/>
        </w:docPartObj>
      </w:sdtPr>
      <w:sdtEndPr>
        <w:rPr>
          <w:b w:val="0"/>
          <w:bCs w:val="0"/>
          <w:sz w:val="22"/>
          <w:szCs w:val="22"/>
        </w:rPr>
      </w:sdtEndPr>
      <w:sdtContent>
        <w:p w14:paraId="7A9F6D1F" w14:textId="77777777" w:rsidR="006A293B" w:rsidRPr="00317CB4" w:rsidRDefault="006A293B" w:rsidP="006A293B">
          <w:pPr>
            <w:pStyle w:val="TOCHeading"/>
            <w:rPr>
              <w:rFonts w:ascii="Times New Roman" w:hAnsi="Times New Roman" w:cs="Times New Roman"/>
              <w:b/>
              <w:bCs/>
              <w:color w:val="auto"/>
              <w:sz w:val="28"/>
              <w:szCs w:val="28"/>
            </w:rPr>
          </w:pPr>
          <w:r w:rsidRPr="00317CB4">
            <w:rPr>
              <w:rFonts w:ascii="Times New Roman" w:hAnsi="Times New Roman" w:cs="Times New Roman"/>
              <w:b/>
              <w:bCs/>
              <w:color w:val="auto"/>
              <w:sz w:val="28"/>
              <w:szCs w:val="28"/>
            </w:rPr>
            <w:t xml:space="preserve">List of Figures  </w:t>
          </w:r>
        </w:p>
        <w:p w14:paraId="112994A5" w14:textId="77777777" w:rsidR="00C7354D" w:rsidRPr="00317CB4" w:rsidRDefault="00C7354D" w:rsidP="00C7354D">
          <w:pPr>
            <w:rPr>
              <w:lang w:val="en-GB" w:eastAsia="en-GB"/>
            </w:rPr>
          </w:pPr>
        </w:p>
        <w:p w14:paraId="512A3998" w14:textId="77777777" w:rsidR="006A293B" w:rsidRPr="00317CB4" w:rsidRDefault="006A293B" w:rsidP="00D570FA">
          <w:pPr>
            <w:pStyle w:val="TOC1"/>
            <w:rPr>
              <w:rFonts w:eastAsiaTheme="minorEastAsia"/>
              <w:lang w:val="en-GB" w:eastAsia="en-GB"/>
            </w:rPr>
          </w:pPr>
          <w:r w:rsidRPr="00317CB4">
            <w:rPr>
              <w:b/>
              <w:bCs/>
              <w:lang w:val="en-GB"/>
            </w:rPr>
            <w:t>Figure 1:</w:t>
          </w:r>
          <w:r w:rsidRPr="00317CB4">
            <w:rPr>
              <w:lang w:val="en-GB"/>
            </w:rPr>
            <w:t xml:space="preserve"> Variation in the number of irregular arrivals in the EU, 2014-2020</w:t>
          </w:r>
          <w:r w:rsidRPr="00317CB4">
            <w:rPr>
              <w:lang w:val="en-GB"/>
            </w:rPr>
            <w:ptab w:relativeTo="margin" w:alignment="right" w:leader="dot"/>
          </w:r>
          <w:r w:rsidRPr="00317CB4">
            <w:rPr>
              <w:lang w:val="en-GB"/>
            </w:rPr>
            <w:t>33</w:t>
          </w:r>
        </w:p>
      </w:sdtContent>
    </w:sdt>
    <w:p w14:paraId="739AD1E9" w14:textId="77777777" w:rsidR="006A293B" w:rsidRPr="00317CB4" w:rsidRDefault="006A293B" w:rsidP="00231A22">
      <w:pPr>
        <w:rPr>
          <w:b/>
          <w:bCs/>
          <w:lang w:val="en-GB"/>
        </w:rPr>
      </w:pPr>
    </w:p>
    <w:p w14:paraId="1FACB1F3" w14:textId="77777777" w:rsidR="00C7354D" w:rsidRPr="00317CB4" w:rsidRDefault="00C7354D" w:rsidP="00231A22">
      <w:pPr>
        <w:rPr>
          <w:b/>
          <w:bCs/>
          <w:lang w:val="en-GB"/>
        </w:rPr>
      </w:pPr>
    </w:p>
    <w:p w14:paraId="32DB338E" w14:textId="77777777" w:rsidR="00C7354D" w:rsidRPr="00317CB4" w:rsidRDefault="00C7354D" w:rsidP="00231A22">
      <w:pPr>
        <w:rPr>
          <w:b/>
          <w:bCs/>
          <w:lang w:val="en-GB"/>
        </w:rPr>
      </w:pPr>
    </w:p>
    <w:p w14:paraId="578CEADF" w14:textId="77777777" w:rsidR="00C7354D" w:rsidRPr="00317CB4" w:rsidRDefault="00C7354D" w:rsidP="00231A22">
      <w:pPr>
        <w:rPr>
          <w:b/>
          <w:bCs/>
          <w:lang w:val="en-GB"/>
        </w:rPr>
      </w:pPr>
    </w:p>
    <w:p w14:paraId="376854A0" w14:textId="77777777" w:rsidR="00C7354D" w:rsidRPr="00317CB4" w:rsidRDefault="00C7354D" w:rsidP="00231A22">
      <w:pPr>
        <w:rPr>
          <w:b/>
          <w:bCs/>
          <w:lang w:val="en-GB"/>
        </w:rPr>
      </w:pPr>
    </w:p>
    <w:p w14:paraId="1F03D0BC" w14:textId="77777777" w:rsidR="00C7354D" w:rsidRPr="00317CB4" w:rsidRDefault="00C7354D" w:rsidP="00231A22">
      <w:pPr>
        <w:rPr>
          <w:b/>
          <w:bCs/>
          <w:lang w:val="en-GB"/>
        </w:rPr>
      </w:pPr>
    </w:p>
    <w:p w14:paraId="698598BB" w14:textId="77777777" w:rsidR="00C7354D" w:rsidRPr="00317CB4" w:rsidRDefault="00C7354D" w:rsidP="00231A22">
      <w:pPr>
        <w:rPr>
          <w:b/>
          <w:bCs/>
          <w:lang w:val="en-GB"/>
        </w:rPr>
      </w:pPr>
    </w:p>
    <w:p w14:paraId="709831CD" w14:textId="77777777" w:rsidR="00C7354D" w:rsidRPr="00317CB4" w:rsidRDefault="00C7354D" w:rsidP="00231A22">
      <w:pPr>
        <w:rPr>
          <w:b/>
          <w:bCs/>
          <w:lang w:val="en-GB"/>
        </w:rPr>
      </w:pPr>
    </w:p>
    <w:p w14:paraId="48A55F5F" w14:textId="77777777" w:rsidR="00C7354D" w:rsidRPr="00317CB4" w:rsidRDefault="00C7354D" w:rsidP="00231A22">
      <w:pPr>
        <w:rPr>
          <w:b/>
          <w:bCs/>
          <w:lang w:val="en-GB"/>
        </w:rPr>
      </w:pPr>
    </w:p>
    <w:p w14:paraId="7CC53121" w14:textId="77777777" w:rsidR="00C7354D" w:rsidRPr="00317CB4" w:rsidRDefault="00C7354D" w:rsidP="00231A22">
      <w:pPr>
        <w:rPr>
          <w:b/>
          <w:bCs/>
          <w:lang w:val="en-GB"/>
        </w:rPr>
      </w:pPr>
    </w:p>
    <w:p w14:paraId="349CB719" w14:textId="77777777" w:rsidR="00C7354D" w:rsidRPr="00317CB4" w:rsidRDefault="00C7354D" w:rsidP="00231A22">
      <w:pPr>
        <w:rPr>
          <w:b/>
          <w:bCs/>
          <w:lang w:val="en-GB"/>
        </w:rPr>
      </w:pPr>
    </w:p>
    <w:p w14:paraId="723BB2E9" w14:textId="77777777" w:rsidR="00C7354D" w:rsidRPr="00317CB4" w:rsidRDefault="00C7354D" w:rsidP="00231A22">
      <w:pPr>
        <w:rPr>
          <w:b/>
          <w:bCs/>
          <w:lang w:val="en-GB"/>
        </w:rPr>
      </w:pPr>
    </w:p>
    <w:p w14:paraId="2A1E54A2" w14:textId="77777777" w:rsidR="00C7354D" w:rsidRPr="00317CB4" w:rsidRDefault="00C7354D" w:rsidP="00231A22">
      <w:pPr>
        <w:rPr>
          <w:b/>
          <w:bCs/>
          <w:lang w:val="en-GB"/>
        </w:rPr>
      </w:pPr>
    </w:p>
    <w:p w14:paraId="17CB5EEE" w14:textId="77777777" w:rsidR="00C7354D" w:rsidRPr="00317CB4" w:rsidRDefault="00C7354D" w:rsidP="00231A22">
      <w:pPr>
        <w:rPr>
          <w:b/>
          <w:bCs/>
          <w:lang w:val="en-GB"/>
        </w:rPr>
      </w:pPr>
    </w:p>
    <w:p w14:paraId="206F4B2B" w14:textId="77777777" w:rsidR="00C7354D" w:rsidRPr="00317CB4" w:rsidRDefault="00C7354D" w:rsidP="00231A22">
      <w:pPr>
        <w:rPr>
          <w:b/>
          <w:bCs/>
          <w:lang w:val="en-GB"/>
        </w:rPr>
      </w:pPr>
    </w:p>
    <w:p w14:paraId="63E42F78" w14:textId="77777777" w:rsidR="00C7354D" w:rsidRPr="00317CB4" w:rsidRDefault="00C7354D" w:rsidP="00231A22">
      <w:pPr>
        <w:rPr>
          <w:b/>
          <w:bCs/>
          <w:lang w:val="en-GB"/>
        </w:rPr>
      </w:pPr>
    </w:p>
    <w:p w14:paraId="02FDCBA2" w14:textId="77777777" w:rsidR="00C7354D" w:rsidRPr="00317CB4" w:rsidRDefault="00C7354D" w:rsidP="00231A22">
      <w:pPr>
        <w:rPr>
          <w:b/>
          <w:bCs/>
          <w:lang w:val="en-GB"/>
        </w:rPr>
      </w:pPr>
    </w:p>
    <w:p w14:paraId="20B3A99B" w14:textId="77777777" w:rsidR="00C7354D" w:rsidRPr="00317CB4" w:rsidRDefault="00C7354D" w:rsidP="00231A22">
      <w:pPr>
        <w:rPr>
          <w:b/>
          <w:bCs/>
          <w:lang w:val="en-GB"/>
        </w:rPr>
      </w:pPr>
    </w:p>
    <w:p w14:paraId="3967DF13" w14:textId="77777777" w:rsidR="00C7354D" w:rsidRPr="00317CB4" w:rsidRDefault="00C7354D" w:rsidP="00231A22">
      <w:pPr>
        <w:rPr>
          <w:b/>
          <w:bCs/>
          <w:lang w:val="en-GB"/>
        </w:rPr>
      </w:pPr>
    </w:p>
    <w:p w14:paraId="64694F00" w14:textId="77777777" w:rsidR="00C7354D" w:rsidRPr="00317CB4" w:rsidRDefault="00C7354D" w:rsidP="00231A22">
      <w:pPr>
        <w:rPr>
          <w:b/>
          <w:bCs/>
          <w:lang w:val="en-GB"/>
        </w:rPr>
      </w:pPr>
    </w:p>
    <w:p w14:paraId="5FDEB0F4" w14:textId="77777777" w:rsidR="00C7354D" w:rsidRPr="00317CB4" w:rsidRDefault="00C7354D" w:rsidP="00231A22">
      <w:pPr>
        <w:rPr>
          <w:b/>
          <w:bCs/>
          <w:lang w:val="en-GB"/>
        </w:rPr>
      </w:pPr>
    </w:p>
    <w:p w14:paraId="75C48311" w14:textId="370898E7" w:rsidR="00231A22" w:rsidRPr="00317CB4" w:rsidRDefault="00231A22" w:rsidP="00231A22">
      <w:pPr>
        <w:rPr>
          <w:b/>
          <w:bCs/>
          <w:lang w:val="en-GB"/>
        </w:rPr>
      </w:pPr>
      <w:r w:rsidRPr="00317CB4">
        <w:rPr>
          <w:b/>
          <w:bCs/>
          <w:lang w:val="en-GB"/>
        </w:rPr>
        <w:lastRenderedPageBreak/>
        <w:t xml:space="preserve">List of abbreviations </w:t>
      </w:r>
    </w:p>
    <w:p w14:paraId="0EE51179" w14:textId="77777777" w:rsidR="00231A22" w:rsidRPr="00317CB4" w:rsidRDefault="00231A22" w:rsidP="00231A22">
      <w:pPr>
        <w:rPr>
          <w:lang w:val="en-GB"/>
        </w:rPr>
      </w:pPr>
    </w:p>
    <w:p w14:paraId="04DC10D3" w14:textId="05013C99" w:rsidR="00231A22" w:rsidRPr="00317CB4" w:rsidRDefault="00231A22" w:rsidP="00231A22">
      <w:pPr>
        <w:rPr>
          <w:lang w:val="en-GB"/>
        </w:rPr>
      </w:pPr>
      <w:r w:rsidRPr="00317CB4">
        <w:rPr>
          <w:lang w:val="en-GB"/>
        </w:rPr>
        <w:t xml:space="preserve">APA </w:t>
      </w:r>
      <w:r w:rsidR="009254CD" w:rsidRPr="00317CB4">
        <w:rPr>
          <w:lang w:val="en-GB"/>
        </w:rPr>
        <w:tab/>
      </w:r>
      <w:r w:rsidR="009254CD" w:rsidRPr="00317CB4">
        <w:rPr>
          <w:lang w:val="en-GB"/>
        </w:rPr>
        <w:tab/>
      </w:r>
      <w:r w:rsidRPr="00317CB4">
        <w:rPr>
          <w:lang w:val="en-GB"/>
        </w:rPr>
        <w:t xml:space="preserve">Accredited Parliamentary Assistant </w:t>
      </w:r>
    </w:p>
    <w:p w14:paraId="097E152B" w14:textId="068A5C3D" w:rsidR="00231A22" w:rsidRPr="00317CB4" w:rsidRDefault="00231A22" w:rsidP="00231A22">
      <w:pPr>
        <w:rPr>
          <w:lang w:val="en-GB"/>
        </w:rPr>
      </w:pPr>
      <w:r w:rsidRPr="00317CB4">
        <w:rPr>
          <w:lang w:val="en-GB"/>
        </w:rPr>
        <w:t xml:space="preserve">CEPOL </w:t>
      </w:r>
      <w:r w:rsidR="009254CD" w:rsidRPr="00317CB4">
        <w:rPr>
          <w:lang w:val="en-GB"/>
        </w:rPr>
        <w:tab/>
      </w:r>
      <w:r w:rsidRPr="00317CB4">
        <w:rPr>
          <w:lang w:val="en-GB"/>
        </w:rPr>
        <w:t>European Union Agency for Law Enforcement Training</w:t>
      </w:r>
    </w:p>
    <w:p w14:paraId="44FED409" w14:textId="57640716" w:rsidR="00231A22" w:rsidRPr="00317CB4" w:rsidRDefault="00231A22" w:rsidP="00231A22">
      <w:pPr>
        <w:rPr>
          <w:lang w:val="en-GB"/>
        </w:rPr>
      </w:pPr>
      <w:r w:rsidRPr="00317CB4">
        <w:rPr>
          <w:lang w:val="en-GB"/>
        </w:rPr>
        <w:t xml:space="preserve">CSDP </w:t>
      </w:r>
      <w:r w:rsidR="009254CD" w:rsidRPr="00317CB4">
        <w:rPr>
          <w:lang w:val="en-GB"/>
        </w:rPr>
        <w:tab/>
      </w:r>
      <w:r w:rsidR="009254CD" w:rsidRPr="00317CB4">
        <w:rPr>
          <w:lang w:val="en-GB"/>
        </w:rPr>
        <w:tab/>
      </w:r>
      <w:r w:rsidRPr="00317CB4">
        <w:rPr>
          <w:lang w:val="en-GB"/>
        </w:rPr>
        <w:t xml:space="preserve">Common Security &amp; Defence Policy </w:t>
      </w:r>
    </w:p>
    <w:p w14:paraId="7F1926B2" w14:textId="737674F0" w:rsidR="00231A22" w:rsidRPr="00317CB4" w:rsidRDefault="00231A22" w:rsidP="00231A22">
      <w:pPr>
        <w:rPr>
          <w:lang w:val="en-GB"/>
        </w:rPr>
      </w:pPr>
      <w:r w:rsidRPr="00317CB4">
        <w:rPr>
          <w:lang w:val="en-GB"/>
        </w:rPr>
        <w:t xml:space="preserve">EBA </w:t>
      </w:r>
      <w:r w:rsidR="009254CD" w:rsidRPr="00317CB4">
        <w:rPr>
          <w:lang w:val="en-GB"/>
        </w:rPr>
        <w:tab/>
      </w:r>
      <w:r w:rsidR="009254CD" w:rsidRPr="00317CB4">
        <w:rPr>
          <w:lang w:val="en-GB"/>
        </w:rPr>
        <w:tab/>
      </w:r>
      <w:r w:rsidRPr="00317CB4">
        <w:rPr>
          <w:lang w:val="en-GB"/>
        </w:rPr>
        <w:t xml:space="preserve">European Banking Authority </w:t>
      </w:r>
    </w:p>
    <w:p w14:paraId="02EE7B2C" w14:textId="6F3B51E1" w:rsidR="00231A22" w:rsidRPr="00317CB4" w:rsidRDefault="00231A22" w:rsidP="00231A22">
      <w:pPr>
        <w:rPr>
          <w:lang w:val="en-GB"/>
        </w:rPr>
      </w:pPr>
      <w:r w:rsidRPr="00317CB4">
        <w:rPr>
          <w:lang w:val="en-GB"/>
        </w:rPr>
        <w:t xml:space="preserve">EBCG </w:t>
      </w:r>
      <w:r w:rsidR="009254CD" w:rsidRPr="00317CB4">
        <w:rPr>
          <w:lang w:val="en-GB"/>
        </w:rPr>
        <w:tab/>
      </w:r>
      <w:r w:rsidR="009254CD" w:rsidRPr="00317CB4">
        <w:rPr>
          <w:lang w:val="en-GB"/>
        </w:rPr>
        <w:tab/>
      </w:r>
      <w:r w:rsidRPr="00317CB4">
        <w:rPr>
          <w:lang w:val="en-GB"/>
        </w:rPr>
        <w:t xml:space="preserve">European Border &amp; Coast Guard </w:t>
      </w:r>
    </w:p>
    <w:p w14:paraId="11F7E7E2" w14:textId="2732C6E9" w:rsidR="00231A22" w:rsidRPr="00317CB4" w:rsidRDefault="00231A22" w:rsidP="00231A22">
      <w:pPr>
        <w:rPr>
          <w:lang w:val="en-GB"/>
        </w:rPr>
      </w:pPr>
      <w:r w:rsidRPr="00317CB4">
        <w:rPr>
          <w:lang w:val="en-GB"/>
        </w:rPr>
        <w:t xml:space="preserve">EC </w:t>
      </w:r>
      <w:r w:rsidR="009254CD" w:rsidRPr="00317CB4">
        <w:rPr>
          <w:lang w:val="en-GB"/>
        </w:rPr>
        <w:tab/>
      </w:r>
      <w:r w:rsidR="009254CD" w:rsidRPr="00317CB4">
        <w:rPr>
          <w:lang w:val="en-GB"/>
        </w:rPr>
        <w:tab/>
      </w:r>
      <w:r w:rsidRPr="00317CB4">
        <w:rPr>
          <w:lang w:val="en-GB"/>
        </w:rPr>
        <w:t xml:space="preserve">European Council </w:t>
      </w:r>
    </w:p>
    <w:p w14:paraId="6E87729D" w14:textId="35EF924A" w:rsidR="00231A22" w:rsidRPr="00317CB4" w:rsidRDefault="00231A22" w:rsidP="00231A22">
      <w:pPr>
        <w:rPr>
          <w:lang w:val="en-GB"/>
        </w:rPr>
      </w:pPr>
      <w:r w:rsidRPr="00317CB4">
        <w:rPr>
          <w:lang w:val="en-GB"/>
        </w:rPr>
        <w:t xml:space="preserve">ECJ </w:t>
      </w:r>
      <w:r w:rsidR="009254CD" w:rsidRPr="00317CB4">
        <w:rPr>
          <w:lang w:val="en-GB"/>
        </w:rPr>
        <w:tab/>
      </w:r>
      <w:r w:rsidR="009254CD" w:rsidRPr="00317CB4">
        <w:rPr>
          <w:lang w:val="en-GB"/>
        </w:rPr>
        <w:tab/>
      </w:r>
      <w:r w:rsidRPr="00317CB4">
        <w:rPr>
          <w:lang w:val="en-GB"/>
        </w:rPr>
        <w:t xml:space="preserve">European Court of Justice </w:t>
      </w:r>
    </w:p>
    <w:p w14:paraId="5D44D3A4" w14:textId="108E6529" w:rsidR="00231A22" w:rsidRPr="00317CB4" w:rsidRDefault="00231A22" w:rsidP="00231A22">
      <w:pPr>
        <w:rPr>
          <w:lang w:val="en-GB"/>
        </w:rPr>
      </w:pPr>
      <w:r w:rsidRPr="00317CB4">
        <w:rPr>
          <w:lang w:val="en-GB"/>
        </w:rPr>
        <w:t xml:space="preserve">EMSA </w:t>
      </w:r>
      <w:r w:rsidR="009254CD" w:rsidRPr="00317CB4">
        <w:rPr>
          <w:lang w:val="en-GB"/>
        </w:rPr>
        <w:tab/>
      </w:r>
      <w:r w:rsidR="009254CD" w:rsidRPr="00317CB4">
        <w:rPr>
          <w:lang w:val="en-GB"/>
        </w:rPr>
        <w:tab/>
      </w:r>
      <w:r w:rsidRPr="00317CB4">
        <w:rPr>
          <w:lang w:val="en-GB"/>
        </w:rPr>
        <w:t xml:space="preserve">European Maritime Safety Agency </w:t>
      </w:r>
    </w:p>
    <w:p w14:paraId="347815EB" w14:textId="6751531E" w:rsidR="00231A22" w:rsidRPr="00317CB4" w:rsidRDefault="00231A22" w:rsidP="00231A22">
      <w:pPr>
        <w:rPr>
          <w:lang w:val="en-GB"/>
        </w:rPr>
      </w:pPr>
      <w:r w:rsidRPr="00317CB4">
        <w:rPr>
          <w:lang w:val="en-GB"/>
        </w:rPr>
        <w:t xml:space="preserve">EMU </w:t>
      </w:r>
      <w:r w:rsidR="009254CD" w:rsidRPr="00317CB4">
        <w:rPr>
          <w:lang w:val="en-GB"/>
        </w:rPr>
        <w:tab/>
      </w:r>
      <w:r w:rsidR="009254CD" w:rsidRPr="00317CB4">
        <w:rPr>
          <w:lang w:val="en-GB"/>
        </w:rPr>
        <w:tab/>
      </w:r>
      <w:r w:rsidRPr="00317CB4">
        <w:rPr>
          <w:lang w:val="en-GB"/>
        </w:rPr>
        <w:t xml:space="preserve">European Monetary Union </w:t>
      </w:r>
    </w:p>
    <w:p w14:paraId="7DED9BF4" w14:textId="5438E0BE" w:rsidR="00231A22" w:rsidRPr="00317CB4" w:rsidRDefault="00231A22" w:rsidP="00231A22">
      <w:pPr>
        <w:rPr>
          <w:lang w:val="en-GB"/>
        </w:rPr>
      </w:pPr>
      <w:r w:rsidRPr="00317CB4">
        <w:rPr>
          <w:lang w:val="en-GB"/>
        </w:rPr>
        <w:t xml:space="preserve">EU </w:t>
      </w:r>
      <w:r w:rsidR="009254CD" w:rsidRPr="00317CB4">
        <w:rPr>
          <w:lang w:val="en-GB"/>
        </w:rPr>
        <w:tab/>
      </w:r>
      <w:r w:rsidR="009254CD" w:rsidRPr="00317CB4">
        <w:rPr>
          <w:lang w:val="en-GB"/>
        </w:rPr>
        <w:tab/>
      </w:r>
      <w:r w:rsidRPr="00317CB4">
        <w:rPr>
          <w:lang w:val="en-GB"/>
        </w:rPr>
        <w:t xml:space="preserve">European Union </w:t>
      </w:r>
    </w:p>
    <w:p w14:paraId="1F84D9B3" w14:textId="5248073A" w:rsidR="00231A22" w:rsidRPr="00317CB4" w:rsidRDefault="00231A22" w:rsidP="00231A22">
      <w:pPr>
        <w:rPr>
          <w:lang w:val="en-GB"/>
        </w:rPr>
      </w:pPr>
      <w:r w:rsidRPr="00317CB4">
        <w:rPr>
          <w:lang w:val="en-GB"/>
        </w:rPr>
        <w:t xml:space="preserve">EUGS </w:t>
      </w:r>
      <w:r w:rsidR="009254CD" w:rsidRPr="00317CB4">
        <w:rPr>
          <w:lang w:val="en-GB"/>
        </w:rPr>
        <w:tab/>
      </w:r>
      <w:r w:rsidR="009254CD" w:rsidRPr="00317CB4">
        <w:rPr>
          <w:lang w:val="en-GB"/>
        </w:rPr>
        <w:tab/>
      </w:r>
      <w:r w:rsidRPr="00317CB4">
        <w:rPr>
          <w:lang w:val="en-GB"/>
        </w:rPr>
        <w:t xml:space="preserve">European Union Global Strategy </w:t>
      </w:r>
    </w:p>
    <w:p w14:paraId="46A07DD2" w14:textId="7A51E436" w:rsidR="00231A22" w:rsidRPr="00317CB4" w:rsidRDefault="00231A22" w:rsidP="00231A22">
      <w:pPr>
        <w:rPr>
          <w:lang w:val="en-GB"/>
        </w:rPr>
      </w:pPr>
      <w:r w:rsidRPr="00317CB4">
        <w:rPr>
          <w:lang w:val="en-GB"/>
        </w:rPr>
        <w:t xml:space="preserve">EUROSUR </w:t>
      </w:r>
      <w:r w:rsidR="009254CD" w:rsidRPr="00317CB4">
        <w:rPr>
          <w:lang w:val="en-GB"/>
        </w:rPr>
        <w:tab/>
      </w:r>
      <w:r w:rsidRPr="00317CB4">
        <w:rPr>
          <w:lang w:val="en-GB"/>
        </w:rPr>
        <w:t xml:space="preserve">European Border Surveillance System </w:t>
      </w:r>
    </w:p>
    <w:p w14:paraId="1607BA4F" w14:textId="05CC60BE" w:rsidR="00231A22" w:rsidRPr="00317CB4" w:rsidRDefault="00231A22" w:rsidP="00231A22">
      <w:pPr>
        <w:rPr>
          <w:lang w:val="en-GB"/>
        </w:rPr>
      </w:pPr>
      <w:r w:rsidRPr="00317CB4">
        <w:rPr>
          <w:lang w:val="en-GB"/>
        </w:rPr>
        <w:t xml:space="preserve">LIBE </w:t>
      </w:r>
      <w:r w:rsidR="009254CD" w:rsidRPr="00317CB4">
        <w:rPr>
          <w:lang w:val="en-GB"/>
        </w:rPr>
        <w:tab/>
      </w:r>
      <w:r w:rsidR="009254CD" w:rsidRPr="00317CB4">
        <w:rPr>
          <w:lang w:val="en-GB"/>
        </w:rPr>
        <w:tab/>
      </w:r>
      <w:r w:rsidRPr="00317CB4">
        <w:rPr>
          <w:lang w:val="en-GB"/>
        </w:rPr>
        <w:t xml:space="preserve">Committee on Civil Liberties, Justice, and Home Affairs </w:t>
      </w:r>
    </w:p>
    <w:p w14:paraId="41831415" w14:textId="3286A9F0" w:rsidR="00231A22" w:rsidRPr="00317CB4" w:rsidRDefault="00231A22" w:rsidP="00231A22">
      <w:pPr>
        <w:rPr>
          <w:lang w:val="en-GB"/>
        </w:rPr>
      </w:pPr>
      <w:r w:rsidRPr="00317CB4">
        <w:rPr>
          <w:lang w:val="en-GB"/>
        </w:rPr>
        <w:t xml:space="preserve">MEP </w:t>
      </w:r>
      <w:r w:rsidR="009254CD" w:rsidRPr="00317CB4">
        <w:rPr>
          <w:lang w:val="en-GB"/>
        </w:rPr>
        <w:tab/>
      </w:r>
      <w:r w:rsidR="009254CD" w:rsidRPr="00317CB4">
        <w:rPr>
          <w:lang w:val="en-GB"/>
        </w:rPr>
        <w:tab/>
      </w:r>
      <w:r w:rsidRPr="00317CB4">
        <w:rPr>
          <w:lang w:val="en-GB"/>
        </w:rPr>
        <w:t xml:space="preserve">Member of European Parliament </w:t>
      </w:r>
    </w:p>
    <w:p w14:paraId="5CA649FC" w14:textId="185608BB" w:rsidR="00231A22" w:rsidRPr="00317CB4" w:rsidRDefault="00231A22" w:rsidP="00231A22">
      <w:pPr>
        <w:rPr>
          <w:lang w:val="en-GB"/>
        </w:rPr>
      </w:pPr>
      <w:r w:rsidRPr="00317CB4">
        <w:rPr>
          <w:lang w:val="en-GB"/>
        </w:rPr>
        <w:t xml:space="preserve">NGO </w:t>
      </w:r>
      <w:r w:rsidR="009254CD" w:rsidRPr="00317CB4">
        <w:rPr>
          <w:lang w:val="en-GB"/>
        </w:rPr>
        <w:tab/>
      </w:r>
      <w:r w:rsidR="009254CD" w:rsidRPr="00317CB4">
        <w:rPr>
          <w:lang w:val="en-GB"/>
        </w:rPr>
        <w:tab/>
      </w:r>
      <w:r w:rsidR="00C44285" w:rsidRPr="00317CB4">
        <w:rPr>
          <w:lang w:val="en-GB"/>
        </w:rPr>
        <w:t>N</w:t>
      </w:r>
      <w:r w:rsidRPr="00317CB4">
        <w:rPr>
          <w:lang w:val="en-GB"/>
        </w:rPr>
        <w:t>on-</w:t>
      </w:r>
      <w:r w:rsidR="00C44285" w:rsidRPr="00317CB4">
        <w:rPr>
          <w:lang w:val="en-GB"/>
        </w:rPr>
        <w:t>G</w:t>
      </w:r>
      <w:r w:rsidRPr="00317CB4">
        <w:rPr>
          <w:lang w:val="en-GB"/>
        </w:rPr>
        <w:t xml:space="preserve">overnmental </w:t>
      </w:r>
      <w:r w:rsidR="00C44285" w:rsidRPr="00317CB4">
        <w:rPr>
          <w:lang w:val="en-GB"/>
        </w:rPr>
        <w:t>O</w:t>
      </w:r>
      <w:r w:rsidRPr="00317CB4">
        <w:rPr>
          <w:lang w:val="en-GB"/>
        </w:rPr>
        <w:t>rganisation</w:t>
      </w:r>
    </w:p>
    <w:p w14:paraId="72713903" w14:textId="3FCB23F9" w:rsidR="00231A22" w:rsidRPr="00317CB4" w:rsidRDefault="00231A22" w:rsidP="00231A22">
      <w:pPr>
        <w:rPr>
          <w:lang w:val="en-GB"/>
        </w:rPr>
      </w:pPr>
      <w:r w:rsidRPr="00317CB4">
        <w:rPr>
          <w:lang w:val="en-GB"/>
        </w:rPr>
        <w:t xml:space="preserve">OLAF </w:t>
      </w:r>
      <w:r w:rsidR="009254CD" w:rsidRPr="00317CB4">
        <w:rPr>
          <w:lang w:val="en-GB"/>
        </w:rPr>
        <w:tab/>
      </w:r>
      <w:r w:rsidR="009254CD" w:rsidRPr="00317CB4">
        <w:rPr>
          <w:lang w:val="en-GB"/>
        </w:rPr>
        <w:tab/>
      </w:r>
      <w:r w:rsidRPr="00317CB4">
        <w:rPr>
          <w:lang w:val="en-GB"/>
        </w:rPr>
        <w:t xml:space="preserve">European Anti-Fraud Office </w:t>
      </w:r>
    </w:p>
    <w:p w14:paraId="7CA51A94" w14:textId="13E81FD7" w:rsidR="00231A22" w:rsidRPr="00317CB4" w:rsidRDefault="00231A22" w:rsidP="00231A22">
      <w:pPr>
        <w:rPr>
          <w:lang w:val="en-GB"/>
        </w:rPr>
      </w:pPr>
      <w:r w:rsidRPr="00317CB4">
        <w:rPr>
          <w:lang w:val="en-GB"/>
        </w:rPr>
        <w:t xml:space="preserve">RPAS </w:t>
      </w:r>
      <w:r w:rsidR="009254CD" w:rsidRPr="00317CB4">
        <w:rPr>
          <w:lang w:val="en-GB"/>
        </w:rPr>
        <w:tab/>
      </w:r>
      <w:r w:rsidR="009254CD" w:rsidRPr="00317CB4">
        <w:rPr>
          <w:lang w:val="en-GB"/>
        </w:rPr>
        <w:tab/>
      </w:r>
      <w:r w:rsidRPr="00317CB4">
        <w:rPr>
          <w:lang w:val="en-GB"/>
        </w:rPr>
        <w:t xml:space="preserve">Remotely Piloted Aircraft Systems </w:t>
      </w:r>
    </w:p>
    <w:p w14:paraId="64F98E95" w14:textId="07409B13" w:rsidR="00231A22" w:rsidRPr="00317CB4" w:rsidRDefault="00231A22" w:rsidP="00231A22">
      <w:pPr>
        <w:rPr>
          <w:lang w:val="en-GB"/>
        </w:rPr>
      </w:pPr>
      <w:r w:rsidRPr="00317CB4">
        <w:rPr>
          <w:lang w:val="en-GB"/>
        </w:rPr>
        <w:t xml:space="preserve">SEA </w:t>
      </w:r>
      <w:r w:rsidR="009254CD" w:rsidRPr="00317CB4">
        <w:rPr>
          <w:lang w:val="en-GB"/>
        </w:rPr>
        <w:tab/>
      </w:r>
      <w:r w:rsidR="009254CD" w:rsidRPr="00317CB4">
        <w:rPr>
          <w:lang w:val="en-GB"/>
        </w:rPr>
        <w:tab/>
      </w:r>
      <w:r w:rsidRPr="00317CB4">
        <w:rPr>
          <w:lang w:val="en-GB"/>
        </w:rPr>
        <w:t xml:space="preserve">Single European Act </w:t>
      </w:r>
    </w:p>
    <w:p w14:paraId="54DFDCD8" w14:textId="07B1E33F" w:rsidR="00231A22" w:rsidRPr="00317CB4" w:rsidRDefault="00231A22" w:rsidP="00231A22">
      <w:pPr>
        <w:rPr>
          <w:lang w:val="en-GB"/>
        </w:rPr>
      </w:pPr>
      <w:r w:rsidRPr="00317CB4">
        <w:rPr>
          <w:lang w:val="en-GB"/>
        </w:rPr>
        <w:t xml:space="preserve">TEU </w:t>
      </w:r>
      <w:r w:rsidR="009254CD" w:rsidRPr="00317CB4">
        <w:rPr>
          <w:lang w:val="en-GB"/>
        </w:rPr>
        <w:tab/>
      </w:r>
      <w:r w:rsidR="009254CD" w:rsidRPr="00317CB4">
        <w:rPr>
          <w:lang w:val="en-GB"/>
        </w:rPr>
        <w:tab/>
      </w:r>
      <w:r w:rsidRPr="00317CB4">
        <w:rPr>
          <w:lang w:val="en-GB"/>
        </w:rPr>
        <w:t xml:space="preserve">Treaty of the European Union </w:t>
      </w:r>
    </w:p>
    <w:p w14:paraId="2B2827D5" w14:textId="37FA7CAD" w:rsidR="00231A22" w:rsidRPr="00317CB4" w:rsidRDefault="00231A22" w:rsidP="00231A22">
      <w:pPr>
        <w:rPr>
          <w:lang w:val="en-GB"/>
        </w:rPr>
      </w:pPr>
      <w:r w:rsidRPr="00317CB4">
        <w:rPr>
          <w:lang w:val="en-GB"/>
        </w:rPr>
        <w:t xml:space="preserve">UK </w:t>
      </w:r>
      <w:r w:rsidR="009254CD" w:rsidRPr="00317CB4">
        <w:rPr>
          <w:lang w:val="en-GB"/>
        </w:rPr>
        <w:tab/>
      </w:r>
      <w:r w:rsidR="009254CD" w:rsidRPr="00317CB4">
        <w:rPr>
          <w:lang w:val="en-GB"/>
        </w:rPr>
        <w:tab/>
      </w:r>
      <w:r w:rsidRPr="00317CB4">
        <w:rPr>
          <w:lang w:val="en-GB"/>
        </w:rPr>
        <w:t xml:space="preserve">United Kingdom </w:t>
      </w:r>
    </w:p>
    <w:p w14:paraId="623B98C8" w14:textId="77777777" w:rsidR="00231A22" w:rsidRPr="00317CB4" w:rsidRDefault="00231A22" w:rsidP="00B1513F">
      <w:pPr>
        <w:spacing w:line="360" w:lineRule="auto"/>
        <w:rPr>
          <w:b/>
          <w:bCs/>
          <w:color w:val="2F5496" w:themeColor="accent1" w:themeShade="BF"/>
          <w:sz w:val="32"/>
          <w:szCs w:val="32"/>
          <w:lang w:val="en-GB"/>
        </w:rPr>
      </w:pPr>
    </w:p>
    <w:p w14:paraId="5F889D07" w14:textId="77777777" w:rsidR="00231A22" w:rsidRPr="00317CB4" w:rsidRDefault="00231A22" w:rsidP="00B1513F">
      <w:pPr>
        <w:spacing w:line="360" w:lineRule="auto"/>
        <w:rPr>
          <w:b/>
          <w:bCs/>
          <w:color w:val="2F5496" w:themeColor="accent1" w:themeShade="BF"/>
          <w:sz w:val="32"/>
          <w:szCs w:val="32"/>
          <w:lang w:val="en-GB"/>
        </w:rPr>
      </w:pPr>
    </w:p>
    <w:p w14:paraId="02E53858" w14:textId="77777777" w:rsidR="00231A22" w:rsidRPr="00317CB4" w:rsidRDefault="00231A22" w:rsidP="00B1513F">
      <w:pPr>
        <w:spacing w:line="360" w:lineRule="auto"/>
        <w:rPr>
          <w:b/>
          <w:bCs/>
          <w:color w:val="2F5496" w:themeColor="accent1" w:themeShade="BF"/>
          <w:sz w:val="32"/>
          <w:szCs w:val="32"/>
          <w:lang w:val="en-GB"/>
        </w:rPr>
      </w:pPr>
    </w:p>
    <w:p w14:paraId="124C2451" w14:textId="77777777" w:rsidR="00231A22" w:rsidRPr="00317CB4" w:rsidRDefault="00231A22" w:rsidP="00B1513F">
      <w:pPr>
        <w:spacing w:line="360" w:lineRule="auto"/>
        <w:rPr>
          <w:b/>
          <w:bCs/>
          <w:color w:val="2F5496" w:themeColor="accent1" w:themeShade="BF"/>
          <w:sz w:val="32"/>
          <w:szCs w:val="32"/>
          <w:lang w:val="en-GB"/>
        </w:rPr>
      </w:pPr>
    </w:p>
    <w:p w14:paraId="15A876D2" w14:textId="77777777" w:rsidR="00231A22" w:rsidRPr="00317CB4" w:rsidRDefault="00231A22" w:rsidP="00B1513F">
      <w:pPr>
        <w:spacing w:line="360" w:lineRule="auto"/>
        <w:rPr>
          <w:b/>
          <w:bCs/>
          <w:color w:val="2F5496" w:themeColor="accent1" w:themeShade="BF"/>
          <w:sz w:val="32"/>
          <w:szCs w:val="32"/>
          <w:lang w:val="en-GB"/>
        </w:rPr>
      </w:pPr>
    </w:p>
    <w:p w14:paraId="774D2415" w14:textId="77777777" w:rsidR="00231A22" w:rsidRPr="00317CB4" w:rsidRDefault="00231A22" w:rsidP="00B1513F">
      <w:pPr>
        <w:spacing w:line="360" w:lineRule="auto"/>
        <w:rPr>
          <w:b/>
          <w:bCs/>
          <w:color w:val="2F5496" w:themeColor="accent1" w:themeShade="BF"/>
          <w:sz w:val="32"/>
          <w:szCs w:val="32"/>
          <w:lang w:val="en-GB"/>
        </w:rPr>
      </w:pPr>
    </w:p>
    <w:p w14:paraId="5C97350B" w14:textId="280E9C0A" w:rsidR="00CE647B" w:rsidRPr="00317CB4" w:rsidRDefault="00CE647B" w:rsidP="00FF4ECA">
      <w:pPr>
        <w:pStyle w:val="ListParagraph"/>
        <w:numPr>
          <w:ilvl w:val="0"/>
          <w:numId w:val="14"/>
        </w:numPr>
        <w:spacing w:line="360" w:lineRule="auto"/>
        <w:rPr>
          <w:color w:val="2F5496" w:themeColor="accent1" w:themeShade="BF"/>
          <w:sz w:val="32"/>
          <w:szCs w:val="32"/>
          <w:lang w:val="en-GB"/>
        </w:rPr>
      </w:pPr>
      <w:r w:rsidRPr="00317CB4">
        <w:rPr>
          <w:b/>
          <w:bCs/>
          <w:color w:val="2F5496" w:themeColor="accent1" w:themeShade="BF"/>
          <w:sz w:val="32"/>
          <w:szCs w:val="32"/>
          <w:lang w:val="en-GB"/>
        </w:rPr>
        <w:lastRenderedPageBreak/>
        <w:t xml:space="preserve">Introduction </w:t>
      </w:r>
    </w:p>
    <w:p w14:paraId="2FDADB5C" w14:textId="6BBA75F1" w:rsidR="00CE647B" w:rsidRPr="00317CB4" w:rsidRDefault="00592BE0" w:rsidP="00E10C1B">
      <w:pPr>
        <w:spacing w:line="360" w:lineRule="auto"/>
        <w:rPr>
          <w:lang w:val="en-GB"/>
        </w:rPr>
      </w:pPr>
      <w:r w:rsidRPr="00317CB4">
        <w:rPr>
          <w:lang w:val="en-GB"/>
        </w:rPr>
        <w:t xml:space="preserve">In what has been said to be a decision reached </w:t>
      </w:r>
      <w:r w:rsidR="00990854" w:rsidRPr="00317CB4">
        <w:rPr>
          <w:lang w:val="en-GB"/>
        </w:rPr>
        <w:t xml:space="preserve">in </w:t>
      </w:r>
      <w:r w:rsidRPr="00317CB4">
        <w:rPr>
          <w:lang w:val="en-GB"/>
        </w:rPr>
        <w:t>the 11</w:t>
      </w:r>
      <w:r w:rsidRPr="00317CB4">
        <w:rPr>
          <w:vertAlign w:val="superscript"/>
          <w:lang w:val="en-GB"/>
        </w:rPr>
        <w:t>th</w:t>
      </w:r>
      <w:r w:rsidRPr="00317CB4">
        <w:rPr>
          <w:lang w:val="en-GB"/>
        </w:rPr>
        <w:t xml:space="preserve"> hour, the EU Ministers of Home Affairs have come to an agreement </w:t>
      </w:r>
      <w:r w:rsidR="005A3A5B" w:rsidRPr="00317CB4">
        <w:rPr>
          <w:lang w:val="en-GB"/>
        </w:rPr>
        <w:t>on a common EU asylum policy on June 8</w:t>
      </w:r>
      <w:r w:rsidR="005A3A5B" w:rsidRPr="00317CB4">
        <w:rPr>
          <w:vertAlign w:val="superscript"/>
          <w:lang w:val="en-GB"/>
        </w:rPr>
        <w:t>th</w:t>
      </w:r>
      <w:r w:rsidR="005A3A5B" w:rsidRPr="00317CB4">
        <w:rPr>
          <w:lang w:val="en-GB"/>
        </w:rPr>
        <w:t xml:space="preserve"> 2023. </w:t>
      </w:r>
      <w:r w:rsidR="009F7059" w:rsidRPr="00317CB4">
        <w:rPr>
          <w:lang w:val="en-GB"/>
        </w:rPr>
        <w:t xml:space="preserve">By no means does this mean that asylum policy struggles have been resolved, but rather that they will be a </w:t>
      </w:r>
      <w:r w:rsidR="009419C6" w:rsidRPr="00317CB4">
        <w:rPr>
          <w:lang w:val="en-GB"/>
        </w:rPr>
        <w:t xml:space="preserve">salient </w:t>
      </w:r>
      <w:r w:rsidR="009F7059" w:rsidRPr="00317CB4">
        <w:rPr>
          <w:lang w:val="en-GB"/>
        </w:rPr>
        <w:t>topic during the upcoming EU elections</w:t>
      </w:r>
      <w:r w:rsidR="00BA4F7E" w:rsidRPr="00317CB4">
        <w:rPr>
          <w:lang w:val="en-GB"/>
        </w:rPr>
        <w:t xml:space="preserve"> (</w:t>
      </w:r>
      <w:r w:rsidR="00287A12" w:rsidRPr="00317CB4">
        <w:rPr>
          <w:lang w:val="en-GB"/>
        </w:rPr>
        <w:t>Sorgi &amp; Barigazzi, 2023</w:t>
      </w:r>
      <w:r w:rsidR="00BA4F7E" w:rsidRPr="00317CB4">
        <w:rPr>
          <w:lang w:val="en-GB"/>
        </w:rPr>
        <w:t>)</w:t>
      </w:r>
      <w:r w:rsidR="009F7059" w:rsidRPr="00317CB4">
        <w:rPr>
          <w:lang w:val="en-GB"/>
        </w:rPr>
        <w:t>.</w:t>
      </w:r>
      <w:r w:rsidR="00BA4F7E" w:rsidRPr="00317CB4">
        <w:rPr>
          <w:lang w:val="en-GB"/>
        </w:rPr>
        <w:t xml:space="preserve"> Previous years have seen </w:t>
      </w:r>
      <w:r w:rsidR="005809BA" w:rsidRPr="00317CB4">
        <w:rPr>
          <w:lang w:val="en-GB"/>
        </w:rPr>
        <w:t xml:space="preserve">an ever ongoing debate about the management of the EU’s migration and asylum policy which has </w:t>
      </w:r>
      <w:r w:rsidR="001159E6" w:rsidRPr="00317CB4">
        <w:rPr>
          <w:lang w:val="en-GB"/>
        </w:rPr>
        <w:t>reached mainstream discussion with the onset of the migration crisis in 2015</w:t>
      </w:r>
      <w:r w:rsidR="00A44889" w:rsidRPr="00317CB4">
        <w:rPr>
          <w:lang w:val="en-GB"/>
        </w:rPr>
        <w:t xml:space="preserve"> (</w:t>
      </w:r>
      <w:r w:rsidR="00FC6E17" w:rsidRPr="00317CB4">
        <w:rPr>
          <w:lang w:val="en-GB"/>
        </w:rPr>
        <w:t xml:space="preserve">Bossong, 2019; </w:t>
      </w:r>
      <w:r w:rsidR="00A44889" w:rsidRPr="00317CB4">
        <w:rPr>
          <w:lang w:val="en-GB"/>
        </w:rPr>
        <w:t>Thielemann, 2018</w:t>
      </w:r>
      <w:r w:rsidR="00FC6E17" w:rsidRPr="00317CB4">
        <w:rPr>
          <w:lang w:val="en-GB"/>
        </w:rPr>
        <w:t>)</w:t>
      </w:r>
      <w:r w:rsidR="001159E6" w:rsidRPr="00317CB4">
        <w:rPr>
          <w:lang w:val="en-GB"/>
        </w:rPr>
        <w:t xml:space="preserve">. The debate has flared up again when allegations of migrants being pushed back into the Mediterranean and </w:t>
      </w:r>
      <w:r w:rsidR="00863E68" w:rsidRPr="00317CB4">
        <w:rPr>
          <w:lang w:val="en-GB"/>
        </w:rPr>
        <w:t>Aegean</w:t>
      </w:r>
      <w:r w:rsidR="001159E6" w:rsidRPr="00317CB4">
        <w:rPr>
          <w:lang w:val="en-GB"/>
        </w:rPr>
        <w:t xml:space="preserve"> Sea</w:t>
      </w:r>
      <w:r w:rsidR="00863E68" w:rsidRPr="00317CB4">
        <w:rPr>
          <w:lang w:val="en-GB"/>
        </w:rPr>
        <w:t xml:space="preserve"> became public knowledge, </w:t>
      </w:r>
      <w:r w:rsidR="0000574A" w:rsidRPr="00317CB4">
        <w:rPr>
          <w:lang w:val="en-GB"/>
        </w:rPr>
        <w:t>drawing</w:t>
      </w:r>
      <w:r w:rsidR="00863E68" w:rsidRPr="00317CB4">
        <w:rPr>
          <w:lang w:val="en-GB"/>
        </w:rPr>
        <w:t xml:space="preserve"> the EU’s </w:t>
      </w:r>
      <w:r w:rsidR="009419C6" w:rsidRPr="00317CB4">
        <w:rPr>
          <w:lang w:val="en-GB"/>
        </w:rPr>
        <w:t xml:space="preserve">external </w:t>
      </w:r>
      <w:r w:rsidR="00863E68" w:rsidRPr="00317CB4">
        <w:rPr>
          <w:lang w:val="en-GB"/>
        </w:rPr>
        <w:t xml:space="preserve">border protection agency Frontex </w:t>
      </w:r>
      <w:r w:rsidR="0000574A" w:rsidRPr="00317CB4">
        <w:rPr>
          <w:lang w:val="en-GB"/>
        </w:rPr>
        <w:t>into</w:t>
      </w:r>
      <w:r w:rsidR="00863E68" w:rsidRPr="00317CB4">
        <w:rPr>
          <w:lang w:val="en-GB"/>
        </w:rPr>
        <w:t xml:space="preserve"> the centre of these debates</w:t>
      </w:r>
      <w:r w:rsidR="00D724A1" w:rsidRPr="00317CB4">
        <w:rPr>
          <w:lang w:val="en-GB"/>
        </w:rPr>
        <w:t xml:space="preserve"> (</w:t>
      </w:r>
      <w:r w:rsidR="003F51F4" w:rsidRPr="00317CB4">
        <w:rPr>
          <w:lang w:val="en-GB"/>
        </w:rPr>
        <w:t>Waters et al., 2020</w:t>
      </w:r>
      <w:r w:rsidR="00D724A1" w:rsidRPr="00317CB4">
        <w:rPr>
          <w:lang w:val="en-GB"/>
        </w:rPr>
        <w:t>)</w:t>
      </w:r>
      <w:r w:rsidR="00863E68" w:rsidRPr="00317CB4">
        <w:rPr>
          <w:lang w:val="en-GB"/>
        </w:rPr>
        <w:t>.</w:t>
      </w:r>
      <w:r w:rsidR="00215C65" w:rsidRPr="00317CB4">
        <w:rPr>
          <w:lang w:val="en-GB"/>
        </w:rPr>
        <w:t xml:space="preserve"> This renewed discussion </w:t>
      </w:r>
      <w:r w:rsidR="00B92BCE" w:rsidRPr="00317CB4">
        <w:rPr>
          <w:lang w:val="en-GB"/>
        </w:rPr>
        <w:t>also draws attention to the role and overall position of Frontex as an EU agency within the wide</w:t>
      </w:r>
      <w:r w:rsidR="009419C6" w:rsidRPr="00317CB4">
        <w:rPr>
          <w:lang w:val="en-GB"/>
        </w:rPr>
        <w:t>r</w:t>
      </w:r>
      <w:r w:rsidR="00B92BCE" w:rsidRPr="00317CB4">
        <w:rPr>
          <w:lang w:val="en-GB"/>
        </w:rPr>
        <w:t xml:space="preserve"> framework of EU politics</w:t>
      </w:r>
      <w:r w:rsidR="00CC713B" w:rsidRPr="00317CB4">
        <w:rPr>
          <w:lang w:val="en-GB"/>
        </w:rPr>
        <w:t xml:space="preserve">. </w:t>
      </w:r>
      <w:r w:rsidR="00BE50FF" w:rsidRPr="00317CB4">
        <w:rPr>
          <w:lang w:val="en-GB"/>
        </w:rPr>
        <w:t xml:space="preserve">Frontex can be classified as a regulatory agency and as such, </w:t>
      </w:r>
      <w:r w:rsidR="009419C6" w:rsidRPr="00317CB4">
        <w:rPr>
          <w:lang w:val="en-GB"/>
        </w:rPr>
        <w:t xml:space="preserve">it </w:t>
      </w:r>
      <w:r w:rsidR="00BE50FF" w:rsidRPr="00317CB4">
        <w:rPr>
          <w:lang w:val="en-GB"/>
        </w:rPr>
        <w:t xml:space="preserve">enjoys a certain independence from the EU </w:t>
      </w:r>
      <w:r w:rsidR="00BB44FD" w:rsidRPr="00317CB4">
        <w:rPr>
          <w:lang w:val="en-GB"/>
        </w:rPr>
        <w:t>institutions</w:t>
      </w:r>
      <w:r w:rsidR="00BE50FF" w:rsidRPr="00317CB4">
        <w:rPr>
          <w:lang w:val="en-GB"/>
        </w:rPr>
        <w:t>. At the same time though, it only has limited decision-making powers</w:t>
      </w:r>
      <w:r w:rsidR="00863E68" w:rsidRPr="00317CB4">
        <w:rPr>
          <w:lang w:val="en-GB"/>
        </w:rPr>
        <w:t xml:space="preserve"> </w:t>
      </w:r>
      <w:r w:rsidR="00CE647B" w:rsidRPr="00317CB4">
        <w:rPr>
          <w:lang w:val="en-GB"/>
        </w:rPr>
        <w:t xml:space="preserve">(Nugent, 2017; Scholten &amp; van Rijsbergen, 2014). </w:t>
      </w:r>
      <w:r w:rsidR="00C274A9" w:rsidRPr="00317CB4">
        <w:rPr>
          <w:lang w:val="en-GB"/>
        </w:rPr>
        <w:t xml:space="preserve">The competences that </w:t>
      </w:r>
      <w:r w:rsidR="00BE50FF" w:rsidRPr="00317CB4">
        <w:rPr>
          <w:lang w:val="en-GB"/>
        </w:rPr>
        <w:t>Frontex</w:t>
      </w:r>
      <w:r w:rsidR="00C274A9" w:rsidRPr="00317CB4">
        <w:rPr>
          <w:lang w:val="en-GB"/>
        </w:rPr>
        <w:t xml:space="preserve"> do</w:t>
      </w:r>
      <w:r w:rsidR="00BE50FF" w:rsidRPr="00317CB4">
        <w:rPr>
          <w:lang w:val="en-GB"/>
        </w:rPr>
        <w:t>es</w:t>
      </w:r>
      <w:r w:rsidR="00C274A9" w:rsidRPr="00317CB4">
        <w:rPr>
          <w:lang w:val="en-GB"/>
        </w:rPr>
        <w:t xml:space="preserve"> have are interesting to study though to see what kind of </w:t>
      </w:r>
      <w:r w:rsidR="00D720EB" w:rsidRPr="00317CB4">
        <w:rPr>
          <w:lang w:val="en-GB"/>
        </w:rPr>
        <w:t xml:space="preserve">position </w:t>
      </w:r>
      <w:r w:rsidR="00DC6D7E" w:rsidRPr="00317CB4">
        <w:rPr>
          <w:lang w:val="en-GB"/>
        </w:rPr>
        <w:t>the agency</w:t>
      </w:r>
      <w:r w:rsidR="00C274A9" w:rsidRPr="00317CB4">
        <w:rPr>
          <w:lang w:val="en-GB"/>
        </w:rPr>
        <w:t xml:space="preserve"> </w:t>
      </w:r>
      <w:r w:rsidR="00DC6D7E" w:rsidRPr="00317CB4">
        <w:rPr>
          <w:lang w:val="en-GB"/>
        </w:rPr>
        <w:t>can have</w:t>
      </w:r>
      <w:r w:rsidR="00C274A9" w:rsidRPr="00317CB4">
        <w:rPr>
          <w:lang w:val="en-GB"/>
        </w:rPr>
        <w:t xml:space="preserve"> within the wider framework of EU politics. </w:t>
      </w:r>
    </w:p>
    <w:p w14:paraId="7A1E35A1" w14:textId="47A6BE34" w:rsidR="00CE647B" w:rsidRPr="00317CB4" w:rsidRDefault="00CE647B" w:rsidP="00FE07AF">
      <w:pPr>
        <w:spacing w:line="360" w:lineRule="auto"/>
        <w:ind w:firstLine="720"/>
        <w:rPr>
          <w:lang w:val="en-GB"/>
        </w:rPr>
      </w:pPr>
      <w:r w:rsidRPr="00317CB4">
        <w:rPr>
          <w:lang w:val="en-GB"/>
        </w:rPr>
        <w:t>Despite the</w:t>
      </w:r>
      <w:r w:rsidR="00DC6D7E" w:rsidRPr="00317CB4">
        <w:rPr>
          <w:lang w:val="en-GB"/>
        </w:rPr>
        <w:t>re being a general</w:t>
      </w:r>
      <w:r w:rsidRPr="00317CB4">
        <w:rPr>
          <w:lang w:val="en-GB"/>
        </w:rPr>
        <w:t xml:space="preserve"> disagreement about the definition of agencies, recent years have seen a definite increase in the</w:t>
      </w:r>
      <w:r w:rsidR="00B94246" w:rsidRPr="00317CB4">
        <w:rPr>
          <w:lang w:val="en-GB"/>
        </w:rPr>
        <w:t>ir</w:t>
      </w:r>
      <w:r w:rsidRPr="00317CB4">
        <w:rPr>
          <w:lang w:val="en-GB"/>
        </w:rPr>
        <w:t xml:space="preserve"> overall number</w:t>
      </w:r>
      <w:r w:rsidR="00DC6D7E" w:rsidRPr="00317CB4">
        <w:rPr>
          <w:lang w:val="en-GB"/>
        </w:rPr>
        <w:t xml:space="preserve">. </w:t>
      </w:r>
      <w:r w:rsidRPr="00317CB4">
        <w:rPr>
          <w:lang w:val="en-GB"/>
        </w:rPr>
        <w:t xml:space="preserve"> Scholten and van Rijsbergen </w:t>
      </w:r>
      <w:r w:rsidR="009419C6" w:rsidRPr="00317CB4">
        <w:rPr>
          <w:lang w:val="en-GB"/>
        </w:rPr>
        <w:t xml:space="preserve">(2014) </w:t>
      </w:r>
      <w:r w:rsidRPr="00317CB4">
        <w:rPr>
          <w:lang w:val="en-GB"/>
        </w:rPr>
        <w:t xml:space="preserve">doubt that there has been sufficient reason behind the creation of some agencies, but they, too, have to concede that both the number of agencies as well as their powers have increased. This phenomenon has been named </w:t>
      </w:r>
      <w:r w:rsidR="009D1211" w:rsidRPr="00317CB4">
        <w:rPr>
          <w:lang w:val="en-GB"/>
        </w:rPr>
        <w:t>“</w:t>
      </w:r>
      <w:r w:rsidRPr="00317CB4">
        <w:rPr>
          <w:lang w:val="en-GB"/>
        </w:rPr>
        <w:t>agencification</w:t>
      </w:r>
      <w:r w:rsidR="009D1211" w:rsidRPr="00317CB4">
        <w:rPr>
          <w:lang w:val="en-GB"/>
        </w:rPr>
        <w:t>”</w:t>
      </w:r>
      <w:r w:rsidRPr="00317CB4">
        <w:rPr>
          <w:lang w:val="en-GB"/>
        </w:rPr>
        <w:t xml:space="preserve"> (Scholten, 2017; Scholten &amp; van Rijsbergen, 2014; Schout &amp; Pereya, 2011). The increase in their powers also stems from </w:t>
      </w:r>
      <w:r w:rsidR="00104425" w:rsidRPr="00317CB4">
        <w:rPr>
          <w:lang w:val="en-GB"/>
        </w:rPr>
        <w:t>the</w:t>
      </w:r>
      <w:r w:rsidR="00B94246" w:rsidRPr="00317CB4">
        <w:rPr>
          <w:lang w:val="en-GB"/>
        </w:rPr>
        <w:t>ir</w:t>
      </w:r>
      <w:r w:rsidR="00104425" w:rsidRPr="00317CB4">
        <w:rPr>
          <w:lang w:val="en-GB"/>
        </w:rPr>
        <w:t xml:space="preserve"> </w:t>
      </w:r>
      <w:r w:rsidRPr="00317CB4">
        <w:rPr>
          <w:lang w:val="en-GB"/>
        </w:rPr>
        <w:t xml:space="preserve">independence that is accompanying the creation of agencies. According to a White Paper issued by the Commission, independent expertise is even seen to be the </w:t>
      </w:r>
      <w:r w:rsidR="005D1DC8" w:rsidRPr="00317CB4">
        <w:rPr>
          <w:lang w:val="en-GB"/>
        </w:rPr>
        <w:t>“</w:t>
      </w:r>
      <w:r w:rsidRPr="00317CB4">
        <w:rPr>
          <w:lang w:val="en-GB"/>
        </w:rPr>
        <w:t>real raison d’être</w:t>
      </w:r>
      <w:r w:rsidR="005D1DC8" w:rsidRPr="00317CB4">
        <w:rPr>
          <w:lang w:val="en-GB"/>
        </w:rPr>
        <w:t>”</w:t>
      </w:r>
      <w:r w:rsidRPr="00317CB4">
        <w:rPr>
          <w:lang w:val="en-GB"/>
        </w:rPr>
        <w:t xml:space="preserve"> (Schout &amp; Pereya, 2011).  Basically, an agency is meant to be a collection of experts that can lend their expertise to a specific policy area and thereby relieve the workload of the Commission. The independent point of view is hence meant to ensure that an objective assessment of a policy is achieved (Nugent, 2017). At the same time, agencies are also meant to facilitate and enhance cooperation between EU member states in areas of shared policy competence. This can be especially valuable if the Commission has failed to encourage the member states to cooperate. One example in which an agency has been very valuable in facilitating cooperation in a shared policy competence is the management of the EU</w:t>
      </w:r>
      <w:r w:rsidR="005D1DC8" w:rsidRPr="00317CB4">
        <w:rPr>
          <w:lang w:val="en-GB"/>
        </w:rPr>
        <w:t>’</w:t>
      </w:r>
      <w:r w:rsidRPr="00317CB4">
        <w:rPr>
          <w:lang w:val="en-GB"/>
        </w:rPr>
        <w:t xml:space="preserve">s shared borders, particularly the external border. </w:t>
      </w:r>
      <w:r w:rsidR="00FE07AF" w:rsidRPr="00317CB4">
        <w:rPr>
          <w:lang w:val="en-GB"/>
        </w:rPr>
        <w:t xml:space="preserve">Frontex, or </w:t>
      </w:r>
      <w:r w:rsidRPr="00317CB4">
        <w:rPr>
          <w:lang w:val="en-GB"/>
        </w:rPr>
        <w:t xml:space="preserve">the </w:t>
      </w:r>
      <w:r w:rsidR="00A27E72" w:rsidRPr="00317CB4">
        <w:rPr>
          <w:lang w:val="en-GB"/>
        </w:rPr>
        <w:t>‘</w:t>
      </w:r>
      <w:r w:rsidRPr="00317CB4">
        <w:rPr>
          <w:lang w:val="en-GB"/>
        </w:rPr>
        <w:t>European Agency for the Management of Operational Co-operation at the External Borders of the Member States of the European Union</w:t>
      </w:r>
      <w:r w:rsidR="00A27E72" w:rsidRPr="00317CB4">
        <w:rPr>
          <w:lang w:val="en-GB"/>
        </w:rPr>
        <w:t>’</w:t>
      </w:r>
      <w:r w:rsidR="00FE07AF" w:rsidRPr="00317CB4">
        <w:rPr>
          <w:lang w:val="en-GB"/>
        </w:rPr>
        <w:t xml:space="preserve"> is </w:t>
      </w:r>
      <w:r w:rsidR="00A27E72" w:rsidRPr="00317CB4">
        <w:rPr>
          <w:lang w:val="en-GB"/>
        </w:rPr>
        <w:t>tasked with this policy area</w:t>
      </w:r>
      <w:r w:rsidRPr="00317CB4">
        <w:rPr>
          <w:lang w:val="en-GB"/>
        </w:rPr>
        <w:t xml:space="preserve">. Since 2016, the official name of the agency has changed to the more concise </w:t>
      </w:r>
      <w:r w:rsidR="00615144" w:rsidRPr="00317CB4">
        <w:rPr>
          <w:lang w:val="en-GB"/>
        </w:rPr>
        <w:t>“</w:t>
      </w:r>
      <w:r w:rsidRPr="00317CB4">
        <w:rPr>
          <w:lang w:val="en-GB"/>
        </w:rPr>
        <w:t>European Border and Coast Guard</w:t>
      </w:r>
      <w:r w:rsidR="00615144" w:rsidRPr="00317CB4">
        <w:rPr>
          <w:lang w:val="en-GB"/>
        </w:rPr>
        <w:t>”</w:t>
      </w:r>
      <w:r w:rsidRPr="00317CB4">
        <w:rPr>
          <w:lang w:val="en-GB"/>
        </w:rPr>
        <w:t xml:space="preserve"> (Scholten, 2017). The </w:t>
      </w:r>
      <w:r w:rsidR="006F40B5" w:rsidRPr="00317CB4">
        <w:rPr>
          <w:lang w:val="en-GB"/>
        </w:rPr>
        <w:t>function</w:t>
      </w:r>
      <w:r w:rsidR="006F40B5" w:rsidRPr="00317CB4">
        <w:rPr>
          <w:lang w:val="en-GB"/>
        </w:rPr>
        <w:t xml:space="preserve"> </w:t>
      </w:r>
      <w:r w:rsidRPr="00317CB4">
        <w:rPr>
          <w:lang w:val="en-GB"/>
        </w:rPr>
        <w:t xml:space="preserve">of </w:t>
      </w:r>
      <w:r w:rsidR="005D1DC8" w:rsidRPr="00317CB4">
        <w:rPr>
          <w:lang w:val="en-GB"/>
        </w:rPr>
        <w:t>the</w:t>
      </w:r>
      <w:r w:rsidRPr="00317CB4">
        <w:rPr>
          <w:lang w:val="en-GB"/>
        </w:rPr>
        <w:t xml:space="preserve"> agency is to assist the EU member states and members of the Schengen area in the management of their external borders and harmonise border controls across the Union. This is achieved by lending its </w:t>
      </w:r>
      <w:r w:rsidRPr="00317CB4">
        <w:rPr>
          <w:lang w:val="en-GB"/>
        </w:rPr>
        <w:lastRenderedPageBreak/>
        <w:t>technical and personal expertise to the individual member states. The aim is to primarily coordinate the work along the Mediterranean border and the eastern land borders of Bulgaria, Romania, Poland, and Slovakia and establish a common approach to border protection (European Union,</w:t>
      </w:r>
      <w:r w:rsidR="00975F45" w:rsidRPr="00317CB4">
        <w:rPr>
          <w:lang w:val="en-GB"/>
        </w:rPr>
        <w:t xml:space="preserve"> 2021</w:t>
      </w:r>
      <w:r w:rsidRPr="00317CB4">
        <w:rPr>
          <w:lang w:val="en-GB"/>
        </w:rPr>
        <w:t xml:space="preserve">). </w:t>
      </w:r>
    </w:p>
    <w:p w14:paraId="73FC6030" w14:textId="7974100C" w:rsidR="00CE647B" w:rsidRPr="00317CB4" w:rsidRDefault="00CE647B" w:rsidP="00B1513F">
      <w:pPr>
        <w:spacing w:line="360" w:lineRule="auto"/>
        <w:ind w:firstLine="720"/>
        <w:rPr>
          <w:lang w:val="en-GB"/>
        </w:rPr>
      </w:pPr>
      <w:r w:rsidRPr="00317CB4">
        <w:rPr>
          <w:lang w:val="en-GB"/>
        </w:rPr>
        <w:t xml:space="preserve">Frontex </w:t>
      </w:r>
      <w:r w:rsidR="00E11AB7" w:rsidRPr="00317CB4">
        <w:rPr>
          <w:lang w:val="en-GB"/>
        </w:rPr>
        <w:t xml:space="preserve">as </w:t>
      </w:r>
      <w:r w:rsidRPr="00317CB4">
        <w:rPr>
          <w:lang w:val="en-GB"/>
        </w:rPr>
        <w:t xml:space="preserve">a regulatory agency </w:t>
      </w:r>
      <w:r w:rsidR="00E11AB7" w:rsidRPr="00317CB4">
        <w:rPr>
          <w:lang w:val="en-GB"/>
        </w:rPr>
        <w:t>has the</w:t>
      </w:r>
      <w:r w:rsidRPr="00317CB4">
        <w:rPr>
          <w:lang w:val="en-GB"/>
        </w:rPr>
        <w:t xml:space="preserve"> capacity to provide technical advice to both the Commission and the EU member states when issues regarding the protection of the EU</w:t>
      </w:r>
      <w:r w:rsidR="006A415A" w:rsidRPr="00317CB4">
        <w:rPr>
          <w:lang w:val="en-GB"/>
        </w:rPr>
        <w:t>’</w:t>
      </w:r>
      <w:r w:rsidRPr="00317CB4">
        <w:rPr>
          <w:lang w:val="en-GB"/>
        </w:rPr>
        <w:t xml:space="preserve">s external border arise (Nugent, 2017). This ability to provide advice became particularly salient in 2015 when the EU was affected by the migration crisis. One of the effects the crisis had was an </w:t>
      </w:r>
      <w:r w:rsidR="00BC032E" w:rsidRPr="00317CB4">
        <w:rPr>
          <w:lang w:val="en-GB"/>
        </w:rPr>
        <w:t>amplified</w:t>
      </w:r>
      <w:r w:rsidR="00BC032E" w:rsidRPr="00317CB4" w:rsidDel="00BC032E">
        <w:rPr>
          <w:lang w:val="en-GB"/>
        </w:rPr>
        <w:t xml:space="preserve"> </w:t>
      </w:r>
      <w:r w:rsidRPr="00317CB4">
        <w:rPr>
          <w:lang w:val="en-GB"/>
        </w:rPr>
        <w:t>determination of the member states to make use of all the resources the EU has to offer to protect their external borders. This was reflected in an increased annual budget, but also in the intention to help the agency strengthen cooperation between the EU and third countries from which migrants were traveling into the EU. Essentially, Frontex received a higher budget from the European Parliament to ensure that sufficient personnel and materials would be available for these tasks (Perkowski, 2019). The reform also lead to more independence from the member states, even though Frontex would continue to carry out missions on member states territories (Niemann &amp; Zaun, 2018). From 2016 on, Frontex would have supervisory powers, i.e. it gained the authority to assess individual member states</w:t>
      </w:r>
      <w:r w:rsidR="00282EEE" w:rsidRPr="00317CB4">
        <w:rPr>
          <w:lang w:val="en-GB"/>
        </w:rPr>
        <w:t>’</w:t>
      </w:r>
      <w:r w:rsidRPr="00317CB4">
        <w:rPr>
          <w:lang w:val="en-GB"/>
        </w:rPr>
        <w:t xml:space="preserve"> capacity to effectively protect their external borders. If Frontex deemed the member states incapable of upholding the standard it set, the agency would be able to deploy its own personnel to the relevant border (Fjørtoft, 2022). At the same time, member states also enjoyed considerable leeway in how they wanted to tackle the migration crisis, side-lining cooperation with each other. Germany, for instance, was the first country to suspend the Dublin Regulation and accept migrants regardless of their country of first arrival. This decision allowed smaller member states who were lacking the capacity, or the will, to accept migrants to free-ride and get around making a contribution (Niemann &amp; Zaun, 2018). This individualistic approach to border protection represented openly communicated doubt and lack of trust in how the protection of the EU</w:t>
      </w:r>
      <w:r w:rsidR="00282EEE" w:rsidRPr="00317CB4">
        <w:rPr>
          <w:lang w:val="en-GB"/>
        </w:rPr>
        <w:t>’</w:t>
      </w:r>
      <w:r w:rsidRPr="00317CB4">
        <w:rPr>
          <w:lang w:val="en-GB"/>
        </w:rPr>
        <w:t xml:space="preserve">s external border was managed (Fjørtoft, 2022). </w:t>
      </w:r>
    </w:p>
    <w:p w14:paraId="340317A3" w14:textId="2696C64D" w:rsidR="00CE647B" w:rsidRPr="00317CB4" w:rsidRDefault="00CE647B" w:rsidP="00B1513F">
      <w:pPr>
        <w:spacing w:line="360" w:lineRule="auto"/>
        <w:ind w:firstLine="720"/>
        <w:rPr>
          <w:lang w:val="en-GB"/>
        </w:rPr>
      </w:pPr>
      <w:r w:rsidRPr="00317CB4">
        <w:rPr>
          <w:lang w:val="en-GB"/>
        </w:rPr>
        <w:t xml:space="preserve">Frontex therefore sits at an intersection between EU institutions and member states. On the one hand, we have the institutions: the Commission is the birthplace of any agency while the Parliament decides about the annual budget. Especially executive agencies which are primarily located in proximity to the Commission in Brussels are closely linked to and controlled by the Commission via the relevant Directorate General. Regulatory agencies are a tad more independent as the Commission only has the opportunity for direct influence through a minority seat in their Management Board (Nugent, 2017; Perkowski, 2019; Scholten &amp; van Rijsbergen, 2014). Still, this opportunity to influence the agenda of an agency should not be underestimated. The member states, too, have a seat in the Management Board of each regulatory agency, and because every single member state that agreed to the creation of the agency automatically has a seat, they outnumber the Commission representative significantly (Perkowski, 2019). Furthermore, the member states reserve another way to exercise influence on the agency. When the creation of an agency is proposed by the Commission, it is possible for the member </w:t>
      </w:r>
      <w:r w:rsidRPr="00317CB4">
        <w:rPr>
          <w:lang w:val="en-GB"/>
        </w:rPr>
        <w:lastRenderedPageBreak/>
        <w:t>states to make adjustments to the proposal to effectively minimise the new agency</w:t>
      </w:r>
      <w:r w:rsidR="00005227" w:rsidRPr="00317CB4">
        <w:rPr>
          <w:lang w:val="en-GB"/>
        </w:rPr>
        <w:t>’</w:t>
      </w:r>
      <w:r w:rsidRPr="00317CB4">
        <w:rPr>
          <w:lang w:val="en-GB"/>
        </w:rPr>
        <w:t>s ability to compete with the existing national system that is already in place (Schout &amp; Pereya, 2011). From this resulted the ability of the member states to deny Frontex the ability to carry out completely independent controls along the member states</w:t>
      </w:r>
      <w:r w:rsidR="00005227" w:rsidRPr="00317CB4">
        <w:rPr>
          <w:lang w:val="en-GB"/>
        </w:rPr>
        <w:t>’</w:t>
      </w:r>
      <w:r w:rsidRPr="00317CB4">
        <w:rPr>
          <w:lang w:val="en-GB"/>
        </w:rPr>
        <w:t xml:space="preserve"> external borders as they saw a violation of their national sovereignty in this kind of action (Bossong, 2019). Because of this, the main role of Frontex is limited to the coordination of member state action along the external border while the member states themselves carry the primary responsibility to control their borders (Leonard, 2009; Perkowski, 2019). </w:t>
      </w:r>
    </w:p>
    <w:p w14:paraId="7910A188" w14:textId="77777777" w:rsidR="00411C4A" w:rsidRPr="00317CB4" w:rsidRDefault="00CE647B" w:rsidP="00411C4A">
      <w:pPr>
        <w:spacing w:line="360" w:lineRule="auto"/>
        <w:ind w:firstLine="720"/>
        <w:rPr>
          <w:lang w:val="en-GB"/>
        </w:rPr>
      </w:pPr>
      <w:r w:rsidRPr="00317CB4">
        <w:rPr>
          <w:lang w:val="en-GB"/>
        </w:rPr>
        <w:t xml:space="preserve">Given this specific location that Frontex finds itself in in the landscape of European politics, it becomes interesting to take a closer look at the influence individual actors can have on an agency. Specifically </w:t>
      </w:r>
      <w:r w:rsidR="00A03DC3" w:rsidRPr="00317CB4">
        <w:rPr>
          <w:lang w:val="en-GB"/>
        </w:rPr>
        <w:t>since</w:t>
      </w:r>
      <w:r w:rsidRPr="00317CB4">
        <w:rPr>
          <w:lang w:val="en-GB"/>
        </w:rPr>
        <w:t xml:space="preserve"> the migration crisis 2015, </w:t>
      </w:r>
      <w:r w:rsidR="00A03DC3" w:rsidRPr="00317CB4">
        <w:rPr>
          <w:lang w:val="en-GB"/>
        </w:rPr>
        <w:t>it became</w:t>
      </w:r>
      <w:r w:rsidRPr="00317CB4">
        <w:rPr>
          <w:lang w:val="en-GB"/>
        </w:rPr>
        <w:t xml:space="preserve"> interesting to evaluate how the behaviour of Frontex adapted as a consequence of external pressures that come from European institutions and member states</w:t>
      </w:r>
      <w:r w:rsidR="0003403B" w:rsidRPr="00317CB4">
        <w:rPr>
          <w:lang w:val="en-GB"/>
        </w:rPr>
        <w:t>, possibly at the same time</w:t>
      </w:r>
      <w:r w:rsidRPr="00317CB4">
        <w:rPr>
          <w:lang w:val="en-GB"/>
        </w:rPr>
        <w:t xml:space="preserve">. During the migration crisis, especially the countries of first arrival, Greece, Italy, and Hungary, were very vocal in expressing what they wanted from Frontex, which was more assistance with border protection. That was because the Dublin Regulation determined that it was mandatory for them to process arriving migrants, a task that could not be passed on (Hassel &amp; Wagner, 2016; Natali, 2016). </w:t>
      </w:r>
    </w:p>
    <w:p w14:paraId="03B89684" w14:textId="403F9DC4" w:rsidR="00FC3C48" w:rsidRPr="00317CB4" w:rsidRDefault="00CE647B" w:rsidP="00411C4A">
      <w:pPr>
        <w:spacing w:line="360" w:lineRule="auto"/>
        <w:ind w:firstLine="720"/>
        <w:rPr>
          <w:highlight w:val="yellow"/>
          <w:lang w:val="en-GB"/>
        </w:rPr>
      </w:pPr>
      <w:r w:rsidRPr="00317CB4">
        <w:rPr>
          <w:lang w:val="en-GB"/>
        </w:rPr>
        <w:t>These three countries, and Italy in particular, wanted to attribute more power through resources to Frontex because they needed the agency</w:t>
      </w:r>
      <w:r w:rsidR="00B265AF" w:rsidRPr="00317CB4">
        <w:rPr>
          <w:lang w:val="en-GB"/>
        </w:rPr>
        <w:t>’</w:t>
      </w:r>
      <w:r w:rsidRPr="00317CB4">
        <w:rPr>
          <w:lang w:val="en-GB"/>
        </w:rPr>
        <w:t>s abilities along their external borders (Niemann &amp; Zaun, 2018). At the same time, the EU institutions, and specifically the Commission soon launched the project to expand Frontex</w:t>
      </w:r>
      <w:r w:rsidR="00B265AF" w:rsidRPr="00317CB4">
        <w:rPr>
          <w:lang w:val="en-GB"/>
        </w:rPr>
        <w:t>’</w:t>
      </w:r>
      <w:r w:rsidRPr="00317CB4">
        <w:rPr>
          <w:lang w:val="en-GB"/>
        </w:rPr>
        <w:t xml:space="preserve"> mandate by proposing the upgrade to the </w:t>
      </w:r>
      <w:r w:rsidR="00B265AF" w:rsidRPr="00317CB4">
        <w:rPr>
          <w:lang w:val="en-GB"/>
        </w:rPr>
        <w:t>“</w:t>
      </w:r>
      <w:r w:rsidRPr="00317CB4">
        <w:rPr>
          <w:lang w:val="en-GB"/>
        </w:rPr>
        <w:t>European Border and Coast Guard Agency</w:t>
      </w:r>
      <w:r w:rsidR="00B265AF" w:rsidRPr="00317CB4">
        <w:rPr>
          <w:lang w:val="en-GB"/>
        </w:rPr>
        <w:t>”</w:t>
      </w:r>
      <w:r w:rsidR="00753F0F" w:rsidRPr="00317CB4">
        <w:rPr>
          <w:lang w:val="en-GB"/>
        </w:rPr>
        <w:t xml:space="preserve"> in 2016</w:t>
      </w:r>
      <w:r w:rsidRPr="00317CB4">
        <w:rPr>
          <w:lang w:val="en-GB"/>
        </w:rPr>
        <w:t xml:space="preserve">. This was meant to foster a common approach to border management across the Union, however, the majority of the border management and contributions to Frontex (personnel &amp; material) were left to the member states to organise (Niemann &amp; Zaun, 2018). Thus, the common approach to border management was not achieved as intended because each member state had a preferred way for Frontex to operate (Kalkman, 2020; Niemann &amp; Zaun, 2018). Especially in combination with the 2019 Regulation through which Frontex needs explicit permission from the member state on </w:t>
      </w:r>
      <w:r w:rsidR="00B94246" w:rsidRPr="00317CB4">
        <w:rPr>
          <w:lang w:val="en-GB"/>
        </w:rPr>
        <w:t>whose</w:t>
      </w:r>
      <w:r w:rsidRPr="00317CB4">
        <w:rPr>
          <w:lang w:val="en-GB"/>
        </w:rPr>
        <w:t xml:space="preserve"> territory it wants to act (Bossong, 2019) it may be debatable whether the </w:t>
      </w:r>
      <w:r w:rsidR="004000CC" w:rsidRPr="00317CB4">
        <w:rPr>
          <w:lang w:val="en-GB"/>
        </w:rPr>
        <w:t>r</w:t>
      </w:r>
      <w:r w:rsidRPr="00317CB4">
        <w:rPr>
          <w:lang w:val="en-GB"/>
        </w:rPr>
        <w:t>egulations to reform Frontex might represent a shift in who is pushing their agenda more and who Frontex prefers to respond to. Thus, it is required to investigate what the demands on Frontex are, who</w:t>
      </w:r>
      <w:r w:rsidR="00A649DE" w:rsidRPr="00317CB4">
        <w:rPr>
          <w:lang w:val="en-GB"/>
        </w:rPr>
        <w:t>se</w:t>
      </w:r>
      <w:r w:rsidRPr="00317CB4">
        <w:rPr>
          <w:lang w:val="en-GB"/>
        </w:rPr>
        <w:t xml:space="preserve"> demands Frontex prefers to respond to and why.</w:t>
      </w:r>
    </w:p>
    <w:p w14:paraId="41685171" w14:textId="71B5B3D7" w:rsidR="00213DC0" w:rsidRPr="00317CB4" w:rsidRDefault="00213DC0" w:rsidP="0027013E">
      <w:pPr>
        <w:pStyle w:val="ListParagraph"/>
        <w:numPr>
          <w:ilvl w:val="1"/>
          <w:numId w:val="22"/>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Research Puzzle</w:t>
      </w:r>
    </w:p>
    <w:p w14:paraId="70502E10" w14:textId="49B65D16" w:rsidR="00CE647B" w:rsidRPr="00317CB4" w:rsidRDefault="00CE647B" w:rsidP="005443D5">
      <w:pPr>
        <w:spacing w:line="360" w:lineRule="auto"/>
        <w:rPr>
          <w:lang w:val="en-GB"/>
        </w:rPr>
      </w:pPr>
      <w:r w:rsidRPr="00317CB4">
        <w:rPr>
          <w:lang w:val="en-GB"/>
        </w:rPr>
        <w:t>Research on Frontex has been conducted from various theoretical perspectives, for example organisational sociological theory (Perkowski, 2019) or institutionalisation theory (Schout &amp; Pereya, 2011) to see how this agency positions itself vis-à-vis these different stakeholders and how they can affect Frontex</w:t>
      </w:r>
      <w:r w:rsidR="00ED23F9" w:rsidRPr="00317CB4">
        <w:rPr>
          <w:lang w:val="en-GB"/>
        </w:rPr>
        <w:t>’</w:t>
      </w:r>
      <w:r w:rsidRPr="00317CB4">
        <w:rPr>
          <w:lang w:val="en-GB"/>
        </w:rPr>
        <w:t xml:space="preserve"> responses. Research with case studies making use of selected member states exists as </w:t>
      </w:r>
      <w:r w:rsidRPr="00317CB4">
        <w:rPr>
          <w:lang w:val="en-GB"/>
        </w:rPr>
        <w:lastRenderedPageBreak/>
        <w:t>well (Slominski &amp; Trauner, 2017), or analyses of activities of Frontex in general (Bossong, 2019; Leonard, 2009; Meissner, 2017). One academic perspective that has not yet been applied to Frontex is the reputation framework to determine to what extent political demands are acted upon when the stakeholder expressing them has the potential to influence Frontex</w:t>
      </w:r>
      <w:r w:rsidR="00FA4A96" w:rsidRPr="00317CB4">
        <w:rPr>
          <w:lang w:val="en-GB"/>
        </w:rPr>
        <w:t>’</w:t>
      </w:r>
      <w:r w:rsidRPr="00317CB4">
        <w:rPr>
          <w:lang w:val="en-GB"/>
        </w:rPr>
        <w:t xml:space="preserve"> reputation. This fits into the wider scheme of migration research to see how reputation management has the potential to influence (European) policies in this policy area (Meijers, Schneider &amp; Zhelyazkova, 2019; Rimkutė, 2018; Rimkutė, 2019; Rimkutė, 2020; Zhelyazkova, Bolstad &amp; Meijers, 2019). </w:t>
      </w:r>
      <w:r w:rsidR="00B04515" w:rsidRPr="00317CB4">
        <w:rPr>
          <w:lang w:val="en-GB"/>
        </w:rPr>
        <w:t xml:space="preserve">Further gaps have been identified in the debate surrounding core state power dynamics. </w:t>
      </w:r>
      <w:r w:rsidR="00F246A4" w:rsidRPr="00317CB4">
        <w:rPr>
          <w:lang w:val="en-GB"/>
        </w:rPr>
        <w:t>Despite the plethora of literature on this concept in itself (</w:t>
      </w:r>
      <w:r w:rsidR="00543F2A" w:rsidRPr="00317CB4">
        <w:rPr>
          <w:lang w:val="en-GB"/>
        </w:rPr>
        <w:t xml:space="preserve">Bremer &amp; Jachtenfuchs, 2020; </w:t>
      </w:r>
      <w:r w:rsidR="00F246A4" w:rsidRPr="00317CB4">
        <w:rPr>
          <w:lang w:val="en-GB"/>
        </w:rPr>
        <w:t>Genschel &amp; Jachtenfuchs, 2015; Genschel &amp; Jachtenfuchs</w:t>
      </w:r>
      <w:r w:rsidR="00583A63" w:rsidRPr="00317CB4">
        <w:rPr>
          <w:lang w:val="en-GB"/>
        </w:rPr>
        <w:t>, 2016; Genschel &amp; Jachtenfuchs, 2018; Genschel et al., 2023</w:t>
      </w:r>
      <w:r w:rsidR="00DD3C9A" w:rsidRPr="00317CB4">
        <w:rPr>
          <w:lang w:val="en-GB"/>
        </w:rPr>
        <w:t>; Freudlsp</w:t>
      </w:r>
      <w:r w:rsidR="006C4628" w:rsidRPr="00317CB4">
        <w:rPr>
          <w:lang w:val="en-GB"/>
        </w:rPr>
        <w:t>erger &amp; Jachtenfuchs, 2021</w:t>
      </w:r>
      <w:r w:rsidR="00543F2A" w:rsidRPr="00317CB4">
        <w:rPr>
          <w:lang w:val="en-GB"/>
        </w:rPr>
        <w:t>)</w:t>
      </w:r>
      <w:r w:rsidR="00243867" w:rsidRPr="00317CB4">
        <w:rPr>
          <w:lang w:val="en-GB"/>
        </w:rPr>
        <w:t>, the bridge to an EU agency</w:t>
      </w:r>
      <w:r w:rsidR="0037174C" w:rsidRPr="00317CB4">
        <w:rPr>
          <w:lang w:val="en-GB"/>
        </w:rPr>
        <w:t>, and specifically Frontex,</w:t>
      </w:r>
      <w:r w:rsidR="00243867" w:rsidRPr="00317CB4">
        <w:rPr>
          <w:lang w:val="en-GB"/>
        </w:rPr>
        <w:t xml:space="preserve"> has not yet explicitly been made</w:t>
      </w:r>
      <w:r w:rsidR="0037174C" w:rsidRPr="00317CB4">
        <w:rPr>
          <w:lang w:val="en-GB"/>
        </w:rPr>
        <w:t xml:space="preserve">. </w:t>
      </w:r>
      <w:r w:rsidR="00402C69" w:rsidRPr="00317CB4">
        <w:rPr>
          <w:lang w:val="en-GB"/>
        </w:rPr>
        <w:t xml:space="preserve">This is where this research finds its academic input, and </w:t>
      </w:r>
      <w:r w:rsidR="0003403B" w:rsidRPr="00317CB4">
        <w:rPr>
          <w:lang w:val="en-GB"/>
        </w:rPr>
        <w:t>the following research question can be formulated</w:t>
      </w:r>
      <w:r w:rsidR="00207470" w:rsidRPr="00317CB4">
        <w:rPr>
          <w:lang w:val="en-GB"/>
        </w:rPr>
        <w:t xml:space="preserve">: </w:t>
      </w:r>
      <w:r w:rsidR="00920979" w:rsidRPr="00317CB4">
        <w:rPr>
          <w:lang w:val="en-GB"/>
        </w:rPr>
        <w:t xml:space="preserve">How is Frontex positioned in </w:t>
      </w:r>
      <w:r w:rsidR="0006251E" w:rsidRPr="00317CB4">
        <w:rPr>
          <w:lang w:val="en-GB"/>
        </w:rPr>
        <w:t xml:space="preserve">the core state power dynamics between EU member states and institutions by managing its own reputation? </w:t>
      </w:r>
    </w:p>
    <w:p w14:paraId="7C5049A9" w14:textId="3FD70096" w:rsidR="0090555A" w:rsidRPr="00317CB4" w:rsidRDefault="0090555A" w:rsidP="0027013E">
      <w:pPr>
        <w:pStyle w:val="ListParagraph"/>
        <w:numPr>
          <w:ilvl w:val="1"/>
          <w:numId w:val="22"/>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Relevance </w:t>
      </w:r>
    </w:p>
    <w:p w14:paraId="4F040F0D" w14:textId="117D35E8" w:rsidR="00CE647B" w:rsidRPr="00317CB4" w:rsidRDefault="00CE647B" w:rsidP="0090555A">
      <w:pPr>
        <w:spacing w:line="360" w:lineRule="auto"/>
        <w:rPr>
          <w:lang w:val="en-GB"/>
        </w:rPr>
      </w:pPr>
      <w:r w:rsidRPr="00317CB4">
        <w:rPr>
          <w:lang w:val="en-GB"/>
        </w:rPr>
        <w:t xml:space="preserve">It has often been said that there is a lack of transparency when EU policies are concerned, and the proceedings along the European external border are no different (Bossong, 2019). Even though agencies are created with the intention of increasing transparency (Scholten &amp; van Rijsbergen, 2014), it is important to increase this transparency even further by untangling the work of such an agency and the reasons behind the action that is taken. It is therefore important to recognise </w:t>
      </w:r>
      <w:r w:rsidR="0003403B" w:rsidRPr="00317CB4">
        <w:rPr>
          <w:lang w:val="en-GB"/>
        </w:rPr>
        <w:t xml:space="preserve">how </w:t>
      </w:r>
      <w:r w:rsidRPr="00317CB4">
        <w:rPr>
          <w:lang w:val="en-GB"/>
        </w:rPr>
        <w:t>policies</w:t>
      </w:r>
      <w:r w:rsidR="0003403B" w:rsidRPr="00317CB4">
        <w:rPr>
          <w:lang w:val="en-GB"/>
        </w:rPr>
        <w:t xml:space="preserve"> can be interpreted and</w:t>
      </w:r>
      <w:r w:rsidRPr="00317CB4">
        <w:rPr>
          <w:lang w:val="en-GB"/>
        </w:rPr>
        <w:t xml:space="preserve"> applied</w:t>
      </w:r>
      <w:r w:rsidR="00270816" w:rsidRPr="00317CB4">
        <w:rPr>
          <w:lang w:val="en-GB"/>
        </w:rPr>
        <w:t xml:space="preserve"> by agencies</w:t>
      </w:r>
      <w:r w:rsidRPr="00317CB4">
        <w:rPr>
          <w:lang w:val="en-GB"/>
        </w:rPr>
        <w:t xml:space="preserve">, as well as the different </w:t>
      </w:r>
      <w:r w:rsidR="00A649DE" w:rsidRPr="00317CB4">
        <w:rPr>
          <w:lang w:val="en-GB"/>
        </w:rPr>
        <w:t>demands</w:t>
      </w:r>
      <w:r w:rsidR="00A649DE" w:rsidRPr="00317CB4">
        <w:rPr>
          <w:lang w:val="en-GB"/>
        </w:rPr>
        <w:t xml:space="preserve"> </w:t>
      </w:r>
      <w:r w:rsidRPr="00317CB4">
        <w:rPr>
          <w:lang w:val="en-GB"/>
        </w:rPr>
        <w:t>stakeholders want from an agency at different points in time</w:t>
      </w:r>
      <w:r w:rsidR="00A3675B" w:rsidRPr="00317CB4">
        <w:rPr>
          <w:lang w:val="en-GB"/>
        </w:rPr>
        <w:t>, given their potential for independence (Schout &amp; Pereya, 2011)</w:t>
      </w:r>
      <w:r w:rsidRPr="00317CB4">
        <w:rPr>
          <w:lang w:val="en-GB"/>
        </w:rPr>
        <w:t xml:space="preserve">. Considering </w:t>
      </w:r>
      <w:r w:rsidR="005C1184" w:rsidRPr="00317CB4">
        <w:rPr>
          <w:lang w:val="en-GB"/>
        </w:rPr>
        <w:t>how agencies approach the demands made to them</w:t>
      </w:r>
      <w:r w:rsidRPr="00317CB4">
        <w:rPr>
          <w:lang w:val="en-GB"/>
        </w:rPr>
        <w:t xml:space="preserve"> will allow us to </w:t>
      </w:r>
      <w:r w:rsidR="005F1AE0" w:rsidRPr="00317CB4">
        <w:rPr>
          <w:lang w:val="en-GB"/>
        </w:rPr>
        <w:t xml:space="preserve">academically </w:t>
      </w:r>
      <w:r w:rsidRPr="00317CB4">
        <w:rPr>
          <w:lang w:val="en-GB"/>
        </w:rPr>
        <w:t xml:space="preserve">understand agency behaviour and to what extent </w:t>
      </w:r>
      <w:r w:rsidR="0003403B" w:rsidRPr="00317CB4">
        <w:rPr>
          <w:lang w:val="en-GB"/>
        </w:rPr>
        <w:t xml:space="preserve">an agency’s own </w:t>
      </w:r>
      <w:r w:rsidRPr="00317CB4">
        <w:rPr>
          <w:lang w:val="en-GB"/>
        </w:rPr>
        <w:t xml:space="preserve">reputation management </w:t>
      </w:r>
      <w:r w:rsidR="00DF3F78" w:rsidRPr="00317CB4">
        <w:rPr>
          <w:lang w:val="en-GB"/>
        </w:rPr>
        <w:t>plays a part in that</w:t>
      </w:r>
      <w:r w:rsidRPr="00317CB4">
        <w:rPr>
          <w:lang w:val="en-GB"/>
        </w:rPr>
        <w:t xml:space="preserve">. </w:t>
      </w:r>
      <w:r w:rsidR="0003403B" w:rsidRPr="00317CB4">
        <w:rPr>
          <w:lang w:val="en-GB"/>
        </w:rPr>
        <w:t>In addition to this, insights into the dynamics between the EU member states and the institutions can be gathered. As Frontex is precariously positioned between</w:t>
      </w:r>
      <w:r w:rsidR="00FE5A4A" w:rsidRPr="00317CB4">
        <w:rPr>
          <w:lang w:val="en-GB"/>
        </w:rPr>
        <w:t xml:space="preserve"> the national governments with their national interests in mind and the EU institutions taking an EU-centric approach from Brussels</w:t>
      </w:r>
      <w:r w:rsidR="0003403B" w:rsidRPr="00317CB4">
        <w:rPr>
          <w:lang w:val="en-GB"/>
        </w:rPr>
        <w:t>, this research can provide insights on which one of them holds a more influential position over Frontex</w:t>
      </w:r>
      <w:r w:rsidR="00A10F2D" w:rsidRPr="00317CB4">
        <w:rPr>
          <w:lang w:val="en-GB"/>
        </w:rPr>
        <w:t xml:space="preserve">, the supranational side or the intergovernmental one. </w:t>
      </w:r>
      <w:r w:rsidR="00713A68" w:rsidRPr="00317CB4">
        <w:rPr>
          <w:lang w:val="en-GB"/>
        </w:rPr>
        <w:t xml:space="preserve">This plays into why this research is societally relevant, as </w:t>
      </w:r>
      <w:r w:rsidR="0092787F" w:rsidRPr="00317CB4">
        <w:rPr>
          <w:lang w:val="en-GB"/>
        </w:rPr>
        <w:t xml:space="preserve">it is possible from this academic understanding to </w:t>
      </w:r>
      <w:r w:rsidR="005C1EC9" w:rsidRPr="00317CB4">
        <w:rPr>
          <w:lang w:val="en-GB"/>
        </w:rPr>
        <w:t>extract</w:t>
      </w:r>
      <w:r w:rsidR="0092787F" w:rsidRPr="00317CB4">
        <w:rPr>
          <w:lang w:val="en-GB"/>
        </w:rPr>
        <w:t xml:space="preserve"> why Frontex initiated certain action in the past, such as the pushbacks</w:t>
      </w:r>
      <w:r w:rsidR="00822D98" w:rsidRPr="00317CB4">
        <w:rPr>
          <w:lang w:val="en-GB"/>
        </w:rPr>
        <w:t xml:space="preserve"> it was accused of partaking in</w:t>
      </w:r>
      <w:r w:rsidR="00DD3A83" w:rsidRPr="00317CB4">
        <w:rPr>
          <w:lang w:val="en-GB"/>
        </w:rPr>
        <w:t xml:space="preserve">. </w:t>
      </w:r>
      <w:r w:rsidR="00486246" w:rsidRPr="00317CB4">
        <w:rPr>
          <w:lang w:val="en-GB"/>
        </w:rPr>
        <w:t xml:space="preserve">The combination of the academic and social levels can subsequently </w:t>
      </w:r>
      <w:r w:rsidR="00AC2226" w:rsidRPr="00317CB4">
        <w:rPr>
          <w:lang w:val="en-GB"/>
        </w:rPr>
        <w:t xml:space="preserve">enhance the comprehension of how </w:t>
      </w:r>
      <w:r w:rsidR="00BF312B" w:rsidRPr="00317CB4">
        <w:rPr>
          <w:lang w:val="en-GB"/>
        </w:rPr>
        <w:t>Frontex works</w:t>
      </w:r>
      <w:r w:rsidR="002129D6" w:rsidRPr="00317CB4">
        <w:rPr>
          <w:lang w:val="en-GB"/>
        </w:rPr>
        <w:t xml:space="preserve">. </w:t>
      </w:r>
    </w:p>
    <w:p w14:paraId="69C24DA5" w14:textId="2E2D3307" w:rsidR="00CE647B" w:rsidRPr="00317CB4" w:rsidRDefault="00CE647B" w:rsidP="00B1513F">
      <w:pPr>
        <w:spacing w:line="360" w:lineRule="auto"/>
        <w:ind w:firstLine="720"/>
        <w:rPr>
          <w:lang w:val="en-GB"/>
        </w:rPr>
      </w:pPr>
      <w:r w:rsidRPr="00317CB4">
        <w:rPr>
          <w:lang w:val="en-GB"/>
        </w:rPr>
        <w:t xml:space="preserve">To find an adequate response, this thesis </w:t>
      </w:r>
      <w:r w:rsidR="0003403B" w:rsidRPr="00317CB4">
        <w:rPr>
          <w:lang w:val="en-GB"/>
        </w:rPr>
        <w:t xml:space="preserve">applies a case study method in form of a most likely case design. The underlying theoretical guidance for the analysis </w:t>
      </w:r>
      <w:r w:rsidR="005C1184" w:rsidRPr="00317CB4">
        <w:rPr>
          <w:lang w:val="en-GB"/>
        </w:rPr>
        <w:t>is</w:t>
      </w:r>
      <w:r w:rsidR="005C1184" w:rsidRPr="00317CB4">
        <w:rPr>
          <w:lang w:val="en-GB"/>
        </w:rPr>
        <w:t xml:space="preserve"> </w:t>
      </w:r>
      <w:r w:rsidR="0003403B" w:rsidRPr="00317CB4">
        <w:rPr>
          <w:lang w:val="en-GB"/>
        </w:rPr>
        <w:t xml:space="preserve">then provided through the core state power dynamics and reputation theory. Data is subsequently gathered from both primary and secondary </w:t>
      </w:r>
      <w:r w:rsidR="0003403B" w:rsidRPr="00317CB4">
        <w:rPr>
          <w:lang w:val="en-GB"/>
        </w:rPr>
        <w:lastRenderedPageBreak/>
        <w:t xml:space="preserve">sources. From this set up, it can be extracted to which extent </w:t>
      </w:r>
      <w:r w:rsidRPr="00317CB4">
        <w:rPr>
          <w:lang w:val="en-GB"/>
        </w:rPr>
        <w:t xml:space="preserve">political demands are perceived within the agency and how they are </w:t>
      </w:r>
      <w:r w:rsidR="00074168" w:rsidRPr="00317CB4">
        <w:rPr>
          <w:lang w:val="en-GB"/>
        </w:rPr>
        <w:t>consequently</w:t>
      </w:r>
      <w:r w:rsidRPr="00317CB4">
        <w:rPr>
          <w:lang w:val="en-GB"/>
        </w:rPr>
        <w:t xml:space="preserve"> acted upon</w:t>
      </w:r>
      <w:r w:rsidR="00D07741" w:rsidRPr="00317CB4">
        <w:rPr>
          <w:lang w:val="en-GB"/>
        </w:rPr>
        <w:t>, as well as determine the reasoning behind the action</w:t>
      </w:r>
      <w:r w:rsidRPr="00317CB4">
        <w:rPr>
          <w:lang w:val="en-GB"/>
        </w:rPr>
        <w:t xml:space="preserve">. </w:t>
      </w:r>
      <w:r w:rsidR="000072A0" w:rsidRPr="00317CB4">
        <w:rPr>
          <w:lang w:val="en-GB"/>
        </w:rPr>
        <w:t xml:space="preserve">All this is placed in the </w:t>
      </w:r>
      <w:r w:rsidR="00037A1C" w:rsidRPr="00317CB4">
        <w:rPr>
          <w:lang w:val="en-GB"/>
        </w:rPr>
        <w:t xml:space="preserve">period from </w:t>
      </w:r>
      <w:r w:rsidR="00845C71" w:rsidRPr="00317CB4">
        <w:rPr>
          <w:lang w:val="en-GB"/>
        </w:rPr>
        <w:t xml:space="preserve">July </w:t>
      </w:r>
      <w:r w:rsidR="00037A1C" w:rsidRPr="00317CB4">
        <w:rPr>
          <w:lang w:val="en-GB"/>
        </w:rPr>
        <w:t xml:space="preserve">2015, when the migration crisis officially began, until </w:t>
      </w:r>
      <w:r w:rsidR="00845C71" w:rsidRPr="00317CB4">
        <w:rPr>
          <w:lang w:val="en-GB"/>
        </w:rPr>
        <w:t xml:space="preserve">June 2023. </w:t>
      </w:r>
    </w:p>
    <w:p w14:paraId="5E29B0AB" w14:textId="3E638C43" w:rsidR="00CE647B" w:rsidRPr="00317CB4" w:rsidRDefault="00CE647B" w:rsidP="00B1513F">
      <w:pPr>
        <w:spacing w:line="360" w:lineRule="auto"/>
        <w:ind w:firstLine="720"/>
        <w:rPr>
          <w:lang w:val="en-GB"/>
        </w:rPr>
      </w:pPr>
      <w:r w:rsidRPr="00317CB4">
        <w:rPr>
          <w:lang w:val="en-GB"/>
        </w:rPr>
        <w:t xml:space="preserve">The thesis will proceed in the following way: first, the relevant debates in the literature will be introduced. Based on these debates, the theoretical framework is explained </w:t>
      </w:r>
      <w:r w:rsidR="00A4738A" w:rsidRPr="00317CB4">
        <w:rPr>
          <w:lang w:val="en-GB"/>
        </w:rPr>
        <w:t>and theoretically informed expectations are formulated in chapter 3</w:t>
      </w:r>
      <w:r w:rsidRPr="00317CB4">
        <w:rPr>
          <w:lang w:val="en-GB"/>
        </w:rPr>
        <w:t xml:space="preserve">. Chapter 4 then outlines the methodology of this thesis which includes the research design, method, and case selection. Following this, the </w:t>
      </w:r>
      <w:r w:rsidR="00A4738A" w:rsidRPr="00317CB4">
        <w:rPr>
          <w:lang w:val="en-GB"/>
        </w:rPr>
        <w:t>analysis is</w:t>
      </w:r>
      <w:r w:rsidRPr="00317CB4">
        <w:rPr>
          <w:lang w:val="en-GB"/>
        </w:rPr>
        <w:t xml:space="preserve"> presented</w:t>
      </w:r>
      <w:r w:rsidR="009F14C1" w:rsidRPr="00317CB4">
        <w:rPr>
          <w:lang w:val="en-GB"/>
        </w:rPr>
        <w:t xml:space="preserve"> in Chapter 5</w:t>
      </w:r>
      <w:r w:rsidRPr="00317CB4">
        <w:rPr>
          <w:lang w:val="en-GB"/>
        </w:rPr>
        <w:t xml:space="preserve">. This will all be summed up in the final chapter and the answer to the research question is presented. </w:t>
      </w:r>
    </w:p>
    <w:p w14:paraId="53FE0774" w14:textId="5C9081A0" w:rsidR="00CE647B" w:rsidRPr="00317CB4" w:rsidRDefault="00CE647B" w:rsidP="00AF1D56">
      <w:pPr>
        <w:pStyle w:val="ListParagraph"/>
        <w:numPr>
          <w:ilvl w:val="0"/>
          <w:numId w:val="14"/>
        </w:numPr>
        <w:spacing w:line="360" w:lineRule="auto"/>
        <w:rPr>
          <w:b/>
          <w:bCs/>
          <w:color w:val="2F5496" w:themeColor="accent1" w:themeShade="BF"/>
          <w:sz w:val="32"/>
          <w:szCs w:val="32"/>
          <w:lang w:val="en-GB"/>
        </w:rPr>
      </w:pPr>
      <w:r w:rsidRPr="00317CB4">
        <w:rPr>
          <w:b/>
          <w:bCs/>
          <w:color w:val="2F5496" w:themeColor="accent1" w:themeShade="BF"/>
          <w:sz w:val="32"/>
          <w:szCs w:val="32"/>
          <w:lang w:val="en-GB"/>
        </w:rPr>
        <w:t xml:space="preserve">Literature Review </w:t>
      </w:r>
    </w:p>
    <w:p w14:paraId="208278B0" w14:textId="510D5E86" w:rsidR="004B564E" w:rsidRPr="00317CB4" w:rsidRDefault="0038601F" w:rsidP="004B564E">
      <w:pPr>
        <w:spacing w:line="360" w:lineRule="auto"/>
        <w:rPr>
          <w:lang w:val="en-GB"/>
        </w:rPr>
      </w:pPr>
      <w:r w:rsidRPr="00317CB4">
        <w:rPr>
          <w:lang w:val="en-GB"/>
        </w:rPr>
        <w:t xml:space="preserve">Several concepts require </w:t>
      </w:r>
      <w:r w:rsidR="00B477A2" w:rsidRPr="00317CB4">
        <w:rPr>
          <w:lang w:val="en-GB"/>
        </w:rPr>
        <w:t xml:space="preserve">an elaboration to derive the focus of this research. The first strand of literature that is introduced concerns core state powers. This </w:t>
      </w:r>
      <w:r w:rsidR="009E1EF0" w:rsidRPr="00317CB4">
        <w:rPr>
          <w:lang w:val="en-GB"/>
        </w:rPr>
        <w:t xml:space="preserve">concept is essential to illustrate the position of Frontex within the framework of EU politics, and why tensions can arise from the dynamic inherent to it. </w:t>
      </w:r>
      <w:r w:rsidR="00D60DFB" w:rsidRPr="00317CB4">
        <w:rPr>
          <w:lang w:val="en-GB"/>
        </w:rPr>
        <w:t>The fact that Frontex is at the centre of this thesis implies that the previously mentioned phenomenon of agencification require</w:t>
      </w:r>
      <w:r w:rsidR="00BD2637" w:rsidRPr="00317CB4">
        <w:rPr>
          <w:lang w:val="en-GB"/>
        </w:rPr>
        <w:t>s</w:t>
      </w:r>
      <w:r w:rsidR="00D60DFB" w:rsidRPr="00317CB4">
        <w:rPr>
          <w:lang w:val="en-GB"/>
        </w:rPr>
        <w:t xml:space="preserve"> an elaboration. </w:t>
      </w:r>
      <w:r w:rsidR="00BD2637" w:rsidRPr="00317CB4">
        <w:rPr>
          <w:lang w:val="en-GB"/>
        </w:rPr>
        <w:t xml:space="preserve">That is because it provides the necessary context to understand why agency’s can perform important functions in European politics. Another reason for the importance to highlight agencification is </w:t>
      </w:r>
      <w:r w:rsidR="00D60DFB" w:rsidRPr="00317CB4">
        <w:rPr>
          <w:lang w:val="en-GB"/>
        </w:rPr>
        <w:t>because Frontex is acting on the national territories of the member states, but also receiving directions from the EU</w:t>
      </w:r>
      <w:r w:rsidR="00BD2637" w:rsidRPr="00317CB4">
        <w:rPr>
          <w:lang w:val="en-GB"/>
        </w:rPr>
        <w:t xml:space="preserve">. It is thus an agency that </w:t>
      </w:r>
      <w:r w:rsidR="00B74028" w:rsidRPr="00317CB4">
        <w:rPr>
          <w:lang w:val="en-GB"/>
        </w:rPr>
        <w:t xml:space="preserve">can provide further insights to </w:t>
      </w:r>
      <w:r w:rsidR="00D60DFB" w:rsidRPr="00317CB4">
        <w:rPr>
          <w:lang w:val="en-GB"/>
        </w:rPr>
        <w:t>the debate around core state power</w:t>
      </w:r>
      <w:r w:rsidR="00B74028" w:rsidRPr="00317CB4">
        <w:rPr>
          <w:lang w:val="en-GB"/>
        </w:rPr>
        <w:t xml:space="preserve"> dynamics</w:t>
      </w:r>
      <w:r w:rsidR="00D60DFB" w:rsidRPr="00317CB4">
        <w:rPr>
          <w:lang w:val="en-GB"/>
        </w:rPr>
        <w:t>. This will help to determine in who</w:t>
      </w:r>
      <w:r w:rsidR="005C1184" w:rsidRPr="00317CB4">
        <w:rPr>
          <w:lang w:val="en-GB"/>
        </w:rPr>
        <w:t>se</w:t>
      </w:r>
      <w:r w:rsidR="00D60DFB" w:rsidRPr="00317CB4">
        <w:rPr>
          <w:lang w:val="en-GB"/>
        </w:rPr>
        <w:t xml:space="preserve"> area of competence Frontex sits in the most because even though it is dependent on the support of both member states and EU institutions, one side’s demands are expected to prevail over the other’s. Frontex therefore has to weigh out its options when action is taken – what action will be best for the agency to maintain its legitimacy when responding to the demands of its public? </w:t>
      </w:r>
    </w:p>
    <w:p w14:paraId="7AD4A300" w14:textId="5135F557" w:rsidR="004B564E" w:rsidRPr="00317CB4" w:rsidRDefault="00CE647B" w:rsidP="004B564E">
      <w:pPr>
        <w:pStyle w:val="ListParagraph"/>
        <w:numPr>
          <w:ilvl w:val="1"/>
          <w:numId w:val="32"/>
        </w:numPr>
        <w:spacing w:line="360" w:lineRule="auto"/>
        <w:rPr>
          <w:b/>
          <w:bCs/>
          <w:color w:val="2F5496" w:themeColor="accent1" w:themeShade="BF"/>
          <w:lang w:val="en-GB"/>
        </w:rPr>
      </w:pPr>
      <w:r w:rsidRPr="00317CB4">
        <w:rPr>
          <w:b/>
          <w:bCs/>
          <w:color w:val="2F5496" w:themeColor="accent1" w:themeShade="BF"/>
          <w:sz w:val="24"/>
          <w:szCs w:val="24"/>
          <w:lang w:val="en-GB"/>
        </w:rPr>
        <w:t xml:space="preserve">Core state powers </w:t>
      </w:r>
    </w:p>
    <w:p w14:paraId="0C20FF26" w14:textId="0838CF3A" w:rsidR="00CE647B" w:rsidRPr="00317CB4" w:rsidRDefault="00CE647B" w:rsidP="00B1513F">
      <w:pPr>
        <w:spacing w:line="360" w:lineRule="auto"/>
        <w:rPr>
          <w:lang w:val="en-GB"/>
        </w:rPr>
      </w:pPr>
      <w:r w:rsidRPr="00317CB4">
        <w:rPr>
          <w:lang w:val="en-GB"/>
        </w:rPr>
        <w:t>As already explained in the introduction, Frontex sits at an intersection between the EU institutions and the member states. That is because it is not entirely clear on who</w:t>
      </w:r>
      <w:r w:rsidR="004534A7" w:rsidRPr="00317CB4">
        <w:rPr>
          <w:lang w:val="en-GB"/>
        </w:rPr>
        <w:t>se</w:t>
      </w:r>
      <w:r w:rsidRPr="00317CB4">
        <w:rPr>
          <w:lang w:val="en-GB"/>
        </w:rPr>
        <w:t xml:space="preserve"> directions and requests the agency is acting. This </w:t>
      </w:r>
      <w:r w:rsidR="00B74028" w:rsidRPr="00317CB4">
        <w:rPr>
          <w:lang w:val="en-GB"/>
        </w:rPr>
        <w:t>“</w:t>
      </w:r>
      <w:r w:rsidRPr="00317CB4">
        <w:rPr>
          <w:lang w:val="en-GB"/>
        </w:rPr>
        <w:t>situationship</w:t>
      </w:r>
      <w:r w:rsidR="00B74028" w:rsidRPr="00317CB4">
        <w:rPr>
          <w:lang w:val="en-GB"/>
        </w:rPr>
        <w:t>”</w:t>
      </w:r>
      <w:r w:rsidRPr="00317CB4">
        <w:rPr>
          <w:lang w:val="en-GB"/>
        </w:rPr>
        <w:t xml:space="preserve"> becomes even clearer when it is discussed in light of the debate surrounding core state powers. Defining and discussing core state powers heavily relies on the various works contributed to academia by Philipp Genschel and Markus Jachtenfuchs. </w:t>
      </w:r>
    </w:p>
    <w:p w14:paraId="03BAE539" w14:textId="77777777" w:rsidR="00257EFB" w:rsidRPr="00317CB4" w:rsidRDefault="00CE647B" w:rsidP="00ED047B">
      <w:pPr>
        <w:spacing w:line="360" w:lineRule="auto"/>
        <w:ind w:firstLine="720"/>
        <w:rPr>
          <w:lang w:val="en-GB"/>
        </w:rPr>
      </w:pPr>
      <w:r w:rsidRPr="00317CB4">
        <w:rPr>
          <w:lang w:val="en-GB"/>
        </w:rPr>
        <w:t xml:space="preserve">When the EU was created, the focus was placed on increased economic and political cooperation between the founding six member states, but additional policy areas were included in this idea for cooperation as the years went on. This advancement into more policy area especially came into effect with the Single European Act (SEA) in 1986 as this additional Treaty is argued to be an </w:t>
      </w:r>
      <w:r w:rsidRPr="00317CB4">
        <w:rPr>
          <w:lang w:val="en-GB"/>
        </w:rPr>
        <w:lastRenderedPageBreak/>
        <w:t xml:space="preserve">advancement of the EU’s supranational institutions into the member state’s core state powers (Genschel &amp; Jachtenfuchs, 2016). </w:t>
      </w:r>
    </w:p>
    <w:p w14:paraId="4507626B" w14:textId="1C6DF9FE" w:rsidR="00663D6F" w:rsidRPr="00317CB4" w:rsidRDefault="00CE647B" w:rsidP="00ED047B">
      <w:pPr>
        <w:spacing w:line="360" w:lineRule="auto"/>
        <w:ind w:firstLine="720"/>
        <w:rPr>
          <w:lang w:val="en-GB"/>
        </w:rPr>
      </w:pPr>
      <w:r w:rsidRPr="00317CB4">
        <w:rPr>
          <w:lang w:val="en-GB"/>
        </w:rPr>
        <w:t>Traditionally, it is up to the governments of a country to make decisions that concern the core functions of their territory, such as the forces of coercion (police, military, border) and the maintenance of the bureaucracy by raising and spending public revenue</w:t>
      </w:r>
      <w:r w:rsidR="00A25156" w:rsidRPr="00317CB4">
        <w:rPr>
          <w:lang w:val="en-GB"/>
        </w:rPr>
        <w:t xml:space="preserve"> via taxes</w:t>
      </w:r>
      <w:r w:rsidRPr="00317CB4">
        <w:rPr>
          <w:lang w:val="en-GB"/>
        </w:rPr>
        <w:t xml:space="preserve"> (Freudlsperger &amp; Jachtenfuchs, 2021; Genschel &amp; Jachtenfuchs, 2015). It is generally argued that it is possible to a certain degree for the EU to take over these functions from the member states, and this has been witnessed to happen more and more through each additional treaty (Genschel et al., 2023). The SEA was thus the starting point and the Maastricht Treaty is argued to be the continuation of the EU advancing into these core state functions – one example is the creation of the European Monetary Union (EMU) which united the participating states in a </w:t>
      </w:r>
      <w:r w:rsidR="00567610" w:rsidRPr="00317CB4">
        <w:rPr>
          <w:lang w:val="en-GB"/>
        </w:rPr>
        <w:t>monetary</w:t>
      </w:r>
      <w:r w:rsidRPr="00317CB4">
        <w:rPr>
          <w:lang w:val="en-GB"/>
        </w:rPr>
        <w:t xml:space="preserve"> union through a EU </w:t>
      </w:r>
      <w:r w:rsidR="00236E86" w:rsidRPr="00317CB4">
        <w:rPr>
          <w:lang w:val="en-GB"/>
        </w:rPr>
        <w:t>Treaty</w:t>
      </w:r>
      <w:r w:rsidRPr="00317CB4">
        <w:rPr>
          <w:lang w:val="en-GB"/>
        </w:rPr>
        <w:t xml:space="preserve"> (van der Veer, 2020). The EMU is also an example of the asymmetry that accompanies the EU’s advancement into core state powers, as it was possible for member states to opt out of this </w:t>
      </w:r>
      <w:r w:rsidR="00236E86" w:rsidRPr="00317CB4">
        <w:rPr>
          <w:lang w:val="en-GB"/>
        </w:rPr>
        <w:t>treaty</w:t>
      </w:r>
      <w:r w:rsidRPr="00317CB4">
        <w:rPr>
          <w:lang w:val="en-GB"/>
        </w:rPr>
        <w:t xml:space="preserve">. </w:t>
      </w:r>
      <w:r w:rsidR="004534A7" w:rsidRPr="00317CB4">
        <w:rPr>
          <w:lang w:val="en-GB"/>
        </w:rPr>
        <w:t>From this also stems</w:t>
      </w:r>
      <w:r w:rsidRPr="00317CB4">
        <w:rPr>
          <w:lang w:val="en-GB"/>
        </w:rPr>
        <w:t xml:space="preserve"> an uneven distribution of burden-sharing (Freudlsperger &amp; Jachtenfuchs, 2021). The same is the case for the common European border and migration policy which makes it difficult for the EU to successfully and convincingly advance into core state powers. These kinds of fields are very close to the essence of what constitutes national sovereignty which implies that they hold a high level of saliency in national debates. Because they are so frequently discussed and include long-lasting debates, progress to convince the national government to allow the EU to include these policy fields under the supranational banner is slow (Freudlsperger &amp; Jachtenfuchs, 2021; Schimmelfennig et al., 2015). Yet, national governments are happy to delegate tasks that touch upon core state powers to third actors, because through regulation</w:t>
      </w:r>
      <w:r w:rsidR="00F81CF4" w:rsidRPr="00317CB4">
        <w:rPr>
          <w:lang w:val="en-GB"/>
        </w:rPr>
        <w:t>s</w:t>
      </w:r>
      <w:r w:rsidRPr="00317CB4">
        <w:rPr>
          <w:lang w:val="en-GB"/>
        </w:rPr>
        <w:t xml:space="preserve"> these actors can be bound to uphold an agreement that protects the national sovereignty and does not lead to a transferral of core state power to the EU institutions. These third actors are usually agencies that can exercise a certain degree of regulatory oversight in the field they have been charged with (Freudlsperger &amp; Jachtenfuchs, 2021). </w:t>
      </w:r>
    </w:p>
    <w:p w14:paraId="0F700156" w14:textId="3AF2C370" w:rsidR="00922EEA" w:rsidRPr="00317CB4" w:rsidRDefault="00922EEA" w:rsidP="004B564E">
      <w:pPr>
        <w:pStyle w:val="ListParagraph"/>
        <w:numPr>
          <w:ilvl w:val="1"/>
          <w:numId w:val="32"/>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Agencification </w:t>
      </w:r>
    </w:p>
    <w:p w14:paraId="1B2D02CA" w14:textId="4C760A67" w:rsidR="00FA54BA" w:rsidRPr="00317CB4" w:rsidRDefault="00A25156" w:rsidP="00922EEA">
      <w:pPr>
        <w:spacing w:line="360" w:lineRule="auto"/>
        <w:rPr>
          <w:lang w:val="en-GB"/>
        </w:rPr>
      </w:pPr>
      <w:r w:rsidRPr="00317CB4">
        <w:rPr>
          <w:lang w:val="en-GB"/>
        </w:rPr>
        <w:t>A</w:t>
      </w:r>
      <w:r w:rsidR="00567610" w:rsidRPr="00317CB4">
        <w:rPr>
          <w:lang w:val="en-GB"/>
        </w:rPr>
        <w:t xml:space="preserve">gencies are </w:t>
      </w:r>
      <w:r w:rsidR="00236E86" w:rsidRPr="00317CB4">
        <w:rPr>
          <w:lang w:val="en-GB"/>
        </w:rPr>
        <w:t xml:space="preserve">argued to be </w:t>
      </w:r>
      <w:r w:rsidR="00567610" w:rsidRPr="00317CB4">
        <w:rPr>
          <w:lang w:val="en-GB"/>
        </w:rPr>
        <w:t xml:space="preserve">the middle-ground </w:t>
      </w:r>
      <w:r w:rsidR="00236E86" w:rsidRPr="00317CB4">
        <w:rPr>
          <w:lang w:val="en-GB"/>
        </w:rPr>
        <w:t>for compromise</w:t>
      </w:r>
      <w:r w:rsidR="003B752A" w:rsidRPr="00317CB4">
        <w:rPr>
          <w:lang w:val="en-GB"/>
        </w:rPr>
        <w:t xml:space="preserve"> in the core state power debates</w:t>
      </w:r>
      <w:r w:rsidR="00E15D8B" w:rsidRPr="00317CB4">
        <w:rPr>
          <w:lang w:val="en-GB"/>
        </w:rPr>
        <w:t xml:space="preserve"> (Genschel &amp; Jachtenfuchs, 2021)</w:t>
      </w:r>
      <w:r w:rsidR="00567610" w:rsidRPr="00317CB4">
        <w:rPr>
          <w:lang w:val="en-GB"/>
        </w:rPr>
        <w:t xml:space="preserve">. One field in which an agency has presented itself to be a good vehicle for </w:t>
      </w:r>
      <w:r w:rsidR="00236E86" w:rsidRPr="00317CB4">
        <w:rPr>
          <w:lang w:val="en-GB"/>
        </w:rPr>
        <w:t xml:space="preserve">such </w:t>
      </w:r>
      <w:r w:rsidR="00567610" w:rsidRPr="00317CB4">
        <w:rPr>
          <w:lang w:val="en-GB"/>
        </w:rPr>
        <w:t>compromise is migration and asylum policy. Frontex is the agency that ha</w:t>
      </w:r>
      <w:r w:rsidR="00E41F1F" w:rsidRPr="00317CB4">
        <w:rPr>
          <w:lang w:val="en-GB"/>
        </w:rPr>
        <w:t>s been tasked with ensuring that the European external border receives sufficient attention and safeguarding. Since the migration crisis began in 2015, this area has received even more attention, and as a direct consequence, Frontex’ mandate has been vastly expanded</w:t>
      </w:r>
      <w:r w:rsidR="00236E86" w:rsidRPr="00317CB4">
        <w:rPr>
          <w:lang w:val="en-GB"/>
        </w:rPr>
        <w:t>, in 2016 and 2019</w:t>
      </w:r>
      <w:r w:rsidR="00E41F1F" w:rsidRPr="00317CB4">
        <w:rPr>
          <w:lang w:val="en-GB"/>
        </w:rPr>
        <w:t xml:space="preserve">. The expansion of Frontex’ mandate </w:t>
      </w:r>
      <w:r w:rsidR="00FA54BA" w:rsidRPr="00317CB4">
        <w:rPr>
          <w:lang w:val="en-GB"/>
        </w:rPr>
        <w:t>falls into the newly coined umbrella-term ‘agencification’, a phenomenon observed in recent years that describes the transformation and increase of power in European regulatory agencies (Meissner, 2017; Scholten &amp; van Rijsbergen, 2014; Schout &amp; Pereyra, 2011).</w:t>
      </w:r>
      <w:r w:rsidR="000F1073" w:rsidRPr="00317CB4">
        <w:rPr>
          <w:lang w:val="en-GB"/>
        </w:rPr>
        <w:t xml:space="preserve"> </w:t>
      </w:r>
      <w:r w:rsidR="00356AB9" w:rsidRPr="00317CB4">
        <w:rPr>
          <w:lang w:val="en-GB"/>
        </w:rPr>
        <w:t>T</w:t>
      </w:r>
      <w:r w:rsidR="000F1073" w:rsidRPr="00317CB4">
        <w:rPr>
          <w:lang w:val="en-GB"/>
        </w:rPr>
        <w:t xml:space="preserve">he expansion of </w:t>
      </w:r>
      <w:r w:rsidR="00356AB9" w:rsidRPr="00317CB4">
        <w:rPr>
          <w:lang w:val="en-GB"/>
        </w:rPr>
        <w:t xml:space="preserve">Frontex’ </w:t>
      </w:r>
      <w:r w:rsidR="000F1073" w:rsidRPr="00317CB4">
        <w:rPr>
          <w:lang w:val="en-GB"/>
        </w:rPr>
        <w:t>mandate</w:t>
      </w:r>
      <w:r w:rsidR="00550CF0" w:rsidRPr="00317CB4">
        <w:rPr>
          <w:lang w:val="en-GB"/>
        </w:rPr>
        <w:t xml:space="preserve"> is</w:t>
      </w:r>
      <w:r w:rsidR="000F1073" w:rsidRPr="00317CB4">
        <w:rPr>
          <w:lang w:val="en-GB"/>
        </w:rPr>
        <w:t xml:space="preserve"> </w:t>
      </w:r>
      <w:r w:rsidR="00550CF0" w:rsidRPr="00317CB4">
        <w:rPr>
          <w:lang w:val="en-GB"/>
        </w:rPr>
        <w:t>examined</w:t>
      </w:r>
      <w:r w:rsidR="000F1073" w:rsidRPr="00317CB4">
        <w:rPr>
          <w:lang w:val="en-GB"/>
        </w:rPr>
        <w:t xml:space="preserve"> </w:t>
      </w:r>
      <w:r w:rsidR="00AD6332" w:rsidRPr="00317CB4">
        <w:rPr>
          <w:lang w:val="en-GB"/>
        </w:rPr>
        <w:t>later on</w:t>
      </w:r>
      <w:r w:rsidR="00AD6332" w:rsidRPr="00317CB4">
        <w:rPr>
          <w:lang w:val="en-GB"/>
        </w:rPr>
        <w:t xml:space="preserve"> </w:t>
      </w:r>
      <w:r w:rsidR="000F1073" w:rsidRPr="00317CB4">
        <w:rPr>
          <w:lang w:val="en-GB"/>
        </w:rPr>
        <w:lastRenderedPageBreak/>
        <w:t xml:space="preserve">to see whether it represents an advancement into the EU member states’ core state powers and how this can be reason for tension between institutions and member states, with Frontex right between them. </w:t>
      </w:r>
    </w:p>
    <w:p w14:paraId="56F000D4" w14:textId="74DCAB7D" w:rsidR="00922EEA" w:rsidRPr="00317CB4" w:rsidRDefault="00922EEA" w:rsidP="00FD310A">
      <w:pPr>
        <w:spacing w:line="360" w:lineRule="auto"/>
        <w:ind w:firstLine="720"/>
        <w:rPr>
          <w:lang w:val="en-GB"/>
        </w:rPr>
      </w:pPr>
      <w:r w:rsidRPr="00317CB4">
        <w:rPr>
          <w:lang w:val="en-GB"/>
        </w:rPr>
        <w:t>Agencification is to be seen as the proliferation of European agencies, i.e. the excessive increase of more agencies in recent years, also described as the mushrooming of agencies. This increase is especially to be seen with regulatory agencies, such as Frontex. This kind is created by the Commission to independently carry out a specific task for an indefinite period of time, as opposed to executive agencies which are only created for a short period of time and work in close proximity to the Commission (European Union, 2022; Scholten &amp; van Rijsbergen, 2014; Schout &amp; Pereyra, 2011). Due to their independent nature, regulatory agencies also have certain decision-making and supervisory</w:t>
      </w:r>
      <w:r w:rsidR="00A71423" w:rsidRPr="00317CB4">
        <w:rPr>
          <w:lang w:val="en-GB"/>
        </w:rPr>
        <w:t>’</w:t>
      </w:r>
      <w:r w:rsidRPr="00317CB4">
        <w:rPr>
          <w:lang w:val="en-GB"/>
        </w:rPr>
        <w:t xml:space="preserve"> powers, although that does not extend to the ability to draft and implement regulation. Instead, agencies</w:t>
      </w:r>
      <w:r w:rsidR="00B02646" w:rsidRPr="00317CB4">
        <w:rPr>
          <w:lang w:val="en-GB"/>
        </w:rPr>
        <w:t>’</w:t>
      </w:r>
      <w:r w:rsidRPr="00317CB4">
        <w:rPr>
          <w:lang w:val="en-GB"/>
        </w:rPr>
        <w:t xml:space="preserve"> independence is meant to foster and enhance cooperation between involved actors, e.g. </w:t>
      </w:r>
      <w:r w:rsidR="00F73955" w:rsidRPr="00317CB4">
        <w:rPr>
          <w:lang w:val="en-GB"/>
        </w:rPr>
        <w:t xml:space="preserve">various </w:t>
      </w:r>
      <w:r w:rsidRPr="00317CB4">
        <w:rPr>
          <w:lang w:val="en-GB"/>
        </w:rPr>
        <w:t xml:space="preserve">national governments by providing them with advice and the expertise specific to their policy field. In other words, agencies are meant to act upon their “raison d’être” (Schout &amp; Pereya, 2011). Because regulatory agencies are created by the Commission and are meant to assist the EU member states in their respective policy field, they are subordinate to both, despite their independent nature. They would lend their expert knowledge and in return receive sufficient financial support and administrative staff to carry out the task they were created for (Meissner, 2017). </w:t>
      </w:r>
    </w:p>
    <w:p w14:paraId="505CB4E2" w14:textId="518F3040" w:rsidR="00922EEA" w:rsidRPr="00317CB4" w:rsidRDefault="00922EEA" w:rsidP="00922EEA">
      <w:pPr>
        <w:spacing w:line="360" w:lineRule="auto"/>
        <w:rPr>
          <w:lang w:val="en-GB"/>
        </w:rPr>
      </w:pPr>
      <w:r w:rsidRPr="00317CB4">
        <w:rPr>
          <w:lang w:val="en-GB"/>
        </w:rPr>
        <w:tab/>
        <w:t xml:space="preserve">Subordination to both Commission and European Parliament as well as to the EU member states is also the intended position for Frontex. It was created in 2004 to enhance to cooperation between member states in matters of protection of the external border in response to three main situations: increased migration throughout the </w:t>
      </w:r>
      <w:r w:rsidR="00692CD9" w:rsidRPr="00317CB4">
        <w:rPr>
          <w:lang w:val="en-GB"/>
        </w:rPr>
        <w:t>19</w:t>
      </w:r>
      <w:r w:rsidRPr="00317CB4">
        <w:rPr>
          <w:lang w:val="en-GB"/>
        </w:rPr>
        <w:t>90s, the EU’s 2004 “big bang enlargement” which added 10 member states, and 9/11. Accumulated together, these three raised concerns about the security along Europe’s external borders as it ha</w:t>
      </w:r>
      <w:r w:rsidR="00504508" w:rsidRPr="00317CB4">
        <w:rPr>
          <w:lang w:val="en-GB"/>
        </w:rPr>
        <w:t>s</w:t>
      </w:r>
      <w:r w:rsidRPr="00317CB4">
        <w:rPr>
          <w:lang w:val="en-GB"/>
        </w:rPr>
        <w:t xml:space="preserve"> </w:t>
      </w:r>
      <w:r w:rsidR="005C43B6" w:rsidRPr="00317CB4">
        <w:rPr>
          <w:lang w:val="en-GB"/>
        </w:rPr>
        <w:t>evolved to include</w:t>
      </w:r>
      <w:r w:rsidR="00E30A32" w:rsidRPr="00317CB4">
        <w:rPr>
          <w:lang w:val="en-GB"/>
        </w:rPr>
        <w:t xml:space="preserve"> more landmass over time</w:t>
      </w:r>
      <w:r w:rsidRPr="00317CB4">
        <w:rPr>
          <w:lang w:val="en-GB"/>
        </w:rPr>
        <w:t xml:space="preserve"> (Leonard, 2009; Scholten &amp; van Rijsbergen, 2014). Throughout the years, the Council Regulation that created Frontex (Council Regulation EC 2007/2004) has not stayed the same, in fact, it has received a few add-ons. The addition of new clauses was especially to be seen in the second half of the 2010s following the tensions experienced through the migration crisis 2015. The first strand of literature that is introduced therefore also serves to discuss the merits of an expanded mandate for an EU regulatory agency that derives from the overall agencification phenomenon. </w:t>
      </w:r>
    </w:p>
    <w:p w14:paraId="0F942336" w14:textId="0FDF4CDC" w:rsidR="00922EEA" w:rsidRPr="00317CB4" w:rsidRDefault="00922EEA" w:rsidP="00501513">
      <w:pPr>
        <w:pStyle w:val="ListParagraph"/>
        <w:numPr>
          <w:ilvl w:val="2"/>
          <w:numId w:val="32"/>
        </w:numPr>
        <w:spacing w:line="360" w:lineRule="auto"/>
        <w:rPr>
          <w:b/>
          <w:bCs/>
          <w:color w:val="2F5496" w:themeColor="accent1" w:themeShade="BF"/>
          <w:sz w:val="24"/>
          <w:szCs w:val="24"/>
          <w:lang w:val="en-GB"/>
        </w:rPr>
      </w:pPr>
      <w:bookmarkStart w:id="1" w:name="_Hlk136533134"/>
      <w:r w:rsidRPr="00317CB4">
        <w:rPr>
          <w:b/>
          <w:bCs/>
          <w:color w:val="2F5496" w:themeColor="accent1" w:themeShade="BF"/>
          <w:sz w:val="24"/>
          <w:szCs w:val="24"/>
          <w:lang w:val="en-GB"/>
        </w:rPr>
        <w:t xml:space="preserve">Expanded mandate – good or bad? </w:t>
      </w:r>
    </w:p>
    <w:bookmarkEnd w:id="1"/>
    <w:p w14:paraId="411791AE" w14:textId="157AF926" w:rsidR="00922EEA" w:rsidRPr="00317CB4" w:rsidRDefault="00922EEA" w:rsidP="00922EEA">
      <w:pPr>
        <w:spacing w:line="360" w:lineRule="auto"/>
        <w:rPr>
          <w:lang w:val="en-GB"/>
        </w:rPr>
      </w:pPr>
      <w:r w:rsidRPr="00317CB4">
        <w:rPr>
          <w:lang w:val="en-GB"/>
        </w:rPr>
        <w:t>Underlying the expansion of all regulatory agencies mandates are concerns about their accountability. They are already granted a certain independence in their creation process, but the added changes to an agenc</w:t>
      </w:r>
      <w:r w:rsidR="00550CF0" w:rsidRPr="00317CB4">
        <w:rPr>
          <w:lang w:val="en-GB"/>
        </w:rPr>
        <w:t>y’s</w:t>
      </w:r>
      <w:r w:rsidRPr="00317CB4">
        <w:rPr>
          <w:lang w:val="en-GB"/>
        </w:rPr>
        <w:t xml:space="preserve"> mandate through Council regulation</w:t>
      </w:r>
      <w:r w:rsidR="003A4421" w:rsidRPr="00317CB4">
        <w:rPr>
          <w:lang w:val="en-GB"/>
        </w:rPr>
        <w:t>s</w:t>
      </w:r>
      <w:r w:rsidRPr="00317CB4">
        <w:rPr>
          <w:lang w:val="en-GB"/>
        </w:rPr>
        <w:t xml:space="preserve"> are argued to increase the</w:t>
      </w:r>
      <w:r w:rsidR="003A4421" w:rsidRPr="00317CB4">
        <w:rPr>
          <w:lang w:val="en-GB"/>
        </w:rPr>
        <w:t>ir</w:t>
      </w:r>
      <w:r w:rsidRPr="00317CB4">
        <w:rPr>
          <w:lang w:val="en-GB"/>
        </w:rPr>
        <w:t xml:space="preserve"> independence</w:t>
      </w:r>
      <w:r w:rsidR="003A4421" w:rsidRPr="00317CB4">
        <w:rPr>
          <w:lang w:val="en-GB"/>
        </w:rPr>
        <w:t xml:space="preserve"> from the institutions</w:t>
      </w:r>
      <w:r w:rsidRPr="00317CB4">
        <w:rPr>
          <w:lang w:val="en-GB"/>
        </w:rPr>
        <w:t xml:space="preserve"> even further. This in turn may raise questions about their accountability – can the management board be steered by an external actor, and if yes</w:t>
      </w:r>
      <w:r w:rsidR="00E30A32" w:rsidRPr="00317CB4">
        <w:rPr>
          <w:lang w:val="en-GB"/>
        </w:rPr>
        <w:t xml:space="preserve"> by</w:t>
      </w:r>
      <w:r w:rsidRPr="00317CB4">
        <w:rPr>
          <w:lang w:val="en-GB"/>
        </w:rPr>
        <w:t xml:space="preserve"> who</w:t>
      </w:r>
      <w:r w:rsidR="00E30A32" w:rsidRPr="00317CB4">
        <w:rPr>
          <w:lang w:val="en-GB"/>
        </w:rPr>
        <w:t>m</w:t>
      </w:r>
      <w:r w:rsidRPr="00317CB4">
        <w:rPr>
          <w:lang w:val="en-GB"/>
        </w:rPr>
        <w:t xml:space="preserve"> and in which direction (Nugent, </w:t>
      </w:r>
      <w:r w:rsidRPr="00317CB4">
        <w:rPr>
          <w:lang w:val="en-GB"/>
        </w:rPr>
        <w:lastRenderedPageBreak/>
        <w:t>2017; Scholten &amp; van Rijsbergen, 2014)? From an outside perspective, it is therefore discussed who is holding agencies in any given policy area accountable if the Commission</w:t>
      </w:r>
      <w:r w:rsidR="003A4421" w:rsidRPr="00317CB4">
        <w:rPr>
          <w:lang w:val="en-GB"/>
        </w:rPr>
        <w:t>, Council, and European Parliament</w:t>
      </w:r>
      <w:r w:rsidRPr="00317CB4">
        <w:rPr>
          <w:lang w:val="en-GB"/>
        </w:rPr>
        <w:t xml:space="preserve"> can be ousted from </w:t>
      </w:r>
      <w:r w:rsidR="003A4421" w:rsidRPr="00317CB4">
        <w:rPr>
          <w:lang w:val="en-GB"/>
        </w:rPr>
        <w:t xml:space="preserve">their position of influence they originally hold </w:t>
      </w:r>
      <w:r w:rsidRPr="00317CB4">
        <w:rPr>
          <w:lang w:val="en-GB"/>
        </w:rPr>
        <w:t xml:space="preserve">with every additional </w:t>
      </w:r>
      <w:r w:rsidR="009B4F5D" w:rsidRPr="00317CB4">
        <w:rPr>
          <w:lang w:val="en-GB"/>
        </w:rPr>
        <w:t>r</w:t>
      </w:r>
      <w:r w:rsidRPr="00317CB4">
        <w:rPr>
          <w:lang w:val="en-GB"/>
        </w:rPr>
        <w:t xml:space="preserve">egulation (Scholten &amp; van Rijsbergen, 2014). </w:t>
      </w:r>
    </w:p>
    <w:p w14:paraId="1EF53E9B" w14:textId="2E5B6423" w:rsidR="00CA2F9F" w:rsidRPr="00317CB4" w:rsidRDefault="00922EEA" w:rsidP="00922EEA">
      <w:pPr>
        <w:spacing w:line="360" w:lineRule="auto"/>
        <w:rPr>
          <w:lang w:val="en-GB"/>
        </w:rPr>
      </w:pPr>
      <w:r w:rsidRPr="00317CB4">
        <w:rPr>
          <w:lang w:val="en-GB"/>
        </w:rPr>
        <w:tab/>
        <w:t xml:space="preserve">Naturally, Frontex was also created through a Council Regulation, however, the way leading up to this </w:t>
      </w:r>
      <w:r w:rsidR="009B4F5D" w:rsidRPr="00317CB4">
        <w:rPr>
          <w:lang w:val="en-GB"/>
        </w:rPr>
        <w:t>r</w:t>
      </w:r>
      <w:r w:rsidRPr="00317CB4">
        <w:rPr>
          <w:lang w:val="en-GB"/>
        </w:rPr>
        <w:t xml:space="preserve">egulation was marked with contention between the involved actors about the exact function of </w:t>
      </w:r>
      <w:r w:rsidR="0093572D" w:rsidRPr="00317CB4">
        <w:rPr>
          <w:lang w:val="en-GB"/>
        </w:rPr>
        <w:t>the agency</w:t>
      </w:r>
      <w:r w:rsidRPr="00317CB4">
        <w:rPr>
          <w:lang w:val="en-GB"/>
        </w:rPr>
        <w:t>. The disagreement between the Commission and the Council then led the member states to agree that Frontex</w:t>
      </w:r>
      <w:r w:rsidR="0093572D" w:rsidRPr="00317CB4">
        <w:rPr>
          <w:lang w:val="en-GB"/>
        </w:rPr>
        <w:t xml:space="preserve">’ task should be </w:t>
      </w:r>
      <w:r w:rsidR="00296031" w:rsidRPr="00317CB4">
        <w:rPr>
          <w:lang w:val="en-GB"/>
        </w:rPr>
        <w:t>the enhancement of</w:t>
      </w:r>
      <w:r w:rsidRPr="00317CB4">
        <w:rPr>
          <w:lang w:val="en-GB"/>
        </w:rPr>
        <w:t xml:space="preserve"> cooperation between the countries along the external border to </w:t>
      </w:r>
      <w:r w:rsidR="0093572D" w:rsidRPr="00317CB4">
        <w:rPr>
          <w:lang w:val="en-GB"/>
        </w:rPr>
        <w:t>improve</w:t>
      </w:r>
      <w:r w:rsidRPr="00317CB4">
        <w:rPr>
          <w:lang w:val="en-GB"/>
        </w:rPr>
        <w:t xml:space="preserve"> their border control abilities (Leonard, 2009). This </w:t>
      </w:r>
      <w:r w:rsidR="00296031" w:rsidRPr="00317CB4">
        <w:rPr>
          <w:lang w:val="en-GB"/>
        </w:rPr>
        <w:t xml:space="preserve">initial </w:t>
      </w:r>
      <w:r w:rsidRPr="00317CB4">
        <w:rPr>
          <w:lang w:val="en-GB"/>
        </w:rPr>
        <w:t xml:space="preserve">mandate changed quite significantly in October 2016 as a consequence of the migration crisis. </w:t>
      </w:r>
      <w:r w:rsidR="00337D0B" w:rsidRPr="00317CB4">
        <w:rPr>
          <w:lang w:val="en-GB"/>
        </w:rPr>
        <w:t xml:space="preserve">The crisis </w:t>
      </w:r>
      <w:r w:rsidRPr="00317CB4">
        <w:rPr>
          <w:lang w:val="en-GB"/>
        </w:rPr>
        <w:t xml:space="preserve">made </w:t>
      </w:r>
      <w:r w:rsidR="00337D0B" w:rsidRPr="00317CB4">
        <w:rPr>
          <w:lang w:val="en-GB"/>
        </w:rPr>
        <w:t xml:space="preserve">it </w:t>
      </w:r>
      <w:r w:rsidRPr="00317CB4">
        <w:rPr>
          <w:lang w:val="en-GB"/>
        </w:rPr>
        <w:t xml:space="preserve">clear that relying on </w:t>
      </w:r>
      <w:r w:rsidR="00B02646" w:rsidRPr="00317CB4">
        <w:rPr>
          <w:lang w:val="en-GB"/>
        </w:rPr>
        <w:t>cooperation between</w:t>
      </w:r>
      <w:r w:rsidRPr="00317CB4">
        <w:rPr>
          <w:lang w:val="en-GB"/>
        </w:rPr>
        <w:t xml:space="preserve"> member states and the institutions alone is not enough to successfully protect the external border in the envisioned way (Meissner, 2017), thus, expanding Frontex’ mandate would be beneficial to the acquisition of a solution to the increased number of migrants along the external border. The expanded mandate decided upon in 2016 mainly contributed to increased</w:t>
      </w:r>
      <w:r w:rsidR="0093572D" w:rsidRPr="00317CB4">
        <w:rPr>
          <w:lang w:val="en-GB"/>
        </w:rPr>
        <w:t xml:space="preserve"> contributions</w:t>
      </w:r>
      <w:r w:rsidRPr="00317CB4">
        <w:rPr>
          <w:lang w:val="en-GB"/>
        </w:rPr>
        <w:t xml:space="preserve"> from both member states and institutions in form of financial support to hire more staff and improve </w:t>
      </w:r>
      <w:r w:rsidR="00337D0B" w:rsidRPr="00317CB4">
        <w:rPr>
          <w:lang w:val="en-GB"/>
        </w:rPr>
        <w:t xml:space="preserve">material resources </w:t>
      </w:r>
      <w:r w:rsidRPr="00317CB4">
        <w:rPr>
          <w:lang w:val="en-GB"/>
        </w:rPr>
        <w:t xml:space="preserve">(Perkowski, 2019), but also </w:t>
      </w:r>
      <w:r w:rsidR="00337D0B" w:rsidRPr="00317CB4">
        <w:rPr>
          <w:lang w:val="en-GB"/>
        </w:rPr>
        <w:t xml:space="preserve">some </w:t>
      </w:r>
      <w:r w:rsidR="00620A74" w:rsidRPr="00317CB4">
        <w:rPr>
          <w:lang w:val="en-GB"/>
        </w:rPr>
        <w:t>independence of Frontex</w:t>
      </w:r>
      <w:r w:rsidRPr="00317CB4">
        <w:rPr>
          <w:lang w:val="en-GB"/>
        </w:rPr>
        <w:t xml:space="preserve"> from the member states (Niemann &amp; Zaun, 2018). It was possible for the member states to agree to the increased competences for Frontex in the first place, because the mandates would not result in a power transfer to the Commission. Instead, the member states would retain control over what is happening on their territory (Scholten, 2011). </w:t>
      </w:r>
    </w:p>
    <w:p w14:paraId="1ADC77CE" w14:textId="77777777" w:rsidR="001218EA" w:rsidRPr="00317CB4" w:rsidRDefault="00922EEA" w:rsidP="001218EA">
      <w:pPr>
        <w:spacing w:line="360" w:lineRule="auto"/>
        <w:ind w:firstLine="720"/>
        <w:rPr>
          <w:lang w:val="en-GB"/>
        </w:rPr>
      </w:pPr>
      <w:r w:rsidRPr="00317CB4">
        <w:rPr>
          <w:lang w:val="en-GB"/>
        </w:rPr>
        <w:t xml:space="preserve">Despite these added abilities, Bossong (2019) argues that even then Frontex would only be able to assist in selected areas along the external border, and not everywhere </w:t>
      </w:r>
      <w:r w:rsidR="008B3E3F" w:rsidRPr="00317CB4">
        <w:rPr>
          <w:lang w:val="en-GB"/>
        </w:rPr>
        <w:t>where action is required</w:t>
      </w:r>
      <w:r w:rsidRPr="00317CB4">
        <w:rPr>
          <w:lang w:val="en-GB"/>
        </w:rPr>
        <w:t xml:space="preserve">. That is because even with the increased independence from member states’ scrutiny when Frontex is acting on their territory (Niemann &amp; Zaun, 2018), the member states still retain ultimate authority and responsibility for the protection of their external borders. Slominski and Trauner (2018) summarise the pros and cons of that quite concisely: this is good for the member states because they can prevent unwanted migration into their territory by asking Frontex to carry out forced returns on their behalf. At the same time, transferring this task to Frontex reduces their </w:t>
      </w:r>
      <w:r w:rsidR="008B3E3F" w:rsidRPr="00317CB4">
        <w:rPr>
          <w:lang w:val="en-GB"/>
        </w:rPr>
        <w:t xml:space="preserve">own </w:t>
      </w:r>
      <w:r w:rsidRPr="00317CB4">
        <w:rPr>
          <w:lang w:val="en-GB"/>
        </w:rPr>
        <w:t>sovereignty on the member states’ own territory. The member states would also prefer to not transfer more authority to the Commission when the protection of territory is concerned</w:t>
      </w:r>
      <w:r w:rsidR="008B3E3F" w:rsidRPr="00317CB4">
        <w:rPr>
          <w:lang w:val="en-GB"/>
        </w:rPr>
        <w:t>. If they would allow the Commission to be seen as in charge of border protection, this may be seen as a European supranational institutions advancing into what is thought to be the member states’ domain</w:t>
      </w:r>
      <w:r w:rsidRPr="00317CB4">
        <w:rPr>
          <w:lang w:val="en-GB"/>
        </w:rPr>
        <w:t>.</w:t>
      </w:r>
      <w:r w:rsidRPr="00317CB4">
        <w:rPr>
          <w:i/>
          <w:iCs/>
          <w:lang w:val="en-GB"/>
        </w:rPr>
        <w:t xml:space="preserve"> </w:t>
      </w:r>
    </w:p>
    <w:p w14:paraId="0E41DAB5" w14:textId="737BAC66" w:rsidR="00922EEA" w:rsidRPr="00317CB4" w:rsidRDefault="00922EEA" w:rsidP="001218EA">
      <w:pPr>
        <w:spacing w:line="360" w:lineRule="auto"/>
        <w:ind w:firstLine="720"/>
        <w:rPr>
          <w:lang w:val="en-GB"/>
        </w:rPr>
      </w:pPr>
      <w:r w:rsidRPr="00317CB4">
        <w:rPr>
          <w:lang w:val="en-GB"/>
        </w:rPr>
        <w:t>As a direct consequence of this dilemma, in both 2016 and 201</w:t>
      </w:r>
      <w:r w:rsidR="008D27F5" w:rsidRPr="00317CB4">
        <w:rPr>
          <w:lang w:val="en-GB"/>
        </w:rPr>
        <w:t>9</w:t>
      </w:r>
      <w:r w:rsidRPr="00317CB4">
        <w:rPr>
          <w:lang w:val="en-GB"/>
        </w:rPr>
        <w:t xml:space="preserve">, most member states rejected the assistance offered by Frontex to control and secure their borders. The reason was that they saw a violation in their national sovereignty in Frontex taking over action that can also be accomplished by </w:t>
      </w:r>
      <w:r w:rsidRPr="00317CB4">
        <w:rPr>
          <w:lang w:val="en-GB"/>
        </w:rPr>
        <w:lastRenderedPageBreak/>
        <w:t>national protection services (Bossong, 2019). The expanded mandate</w:t>
      </w:r>
      <w:r w:rsidR="00203C74" w:rsidRPr="00317CB4">
        <w:rPr>
          <w:lang w:val="en-GB"/>
        </w:rPr>
        <w:t>s</w:t>
      </w:r>
      <w:r w:rsidRPr="00317CB4">
        <w:rPr>
          <w:lang w:val="en-GB"/>
        </w:rPr>
        <w:t xml:space="preserve"> can consequently be argued to have increased Frontex’ capabilities, but not in a way that lends ultimate efficiency to these abilities: the member states retain a certain veto function on their territory that restricts Frontex’ range of action significantly. Frontex therefore has to adhere to the individual member states preference if it wants to take action in a specific territory</w:t>
      </w:r>
      <w:r w:rsidR="008D27F5" w:rsidRPr="00317CB4">
        <w:rPr>
          <w:lang w:val="en-GB"/>
        </w:rPr>
        <w:t xml:space="preserve"> as a consequence of the expanded mandates</w:t>
      </w:r>
      <w:r w:rsidRPr="00317CB4">
        <w:rPr>
          <w:lang w:val="en-GB"/>
        </w:rPr>
        <w:t xml:space="preserve">. </w:t>
      </w:r>
    </w:p>
    <w:p w14:paraId="046BEBDE" w14:textId="37F5E875" w:rsidR="00663D6F" w:rsidRPr="00317CB4" w:rsidRDefault="00663D6F" w:rsidP="00501513">
      <w:pPr>
        <w:pStyle w:val="ListParagraph"/>
        <w:numPr>
          <w:ilvl w:val="2"/>
          <w:numId w:val="32"/>
        </w:numPr>
        <w:spacing w:line="360" w:lineRule="auto"/>
        <w:rPr>
          <w:b/>
          <w:bCs/>
          <w:color w:val="2F5496" w:themeColor="accent1" w:themeShade="BF"/>
          <w:sz w:val="24"/>
          <w:szCs w:val="24"/>
          <w:lang w:val="en-GB"/>
        </w:rPr>
      </w:pPr>
      <w:bookmarkStart w:id="2" w:name="_Hlk136533167"/>
      <w:r w:rsidRPr="00317CB4">
        <w:rPr>
          <w:b/>
          <w:bCs/>
          <w:color w:val="2F5496" w:themeColor="accent1" w:themeShade="BF"/>
          <w:sz w:val="24"/>
          <w:szCs w:val="24"/>
          <w:lang w:val="en-GB"/>
        </w:rPr>
        <w:t>Tipping the scale – member state</w:t>
      </w:r>
      <w:r w:rsidR="004A0B9D" w:rsidRPr="00317CB4">
        <w:rPr>
          <w:b/>
          <w:bCs/>
          <w:color w:val="2F5496" w:themeColor="accent1" w:themeShade="BF"/>
          <w:sz w:val="24"/>
          <w:szCs w:val="24"/>
          <w:lang w:val="en-GB"/>
        </w:rPr>
        <w:t xml:space="preserve"> government</w:t>
      </w:r>
      <w:r w:rsidRPr="00317CB4">
        <w:rPr>
          <w:b/>
          <w:bCs/>
          <w:color w:val="2F5496" w:themeColor="accent1" w:themeShade="BF"/>
          <w:sz w:val="24"/>
          <w:szCs w:val="24"/>
          <w:lang w:val="en-GB"/>
        </w:rPr>
        <w:t xml:space="preserve">s or </w:t>
      </w:r>
      <w:r w:rsidR="004A0B9D" w:rsidRPr="00317CB4">
        <w:rPr>
          <w:b/>
          <w:bCs/>
          <w:color w:val="2F5496" w:themeColor="accent1" w:themeShade="BF"/>
          <w:sz w:val="24"/>
          <w:szCs w:val="24"/>
          <w:lang w:val="en-GB"/>
        </w:rPr>
        <w:t xml:space="preserve">supranational </w:t>
      </w:r>
      <w:r w:rsidRPr="00317CB4">
        <w:rPr>
          <w:b/>
          <w:bCs/>
          <w:color w:val="2F5496" w:themeColor="accent1" w:themeShade="BF"/>
          <w:sz w:val="24"/>
          <w:szCs w:val="24"/>
          <w:lang w:val="en-GB"/>
        </w:rPr>
        <w:t>institutions?</w:t>
      </w:r>
    </w:p>
    <w:bookmarkEnd w:id="2"/>
    <w:p w14:paraId="4CC1F3E9" w14:textId="02BDDF23" w:rsidR="00CE647B" w:rsidRPr="00317CB4" w:rsidRDefault="001218EA" w:rsidP="00884EF0">
      <w:pPr>
        <w:spacing w:line="360" w:lineRule="auto"/>
        <w:rPr>
          <w:lang w:val="en-GB"/>
        </w:rPr>
      </w:pPr>
      <w:r w:rsidRPr="00317CB4">
        <w:rPr>
          <w:lang w:val="en-GB"/>
        </w:rPr>
        <w:t xml:space="preserve">With the exploration of what core state powers are, and </w:t>
      </w:r>
      <w:r w:rsidR="005768FF" w:rsidRPr="00317CB4">
        <w:rPr>
          <w:lang w:val="en-GB"/>
        </w:rPr>
        <w:t xml:space="preserve">knowing </w:t>
      </w:r>
      <w:r w:rsidRPr="00317CB4">
        <w:rPr>
          <w:lang w:val="en-GB"/>
        </w:rPr>
        <w:t xml:space="preserve">whether or not the expanded mandate of Frontex can be regarded as an </w:t>
      </w:r>
      <w:r w:rsidR="00090FE2" w:rsidRPr="00317CB4">
        <w:rPr>
          <w:lang w:val="en-GB"/>
        </w:rPr>
        <w:t xml:space="preserve">effective tool in increasing the agency’s range of action, it can now be looked at who is the main decision-maker in border protection issues. </w:t>
      </w:r>
      <w:r w:rsidR="008358CE" w:rsidRPr="00317CB4">
        <w:rPr>
          <w:lang w:val="en-GB"/>
        </w:rPr>
        <w:t>Based on that</w:t>
      </w:r>
      <w:r w:rsidR="00884EF0" w:rsidRPr="00317CB4">
        <w:rPr>
          <w:lang w:val="en-GB"/>
        </w:rPr>
        <w:t xml:space="preserve">, </w:t>
      </w:r>
      <w:r w:rsidR="00CE647B" w:rsidRPr="00317CB4">
        <w:rPr>
          <w:lang w:val="en-GB"/>
        </w:rPr>
        <w:t>it can be explored to which extent Frontex is entering the core state powers of the member states, if the member states themselves hold on to them more still</w:t>
      </w:r>
      <w:r w:rsidR="00601E61" w:rsidRPr="00317CB4">
        <w:rPr>
          <w:lang w:val="en-GB"/>
        </w:rPr>
        <w:t>, e.g. via the European Council</w:t>
      </w:r>
      <w:r w:rsidR="00CE647B" w:rsidRPr="00317CB4">
        <w:rPr>
          <w:lang w:val="en-GB"/>
        </w:rPr>
        <w:t>, or if it is actually the EU institutions</w:t>
      </w:r>
      <w:r w:rsidR="0010424B" w:rsidRPr="00317CB4">
        <w:rPr>
          <w:lang w:val="en-GB"/>
        </w:rPr>
        <w:t>, such as the Commission and Parliament,</w:t>
      </w:r>
      <w:r w:rsidR="00CE647B" w:rsidRPr="00317CB4">
        <w:rPr>
          <w:lang w:val="en-GB"/>
        </w:rPr>
        <w:t xml:space="preserve"> that do. Based on this, it can be further determined </w:t>
      </w:r>
      <w:r w:rsidR="005768FF" w:rsidRPr="00317CB4">
        <w:rPr>
          <w:lang w:val="en-GB"/>
        </w:rPr>
        <w:t>to whose</w:t>
      </w:r>
      <w:r w:rsidR="00CE647B" w:rsidRPr="00317CB4">
        <w:rPr>
          <w:lang w:val="en-GB"/>
        </w:rPr>
        <w:t xml:space="preserve"> demands Frontex can primarily be expected to respond</w:t>
      </w:r>
      <w:r w:rsidR="005768FF" w:rsidRPr="00317CB4">
        <w:rPr>
          <w:lang w:val="en-GB"/>
        </w:rPr>
        <w:t>.</w:t>
      </w:r>
      <w:r w:rsidR="00CE647B" w:rsidRPr="00317CB4">
        <w:rPr>
          <w:lang w:val="en-GB"/>
        </w:rPr>
        <w:t xml:space="preserve"> </w:t>
      </w:r>
      <w:r w:rsidR="005768FF" w:rsidRPr="00317CB4">
        <w:rPr>
          <w:lang w:val="en-GB"/>
        </w:rPr>
        <w:t>From there</w:t>
      </w:r>
      <w:r w:rsidR="005768FF" w:rsidRPr="00317CB4">
        <w:rPr>
          <w:lang w:val="en-GB"/>
        </w:rPr>
        <w:t xml:space="preserve"> </w:t>
      </w:r>
      <w:r w:rsidR="00CE647B" w:rsidRPr="00317CB4">
        <w:rPr>
          <w:lang w:val="en-GB"/>
        </w:rPr>
        <w:t xml:space="preserve">it can then be stated who holds more control over the protection of the European external border forces, i.e. an aspect of core state powers. </w:t>
      </w:r>
    </w:p>
    <w:p w14:paraId="5D9C36AF" w14:textId="7437B7EE" w:rsidR="00DC4C50" w:rsidRPr="00317CB4" w:rsidRDefault="00CE647B" w:rsidP="00A84FDB">
      <w:pPr>
        <w:spacing w:line="360" w:lineRule="auto"/>
        <w:rPr>
          <w:lang w:val="en-GB"/>
        </w:rPr>
      </w:pPr>
      <w:r w:rsidRPr="00317CB4">
        <w:rPr>
          <w:lang w:val="en-GB"/>
        </w:rPr>
        <w:tab/>
        <w:t xml:space="preserve">The EU has made many attempts to increase integration through both horizontal differentiation and regulations. </w:t>
      </w:r>
      <w:r w:rsidR="00920FFA" w:rsidRPr="00317CB4">
        <w:rPr>
          <w:lang w:val="en-GB"/>
        </w:rPr>
        <w:t>Horizontal differentiation</w:t>
      </w:r>
      <w:r w:rsidRPr="00317CB4">
        <w:rPr>
          <w:lang w:val="en-GB"/>
        </w:rPr>
        <w:t xml:space="preserve"> primarily concerns debts, taxes, border checks, and asylum procedures which are traditionally left to the national governments to complete because they are part of core state powers (Genschel &amp; Jachtenfuchs, 2016). Through </w:t>
      </w:r>
      <w:r w:rsidR="000F46DE" w:rsidRPr="00317CB4">
        <w:rPr>
          <w:lang w:val="en-GB"/>
        </w:rPr>
        <w:t xml:space="preserve">additional </w:t>
      </w:r>
      <w:r w:rsidRPr="00317CB4">
        <w:rPr>
          <w:lang w:val="en-GB"/>
        </w:rPr>
        <w:t>regulation</w:t>
      </w:r>
      <w:r w:rsidR="000F46DE" w:rsidRPr="00317CB4">
        <w:rPr>
          <w:lang w:val="en-GB"/>
        </w:rPr>
        <w:t>s</w:t>
      </w:r>
      <w:r w:rsidRPr="00317CB4">
        <w:rPr>
          <w:lang w:val="en-GB"/>
        </w:rPr>
        <w:t xml:space="preserve">, these policy areas are then </w:t>
      </w:r>
      <w:r w:rsidR="000F46DE" w:rsidRPr="00317CB4">
        <w:rPr>
          <w:lang w:val="en-GB"/>
        </w:rPr>
        <w:t xml:space="preserve">attempted to be </w:t>
      </w:r>
      <w:r w:rsidRPr="00317CB4">
        <w:rPr>
          <w:lang w:val="en-GB"/>
        </w:rPr>
        <w:t>integrated into the EU institution’s portfolios</w:t>
      </w:r>
      <w:r w:rsidR="000F46DE" w:rsidRPr="00317CB4">
        <w:rPr>
          <w:lang w:val="en-GB"/>
        </w:rPr>
        <w:t>, away from the member state’s competences</w:t>
      </w:r>
      <w:r w:rsidRPr="00317CB4">
        <w:rPr>
          <w:lang w:val="en-GB"/>
        </w:rPr>
        <w:t>. This also applies to Frontex as it was created through a Council Regulation in 2004</w:t>
      </w:r>
      <w:r w:rsidR="000F46DE" w:rsidRPr="00317CB4">
        <w:rPr>
          <w:lang w:val="en-GB"/>
        </w:rPr>
        <w:t xml:space="preserve"> which therefore </w:t>
      </w:r>
      <w:r w:rsidR="006424EF" w:rsidRPr="00317CB4">
        <w:rPr>
          <w:lang w:val="en-GB"/>
        </w:rPr>
        <w:t>gives it</w:t>
      </w:r>
      <w:r w:rsidR="000F46DE" w:rsidRPr="00317CB4">
        <w:rPr>
          <w:lang w:val="en-GB"/>
        </w:rPr>
        <w:t xml:space="preserve"> an institutional origin</w:t>
      </w:r>
      <w:r w:rsidR="003E5300" w:rsidRPr="00317CB4">
        <w:rPr>
          <w:lang w:val="en-GB"/>
        </w:rPr>
        <w:t>, despite the Council being an intergovernmental body</w:t>
      </w:r>
      <w:r w:rsidRPr="00317CB4">
        <w:rPr>
          <w:lang w:val="en-GB"/>
        </w:rPr>
        <w:t xml:space="preserve">. Even though the member states </w:t>
      </w:r>
      <w:r w:rsidR="006424EF" w:rsidRPr="00317CB4">
        <w:rPr>
          <w:lang w:val="en-GB"/>
        </w:rPr>
        <w:t>were, and still are,</w:t>
      </w:r>
      <w:r w:rsidRPr="00317CB4">
        <w:rPr>
          <w:lang w:val="en-GB"/>
        </w:rPr>
        <w:t xml:space="preserve"> hesitant to transfer powers to the institutions, they agreed to the creation of Frontex to achieve a united management of the external borders. </w:t>
      </w:r>
      <w:r w:rsidR="000C3B90" w:rsidRPr="00317CB4">
        <w:rPr>
          <w:lang w:val="en-GB"/>
        </w:rPr>
        <w:t>Despite the</w:t>
      </w:r>
      <w:r w:rsidR="006424EF" w:rsidRPr="00317CB4">
        <w:rPr>
          <w:lang w:val="en-GB"/>
        </w:rPr>
        <w:t xml:space="preserve"> transfer of power to the EU to ensure a common approach to migration and asylum policy, each member state maintained </w:t>
      </w:r>
      <w:r w:rsidR="003E5300" w:rsidRPr="00317CB4">
        <w:rPr>
          <w:lang w:val="en-GB"/>
        </w:rPr>
        <w:t xml:space="preserve">the ability to implement </w:t>
      </w:r>
      <w:r w:rsidR="006424EF" w:rsidRPr="00317CB4">
        <w:rPr>
          <w:lang w:val="en-GB"/>
        </w:rPr>
        <w:t xml:space="preserve">its own preferences in how this policy area </w:t>
      </w:r>
      <w:r w:rsidR="00796618" w:rsidRPr="00317CB4">
        <w:rPr>
          <w:lang w:val="en-GB"/>
        </w:rPr>
        <w:t xml:space="preserve">should be approached. Because the external border is part of the sovereign national territory of each state, the member states preferred it if they gave directions to how Frontex should be managed </w:t>
      </w:r>
      <w:r w:rsidR="0044049A" w:rsidRPr="00317CB4">
        <w:rPr>
          <w:lang w:val="en-GB"/>
        </w:rPr>
        <w:t xml:space="preserve">themselves </w:t>
      </w:r>
      <w:r w:rsidRPr="00317CB4">
        <w:rPr>
          <w:lang w:val="en-GB"/>
        </w:rPr>
        <w:t xml:space="preserve">(Leonard, 2009). </w:t>
      </w:r>
      <w:r w:rsidR="005A7D49" w:rsidRPr="00317CB4">
        <w:rPr>
          <w:lang w:val="en-GB"/>
        </w:rPr>
        <w:t xml:space="preserve">This </w:t>
      </w:r>
      <w:r w:rsidR="00A84FDB" w:rsidRPr="00317CB4">
        <w:rPr>
          <w:lang w:val="en-GB"/>
        </w:rPr>
        <w:t>was</w:t>
      </w:r>
      <w:r w:rsidR="005A7D49" w:rsidRPr="00317CB4">
        <w:rPr>
          <w:lang w:val="en-GB"/>
        </w:rPr>
        <w:t xml:space="preserve"> </w:t>
      </w:r>
      <w:r w:rsidR="00796618" w:rsidRPr="00317CB4">
        <w:rPr>
          <w:lang w:val="en-GB"/>
        </w:rPr>
        <w:t>still</w:t>
      </w:r>
      <w:r w:rsidR="005A7D49" w:rsidRPr="00317CB4">
        <w:rPr>
          <w:lang w:val="en-GB"/>
        </w:rPr>
        <w:t xml:space="preserve"> the case </w:t>
      </w:r>
      <w:r w:rsidR="00796618" w:rsidRPr="00317CB4">
        <w:rPr>
          <w:lang w:val="en-GB"/>
        </w:rPr>
        <w:t xml:space="preserve">when </w:t>
      </w:r>
      <w:r w:rsidR="005A7D49" w:rsidRPr="00317CB4">
        <w:rPr>
          <w:lang w:val="en-GB"/>
        </w:rPr>
        <w:t xml:space="preserve">the migration crisis </w:t>
      </w:r>
      <w:r w:rsidR="00A84FDB" w:rsidRPr="00317CB4">
        <w:rPr>
          <w:lang w:val="en-GB"/>
        </w:rPr>
        <w:t>commenced in 2015.</w:t>
      </w:r>
      <w:r w:rsidR="00DC4C50" w:rsidRPr="00317CB4">
        <w:rPr>
          <w:lang w:val="en-GB"/>
        </w:rPr>
        <w:t xml:space="preserve"> </w:t>
      </w:r>
      <w:r w:rsidR="00737D84" w:rsidRPr="00317CB4">
        <w:rPr>
          <w:lang w:val="en-GB"/>
        </w:rPr>
        <w:t xml:space="preserve">The crisis </w:t>
      </w:r>
      <w:r w:rsidR="00DC4C50" w:rsidRPr="00317CB4">
        <w:rPr>
          <w:lang w:val="en-GB"/>
        </w:rPr>
        <w:t xml:space="preserve">made clear that </w:t>
      </w:r>
      <w:r w:rsidR="00C92E75" w:rsidRPr="00317CB4">
        <w:rPr>
          <w:lang w:val="en-GB"/>
        </w:rPr>
        <w:t>while</w:t>
      </w:r>
      <w:r w:rsidR="00DC4C50" w:rsidRPr="00317CB4">
        <w:rPr>
          <w:lang w:val="en-GB"/>
        </w:rPr>
        <w:t xml:space="preserve"> there is an agency in place to ensure that border protection can be managed through Frontex’ expert input, there are </w:t>
      </w:r>
      <w:r w:rsidR="00C92E75" w:rsidRPr="00317CB4">
        <w:rPr>
          <w:lang w:val="en-GB"/>
        </w:rPr>
        <w:t xml:space="preserve">also </w:t>
      </w:r>
      <w:r w:rsidR="00DC4C50" w:rsidRPr="00317CB4">
        <w:rPr>
          <w:lang w:val="en-GB"/>
        </w:rPr>
        <w:t>some deep-rooted disfunctions and shortcomings in the overall set up of asylum and border protection policy area</w:t>
      </w:r>
      <w:r w:rsidR="00A754F8" w:rsidRPr="00317CB4">
        <w:rPr>
          <w:lang w:val="en-GB"/>
        </w:rPr>
        <w:t xml:space="preserve"> that are rooted in the disagreement between member states and institutions</w:t>
      </w:r>
      <w:r w:rsidR="00DC4C50" w:rsidRPr="00317CB4">
        <w:rPr>
          <w:lang w:val="en-GB"/>
        </w:rPr>
        <w:t xml:space="preserve"> (Niemann &amp; Zaun, 2018</w:t>
      </w:r>
      <w:r w:rsidR="000E17F3" w:rsidRPr="00317CB4">
        <w:rPr>
          <w:lang w:val="en-GB"/>
        </w:rPr>
        <w:t xml:space="preserve">). </w:t>
      </w:r>
      <w:r w:rsidR="00A36B79" w:rsidRPr="00317CB4">
        <w:rPr>
          <w:lang w:val="en-GB"/>
        </w:rPr>
        <w:t xml:space="preserve"> </w:t>
      </w:r>
    </w:p>
    <w:p w14:paraId="75A5B75F" w14:textId="588BF686" w:rsidR="00064F9A" w:rsidRPr="00317CB4" w:rsidRDefault="00C47655" w:rsidP="009566D9">
      <w:pPr>
        <w:spacing w:line="360" w:lineRule="auto"/>
        <w:ind w:firstLine="720"/>
        <w:rPr>
          <w:lang w:val="en-GB"/>
        </w:rPr>
      </w:pPr>
      <w:r w:rsidRPr="00317CB4">
        <w:rPr>
          <w:lang w:val="en-GB"/>
        </w:rPr>
        <w:lastRenderedPageBreak/>
        <w:t xml:space="preserve">Specifically, there was a need to streamline the commitment of the member states to decide whether or not they want to commit to the transfer of core state powers to the EU institutions or if they want to hold on to them. Since </w:t>
      </w:r>
      <w:r w:rsidR="007218D9" w:rsidRPr="00317CB4">
        <w:rPr>
          <w:lang w:val="en-GB"/>
        </w:rPr>
        <w:t>border and migration</w:t>
      </w:r>
      <w:r w:rsidRPr="00317CB4">
        <w:rPr>
          <w:lang w:val="en-GB"/>
        </w:rPr>
        <w:t xml:space="preserve"> policies fall into the sphere of core state powers</w:t>
      </w:r>
      <w:r w:rsidR="007218D9" w:rsidRPr="00317CB4">
        <w:rPr>
          <w:lang w:val="en-GB"/>
        </w:rPr>
        <w:t xml:space="preserve"> (Freudlsperger &amp; Jachtenfuchs, 2021; Genschel &amp; Jachtenfuchs, 2015)</w:t>
      </w:r>
      <w:r w:rsidRPr="00317CB4">
        <w:rPr>
          <w:lang w:val="en-GB"/>
        </w:rPr>
        <w:t xml:space="preserve">, </w:t>
      </w:r>
      <w:r w:rsidR="000E17F3" w:rsidRPr="00317CB4">
        <w:rPr>
          <w:lang w:val="en-GB"/>
        </w:rPr>
        <w:t>the migration crisis presented the possibility for such a transfer of power</w:t>
      </w:r>
      <w:r w:rsidR="00677B97" w:rsidRPr="00317CB4">
        <w:rPr>
          <w:lang w:val="en-GB"/>
        </w:rPr>
        <w:t xml:space="preserve">, and Frontex was to be the vehicle for this transfer. As stipulated previously, </w:t>
      </w:r>
      <w:r w:rsidR="007218D9" w:rsidRPr="00317CB4">
        <w:rPr>
          <w:lang w:val="en-GB"/>
        </w:rPr>
        <w:t>national governments are in favour of using agencies to delegate tasks to a third actor to prevent the</w:t>
      </w:r>
      <w:r w:rsidR="00E928B5" w:rsidRPr="00317CB4">
        <w:rPr>
          <w:lang w:val="en-GB"/>
        </w:rPr>
        <w:t xml:space="preserve"> EU institutions from infringing in a matter the member states consider to be within their national sovereignty. </w:t>
      </w:r>
      <w:r w:rsidR="00EE078C" w:rsidRPr="00317CB4">
        <w:rPr>
          <w:lang w:val="en-GB"/>
        </w:rPr>
        <w:t xml:space="preserve">The 2016 </w:t>
      </w:r>
      <w:r w:rsidR="009B4F5D" w:rsidRPr="00317CB4">
        <w:rPr>
          <w:lang w:val="en-GB"/>
        </w:rPr>
        <w:t>R</w:t>
      </w:r>
      <w:r w:rsidR="00EE078C" w:rsidRPr="00317CB4">
        <w:rPr>
          <w:lang w:val="en-GB"/>
        </w:rPr>
        <w:t xml:space="preserve">egulation was meant to bring clarity into this struggle </w:t>
      </w:r>
      <w:r w:rsidR="00E6476C" w:rsidRPr="00317CB4">
        <w:rPr>
          <w:lang w:val="en-GB"/>
        </w:rPr>
        <w:t>and streamline the support for the integration of this core state power into either sphere. Bremer et al. (2020) found that even though there were different levels to it</w:t>
      </w:r>
      <w:r w:rsidR="004B55D2" w:rsidRPr="00317CB4">
        <w:rPr>
          <w:lang w:val="en-GB"/>
        </w:rPr>
        <w:t xml:space="preserve"> in each member state</w:t>
      </w:r>
      <w:r w:rsidR="00E6476C" w:rsidRPr="00317CB4">
        <w:rPr>
          <w:lang w:val="en-GB"/>
        </w:rPr>
        <w:t xml:space="preserve">, there was an overall positive </w:t>
      </w:r>
      <w:r w:rsidR="004B55D2" w:rsidRPr="00317CB4">
        <w:rPr>
          <w:lang w:val="en-GB"/>
        </w:rPr>
        <w:t xml:space="preserve">attitude towards the integration of refugee assistance policies among their sample. </w:t>
      </w:r>
      <w:r w:rsidR="002E1903" w:rsidRPr="00317CB4">
        <w:rPr>
          <w:lang w:val="en-GB"/>
        </w:rPr>
        <w:t>This support was guided by voter preferences though, and not by elite preferences.</w:t>
      </w:r>
      <w:r w:rsidR="003758B9" w:rsidRPr="00317CB4">
        <w:rPr>
          <w:lang w:val="en-GB"/>
        </w:rPr>
        <w:t xml:space="preserve"> </w:t>
      </w:r>
      <w:r w:rsidR="00C16BCB" w:rsidRPr="00317CB4">
        <w:rPr>
          <w:lang w:val="en-GB"/>
        </w:rPr>
        <w:t xml:space="preserve">This support </w:t>
      </w:r>
      <w:r w:rsidR="000343A0" w:rsidRPr="00317CB4">
        <w:rPr>
          <w:lang w:val="en-GB"/>
        </w:rPr>
        <w:t xml:space="preserve">was then subsequently used to introduce the 2019 </w:t>
      </w:r>
      <w:r w:rsidR="009B4F5D" w:rsidRPr="00317CB4">
        <w:rPr>
          <w:lang w:val="en-GB"/>
        </w:rPr>
        <w:t>R</w:t>
      </w:r>
      <w:r w:rsidR="000343A0" w:rsidRPr="00317CB4">
        <w:rPr>
          <w:lang w:val="en-GB"/>
        </w:rPr>
        <w:t xml:space="preserve">egulation, only three short years after the previous addition in competence. This new addition came as a surprise for many onlookers, considering that it had taken 12 years from the original regulation to the 2016 </w:t>
      </w:r>
      <w:r w:rsidR="009B4F5D" w:rsidRPr="00317CB4">
        <w:rPr>
          <w:lang w:val="en-GB"/>
        </w:rPr>
        <w:t>R</w:t>
      </w:r>
      <w:r w:rsidR="000343A0" w:rsidRPr="00317CB4">
        <w:rPr>
          <w:lang w:val="en-GB"/>
        </w:rPr>
        <w:t>egulation (Bossong, 2016; Fernandez-</w:t>
      </w:r>
      <w:r w:rsidR="00EE6E2A" w:rsidRPr="00317CB4">
        <w:rPr>
          <w:lang w:val="en-GB"/>
        </w:rPr>
        <w:t xml:space="preserve">Rojo, 2020). </w:t>
      </w:r>
      <w:r w:rsidR="008959E4" w:rsidRPr="00317CB4">
        <w:rPr>
          <w:lang w:val="en-GB"/>
        </w:rPr>
        <w:t>It includes an expansion of the budget and staff capacities, but also contributes to increase the range of action for Frontex. The border protection staff, for instance, is no longer drafted from the member states, but directly employed by Frontex</w:t>
      </w:r>
      <w:r w:rsidR="005C6F94" w:rsidRPr="00317CB4">
        <w:rPr>
          <w:lang w:val="en-GB"/>
        </w:rPr>
        <w:t xml:space="preserve"> (Deleixhe &amp; Duez, 2019). </w:t>
      </w:r>
    </w:p>
    <w:p w14:paraId="2119D2B3" w14:textId="5AEA9F52" w:rsidR="00AD2398" w:rsidRPr="00317CB4" w:rsidRDefault="000A3E4B" w:rsidP="00502387">
      <w:pPr>
        <w:spacing w:line="360" w:lineRule="auto"/>
        <w:ind w:firstLine="720"/>
        <w:rPr>
          <w:lang w:val="en-GB"/>
        </w:rPr>
      </w:pPr>
      <w:r w:rsidRPr="00317CB4">
        <w:rPr>
          <w:lang w:val="en-GB"/>
        </w:rPr>
        <w:t xml:space="preserve">Even though the existing regulations may </w:t>
      </w:r>
      <w:r w:rsidR="009A4B77" w:rsidRPr="00317CB4">
        <w:rPr>
          <w:lang w:val="en-GB"/>
        </w:rPr>
        <w:t>suggest</w:t>
      </w:r>
      <w:r w:rsidRPr="00317CB4">
        <w:rPr>
          <w:lang w:val="en-GB"/>
        </w:rPr>
        <w:t xml:space="preserve"> a</w:t>
      </w:r>
      <w:r w:rsidR="002B1B32" w:rsidRPr="00317CB4">
        <w:rPr>
          <w:lang w:val="en-GB"/>
        </w:rPr>
        <w:t xml:space="preserve"> preliminary </w:t>
      </w:r>
      <w:r w:rsidR="008358CE" w:rsidRPr="00317CB4">
        <w:rPr>
          <w:lang w:val="en-GB"/>
        </w:rPr>
        <w:t xml:space="preserve">assumption </w:t>
      </w:r>
      <w:r w:rsidR="009A4B77" w:rsidRPr="00317CB4">
        <w:rPr>
          <w:lang w:val="en-GB"/>
        </w:rPr>
        <w:t>that Frontex is more likely to adhere to the member states’ demands</w:t>
      </w:r>
      <w:r w:rsidRPr="00317CB4">
        <w:rPr>
          <w:lang w:val="en-GB"/>
        </w:rPr>
        <w:t xml:space="preserve">, this may very well not translate into real-life output. </w:t>
      </w:r>
      <w:r w:rsidR="00B40EBC" w:rsidRPr="00317CB4">
        <w:rPr>
          <w:lang w:val="en-GB"/>
        </w:rPr>
        <w:t>The conditions under which Frontex deals with the</w:t>
      </w:r>
      <w:r w:rsidR="0070328A" w:rsidRPr="00317CB4">
        <w:rPr>
          <w:lang w:val="en-GB"/>
        </w:rPr>
        <w:t xml:space="preserve"> arising demands and</w:t>
      </w:r>
      <w:r w:rsidR="00B40EBC" w:rsidRPr="00317CB4">
        <w:rPr>
          <w:lang w:val="en-GB"/>
        </w:rPr>
        <w:t xml:space="preserve"> tensions are therefore hypothesised in the following section</w:t>
      </w:r>
      <w:r w:rsidR="00786CEA" w:rsidRPr="00317CB4">
        <w:rPr>
          <w:lang w:val="en-GB"/>
        </w:rPr>
        <w:t xml:space="preserve"> to investigate whether certain demands are preferably adhered to if they have the potential to maintain or improve the agency’s reputation.</w:t>
      </w:r>
    </w:p>
    <w:p w14:paraId="4B36F2EC" w14:textId="4FBCA824" w:rsidR="002879ED" w:rsidRPr="00317CB4" w:rsidRDefault="002879ED" w:rsidP="00256400">
      <w:pPr>
        <w:pStyle w:val="ListParagraph"/>
        <w:numPr>
          <w:ilvl w:val="0"/>
          <w:numId w:val="14"/>
        </w:numPr>
        <w:spacing w:line="360" w:lineRule="auto"/>
        <w:rPr>
          <w:color w:val="2F5496" w:themeColor="accent1" w:themeShade="BF"/>
          <w:sz w:val="32"/>
          <w:szCs w:val="32"/>
          <w:lang w:val="en-GB"/>
        </w:rPr>
      </w:pPr>
      <w:r w:rsidRPr="00317CB4">
        <w:rPr>
          <w:b/>
          <w:bCs/>
          <w:color w:val="2F5496" w:themeColor="accent1" w:themeShade="BF"/>
          <w:sz w:val="32"/>
          <w:szCs w:val="32"/>
          <w:lang w:val="en-GB"/>
        </w:rPr>
        <w:t xml:space="preserve">Theoretical framework </w:t>
      </w:r>
    </w:p>
    <w:p w14:paraId="7180B808" w14:textId="5243C5AD" w:rsidR="008D68A0" w:rsidRPr="00317CB4" w:rsidRDefault="00101C6F" w:rsidP="00B1513F">
      <w:pPr>
        <w:spacing w:line="360" w:lineRule="auto"/>
        <w:rPr>
          <w:lang w:val="en-GB"/>
        </w:rPr>
      </w:pPr>
      <w:r w:rsidRPr="00317CB4">
        <w:rPr>
          <w:lang w:val="en-GB"/>
        </w:rPr>
        <w:t>Frontex has a relationship with both the EU</w:t>
      </w:r>
      <w:r w:rsidR="00F93E7E" w:rsidRPr="00317CB4">
        <w:rPr>
          <w:lang w:val="en-GB"/>
        </w:rPr>
        <w:t xml:space="preserve"> institutions</w:t>
      </w:r>
      <w:r w:rsidRPr="00317CB4">
        <w:rPr>
          <w:lang w:val="en-GB"/>
        </w:rPr>
        <w:t xml:space="preserve"> and with the member states</w:t>
      </w:r>
      <w:r w:rsidR="00255625" w:rsidRPr="00317CB4">
        <w:rPr>
          <w:lang w:val="en-GB"/>
        </w:rPr>
        <w:t xml:space="preserve">, and </w:t>
      </w:r>
      <w:r w:rsidR="000311F3" w:rsidRPr="00317CB4">
        <w:rPr>
          <w:lang w:val="en-GB"/>
        </w:rPr>
        <w:t>depends on both</w:t>
      </w:r>
      <w:r w:rsidR="00850082" w:rsidRPr="00317CB4">
        <w:rPr>
          <w:lang w:val="en-GB"/>
        </w:rPr>
        <w:t xml:space="preserve"> </w:t>
      </w:r>
      <w:r w:rsidRPr="00317CB4">
        <w:rPr>
          <w:lang w:val="en-GB"/>
        </w:rPr>
        <w:t>for a continued existence</w:t>
      </w:r>
      <w:r w:rsidR="00255625" w:rsidRPr="00317CB4">
        <w:rPr>
          <w:lang w:val="en-GB"/>
        </w:rPr>
        <w:t>. T</w:t>
      </w:r>
      <w:r w:rsidRPr="00317CB4">
        <w:rPr>
          <w:lang w:val="en-GB"/>
        </w:rPr>
        <w:t>herefore</w:t>
      </w:r>
      <w:r w:rsidR="00255625" w:rsidRPr="00317CB4">
        <w:rPr>
          <w:lang w:val="en-GB"/>
        </w:rPr>
        <w:t>,</w:t>
      </w:r>
      <w:r w:rsidRPr="00317CB4">
        <w:rPr>
          <w:lang w:val="en-GB"/>
        </w:rPr>
        <w:t xml:space="preserve"> neither player</w:t>
      </w:r>
      <w:r w:rsidR="00255625" w:rsidRPr="00317CB4">
        <w:rPr>
          <w:lang w:val="en-GB"/>
        </w:rPr>
        <w:t>’s demands</w:t>
      </w:r>
      <w:r w:rsidRPr="00317CB4">
        <w:rPr>
          <w:lang w:val="en-GB"/>
        </w:rPr>
        <w:t xml:space="preserve"> can be cast aside when Frontex is faced with a decision</w:t>
      </w:r>
      <w:r w:rsidR="00850082" w:rsidRPr="00317CB4">
        <w:rPr>
          <w:lang w:val="en-GB"/>
        </w:rPr>
        <w:t xml:space="preserve"> to carry out its mandate</w:t>
      </w:r>
      <w:r w:rsidRPr="00317CB4">
        <w:rPr>
          <w:lang w:val="en-GB"/>
        </w:rPr>
        <w:t xml:space="preserve">. As </w:t>
      </w:r>
      <w:r w:rsidR="00356C51" w:rsidRPr="00317CB4">
        <w:rPr>
          <w:lang w:val="en-GB"/>
        </w:rPr>
        <w:t>discussed in the literature, both EU and member states have their paths they want to follow when asylum policy and the protection of the EU’s external border are concerned</w:t>
      </w:r>
      <w:r w:rsidR="00DC3930" w:rsidRPr="00317CB4">
        <w:rPr>
          <w:lang w:val="en-GB"/>
        </w:rPr>
        <w:t xml:space="preserve">. From there, each actor formulates their own expectations </w:t>
      </w:r>
      <w:r w:rsidR="00EB4D16" w:rsidRPr="00317CB4">
        <w:rPr>
          <w:lang w:val="en-GB"/>
        </w:rPr>
        <w:t xml:space="preserve">and demands </w:t>
      </w:r>
      <w:r w:rsidR="00DC3930" w:rsidRPr="00317CB4">
        <w:rPr>
          <w:lang w:val="en-GB"/>
        </w:rPr>
        <w:t>to Frontex</w:t>
      </w:r>
      <w:r w:rsidR="00B5739A" w:rsidRPr="00317CB4">
        <w:rPr>
          <w:lang w:val="en-GB"/>
        </w:rPr>
        <w:t xml:space="preserve">. Based on that, this chapter will theorise to which extent Frontex might consider either </w:t>
      </w:r>
      <w:r w:rsidR="00EB4D16" w:rsidRPr="00317CB4">
        <w:rPr>
          <w:lang w:val="en-GB"/>
        </w:rPr>
        <w:t>demands</w:t>
      </w:r>
      <w:r w:rsidR="00EB4D16" w:rsidRPr="00317CB4">
        <w:rPr>
          <w:lang w:val="en-GB"/>
        </w:rPr>
        <w:t xml:space="preserve"> </w:t>
      </w:r>
      <w:r w:rsidR="00B5739A" w:rsidRPr="00317CB4">
        <w:rPr>
          <w:lang w:val="en-GB"/>
        </w:rPr>
        <w:t xml:space="preserve">more – does it </w:t>
      </w:r>
      <w:r w:rsidR="001542A9" w:rsidRPr="00317CB4">
        <w:rPr>
          <w:lang w:val="en-GB"/>
        </w:rPr>
        <w:t xml:space="preserve">prefer to </w:t>
      </w:r>
      <w:r w:rsidR="00B5739A" w:rsidRPr="00317CB4">
        <w:rPr>
          <w:lang w:val="en-GB"/>
        </w:rPr>
        <w:t xml:space="preserve">adhere to </w:t>
      </w:r>
      <w:r w:rsidR="00E438A9" w:rsidRPr="00317CB4">
        <w:rPr>
          <w:lang w:val="en-GB"/>
        </w:rPr>
        <w:t xml:space="preserve">the member states demands or the EU’s demands? </w:t>
      </w:r>
      <w:r w:rsidR="00996647" w:rsidRPr="00317CB4">
        <w:rPr>
          <w:lang w:val="en-GB"/>
        </w:rPr>
        <w:t>To be able to</w:t>
      </w:r>
      <w:r w:rsidR="00101A3E" w:rsidRPr="00317CB4">
        <w:rPr>
          <w:lang w:val="en-GB"/>
        </w:rPr>
        <w:t xml:space="preserve"> formulate expectations </w:t>
      </w:r>
      <w:r w:rsidR="00255625" w:rsidRPr="00317CB4">
        <w:rPr>
          <w:lang w:val="en-GB"/>
        </w:rPr>
        <w:t>to see if</w:t>
      </w:r>
      <w:r w:rsidR="00101A3E" w:rsidRPr="00317CB4">
        <w:rPr>
          <w:lang w:val="en-GB"/>
        </w:rPr>
        <w:t xml:space="preserve"> any position </w:t>
      </w:r>
      <w:r w:rsidR="00255625" w:rsidRPr="00317CB4">
        <w:rPr>
          <w:lang w:val="en-GB"/>
        </w:rPr>
        <w:t>might</w:t>
      </w:r>
      <w:r w:rsidR="00101A3E" w:rsidRPr="00317CB4">
        <w:rPr>
          <w:lang w:val="en-GB"/>
        </w:rPr>
        <w:t xml:space="preserve"> prevail</w:t>
      </w:r>
      <w:r w:rsidR="00255625" w:rsidRPr="00317CB4">
        <w:rPr>
          <w:lang w:val="en-GB"/>
        </w:rPr>
        <w:t xml:space="preserve"> over the other</w:t>
      </w:r>
      <w:r w:rsidR="00807E93" w:rsidRPr="00317CB4">
        <w:rPr>
          <w:lang w:val="en-GB"/>
        </w:rPr>
        <w:t xml:space="preserve"> and for which reason</w:t>
      </w:r>
      <w:r w:rsidR="00101A3E" w:rsidRPr="00317CB4">
        <w:rPr>
          <w:lang w:val="en-GB"/>
        </w:rPr>
        <w:t xml:space="preserve">, </w:t>
      </w:r>
      <w:r w:rsidR="00E874DF" w:rsidRPr="00317CB4">
        <w:rPr>
          <w:lang w:val="en-GB"/>
        </w:rPr>
        <w:t xml:space="preserve">it is </w:t>
      </w:r>
      <w:r w:rsidR="00E523F4" w:rsidRPr="00317CB4">
        <w:rPr>
          <w:lang w:val="en-GB"/>
        </w:rPr>
        <w:t xml:space="preserve">required to explain reputation theory. This is used to analyse the motives behind some of the decisions that Frontex takes. </w:t>
      </w:r>
      <w:r w:rsidR="004F2F67" w:rsidRPr="00317CB4">
        <w:rPr>
          <w:lang w:val="en-GB"/>
        </w:rPr>
        <w:t xml:space="preserve">This allows for the formulation of the set of theoretical expectations that are then tested against </w:t>
      </w:r>
      <w:r w:rsidR="007272D7" w:rsidRPr="00317CB4">
        <w:rPr>
          <w:lang w:val="en-GB"/>
        </w:rPr>
        <w:t>real-life scenarios in the analysis.</w:t>
      </w:r>
    </w:p>
    <w:p w14:paraId="100D6E30" w14:textId="6DF6967C" w:rsidR="00BD3553" w:rsidRPr="00317CB4" w:rsidRDefault="00BD3553" w:rsidP="00256400">
      <w:pPr>
        <w:pStyle w:val="ListParagraph"/>
        <w:numPr>
          <w:ilvl w:val="1"/>
          <w:numId w:val="36"/>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lastRenderedPageBreak/>
        <w:t xml:space="preserve">Reputation theory </w:t>
      </w:r>
    </w:p>
    <w:p w14:paraId="20C1D081" w14:textId="6D9B9BB8" w:rsidR="00BB0FC9" w:rsidRPr="00317CB4" w:rsidRDefault="00710A4C" w:rsidP="000E4345">
      <w:pPr>
        <w:spacing w:line="360" w:lineRule="auto"/>
        <w:rPr>
          <w:lang w:val="en-GB"/>
        </w:rPr>
      </w:pPr>
      <w:r w:rsidRPr="00317CB4">
        <w:rPr>
          <w:lang w:val="en-GB"/>
        </w:rPr>
        <w:t xml:space="preserve">Any explanation about an agency’s reputation stems from </w:t>
      </w:r>
      <w:r w:rsidR="000E5FDB" w:rsidRPr="00317CB4">
        <w:rPr>
          <w:lang w:val="en-GB"/>
        </w:rPr>
        <w:t xml:space="preserve">the primary assumption that they are faced with expectations </w:t>
      </w:r>
      <w:r w:rsidR="00F30EF2" w:rsidRPr="00317CB4">
        <w:rPr>
          <w:lang w:val="en-GB"/>
        </w:rPr>
        <w:t xml:space="preserve">and demands for action </w:t>
      </w:r>
      <w:r w:rsidR="000E5FDB" w:rsidRPr="00317CB4">
        <w:rPr>
          <w:lang w:val="en-GB"/>
        </w:rPr>
        <w:t>coming from their audience</w:t>
      </w:r>
      <w:r w:rsidR="00ED26F8" w:rsidRPr="00317CB4">
        <w:rPr>
          <w:lang w:val="en-GB"/>
        </w:rPr>
        <w:t>. The demands are directed</w:t>
      </w:r>
      <w:r w:rsidR="000E5FDB" w:rsidRPr="00317CB4">
        <w:rPr>
          <w:lang w:val="en-GB"/>
        </w:rPr>
        <w:t xml:space="preserve"> to how </w:t>
      </w:r>
      <w:r w:rsidR="00ED26F8" w:rsidRPr="00317CB4">
        <w:rPr>
          <w:lang w:val="en-GB"/>
        </w:rPr>
        <w:t>agencies</w:t>
      </w:r>
      <w:r w:rsidR="000E5FDB" w:rsidRPr="00317CB4">
        <w:rPr>
          <w:lang w:val="en-GB"/>
        </w:rPr>
        <w:t xml:space="preserve"> are supposed to </w:t>
      </w:r>
      <w:r w:rsidR="000764A7" w:rsidRPr="00317CB4">
        <w:rPr>
          <w:lang w:val="en-GB"/>
        </w:rPr>
        <w:t>fulfil their mandate</w:t>
      </w:r>
      <w:r w:rsidR="000E5FDB" w:rsidRPr="00317CB4">
        <w:rPr>
          <w:lang w:val="en-GB"/>
        </w:rPr>
        <w:t xml:space="preserve">, and </w:t>
      </w:r>
      <w:r w:rsidR="00ED26F8" w:rsidRPr="00317CB4">
        <w:rPr>
          <w:lang w:val="en-GB"/>
        </w:rPr>
        <w:t>the subsequent assumption is that</w:t>
      </w:r>
      <w:r w:rsidR="000E5FDB" w:rsidRPr="00317CB4">
        <w:rPr>
          <w:lang w:val="en-GB"/>
        </w:rPr>
        <w:t xml:space="preserve"> they are aware of these expectations. </w:t>
      </w:r>
      <w:r w:rsidR="00ED26F8" w:rsidRPr="00317CB4">
        <w:rPr>
          <w:lang w:val="en-GB"/>
        </w:rPr>
        <w:t>Despite being considered experts in their field</w:t>
      </w:r>
      <w:r w:rsidR="00A62B12" w:rsidRPr="00317CB4">
        <w:rPr>
          <w:lang w:val="en-GB"/>
        </w:rPr>
        <w:t xml:space="preserve"> that know what they are doing</w:t>
      </w:r>
      <w:r w:rsidR="00ED26F8" w:rsidRPr="00317CB4">
        <w:rPr>
          <w:lang w:val="en-GB"/>
        </w:rPr>
        <w:t xml:space="preserve">, agencies depend on their audience for continued existence, </w:t>
      </w:r>
      <w:r w:rsidR="008C2B8C" w:rsidRPr="00317CB4">
        <w:rPr>
          <w:lang w:val="en-GB"/>
        </w:rPr>
        <w:t>because the audience oftentimes is the primary source of financial support. On top of that, audiences also have the ability to withdraw the agency’s mandate</w:t>
      </w:r>
      <w:r w:rsidR="001D6106" w:rsidRPr="00317CB4">
        <w:rPr>
          <w:lang w:val="en-GB"/>
        </w:rPr>
        <w:t xml:space="preserve"> </w:t>
      </w:r>
      <w:r w:rsidR="008C2B8C" w:rsidRPr="00317CB4">
        <w:rPr>
          <w:lang w:val="en-GB"/>
        </w:rPr>
        <w:t>(Meissner, 2017</w:t>
      </w:r>
      <w:r w:rsidR="009C43C6" w:rsidRPr="00317CB4">
        <w:rPr>
          <w:lang w:val="en-GB"/>
        </w:rPr>
        <w:t>;</w:t>
      </w:r>
      <w:r w:rsidR="008C2B8C" w:rsidRPr="00317CB4">
        <w:rPr>
          <w:lang w:val="en-GB"/>
        </w:rPr>
        <w:t xml:space="preserve">  </w:t>
      </w:r>
      <w:r w:rsidR="00B9074B" w:rsidRPr="00317CB4">
        <w:rPr>
          <w:lang w:val="en-GB"/>
        </w:rPr>
        <w:t xml:space="preserve">van der Veer, 2020). </w:t>
      </w:r>
      <w:r w:rsidR="00D22B1C" w:rsidRPr="00317CB4">
        <w:rPr>
          <w:lang w:val="en-GB"/>
        </w:rPr>
        <w:t xml:space="preserve">To achieve the necessary support from their audience, agencies will </w:t>
      </w:r>
      <w:r w:rsidR="001D6106" w:rsidRPr="00317CB4">
        <w:rPr>
          <w:lang w:val="en-GB"/>
        </w:rPr>
        <w:t xml:space="preserve">thus </w:t>
      </w:r>
      <w:r w:rsidR="00D22B1C" w:rsidRPr="00317CB4">
        <w:rPr>
          <w:lang w:val="en-GB"/>
        </w:rPr>
        <w:t xml:space="preserve">strive to live up to these expectations by calculating </w:t>
      </w:r>
      <w:r w:rsidR="00F30EF2" w:rsidRPr="00317CB4">
        <w:rPr>
          <w:lang w:val="en-GB"/>
        </w:rPr>
        <w:t xml:space="preserve">which kind of response can ensure that they will receive the needed support (Carpenter, 2010; Rimkuté, 2020). </w:t>
      </w:r>
    </w:p>
    <w:p w14:paraId="3E3D561A" w14:textId="694CBF58" w:rsidR="00825C79" w:rsidRPr="00317CB4" w:rsidRDefault="00F30EF2" w:rsidP="00BB0FC9">
      <w:pPr>
        <w:spacing w:line="360" w:lineRule="auto"/>
        <w:ind w:firstLine="720"/>
        <w:rPr>
          <w:lang w:val="en-GB"/>
        </w:rPr>
      </w:pPr>
      <w:r w:rsidRPr="00317CB4">
        <w:rPr>
          <w:lang w:val="en-GB"/>
        </w:rPr>
        <w:t xml:space="preserve">Agencies not only react to demands, but also try to foresee what will be expected from them in a possibly occurring </w:t>
      </w:r>
      <w:r w:rsidR="00F36255" w:rsidRPr="00317CB4">
        <w:rPr>
          <w:lang w:val="en-GB"/>
        </w:rPr>
        <w:t xml:space="preserve">future </w:t>
      </w:r>
      <w:r w:rsidRPr="00317CB4">
        <w:rPr>
          <w:lang w:val="en-GB"/>
        </w:rPr>
        <w:t xml:space="preserve">scenario. </w:t>
      </w:r>
      <w:r w:rsidR="00703164" w:rsidRPr="00317CB4">
        <w:rPr>
          <w:lang w:val="en-GB"/>
        </w:rPr>
        <w:t>By evaluating which kind of response will fulfil the expectations of the audience</w:t>
      </w:r>
      <w:r w:rsidR="00E56AE6" w:rsidRPr="00317CB4">
        <w:rPr>
          <w:lang w:val="en-GB"/>
        </w:rPr>
        <w:t xml:space="preserve"> the most</w:t>
      </w:r>
      <w:r w:rsidR="00F66E9D" w:rsidRPr="00317CB4">
        <w:rPr>
          <w:lang w:val="en-GB"/>
        </w:rPr>
        <w:t xml:space="preserve"> and acting upon that evaluation</w:t>
      </w:r>
      <w:r w:rsidR="00E56AE6" w:rsidRPr="00317CB4">
        <w:rPr>
          <w:lang w:val="en-GB"/>
        </w:rPr>
        <w:t xml:space="preserve">, agencies have the </w:t>
      </w:r>
      <w:r w:rsidR="000A4D4C" w:rsidRPr="00317CB4">
        <w:rPr>
          <w:lang w:val="en-GB"/>
        </w:rPr>
        <w:t xml:space="preserve">additional </w:t>
      </w:r>
      <w:r w:rsidR="00E56AE6" w:rsidRPr="00317CB4">
        <w:rPr>
          <w:lang w:val="en-GB"/>
        </w:rPr>
        <w:t xml:space="preserve">ability to alter how the audience perceives them. </w:t>
      </w:r>
      <w:r w:rsidR="003E4EE8" w:rsidRPr="00317CB4">
        <w:rPr>
          <w:lang w:val="en-GB"/>
        </w:rPr>
        <w:t xml:space="preserve">The evaluation process can </w:t>
      </w:r>
      <w:r w:rsidR="003407F3" w:rsidRPr="00317CB4">
        <w:rPr>
          <w:lang w:val="en-GB"/>
        </w:rPr>
        <w:t>in fact</w:t>
      </w:r>
      <w:r w:rsidR="003E4EE8" w:rsidRPr="00317CB4">
        <w:rPr>
          <w:lang w:val="en-GB"/>
        </w:rPr>
        <w:t xml:space="preserve"> function to point out if any action may be perceived as negative after it has been carried out. Anticipating negative reactions helps agencies to foresee reputational threats that can result in a reputational loss (Rimkutė, 2019). </w:t>
      </w:r>
      <w:r w:rsidR="00E56AE6" w:rsidRPr="00317CB4">
        <w:rPr>
          <w:lang w:val="en-GB"/>
        </w:rPr>
        <w:t xml:space="preserve">The most desirable perception is a positive one </w:t>
      </w:r>
      <w:r w:rsidR="003E4EE8" w:rsidRPr="00317CB4">
        <w:rPr>
          <w:lang w:val="en-GB"/>
        </w:rPr>
        <w:t xml:space="preserve">though, </w:t>
      </w:r>
      <w:r w:rsidR="00E56AE6" w:rsidRPr="00317CB4">
        <w:rPr>
          <w:lang w:val="en-GB"/>
        </w:rPr>
        <w:t xml:space="preserve">since it implies that the agency is able to </w:t>
      </w:r>
      <w:r w:rsidR="000764A7" w:rsidRPr="00317CB4">
        <w:rPr>
          <w:lang w:val="en-GB"/>
        </w:rPr>
        <w:t>fulfil the task they have been mandated with</w:t>
      </w:r>
      <w:r w:rsidR="00B9074B" w:rsidRPr="00317CB4">
        <w:rPr>
          <w:lang w:val="en-GB"/>
        </w:rPr>
        <w:t>.</w:t>
      </w:r>
      <w:r w:rsidR="00916BB8" w:rsidRPr="00317CB4">
        <w:rPr>
          <w:lang w:val="en-GB"/>
        </w:rPr>
        <w:t xml:space="preserve"> </w:t>
      </w:r>
      <w:r w:rsidR="00F66E9D" w:rsidRPr="00317CB4">
        <w:rPr>
          <w:lang w:val="en-GB"/>
        </w:rPr>
        <w:t>It also signals on a very fundamental level that the agency is compliant</w:t>
      </w:r>
      <w:r w:rsidR="001D2D4C" w:rsidRPr="00317CB4">
        <w:rPr>
          <w:lang w:val="en-GB"/>
        </w:rPr>
        <w:t>, which is what the audiences are asking for.</w:t>
      </w:r>
      <w:r w:rsidR="00293595" w:rsidRPr="00317CB4">
        <w:rPr>
          <w:lang w:val="en-GB"/>
        </w:rPr>
        <w:t xml:space="preserve"> This process generates a positive reputation.</w:t>
      </w:r>
      <w:r w:rsidR="001D2D4C" w:rsidRPr="00317CB4">
        <w:rPr>
          <w:lang w:val="en-GB"/>
        </w:rPr>
        <w:t xml:space="preserve"> </w:t>
      </w:r>
      <w:r w:rsidR="00A62B12" w:rsidRPr="00317CB4">
        <w:rPr>
          <w:lang w:val="en-GB"/>
        </w:rPr>
        <w:t xml:space="preserve">This becomes </w:t>
      </w:r>
      <w:r w:rsidR="001D2D4C" w:rsidRPr="00317CB4">
        <w:rPr>
          <w:lang w:val="en-GB"/>
        </w:rPr>
        <w:t xml:space="preserve">more </w:t>
      </w:r>
      <w:r w:rsidR="00A62B12" w:rsidRPr="00317CB4">
        <w:rPr>
          <w:lang w:val="en-GB"/>
        </w:rPr>
        <w:t xml:space="preserve">challenging when the audience becomes heterogenous, as not all audience members may </w:t>
      </w:r>
      <w:r w:rsidR="001D2D4C" w:rsidRPr="00317CB4">
        <w:rPr>
          <w:lang w:val="en-GB"/>
        </w:rPr>
        <w:t>be asking the agency for the same kind of action</w:t>
      </w:r>
      <w:r w:rsidR="00C80D9E" w:rsidRPr="00317CB4">
        <w:rPr>
          <w:lang w:val="en-GB"/>
        </w:rPr>
        <w:t xml:space="preserve"> (van der Veer, 2020)</w:t>
      </w:r>
      <w:r w:rsidR="001D2D4C" w:rsidRPr="00317CB4">
        <w:rPr>
          <w:lang w:val="en-GB"/>
        </w:rPr>
        <w:t xml:space="preserve">. </w:t>
      </w:r>
      <w:r w:rsidR="00BB0FC9" w:rsidRPr="00317CB4">
        <w:rPr>
          <w:lang w:val="en-GB"/>
        </w:rPr>
        <w:t xml:space="preserve">When </w:t>
      </w:r>
      <w:r w:rsidR="00116FD6" w:rsidRPr="00317CB4">
        <w:rPr>
          <w:lang w:val="en-GB"/>
        </w:rPr>
        <w:t xml:space="preserve">a heterogenous audience is asking different things at the same time from an agency, it is not always possible for this agency to fulfil </w:t>
      </w:r>
      <w:r w:rsidR="000C3B90" w:rsidRPr="00317CB4">
        <w:rPr>
          <w:lang w:val="en-GB"/>
        </w:rPr>
        <w:t>all the</w:t>
      </w:r>
      <w:r w:rsidR="00116FD6" w:rsidRPr="00317CB4">
        <w:rPr>
          <w:lang w:val="en-GB"/>
        </w:rPr>
        <w:t xml:space="preserve"> demands as they come up. The agency then has to consider what the best course of action might be. Thus, w</w:t>
      </w:r>
      <w:r w:rsidR="00BA5063" w:rsidRPr="00317CB4">
        <w:rPr>
          <w:lang w:val="en-GB"/>
        </w:rPr>
        <w:t>hile an agency might be able to live up to the expectation of one audience</w:t>
      </w:r>
      <w:r w:rsidR="00A62B12" w:rsidRPr="00317CB4">
        <w:rPr>
          <w:lang w:val="en-GB"/>
        </w:rPr>
        <w:t xml:space="preserve"> member</w:t>
      </w:r>
      <w:r w:rsidR="00BA5063" w:rsidRPr="00317CB4">
        <w:rPr>
          <w:lang w:val="en-GB"/>
        </w:rPr>
        <w:t xml:space="preserve">, the demands of another audience member can quite possibly be missed entirely. </w:t>
      </w:r>
      <w:r w:rsidR="002C1B06" w:rsidRPr="00317CB4">
        <w:rPr>
          <w:lang w:val="en-GB"/>
        </w:rPr>
        <w:t xml:space="preserve">The consequence of this is that the agency </w:t>
      </w:r>
      <w:r w:rsidR="00C06863" w:rsidRPr="00317CB4">
        <w:rPr>
          <w:lang w:val="en-GB"/>
        </w:rPr>
        <w:t>is perceived as well equipped to carry out demands</w:t>
      </w:r>
      <w:r w:rsidR="00E61385" w:rsidRPr="00317CB4">
        <w:rPr>
          <w:lang w:val="en-GB"/>
        </w:rPr>
        <w:t xml:space="preserve"> from which a positive reputation with one audience member would follow, </w:t>
      </w:r>
      <w:r w:rsidR="002C1B06" w:rsidRPr="00317CB4">
        <w:rPr>
          <w:lang w:val="en-GB"/>
        </w:rPr>
        <w:t>while the other would state that the agency failed to fulfil its mandate</w:t>
      </w:r>
      <w:r w:rsidR="00E61385" w:rsidRPr="00317CB4">
        <w:rPr>
          <w:lang w:val="en-GB"/>
        </w:rPr>
        <w:t xml:space="preserve"> because the other audience member’s demands were not executed</w:t>
      </w:r>
      <w:r w:rsidR="00BB4ADC" w:rsidRPr="00317CB4">
        <w:rPr>
          <w:lang w:val="en-GB"/>
        </w:rPr>
        <w:t>, i.e. a negative reputation is generated</w:t>
      </w:r>
      <w:r w:rsidR="00877D3F" w:rsidRPr="00317CB4">
        <w:rPr>
          <w:lang w:val="en-GB"/>
        </w:rPr>
        <w:t xml:space="preserve"> (</w:t>
      </w:r>
      <w:r w:rsidR="00C80D9E" w:rsidRPr="00317CB4">
        <w:rPr>
          <w:lang w:val="en-GB"/>
        </w:rPr>
        <w:t xml:space="preserve">Rimkuté, 2019; </w:t>
      </w:r>
      <w:r w:rsidR="00877D3F" w:rsidRPr="00317CB4">
        <w:rPr>
          <w:lang w:val="en-GB"/>
        </w:rPr>
        <w:t>van der Veer, 2020)</w:t>
      </w:r>
      <w:r w:rsidR="002C1B06" w:rsidRPr="00317CB4">
        <w:rPr>
          <w:lang w:val="en-GB"/>
        </w:rPr>
        <w:t xml:space="preserve">. </w:t>
      </w:r>
    </w:p>
    <w:p w14:paraId="1F838F5A" w14:textId="23144511" w:rsidR="00D264F4" w:rsidRPr="00317CB4" w:rsidRDefault="00825C79" w:rsidP="00D264F4">
      <w:pPr>
        <w:spacing w:line="360" w:lineRule="auto"/>
        <w:ind w:firstLine="720"/>
        <w:rPr>
          <w:lang w:val="en-GB"/>
        </w:rPr>
      </w:pPr>
      <w:r w:rsidRPr="00317CB4">
        <w:rPr>
          <w:lang w:val="en-GB"/>
        </w:rPr>
        <w:t>Such weighing of which audience member’s demands are more relevant at a given time can also be challenging for Frontex. In this thesis, the demands from the member states and the EU Commission are considered, as they constitute the main players in the audience. It is important for Frontex to ensure that i</w:t>
      </w:r>
      <w:r w:rsidR="001E7EFC" w:rsidRPr="00317CB4">
        <w:rPr>
          <w:lang w:val="en-GB"/>
        </w:rPr>
        <w:t>t</w:t>
      </w:r>
      <w:r w:rsidRPr="00317CB4">
        <w:rPr>
          <w:lang w:val="en-GB"/>
        </w:rPr>
        <w:t xml:space="preserve"> maintains a positive reputation with both of them, because of the </w:t>
      </w:r>
      <w:r w:rsidR="00D264F4" w:rsidRPr="00317CB4">
        <w:rPr>
          <w:lang w:val="en-GB"/>
        </w:rPr>
        <w:t>amount of influence they can have on the available finances</w:t>
      </w:r>
      <w:r w:rsidR="00A70A48" w:rsidRPr="00317CB4">
        <w:rPr>
          <w:lang w:val="en-GB"/>
        </w:rPr>
        <w:t>, material</w:t>
      </w:r>
      <w:r w:rsidR="00D264F4" w:rsidRPr="00317CB4">
        <w:rPr>
          <w:lang w:val="en-GB"/>
        </w:rPr>
        <w:t xml:space="preserve"> and human resources, i.e. the means that ensure Frontex’ continued existence. However, it </w:t>
      </w:r>
      <w:r w:rsidR="003A5EEE" w:rsidRPr="00317CB4">
        <w:rPr>
          <w:lang w:val="en-GB"/>
        </w:rPr>
        <w:t>may</w:t>
      </w:r>
      <w:r w:rsidR="00D264F4" w:rsidRPr="00317CB4">
        <w:rPr>
          <w:lang w:val="en-GB"/>
        </w:rPr>
        <w:t xml:space="preserve"> not always be in Frontex’ interest to act upon </w:t>
      </w:r>
      <w:r w:rsidR="00D264F4" w:rsidRPr="00317CB4">
        <w:rPr>
          <w:lang w:val="en-GB"/>
        </w:rPr>
        <w:lastRenderedPageBreak/>
        <w:t xml:space="preserve">either side’s demands, or it </w:t>
      </w:r>
      <w:r w:rsidR="003A5EEE" w:rsidRPr="00317CB4">
        <w:rPr>
          <w:lang w:val="en-GB"/>
        </w:rPr>
        <w:t>may</w:t>
      </w:r>
      <w:r w:rsidR="00D264F4" w:rsidRPr="00317CB4">
        <w:rPr>
          <w:lang w:val="en-GB"/>
        </w:rPr>
        <w:t xml:space="preserve"> be better to e.g. choose the member states over the Commission and vice versa. </w:t>
      </w:r>
      <w:r w:rsidR="00BA5063" w:rsidRPr="00317CB4">
        <w:rPr>
          <w:lang w:val="en-GB"/>
        </w:rPr>
        <w:t>It is therefore important for the agency to assess which demands they want to act upon at which point</w:t>
      </w:r>
      <w:r w:rsidR="00E61385" w:rsidRPr="00317CB4">
        <w:rPr>
          <w:lang w:val="en-GB"/>
        </w:rPr>
        <w:t xml:space="preserve"> in time</w:t>
      </w:r>
      <w:r w:rsidR="002C1B06" w:rsidRPr="00317CB4">
        <w:rPr>
          <w:lang w:val="en-GB"/>
        </w:rPr>
        <w:t xml:space="preserve"> to be sure that their overall reputation </w:t>
      </w:r>
      <w:r w:rsidR="00D20842" w:rsidRPr="00317CB4">
        <w:rPr>
          <w:lang w:val="en-GB"/>
        </w:rPr>
        <w:t xml:space="preserve">with the entire audience </w:t>
      </w:r>
      <w:r w:rsidR="002C1B06" w:rsidRPr="00317CB4">
        <w:rPr>
          <w:lang w:val="en-GB"/>
        </w:rPr>
        <w:t>does not suffer too much</w:t>
      </w:r>
      <w:r w:rsidR="00E61385" w:rsidRPr="00317CB4">
        <w:rPr>
          <w:lang w:val="en-GB"/>
        </w:rPr>
        <w:t>.</w:t>
      </w:r>
    </w:p>
    <w:p w14:paraId="1585C2ED" w14:textId="18420790" w:rsidR="00861B9B" w:rsidRPr="00317CB4" w:rsidRDefault="00E61385" w:rsidP="00441D15">
      <w:pPr>
        <w:spacing w:line="360" w:lineRule="auto"/>
        <w:ind w:firstLine="720"/>
        <w:rPr>
          <w:lang w:val="en-GB"/>
        </w:rPr>
      </w:pPr>
      <w:r w:rsidRPr="00317CB4">
        <w:rPr>
          <w:lang w:val="en-GB"/>
        </w:rPr>
        <w:t xml:space="preserve">Assessing the different demands from all audience members is therefore a balancing act to prevent that a given or not-given response results in reduced financial support or </w:t>
      </w:r>
      <w:r w:rsidR="000E4345" w:rsidRPr="00317CB4">
        <w:rPr>
          <w:lang w:val="en-GB"/>
        </w:rPr>
        <w:t xml:space="preserve">a withdrawn mandate </w:t>
      </w:r>
      <w:r w:rsidR="008575A4" w:rsidRPr="00317CB4">
        <w:rPr>
          <w:lang w:val="en-GB"/>
        </w:rPr>
        <w:t xml:space="preserve">(Rimkuté, 2020). </w:t>
      </w:r>
      <w:r w:rsidR="00C55864" w:rsidRPr="00317CB4">
        <w:rPr>
          <w:lang w:val="en-GB"/>
        </w:rPr>
        <w:t xml:space="preserve">This </w:t>
      </w:r>
      <w:r w:rsidR="000E4345" w:rsidRPr="00317CB4">
        <w:rPr>
          <w:lang w:val="en-GB"/>
        </w:rPr>
        <w:t xml:space="preserve">balancing act cannot be avoided though as agencies have to engage in it due to their connection to their audiences, </w:t>
      </w:r>
      <w:r w:rsidR="00C55864" w:rsidRPr="00317CB4">
        <w:rPr>
          <w:lang w:val="en-GB"/>
        </w:rPr>
        <w:t xml:space="preserve">but is also the reason why they are </w:t>
      </w:r>
      <w:r w:rsidR="00251E74" w:rsidRPr="00317CB4">
        <w:rPr>
          <w:lang w:val="en-GB"/>
        </w:rPr>
        <w:t xml:space="preserve">theorised to be conscious entities that are aware of the political currents surrounding them. Keeping their </w:t>
      </w:r>
      <w:r w:rsidR="00E56003" w:rsidRPr="00317CB4">
        <w:rPr>
          <w:lang w:val="en-GB"/>
        </w:rPr>
        <w:t>audience’s</w:t>
      </w:r>
      <w:r w:rsidR="00251E74" w:rsidRPr="00317CB4">
        <w:rPr>
          <w:lang w:val="en-GB"/>
        </w:rPr>
        <w:t xml:space="preserve"> </w:t>
      </w:r>
      <w:r w:rsidR="00E56003" w:rsidRPr="00317CB4">
        <w:rPr>
          <w:lang w:val="en-GB"/>
        </w:rPr>
        <w:t>demands and perceptions of them</w:t>
      </w:r>
      <w:r w:rsidR="00251E74" w:rsidRPr="00317CB4">
        <w:rPr>
          <w:lang w:val="en-GB"/>
        </w:rPr>
        <w:t xml:space="preserve"> in mind</w:t>
      </w:r>
      <w:r w:rsidR="00331845" w:rsidRPr="00317CB4">
        <w:rPr>
          <w:lang w:val="en-GB"/>
        </w:rPr>
        <w:t xml:space="preserve"> helps them to protect </w:t>
      </w:r>
      <w:r w:rsidR="002C06F5" w:rsidRPr="00317CB4">
        <w:rPr>
          <w:lang w:val="en-GB"/>
        </w:rPr>
        <w:t xml:space="preserve">and manage </w:t>
      </w:r>
      <w:r w:rsidR="00331845" w:rsidRPr="00317CB4">
        <w:rPr>
          <w:lang w:val="en-GB"/>
        </w:rPr>
        <w:t xml:space="preserve">their own reputation and subsequently secures their existence (Gilad &amp; Yogev, 2012; Maor, 2011, </w:t>
      </w:r>
      <w:r w:rsidR="00F30EF2" w:rsidRPr="00317CB4">
        <w:rPr>
          <w:lang w:val="en-GB"/>
        </w:rPr>
        <w:t>Rimkuté</w:t>
      </w:r>
      <w:r w:rsidR="00F46035" w:rsidRPr="00317CB4">
        <w:rPr>
          <w:lang w:val="en-GB"/>
        </w:rPr>
        <w:t xml:space="preserve">, 2018). </w:t>
      </w:r>
    </w:p>
    <w:p w14:paraId="1CEB353E" w14:textId="08886227" w:rsidR="001B6C40" w:rsidRPr="00317CB4" w:rsidRDefault="001B6C40" w:rsidP="0083672D">
      <w:pPr>
        <w:pStyle w:val="ListParagraph"/>
        <w:numPr>
          <w:ilvl w:val="1"/>
          <w:numId w:val="36"/>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The role of core state powers </w:t>
      </w:r>
    </w:p>
    <w:p w14:paraId="3A337119" w14:textId="2013B0C4" w:rsidR="001B6C40" w:rsidRPr="00317CB4" w:rsidRDefault="002E24F5" w:rsidP="001B6C40">
      <w:pPr>
        <w:spacing w:line="360" w:lineRule="auto"/>
        <w:rPr>
          <w:lang w:val="en-GB"/>
        </w:rPr>
      </w:pPr>
      <w:r w:rsidRPr="00317CB4">
        <w:rPr>
          <w:lang w:val="en-GB"/>
        </w:rPr>
        <w:t xml:space="preserve">When core state powers are concerned, it is possible for an agency to consider these dynamics separately from </w:t>
      </w:r>
      <w:r w:rsidR="009B45B9" w:rsidRPr="00317CB4">
        <w:rPr>
          <w:lang w:val="en-GB"/>
        </w:rPr>
        <w:t xml:space="preserve">the need to safeguard their reputation. </w:t>
      </w:r>
      <w:r w:rsidR="00E31482" w:rsidRPr="00317CB4">
        <w:rPr>
          <w:lang w:val="en-GB"/>
        </w:rPr>
        <w:t xml:space="preserve">In this first theoretical </w:t>
      </w:r>
      <w:r w:rsidR="00045A0B" w:rsidRPr="00317CB4">
        <w:rPr>
          <w:lang w:val="en-GB"/>
        </w:rPr>
        <w:t>approach, it is therefore only these dynamics that are analysed to see where Frontex is positioned between the</w:t>
      </w:r>
      <w:r w:rsidR="00CF41D9" w:rsidRPr="00317CB4">
        <w:rPr>
          <w:lang w:val="en-GB"/>
        </w:rPr>
        <w:t xml:space="preserve"> EU</w:t>
      </w:r>
      <w:r w:rsidR="00045A0B" w:rsidRPr="00317CB4">
        <w:rPr>
          <w:lang w:val="en-GB"/>
        </w:rPr>
        <w:t xml:space="preserve"> member states and the </w:t>
      </w:r>
      <w:r w:rsidR="00CF41D9" w:rsidRPr="00317CB4">
        <w:rPr>
          <w:lang w:val="en-GB"/>
        </w:rPr>
        <w:t xml:space="preserve">EU institutions. </w:t>
      </w:r>
      <w:r w:rsidR="00B957EE" w:rsidRPr="00317CB4">
        <w:rPr>
          <w:lang w:val="en-GB"/>
        </w:rPr>
        <w:t xml:space="preserve">The previously discussed literature presented EU agencies as independent to a certain degree, but subordinated to both audience members. They rely on both for financial support and administrative staff, yet the discussion of core state powers indicates that </w:t>
      </w:r>
      <w:r w:rsidR="00F70A8D" w:rsidRPr="00317CB4">
        <w:rPr>
          <w:lang w:val="en-GB"/>
        </w:rPr>
        <w:t xml:space="preserve">migration and asylum policy </w:t>
      </w:r>
      <w:r w:rsidR="00F67BC5" w:rsidRPr="00317CB4">
        <w:rPr>
          <w:lang w:val="en-GB"/>
        </w:rPr>
        <w:t xml:space="preserve">is primarily the responsibility of the national governments, i.e. the EU member states. </w:t>
      </w:r>
      <w:r w:rsidR="00446101" w:rsidRPr="00317CB4">
        <w:rPr>
          <w:lang w:val="en-GB"/>
        </w:rPr>
        <w:t>Hence, the following</w:t>
      </w:r>
      <w:r w:rsidR="00137A01" w:rsidRPr="00317CB4">
        <w:rPr>
          <w:lang w:val="en-GB"/>
        </w:rPr>
        <w:t xml:space="preserve"> conditional</w:t>
      </w:r>
      <w:r w:rsidR="00446101" w:rsidRPr="00317CB4">
        <w:rPr>
          <w:lang w:val="en-GB"/>
        </w:rPr>
        <w:t xml:space="preserve"> expectation is formulated: </w:t>
      </w:r>
    </w:p>
    <w:p w14:paraId="37D1FE6A" w14:textId="474FBA3F" w:rsidR="00137A01" w:rsidRPr="00317CB4" w:rsidRDefault="00137A01" w:rsidP="009F23E2">
      <w:pPr>
        <w:spacing w:line="240" w:lineRule="auto"/>
        <w:ind w:firstLine="720"/>
        <w:jc w:val="center"/>
        <w:rPr>
          <w:i/>
          <w:iCs/>
          <w:lang w:val="en-GB"/>
        </w:rPr>
      </w:pPr>
      <w:r w:rsidRPr="00317CB4">
        <w:rPr>
          <w:i/>
          <w:iCs/>
          <w:lang w:val="en-GB"/>
        </w:rPr>
        <w:t xml:space="preserve">If Frontex is facing </w:t>
      </w:r>
      <w:r w:rsidR="00A00821" w:rsidRPr="00317CB4">
        <w:rPr>
          <w:i/>
          <w:iCs/>
          <w:lang w:val="en-GB"/>
        </w:rPr>
        <w:t xml:space="preserve">competing </w:t>
      </w:r>
      <w:r w:rsidRPr="00317CB4">
        <w:rPr>
          <w:i/>
          <w:iCs/>
          <w:lang w:val="en-GB"/>
        </w:rPr>
        <w:t>demands from the member states and the institutions</w:t>
      </w:r>
      <w:r w:rsidR="00C66691" w:rsidRPr="00317CB4">
        <w:rPr>
          <w:i/>
          <w:iCs/>
          <w:lang w:val="en-GB"/>
        </w:rPr>
        <w:t xml:space="preserve">: </w:t>
      </w:r>
    </w:p>
    <w:p w14:paraId="4F2E15EC" w14:textId="492D57F4" w:rsidR="00C66691" w:rsidRPr="00317CB4" w:rsidRDefault="00C66691" w:rsidP="00C66691">
      <w:pPr>
        <w:pStyle w:val="ListParagraph"/>
        <w:numPr>
          <w:ilvl w:val="0"/>
          <w:numId w:val="57"/>
        </w:numPr>
        <w:spacing w:line="360" w:lineRule="auto"/>
        <w:jc w:val="center"/>
        <w:rPr>
          <w:i/>
          <w:iCs/>
          <w:lang w:val="en-GB"/>
        </w:rPr>
      </w:pPr>
      <w:r w:rsidRPr="00317CB4">
        <w:rPr>
          <w:i/>
          <w:iCs/>
          <w:lang w:val="en-GB"/>
        </w:rPr>
        <w:t>And the member states maintain their authority in core state powers, then Frontex is expected to side with the member states</w:t>
      </w:r>
    </w:p>
    <w:p w14:paraId="47A71870" w14:textId="2CCA0B05" w:rsidR="00C66691" w:rsidRPr="00317CB4" w:rsidRDefault="008E20D7" w:rsidP="009F23E2">
      <w:pPr>
        <w:pStyle w:val="ListParagraph"/>
        <w:numPr>
          <w:ilvl w:val="0"/>
          <w:numId w:val="57"/>
        </w:numPr>
        <w:spacing w:line="360" w:lineRule="auto"/>
        <w:jc w:val="center"/>
        <w:rPr>
          <w:i/>
          <w:iCs/>
          <w:lang w:val="en-GB"/>
        </w:rPr>
      </w:pPr>
      <w:r w:rsidRPr="00317CB4">
        <w:rPr>
          <w:i/>
          <w:iCs/>
          <w:lang w:val="en-GB"/>
        </w:rPr>
        <w:t>And core state powers are transferred to the institutions, then Frontex is expected to side with the institutions</w:t>
      </w:r>
    </w:p>
    <w:p w14:paraId="1E0C5C28" w14:textId="58F520CE" w:rsidR="00001AF0" w:rsidRPr="00317CB4" w:rsidRDefault="00446101" w:rsidP="0083672D">
      <w:pPr>
        <w:pStyle w:val="ListParagraph"/>
        <w:numPr>
          <w:ilvl w:val="1"/>
          <w:numId w:val="36"/>
        </w:numPr>
        <w:spacing w:line="360" w:lineRule="auto"/>
        <w:rPr>
          <w:b/>
          <w:bCs/>
          <w:color w:val="2F5496" w:themeColor="accent1" w:themeShade="BF"/>
          <w:lang w:val="en-GB"/>
        </w:rPr>
      </w:pPr>
      <w:r w:rsidRPr="00317CB4">
        <w:rPr>
          <w:b/>
          <w:bCs/>
          <w:color w:val="2F5496" w:themeColor="accent1" w:themeShade="BF"/>
          <w:sz w:val="24"/>
          <w:szCs w:val="24"/>
          <w:lang w:val="en-GB"/>
        </w:rPr>
        <w:t>The role of r</w:t>
      </w:r>
      <w:r w:rsidR="00001AF0" w:rsidRPr="00317CB4">
        <w:rPr>
          <w:b/>
          <w:bCs/>
          <w:color w:val="2F5496" w:themeColor="accent1" w:themeShade="BF"/>
          <w:sz w:val="24"/>
          <w:szCs w:val="24"/>
          <w:lang w:val="en-GB"/>
        </w:rPr>
        <w:t xml:space="preserve">eputational threats </w:t>
      </w:r>
    </w:p>
    <w:p w14:paraId="4ED1B717" w14:textId="37CF4AA9" w:rsidR="00001AF0" w:rsidRPr="00317CB4" w:rsidRDefault="002B7C0D" w:rsidP="00001AF0">
      <w:pPr>
        <w:spacing w:line="360" w:lineRule="auto"/>
        <w:rPr>
          <w:lang w:val="en-GB"/>
        </w:rPr>
      </w:pPr>
      <w:r w:rsidRPr="00317CB4">
        <w:rPr>
          <w:lang w:val="en-GB"/>
        </w:rPr>
        <w:t>The potential for opposing demands coming from the audience is quite high and only increase</w:t>
      </w:r>
      <w:r w:rsidR="00DA6B7A" w:rsidRPr="00317CB4">
        <w:rPr>
          <w:lang w:val="en-GB"/>
        </w:rPr>
        <w:t>s</w:t>
      </w:r>
      <w:r w:rsidRPr="00317CB4">
        <w:rPr>
          <w:lang w:val="en-GB"/>
        </w:rPr>
        <w:t xml:space="preserve"> the more heterogenous the audience becomes. </w:t>
      </w:r>
      <w:r w:rsidR="008668F3" w:rsidRPr="00317CB4">
        <w:rPr>
          <w:lang w:val="en-GB"/>
        </w:rPr>
        <w:t>That is why, to assess an agency’s response to demands</w:t>
      </w:r>
      <w:r w:rsidR="001E7EFC" w:rsidRPr="00317CB4">
        <w:rPr>
          <w:lang w:val="en-GB"/>
        </w:rPr>
        <w:t xml:space="preserve"> and make sense thereof</w:t>
      </w:r>
      <w:r w:rsidR="008668F3" w:rsidRPr="00317CB4">
        <w:rPr>
          <w:lang w:val="en-GB"/>
        </w:rPr>
        <w:t xml:space="preserve">, it is also important to take a look at which audience member is asking what to make sense of the response itself. </w:t>
      </w:r>
      <w:r w:rsidR="002C06F5" w:rsidRPr="00317CB4">
        <w:rPr>
          <w:lang w:val="en-GB"/>
        </w:rPr>
        <w:t xml:space="preserve">Taking apart the different demands allows the onlooker </w:t>
      </w:r>
      <w:r w:rsidR="00EB179A" w:rsidRPr="00317CB4">
        <w:rPr>
          <w:lang w:val="en-GB"/>
        </w:rPr>
        <w:t xml:space="preserve">to determine whether any demands are responded to only because not responding might be detrimental to the agency’s reputation. </w:t>
      </w:r>
      <w:r w:rsidR="00D56219" w:rsidRPr="00317CB4">
        <w:rPr>
          <w:lang w:val="en-GB"/>
        </w:rPr>
        <w:t xml:space="preserve">Anything that can be regarded as a challenge to an agency’s reputation, e.g. allegations that claim failure to fulfil the mandate </w:t>
      </w:r>
      <w:r w:rsidR="00116F76" w:rsidRPr="00317CB4">
        <w:rPr>
          <w:lang w:val="en-GB"/>
        </w:rPr>
        <w:t>is</w:t>
      </w:r>
      <w:r w:rsidR="00D56219" w:rsidRPr="00317CB4">
        <w:rPr>
          <w:lang w:val="en-GB"/>
        </w:rPr>
        <w:t xml:space="preserve"> considered to be</w:t>
      </w:r>
      <w:r w:rsidR="00116F76" w:rsidRPr="00317CB4">
        <w:rPr>
          <w:lang w:val="en-GB"/>
        </w:rPr>
        <w:t xml:space="preserve"> a</w:t>
      </w:r>
      <w:r w:rsidR="00D56219" w:rsidRPr="00317CB4">
        <w:rPr>
          <w:lang w:val="en-GB"/>
        </w:rPr>
        <w:t xml:space="preserve"> reputational threat (Rimkuté, 2019). </w:t>
      </w:r>
      <w:r w:rsidR="00814AAD" w:rsidRPr="00317CB4">
        <w:rPr>
          <w:lang w:val="en-GB"/>
        </w:rPr>
        <w:t xml:space="preserve">A reputational threat </w:t>
      </w:r>
      <w:r w:rsidR="00116F76" w:rsidRPr="00317CB4">
        <w:rPr>
          <w:lang w:val="en-GB"/>
        </w:rPr>
        <w:t>can therefore</w:t>
      </w:r>
      <w:r w:rsidR="00814AAD" w:rsidRPr="00317CB4">
        <w:rPr>
          <w:lang w:val="en-GB"/>
        </w:rPr>
        <w:t xml:space="preserve"> result from an audience member articulating that the agency has, in fact, not delivered a </w:t>
      </w:r>
      <w:r w:rsidR="00814AAD" w:rsidRPr="00317CB4">
        <w:rPr>
          <w:lang w:val="en-GB"/>
        </w:rPr>
        <w:lastRenderedPageBreak/>
        <w:t xml:space="preserve">response that is in line with its expectations. </w:t>
      </w:r>
      <w:r w:rsidR="00942465" w:rsidRPr="00317CB4">
        <w:rPr>
          <w:lang w:val="en-GB"/>
        </w:rPr>
        <w:t xml:space="preserve">If such a claim is then supported by evidence, a reputational loss can follow. </w:t>
      </w:r>
    </w:p>
    <w:p w14:paraId="380E9FAF" w14:textId="7FE025E4" w:rsidR="002C13F9" w:rsidRPr="00317CB4" w:rsidRDefault="003B1249" w:rsidP="00260A08">
      <w:pPr>
        <w:spacing w:line="360" w:lineRule="auto"/>
        <w:rPr>
          <w:lang w:val="en-GB"/>
        </w:rPr>
      </w:pPr>
      <w:r w:rsidRPr="00317CB4">
        <w:rPr>
          <w:lang w:val="en-GB"/>
        </w:rPr>
        <w:tab/>
        <w:t xml:space="preserve">Despite the very real possibility than an agency can suffer a loss in reputation, it is important to note that not all responses to demands can result in a negative evaluation of </w:t>
      </w:r>
      <w:r w:rsidR="00F35213" w:rsidRPr="00317CB4">
        <w:rPr>
          <w:lang w:val="en-GB"/>
        </w:rPr>
        <w:t>that</w:t>
      </w:r>
      <w:r w:rsidRPr="00317CB4">
        <w:rPr>
          <w:lang w:val="en-GB"/>
        </w:rPr>
        <w:t xml:space="preserve"> response.</w:t>
      </w:r>
      <w:r w:rsidR="009C7F03" w:rsidRPr="00317CB4">
        <w:rPr>
          <w:lang w:val="en-GB"/>
        </w:rPr>
        <w:t xml:space="preserve"> As Busuioc and Rimkuté (2020) formulate it, “not all audiences are equally of consequence”</w:t>
      </w:r>
      <w:r w:rsidR="00362F11" w:rsidRPr="00317CB4">
        <w:rPr>
          <w:lang w:val="en-GB"/>
        </w:rPr>
        <w:t>, and the same logic can be extended to the demands they make to an agency.</w:t>
      </w:r>
      <w:r w:rsidRPr="00317CB4">
        <w:rPr>
          <w:lang w:val="en-GB"/>
        </w:rPr>
        <w:t xml:space="preserve"> </w:t>
      </w:r>
      <w:r w:rsidR="00F35213" w:rsidRPr="00317CB4">
        <w:rPr>
          <w:lang w:val="en-GB"/>
        </w:rPr>
        <w:t>It is for this reason</w:t>
      </w:r>
      <w:r w:rsidRPr="00317CB4">
        <w:rPr>
          <w:lang w:val="en-GB"/>
        </w:rPr>
        <w:t xml:space="preserve"> important to be conscious </w:t>
      </w:r>
      <w:r w:rsidR="003D2ADC" w:rsidRPr="00317CB4">
        <w:rPr>
          <w:lang w:val="en-GB"/>
        </w:rPr>
        <w:t>whether there is a</w:t>
      </w:r>
      <w:r w:rsidRPr="00317CB4">
        <w:rPr>
          <w:lang w:val="en-GB"/>
        </w:rPr>
        <w:t xml:space="preserve"> hierarchy</w:t>
      </w:r>
      <w:r w:rsidR="00362F11" w:rsidRPr="00317CB4">
        <w:rPr>
          <w:lang w:val="en-GB"/>
        </w:rPr>
        <w:t xml:space="preserve"> within the audience and</w:t>
      </w:r>
      <w:r w:rsidRPr="00317CB4">
        <w:rPr>
          <w:lang w:val="en-GB"/>
        </w:rPr>
        <w:t xml:space="preserve"> </w:t>
      </w:r>
      <w:r w:rsidR="003D2ADC" w:rsidRPr="00317CB4">
        <w:rPr>
          <w:lang w:val="en-GB"/>
        </w:rPr>
        <w:t>between</w:t>
      </w:r>
      <w:r w:rsidRPr="00317CB4">
        <w:rPr>
          <w:lang w:val="en-GB"/>
        </w:rPr>
        <w:t xml:space="preserve"> the</w:t>
      </w:r>
      <w:r w:rsidR="00362F11" w:rsidRPr="00317CB4">
        <w:rPr>
          <w:lang w:val="en-GB"/>
        </w:rPr>
        <w:t>ir</w:t>
      </w:r>
      <w:r w:rsidRPr="00317CB4">
        <w:rPr>
          <w:lang w:val="en-GB"/>
        </w:rPr>
        <w:t xml:space="preserve"> individual demands</w:t>
      </w:r>
      <w:r w:rsidR="00641EE7" w:rsidRPr="00317CB4">
        <w:rPr>
          <w:lang w:val="en-GB"/>
        </w:rPr>
        <w:t xml:space="preserve">: some demands might </w:t>
      </w:r>
      <w:r w:rsidR="006A4FD6" w:rsidRPr="00317CB4">
        <w:rPr>
          <w:lang w:val="en-GB"/>
        </w:rPr>
        <w:t xml:space="preserve">have more serious implication for the reputation than others, </w:t>
      </w:r>
      <w:r w:rsidR="00362F11" w:rsidRPr="00317CB4">
        <w:rPr>
          <w:lang w:val="en-GB"/>
        </w:rPr>
        <w:t>depending on the member of the audience the</w:t>
      </w:r>
      <w:r w:rsidR="006A4FD6" w:rsidRPr="00317CB4">
        <w:rPr>
          <w:lang w:val="en-GB"/>
        </w:rPr>
        <w:t xml:space="preserve"> demands</w:t>
      </w:r>
      <w:r w:rsidR="00362F11" w:rsidRPr="00317CB4">
        <w:rPr>
          <w:lang w:val="en-GB"/>
        </w:rPr>
        <w:t xml:space="preserve"> are coming from</w:t>
      </w:r>
      <w:r w:rsidR="00C4692B" w:rsidRPr="00317CB4">
        <w:rPr>
          <w:lang w:val="en-GB"/>
        </w:rPr>
        <w:t xml:space="preserve">. </w:t>
      </w:r>
      <w:r w:rsidR="00381CD0" w:rsidRPr="00317CB4">
        <w:rPr>
          <w:lang w:val="en-GB"/>
        </w:rPr>
        <w:t xml:space="preserve">Consequently, </w:t>
      </w:r>
      <w:r w:rsidR="00B8675D" w:rsidRPr="00317CB4">
        <w:rPr>
          <w:lang w:val="en-GB"/>
        </w:rPr>
        <w:t xml:space="preserve">an agency has to consider both the hierarchy in which they place their audience, but also which audience member </w:t>
      </w:r>
      <w:r w:rsidR="00BC36FA" w:rsidRPr="00317CB4">
        <w:rPr>
          <w:lang w:val="en-GB"/>
        </w:rPr>
        <w:t xml:space="preserve">can pose the bigger reputational threat, resulting in a reputational loss. </w:t>
      </w:r>
      <w:r w:rsidR="00E62FF5" w:rsidRPr="00317CB4">
        <w:rPr>
          <w:lang w:val="en-GB"/>
        </w:rPr>
        <w:t>The tensions that can result from this relate back to the core state power dynamics</w:t>
      </w:r>
      <w:r w:rsidR="003E018C" w:rsidRPr="00317CB4">
        <w:rPr>
          <w:lang w:val="en-GB"/>
        </w:rPr>
        <w:t xml:space="preserve">: there are two potential principals that indicate to Frontex which direction they want the agency to take. However, in its deliberation process, </w:t>
      </w:r>
      <w:r w:rsidR="00F225AA" w:rsidRPr="00317CB4">
        <w:rPr>
          <w:lang w:val="en-GB"/>
        </w:rPr>
        <w:t>Frontex also has to consider which audience member poses the bigger reputational threat. The choice that is made</w:t>
      </w:r>
      <w:r w:rsidR="000966BE" w:rsidRPr="00317CB4">
        <w:rPr>
          <w:lang w:val="en-GB"/>
        </w:rPr>
        <w:t xml:space="preserve"> subsequently indicates who Frontex considers to be their main principal. If this principal is then </w:t>
      </w:r>
      <w:r w:rsidR="00494A42" w:rsidRPr="00317CB4">
        <w:rPr>
          <w:lang w:val="en-GB"/>
        </w:rPr>
        <w:t>both ho</w:t>
      </w:r>
      <w:r w:rsidR="00C9670A" w:rsidRPr="00317CB4">
        <w:rPr>
          <w:lang w:val="en-GB"/>
        </w:rPr>
        <w:t>lding on to core state powers and</w:t>
      </w:r>
      <w:r w:rsidR="00494A42" w:rsidRPr="00317CB4">
        <w:rPr>
          <w:lang w:val="en-GB"/>
        </w:rPr>
        <w:t xml:space="preserve"> </w:t>
      </w:r>
      <w:r w:rsidR="000966BE" w:rsidRPr="00317CB4">
        <w:rPr>
          <w:lang w:val="en-GB"/>
        </w:rPr>
        <w:t xml:space="preserve">making a demand that </w:t>
      </w:r>
      <w:r w:rsidR="00C20540" w:rsidRPr="00317CB4">
        <w:rPr>
          <w:lang w:val="en-GB"/>
        </w:rPr>
        <w:t xml:space="preserve">is directed at the core of Frontex’ mandate, then </w:t>
      </w:r>
      <w:r w:rsidR="00495A45" w:rsidRPr="00317CB4">
        <w:rPr>
          <w:lang w:val="en-GB"/>
        </w:rPr>
        <w:t xml:space="preserve">non-compliance with the demands poses a high potential for a reputational threat. </w:t>
      </w:r>
      <w:r w:rsidR="00570399" w:rsidRPr="00317CB4">
        <w:rPr>
          <w:lang w:val="en-GB"/>
        </w:rPr>
        <w:t>That is why demands that are very close to the agency’s core task are generally addressed relatively quick</w:t>
      </w:r>
      <w:r w:rsidR="00FC3D0F" w:rsidRPr="00317CB4">
        <w:rPr>
          <w:lang w:val="en-GB"/>
        </w:rPr>
        <w:t>ly</w:t>
      </w:r>
      <w:r w:rsidR="00570399" w:rsidRPr="00317CB4">
        <w:rPr>
          <w:lang w:val="en-GB"/>
        </w:rPr>
        <w:t xml:space="preserve"> to ensure that no reputational loss is suffered others (Rimkuté, 2018; Rimkuté, 2019). The same is the case when there is the expectation that acting upon a demand has positive repercussions to the overall reputation. Quick action may therefore be expected in two kinds of situations: when the demands are pointed at the agency’s core task and non-compliance with them would lead to a decreased reputation, or when following the demands leads to an improved reputation (Busuioc, 2016). In any case, the agency has to make a choice. </w:t>
      </w:r>
      <w:r w:rsidR="003B5A24" w:rsidRPr="00317CB4">
        <w:rPr>
          <w:lang w:val="en-GB"/>
        </w:rPr>
        <w:t>B</w:t>
      </w:r>
      <w:r w:rsidR="00565938" w:rsidRPr="00317CB4">
        <w:rPr>
          <w:lang w:val="en-GB"/>
        </w:rPr>
        <w:t xml:space="preserve">ased on this, the following expectation is formulated: </w:t>
      </w:r>
    </w:p>
    <w:p w14:paraId="367F2062" w14:textId="1CE81E14" w:rsidR="00565938" w:rsidRPr="00317CB4" w:rsidRDefault="00565938" w:rsidP="00565938">
      <w:pPr>
        <w:spacing w:line="360" w:lineRule="auto"/>
        <w:jc w:val="center"/>
        <w:rPr>
          <w:lang w:val="en-GB"/>
        </w:rPr>
      </w:pPr>
      <w:r w:rsidRPr="00317CB4">
        <w:rPr>
          <w:i/>
          <w:iCs/>
          <w:lang w:val="en-GB"/>
        </w:rPr>
        <w:t>If both the institutions and the member states are making demands to Frontex</w:t>
      </w:r>
      <w:r w:rsidR="00260A08" w:rsidRPr="00317CB4">
        <w:rPr>
          <w:i/>
          <w:iCs/>
          <w:lang w:val="en-GB"/>
        </w:rPr>
        <w:t>’</w:t>
      </w:r>
      <w:r w:rsidRPr="00317CB4">
        <w:rPr>
          <w:i/>
          <w:iCs/>
          <w:lang w:val="en-GB"/>
        </w:rPr>
        <w:t xml:space="preserve"> core mandate at the same time, but the demands to how this is to be executed are leading into opposing directions, then Frontex is expected to follow the member states’ demands. </w:t>
      </w:r>
    </w:p>
    <w:p w14:paraId="57B05AB6" w14:textId="0D5F63D4" w:rsidR="00126DE0" w:rsidRPr="00317CB4" w:rsidRDefault="00554752" w:rsidP="00565938">
      <w:pPr>
        <w:spacing w:line="360" w:lineRule="auto"/>
        <w:rPr>
          <w:lang w:val="en-GB"/>
        </w:rPr>
      </w:pPr>
      <w:r w:rsidRPr="00317CB4">
        <w:rPr>
          <w:lang w:val="en-GB"/>
        </w:rPr>
        <w:t>A</w:t>
      </w:r>
      <w:r w:rsidR="00F622EA" w:rsidRPr="00317CB4">
        <w:rPr>
          <w:lang w:val="en-GB"/>
        </w:rPr>
        <w:t>nother sub</w:t>
      </w:r>
      <w:r w:rsidRPr="00317CB4">
        <w:rPr>
          <w:lang w:val="en-GB"/>
        </w:rPr>
        <w:t xml:space="preserve">-consideration </w:t>
      </w:r>
      <w:r w:rsidR="009C5004" w:rsidRPr="00317CB4">
        <w:rPr>
          <w:lang w:val="en-GB"/>
        </w:rPr>
        <w:t xml:space="preserve">relates to the unity with which demands are made to an agency. Within the </w:t>
      </w:r>
      <w:r w:rsidR="005F7EA1" w:rsidRPr="00317CB4">
        <w:rPr>
          <w:lang w:val="en-GB"/>
        </w:rPr>
        <w:t xml:space="preserve">audience that Frontex is dealing with, at least in this analysis, two sides are present: the member states and the institutions. The audience is therefore heterogeneous (van der Veer, 2020). The member states, however, are also </w:t>
      </w:r>
      <w:r w:rsidR="00E618E7" w:rsidRPr="00317CB4">
        <w:rPr>
          <w:lang w:val="en-GB"/>
        </w:rPr>
        <w:t>heterogeneous in themselves as they are an audience made up of 27 members. It can therefore be tha</w:t>
      </w:r>
      <w:r w:rsidR="008634F4" w:rsidRPr="00317CB4">
        <w:rPr>
          <w:lang w:val="en-GB"/>
        </w:rPr>
        <w:t>t they agree on an issue, but it is also possible that they disagree – in fact, this is more likely</w:t>
      </w:r>
      <w:r w:rsidR="00C02784" w:rsidRPr="00317CB4">
        <w:rPr>
          <w:lang w:val="en-GB"/>
        </w:rPr>
        <w:t xml:space="preserve">. </w:t>
      </w:r>
      <w:r w:rsidR="004824C1" w:rsidRPr="00317CB4">
        <w:rPr>
          <w:lang w:val="en-GB"/>
        </w:rPr>
        <w:t>T</w:t>
      </w:r>
      <w:r w:rsidR="00C02784" w:rsidRPr="00317CB4">
        <w:rPr>
          <w:lang w:val="en-GB"/>
        </w:rPr>
        <w:t>h</w:t>
      </w:r>
      <w:r w:rsidR="004824C1" w:rsidRPr="00317CB4">
        <w:rPr>
          <w:lang w:val="en-GB"/>
        </w:rPr>
        <w:t>at is why differentiated integration has become an integral part of EU decision making</w:t>
      </w:r>
      <w:r w:rsidR="00424160" w:rsidRPr="00317CB4">
        <w:rPr>
          <w:lang w:val="en-GB"/>
        </w:rPr>
        <w:t>, and it is for example the reason why the member states that joined after 1999</w:t>
      </w:r>
      <w:r w:rsidR="00584AA8" w:rsidRPr="00317CB4">
        <w:rPr>
          <w:lang w:val="en-GB"/>
        </w:rPr>
        <w:t xml:space="preserve"> are generally excluded from the monetary union and some do not have the Euro as their currency</w:t>
      </w:r>
      <w:r w:rsidR="00305D15" w:rsidRPr="00317CB4">
        <w:rPr>
          <w:lang w:val="en-GB"/>
        </w:rPr>
        <w:t xml:space="preserve"> (Winzen &amp; Schimmelfennig, 2015). </w:t>
      </w:r>
      <w:r w:rsidR="0037691C" w:rsidRPr="00317CB4">
        <w:rPr>
          <w:lang w:val="en-GB"/>
        </w:rPr>
        <w:lastRenderedPageBreak/>
        <w:t>Attempts to achieve integration in migration and asylum policy are also made</w:t>
      </w:r>
      <w:r w:rsidR="00807E9A" w:rsidRPr="00317CB4">
        <w:rPr>
          <w:lang w:val="en-GB"/>
        </w:rPr>
        <w:t xml:space="preserve"> in form of horizontal and regulatory integration, though the UK (prior to Brexit) and Ireland have opt-outs here as well. </w:t>
      </w:r>
      <w:r w:rsidR="004D1FD7" w:rsidRPr="00317CB4">
        <w:rPr>
          <w:lang w:val="en-GB"/>
        </w:rPr>
        <w:t xml:space="preserve">Hesitance is ever present </w:t>
      </w:r>
      <w:r w:rsidR="007A374A" w:rsidRPr="00317CB4">
        <w:rPr>
          <w:lang w:val="en-GB"/>
        </w:rPr>
        <w:t xml:space="preserve">because this policy area is so integral to the member states core state powers. Nonetheless, it is possible that all member states have a common goal </w:t>
      </w:r>
      <w:r w:rsidR="007E7DA8" w:rsidRPr="00317CB4">
        <w:rPr>
          <w:lang w:val="en-GB"/>
        </w:rPr>
        <w:t xml:space="preserve">in migration and asylum policy, as was the case during the migration crisis. </w:t>
      </w:r>
      <w:r w:rsidR="00BB4368" w:rsidRPr="00317CB4">
        <w:rPr>
          <w:lang w:val="en-GB"/>
        </w:rPr>
        <w:t xml:space="preserve">It is therefore possible that all member states make the same demand to Frontex at the same time, but it is equally possible that </w:t>
      </w:r>
      <w:r w:rsidR="00A82954" w:rsidRPr="00317CB4">
        <w:rPr>
          <w:lang w:val="en-GB"/>
        </w:rPr>
        <w:t xml:space="preserve">the member states differ in what they want Frontex to do. </w:t>
      </w:r>
      <w:r w:rsidR="0023546E" w:rsidRPr="00317CB4">
        <w:rPr>
          <w:lang w:val="en-GB"/>
        </w:rPr>
        <w:t xml:space="preserve">If they do differ in what they demand, then the institutions can find an opening for an input of their own position. That way, </w:t>
      </w:r>
      <w:r w:rsidR="00852CDD" w:rsidRPr="00317CB4">
        <w:rPr>
          <w:lang w:val="en-GB"/>
        </w:rPr>
        <w:t>their own demands can find implementation despite the intergovernmental setting of a de</w:t>
      </w:r>
      <w:r w:rsidR="00192D1F" w:rsidRPr="00317CB4">
        <w:rPr>
          <w:lang w:val="en-GB"/>
        </w:rPr>
        <w:t xml:space="preserve">cision. </w:t>
      </w:r>
      <w:r w:rsidR="00AF5190" w:rsidRPr="00317CB4">
        <w:rPr>
          <w:lang w:val="en-GB"/>
        </w:rPr>
        <w:t>From this</w:t>
      </w:r>
      <w:r w:rsidR="002300C8" w:rsidRPr="00317CB4">
        <w:rPr>
          <w:lang w:val="en-GB"/>
        </w:rPr>
        <w:t xml:space="preserve">, the following expectation is formulated: </w:t>
      </w:r>
    </w:p>
    <w:p w14:paraId="00897D68" w14:textId="46273EDE" w:rsidR="00134467" w:rsidRPr="00317CB4" w:rsidRDefault="00134467" w:rsidP="007A6D6F">
      <w:pPr>
        <w:spacing w:line="360" w:lineRule="auto"/>
        <w:jc w:val="center"/>
        <w:rPr>
          <w:i/>
          <w:iCs/>
          <w:lang w:val="en-GB"/>
        </w:rPr>
      </w:pPr>
      <w:r w:rsidRPr="00317CB4">
        <w:rPr>
          <w:i/>
          <w:iCs/>
          <w:lang w:val="en-GB"/>
        </w:rPr>
        <w:t xml:space="preserve">If all member states hold the same position, the threat to Frontex’ reputation is bigger and quick compliance with the demands follows. However, if the member states are divided in their position, then the reputational risk is lower to Frontex. </w:t>
      </w:r>
      <w:r w:rsidR="00A83BDA" w:rsidRPr="00317CB4">
        <w:rPr>
          <w:i/>
          <w:iCs/>
          <w:lang w:val="en-GB"/>
        </w:rPr>
        <w:t>T</w:t>
      </w:r>
      <w:r w:rsidRPr="00317CB4">
        <w:rPr>
          <w:i/>
          <w:iCs/>
          <w:lang w:val="en-GB"/>
        </w:rPr>
        <w:t>hen the institutions are expected to be the factor that determines Frontex’ reaction.</w:t>
      </w:r>
    </w:p>
    <w:p w14:paraId="023E7B53" w14:textId="3558A9E0" w:rsidR="002300C8" w:rsidRPr="00317CB4" w:rsidRDefault="002371C8" w:rsidP="0083672D">
      <w:pPr>
        <w:pStyle w:val="ListParagraph"/>
        <w:numPr>
          <w:ilvl w:val="1"/>
          <w:numId w:val="36"/>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The role of saliency </w:t>
      </w:r>
    </w:p>
    <w:p w14:paraId="69C1A0B9" w14:textId="0B4EC338" w:rsidR="000F42A1" w:rsidRPr="00317CB4" w:rsidRDefault="00206DC4" w:rsidP="000F42A1">
      <w:pPr>
        <w:spacing w:line="360" w:lineRule="auto"/>
        <w:rPr>
          <w:lang w:val="en-GB"/>
        </w:rPr>
      </w:pPr>
      <w:r w:rsidRPr="00317CB4">
        <w:rPr>
          <w:lang w:val="en-GB"/>
        </w:rPr>
        <w:t xml:space="preserve">The last factor to be considered for the analysis is the saliency of an issue. Depending on how </w:t>
      </w:r>
      <w:r w:rsidR="004155A8" w:rsidRPr="00317CB4">
        <w:rPr>
          <w:lang w:val="en-GB"/>
        </w:rPr>
        <w:t>significant a topic is in the European political landscape</w:t>
      </w:r>
      <w:r w:rsidR="00200F91" w:rsidRPr="00317CB4">
        <w:rPr>
          <w:lang w:val="en-GB"/>
        </w:rPr>
        <w:t xml:space="preserve"> and how much debate there is about it</w:t>
      </w:r>
      <w:r w:rsidR="004155A8" w:rsidRPr="00317CB4">
        <w:rPr>
          <w:lang w:val="en-GB"/>
        </w:rPr>
        <w:t xml:space="preserve">, it is possible that </w:t>
      </w:r>
      <w:r w:rsidR="000A5BE4" w:rsidRPr="00317CB4">
        <w:rPr>
          <w:lang w:val="en-GB"/>
        </w:rPr>
        <w:t xml:space="preserve">demands </w:t>
      </w:r>
      <w:r w:rsidR="008A58E9" w:rsidRPr="00317CB4">
        <w:rPr>
          <w:lang w:val="en-GB"/>
        </w:rPr>
        <w:t xml:space="preserve">are made by </w:t>
      </w:r>
      <w:r w:rsidR="000A5BE4" w:rsidRPr="00317CB4">
        <w:rPr>
          <w:lang w:val="en-GB"/>
        </w:rPr>
        <w:t xml:space="preserve">both audience members as well. </w:t>
      </w:r>
      <w:r w:rsidR="00930BFE" w:rsidRPr="00317CB4">
        <w:rPr>
          <w:lang w:val="en-GB"/>
        </w:rPr>
        <w:t xml:space="preserve">Because of Frontex’ position between the institutions and member states, and because “issues are not neutral” (Keinnijenhuis et al. 2018), </w:t>
      </w:r>
      <w:r w:rsidR="004E6D71" w:rsidRPr="00317CB4">
        <w:rPr>
          <w:lang w:val="en-GB"/>
        </w:rPr>
        <w:t xml:space="preserve">Frontex would have to respond to demands whether they are </w:t>
      </w:r>
      <w:r w:rsidR="00223405" w:rsidRPr="00317CB4">
        <w:rPr>
          <w:lang w:val="en-GB"/>
        </w:rPr>
        <w:t xml:space="preserve">salient or not. </w:t>
      </w:r>
      <w:r w:rsidR="001130CC" w:rsidRPr="00317CB4">
        <w:rPr>
          <w:lang w:val="en-GB"/>
        </w:rPr>
        <w:t xml:space="preserve">It is possible though that the saliency of an issue determines the audience member that Frontex sides with. </w:t>
      </w:r>
      <w:r w:rsidR="00093683" w:rsidRPr="00317CB4">
        <w:rPr>
          <w:lang w:val="en-GB"/>
        </w:rPr>
        <w:t>Administrative tasks, for example, do not often make it into the newspapers, yet administrative demands to Frontex would be made</w:t>
      </w:r>
      <w:r w:rsidR="00483C5A" w:rsidRPr="00317CB4">
        <w:rPr>
          <w:lang w:val="en-GB"/>
        </w:rPr>
        <w:t xml:space="preserve"> anyway</w:t>
      </w:r>
      <w:r w:rsidR="001960F3" w:rsidRPr="00317CB4">
        <w:rPr>
          <w:lang w:val="en-GB"/>
        </w:rPr>
        <w:t>. Such demands usually come from the EU Commission</w:t>
      </w:r>
      <w:r w:rsidR="000471ED" w:rsidRPr="00317CB4">
        <w:rPr>
          <w:lang w:val="en-GB"/>
        </w:rPr>
        <w:t xml:space="preserve">, as it </w:t>
      </w:r>
      <w:r w:rsidR="00E1429A" w:rsidRPr="00317CB4">
        <w:rPr>
          <w:lang w:val="en-GB"/>
        </w:rPr>
        <w:t xml:space="preserve">possesses an ever expanding administrative capacity. </w:t>
      </w:r>
      <w:r w:rsidR="00923ED4" w:rsidRPr="00317CB4">
        <w:rPr>
          <w:lang w:val="en-GB"/>
        </w:rPr>
        <w:t>The Commission does also</w:t>
      </w:r>
      <w:r w:rsidR="00A76D1E" w:rsidRPr="00317CB4">
        <w:rPr>
          <w:lang w:val="en-GB"/>
        </w:rPr>
        <w:t xml:space="preserve"> arguably rely on agencies to expand its administrative capacities in specific policy areas</w:t>
      </w:r>
      <w:r w:rsidR="005E6759" w:rsidRPr="00317CB4">
        <w:rPr>
          <w:lang w:val="en-GB"/>
        </w:rPr>
        <w:t xml:space="preserve"> (Christensen &amp; Nielsen, 2010). </w:t>
      </w:r>
      <w:r w:rsidR="00411891" w:rsidRPr="00317CB4">
        <w:rPr>
          <w:lang w:val="en-GB"/>
        </w:rPr>
        <w:t>Thus, administrative tasks are considered to rank low in saliency, and from that consideration, the following expectation can be formulated:</w:t>
      </w:r>
    </w:p>
    <w:p w14:paraId="706FA775" w14:textId="589DD6EB" w:rsidR="007A6D6F" w:rsidRPr="00317CB4" w:rsidRDefault="00411891" w:rsidP="00A13BBF">
      <w:pPr>
        <w:spacing w:line="360" w:lineRule="auto"/>
        <w:jc w:val="center"/>
        <w:rPr>
          <w:i/>
          <w:iCs/>
          <w:lang w:val="en-GB"/>
        </w:rPr>
      </w:pPr>
      <w:r w:rsidRPr="00317CB4">
        <w:rPr>
          <w:i/>
          <w:iCs/>
          <w:lang w:val="en-GB"/>
        </w:rPr>
        <w:t xml:space="preserve"> </w:t>
      </w:r>
      <w:r w:rsidR="001413E2" w:rsidRPr="00317CB4">
        <w:rPr>
          <w:i/>
          <w:iCs/>
          <w:lang w:val="en-GB"/>
        </w:rPr>
        <w:t>If demands are made to politically less salient issues, Frontex is expected to follow the Commissions demands over the member states. Conversely</w:t>
      </w:r>
      <w:r w:rsidR="00F158E0" w:rsidRPr="00317CB4">
        <w:rPr>
          <w:i/>
          <w:iCs/>
          <w:lang w:val="en-GB"/>
        </w:rPr>
        <w:t xml:space="preserve">, if the demands are made to highly salient issues, then Frontex is expected to comply with the member states’ demands. </w:t>
      </w:r>
    </w:p>
    <w:p w14:paraId="53E8F0E0" w14:textId="77777777" w:rsidR="000C21F7" w:rsidRPr="00317CB4" w:rsidRDefault="000C21F7" w:rsidP="00A13BBF">
      <w:pPr>
        <w:spacing w:line="360" w:lineRule="auto"/>
        <w:jc w:val="center"/>
        <w:rPr>
          <w:i/>
          <w:iCs/>
          <w:lang w:val="en-GB"/>
        </w:rPr>
      </w:pPr>
    </w:p>
    <w:p w14:paraId="4CF91B59" w14:textId="77777777" w:rsidR="000C21F7" w:rsidRPr="00317CB4" w:rsidRDefault="000C21F7" w:rsidP="00A13BBF">
      <w:pPr>
        <w:spacing w:line="360" w:lineRule="auto"/>
        <w:jc w:val="center"/>
        <w:rPr>
          <w:i/>
          <w:iCs/>
          <w:lang w:val="en-GB"/>
        </w:rPr>
      </w:pPr>
    </w:p>
    <w:p w14:paraId="524AC307" w14:textId="77777777" w:rsidR="000C21F7" w:rsidRPr="00317CB4" w:rsidRDefault="000C21F7" w:rsidP="00A13BBF">
      <w:pPr>
        <w:spacing w:line="360" w:lineRule="auto"/>
        <w:jc w:val="center"/>
        <w:rPr>
          <w:i/>
          <w:iCs/>
          <w:lang w:val="en-GB"/>
        </w:rPr>
      </w:pPr>
    </w:p>
    <w:p w14:paraId="4E406461" w14:textId="77777777" w:rsidR="000C21F7" w:rsidRPr="00317CB4" w:rsidRDefault="000C21F7" w:rsidP="00A13BBF">
      <w:pPr>
        <w:spacing w:line="360" w:lineRule="auto"/>
        <w:jc w:val="center"/>
        <w:rPr>
          <w:i/>
          <w:iCs/>
          <w:lang w:val="en-GB"/>
        </w:rPr>
      </w:pPr>
    </w:p>
    <w:p w14:paraId="205BB157" w14:textId="5CE6BCB4" w:rsidR="00834901" w:rsidRPr="00317CB4" w:rsidRDefault="00834901" w:rsidP="00256400">
      <w:pPr>
        <w:pStyle w:val="ListParagraph"/>
        <w:numPr>
          <w:ilvl w:val="0"/>
          <w:numId w:val="14"/>
        </w:numPr>
        <w:spacing w:line="360" w:lineRule="auto"/>
        <w:rPr>
          <w:color w:val="2F5496" w:themeColor="accent1" w:themeShade="BF"/>
          <w:sz w:val="32"/>
          <w:szCs w:val="32"/>
          <w:lang w:val="en-GB"/>
        </w:rPr>
      </w:pPr>
      <w:r w:rsidRPr="00317CB4">
        <w:rPr>
          <w:b/>
          <w:bCs/>
          <w:color w:val="2F5496" w:themeColor="accent1" w:themeShade="BF"/>
          <w:sz w:val="32"/>
          <w:szCs w:val="32"/>
          <w:lang w:val="en-GB"/>
        </w:rPr>
        <w:lastRenderedPageBreak/>
        <w:t xml:space="preserve">Methodology </w:t>
      </w:r>
    </w:p>
    <w:p w14:paraId="016A8DE6" w14:textId="0160F4A6" w:rsidR="00834901" w:rsidRPr="00317CB4" w:rsidRDefault="00EF72F2" w:rsidP="0083672D">
      <w:pPr>
        <w:pStyle w:val="ListParagraph"/>
        <w:numPr>
          <w:ilvl w:val="1"/>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Research </w:t>
      </w:r>
      <w:r w:rsidR="00762F50" w:rsidRPr="00317CB4">
        <w:rPr>
          <w:b/>
          <w:bCs/>
          <w:color w:val="2F5496" w:themeColor="accent1" w:themeShade="BF"/>
          <w:sz w:val="24"/>
          <w:szCs w:val="24"/>
          <w:lang w:val="en-GB"/>
        </w:rPr>
        <w:t>approach</w:t>
      </w:r>
      <w:r w:rsidRPr="00317CB4">
        <w:rPr>
          <w:b/>
          <w:bCs/>
          <w:color w:val="2F5496" w:themeColor="accent1" w:themeShade="BF"/>
          <w:sz w:val="24"/>
          <w:szCs w:val="24"/>
          <w:lang w:val="en-GB"/>
        </w:rPr>
        <w:t xml:space="preserve"> </w:t>
      </w:r>
    </w:p>
    <w:p w14:paraId="7D8E5723" w14:textId="6AE09E55" w:rsidR="0083672D" w:rsidRPr="00317CB4" w:rsidRDefault="00EF72F2" w:rsidP="00EF72F2">
      <w:pPr>
        <w:spacing w:line="360" w:lineRule="auto"/>
        <w:rPr>
          <w:lang w:val="en-GB"/>
        </w:rPr>
      </w:pPr>
      <w:r w:rsidRPr="00317CB4">
        <w:rPr>
          <w:lang w:val="en-GB"/>
        </w:rPr>
        <w:t xml:space="preserve">Within this research, the aim is to investigate how Frontex is </w:t>
      </w:r>
      <w:r w:rsidR="00381A04" w:rsidRPr="00317CB4">
        <w:rPr>
          <w:lang w:val="en-GB"/>
        </w:rPr>
        <w:t xml:space="preserve">positioned in the core state power dynamics </w:t>
      </w:r>
      <w:r w:rsidR="00A5225F" w:rsidRPr="00317CB4">
        <w:rPr>
          <w:lang w:val="en-GB"/>
        </w:rPr>
        <w:t xml:space="preserve">at play between the EU institutions and the EU member states. </w:t>
      </w:r>
      <w:r w:rsidR="00194BCA" w:rsidRPr="00317CB4">
        <w:rPr>
          <w:lang w:val="en-GB"/>
        </w:rPr>
        <w:t xml:space="preserve">This is done by utilising reputation theory, as this can provide an explanation as to how </w:t>
      </w:r>
      <w:r w:rsidR="00951891" w:rsidRPr="00317CB4">
        <w:rPr>
          <w:lang w:val="en-GB"/>
        </w:rPr>
        <w:t>F</w:t>
      </w:r>
      <w:r w:rsidR="007C7AA8" w:rsidRPr="00317CB4">
        <w:rPr>
          <w:lang w:val="en-GB"/>
        </w:rPr>
        <w:t xml:space="preserve">rontex is </w:t>
      </w:r>
      <w:r w:rsidRPr="00317CB4">
        <w:rPr>
          <w:lang w:val="en-GB"/>
        </w:rPr>
        <w:t>managing its reputation vis-a-vis</w:t>
      </w:r>
      <w:r w:rsidR="003E7E7A" w:rsidRPr="00317CB4">
        <w:rPr>
          <w:lang w:val="en-GB"/>
        </w:rPr>
        <w:t xml:space="preserve"> both of these actors </w:t>
      </w:r>
      <w:r w:rsidR="00483C5A" w:rsidRPr="00317CB4">
        <w:rPr>
          <w:lang w:val="en-GB"/>
        </w:rPr>
        <w:t>through action</w:t>
      </w:r>
      <w:r w:rsidR="00951891" w:rsidRPr="00317CB4">
        <w:rPr>
          <w:lang w:val="en-GB"/>
        </w:rPr>
        <w:t>,</w:t>
      </w:r>
      <w:r w:rsidR="003E7E7A" w:rsidRPr="00317CB4">
        <w:rPr>
          <w:lang w:val="en-GB"/>
        </w:rPr>
        <w:t xml:space="preserve"> </w:t>
      </w:r>
      <w:r w:rsidRPr="00317CB4">
        <w:rPr>
          <w:lang w:val="en-GB"/>
        </w:rPr>
        <w:t xml:space="preserve">when they direct </w:t>
      </w:r>
      <w:r w:rsidR="002D34CA" w:rsidRPr="00317CB4">
        <w:rPr>
          <w:lang w:val="en-GB"/>
        </w:rPr>
        <w:t xml:space="preserve">their </w:t>
      </w:r>
      <w:r w:rsidRPr="00317CB4">
        <w:rPr>
          <w:lang w:val="en-GB"/>
        </w:rPr>
        <w:t>demands at the agency. The more heterogen</w:t>
      </w:r>
      <w:r w:rsidR="00AD0BDC" w:rsidRPr="00317CB4">
        <w:rPr>
          <w:lang w:val="en-GB"/>
        </w:rPr>
        <w:t>e</w:t>
      </w:r>
      <w:r w:rsidRPr="00317CB4">
        <w:rPr>
          <w:lang w:val="en-GB"/>
        </w:rPr>
        <w:t>ous the audience is, the more potential there is for conflicting demands. This is accompanied by the potential for an audience member</w:t>
      </w:r>
      <w:r w:rsidR="00455599" w:rsidRPr="00317CB4">
        <w:rPr>
          <w:lang w:val="en-GB"/>
        </w:rPr>
        <w:t>’</w:t>
      </w:r>
      <w:r w:rsidRPr="00317CB4">
        <w:rPr>
          <w:lang w:val="en-GB"/>
        </w:rPr>
        <w:t>s demands to not be met</w:t>
      </w:r>
      <w:r w:rsidR="00F067F7" w:rsidRPr="00317CB4">
        <w:rPr>
          <w:lang w:val="en-GB"/>
        </w:rPr>
        <w:t xml:space="preserve"> by Frontex</w:t>
      </w:r>
      <w:r w:rsidRPr="00317CB4">
        <w:rPr>
          <w:lang w:val="en-GB"/>
        </w:rPr>
        <w:t>. Both the member states and the Commission are important principals of Frontex as the agent, because they are direction-giving for this agency, although they are not the only ones. The European Parliament and European Council also count towards these principals as key institutions of the EU, as do third-countr</w:t>
      </w:r>
      <w:r w:rsidR="00F067F7" w:rsidRPr="00317CB4">
        <w:rPr>
          <w:lang w:val="en-GB"/>
        </w:rPr>
        <w:t>y</w:t>
      </w:r>
      <w:r w:rsidRPr="00317CB4">
        <w:rPr>
          <w:lang w:val="en-GB"/>
        </w:rPr>
        <w:t xml:space="preserve"> governments that Frontex works with as well. Yet, the choice fell upon the member states and the Commission for the scope of this research: they represent the struggle between intergovernmental and supranational decision-making in core state powers, i.e. the tensions between national governments and EU institutions in the management of migration &amp; asylum policy. The exploration of how Frontex manages its own reputation by carefully implementing the demands from both audience members can give an indication to which body prevails in the struggle for core state powers and</w:t>
      </w:r>
      <w:r w:rsidR="00341045" w:rsidRPr="00317CB4">
        <w:rPr>
          <w:lang w:val="en-GB"/>
        </w:rPr>
        <w:t xml:space="preserve"> who</w:t>
      </w:r>
      <w:r w:rsidRPr="00317CB4">
        <w:rPr>
          <w:lang w:val="en-GB"/>
        </w:rPr>
        <w:t xml:space="preserve"> Frontex</w:t>
      </w:r>
      <w:r w:rsidR="00EA2FBF" w:rsidRPr="00317CB4">
        <w:rPr>
          <w:lang w:val="en-GB"/>
        </w:rPr>
        <w:t>’</w:t>
      </w:r>
      <w:r w:rsidRPr="00317CB4">
        <w:rPr>
          <w:lang w:val="en-GB"/>
        </w:rPr>
        <w:t xml:space="preserve"> main principal</w:t>
      </w:r>
      <w:r w:rsidR="00341045" w:rsidRPr="00317CB4">
        <w:rPr>
          <w:lang w:val="en-GB"/>
        </w:rPr>
        <w:t xml:space="preserve"> </w:t>
      </w:r>
      <w:r w:rsidR="0046395A" w:rsidRPr="00317CB4">
        <w:rPr>
          <w:lang w:val="en-GB"/>
        </w:rPr>
        <w:t xml:space="preserve">is </w:t>
      </w:r>
      <w:r w:rsidR="00341045" w:rsidRPr="00317CB4">
        <w:rPr>
          <w:lang w:val="en-GB"/>
        </w:rPr>
        <w:t>in this area</w:t>
      </w:r>
      <w:r w:rsidRPr="00317CB4">
        <w:rPr>
          <w:lang w:val="en-GB"/>
        </w:rPr>
        <w:t>. The things that Frontex therefore needs to consider are examined more closely by collecting data from various reports, the news, and legal documents like policies and regulations</w:t>
      </w:r>
      <w:r w:rsidR="009F6633" w:rsidRPr="00317CB4">
        <w:rPr>
          <w:lang w:val="en-GB"/>
        </w:rPr>
        <w:t>. There was also the intention to gather information from an interview with an MEP and an APA</w:t>
      </w:r>
      <w:r w:rsidR="00896E6B" w:rsidRPr="00317CB4">
        <w:rPr>
          <w:lang w:val="en-GB"/>
        </w:rPr>
        <w:t>. The contact had been created, yet no further details to conduct the interviews could be arranged in time for this thesis which is why the information presented in the analysis is without this additional input.</w:t>
      </w:r>
      <w:r w:rsidR="00BC6DC1" w:rsidRPr="00317CB4">
        <w:rPr>
          <w:lang w:val="en-GB"/>
        </w:rPr>
        <w:t xml:space="preserve"> </w:t>
      </w:r>
      <w:r w:rsidR="00896E6B" w:rsidRPr="00317CB4">
        <w:rPr>
          <w:lang w:val="en-GB"/>
        </w:rPr>
        <w:t>Lastly, i</w:t>
      </w:r>
      <w:r w:rsidR="00BC6DC1" w:rsidRPr="00317CB4">
        <w:rPr>
          <w:lang w:val="en-GB"/>
        </w:rPr>
        <w:t xml:space="preserve">nformation </w:t>
      </w:r>
      <w:r w:rsidR="00F36B49" w:rsidRPr="00317CB4">
        <w:rPr>
          <w:lang w:val="en-GB"/>
        </w:rPr>
        <w:t>is</w:t>
      </w:r>
      <w:r w:rsidR="00BC6DC1" w:rsidRPr="00317CB4">
        <w:rPr>
          <w:lang w:val="en-GB"/>
        </w:rPr>
        <w:t xml:space="preserve"> gathered from Frontex itself </w:t>
      </w:r>
      <w:r w:rsidR="00322B59" w:rsidRPr="00317CB4">
        <w:rPr>
          <w:lang w:val="en-GB"/>
        </w:rPr>
        <w:t xml:space="preserve">in form of pre-written questions </w:t>
      </w:r>
      <w:r w:rsidR="00C62E1E" w:rsidRPr="00317CB4">
        <w:rPr>
          <w:lang w:val="en-GB"/>
        </w:rPr>
        <w:t xml:space="preserve">to which </w:t>
      </w:r>
      <w:r w:rsidR="00322B59" w:rsidRPr="00317CB4">
        <w:rPr>
          <w:lang w:val="en-GB"/>
        </w:rPr>
        <w:t>they provide</w:t>
      </w:r>
      <w:r w:rsidR="00F20119" w:rsidRPr="00317CB4">
        <w:rPr>
          <w:lang w:val="en-GB"/>
        </w:rPr>
        <w:t>d</w:t>
      </w:r>
      <w:r w:rsidR="00322B59" w:rsidRPr="00317CB4">
        <w:rPr>
          <w:lang w:val="en-GB"/>
        </w:rPr>
        <w:t xml:space="preserve"> a written answer via Email</w:t>
      </w:r>
      <w:r w:rsidRPr="00317CB4">
        <w:rPr>
          <w:lang w:val="en-GB"/>
        </w:rPr>
        <w:t xml:space="preserve">. </w:t>
      </w:r>
      <w:r w:rsidR="005E3A11" w:rsidRPr="00317CB4">
        <w:rPr>
          <w:lang w:val="en-GB"/>
        </w:rPr>
        <w:t>The questions and answers to them can be found in Appendix</w:t>
      </w:r>
      <w:r w:rsidR="00D85107" w:rsidRPr="00317CB4">
        <w:rPr>
          <w:lang w:val="en-GB"/>
        </w:rPr>
        <w:t xml:space="preserve"> 1</w:t>
      </w:r>
      <w:r w:rsidR="00023E50" w:rsidRPr="00317CB4">
        <w:rPr>
          <w:lang w:val="en-GB"/>
        </w:rPr>
        <w:t>.</w:t>
      </w:r>
    </w:p>
    <w:p w14:paraId="282B9705" w14:textId="364A18AD" w:rsidR="0083672D" w:rsidRPr="00317CB4" w:rsidRDefault="00185AE2" w:rsidP="0083672D">
      <w:pPr>
        <w:pStyle w:val="ListParagraph"/>
        <w:numPr>
          <w:ilvl w:val="1"/>
          <w:numId w:val="40"/>
        </w:numPr>
        <w:spacing w:line="360" w:lineRule="auto"/>
        <w:rPr>
          <w:b/>
          <w:bCs/>
          <w:color w:val="2F5496" w:themeColor="accent1" w:themeShade="BF"/>
          <w:sz w:val="24"/>
          <w:szCs w:val="24"/>
          <w:lang w:val="en-GB"/>
        </w:rPr>
      </w:pPr>
      <w:bookmarkStart w:id="3" w:name="_Hlk136533409"/>
      <w:r w:rsidRPr="00317CB4">
        <w:rPr>
          <w:b/>
          <w:bCs/>
          <w:color w:val="2F5496" w:themeColor="accent1" w:themeShade="BF"/>
          <w:sz w:val="24"/>
          <w:szCs w:val="24"/>
          <w:lang w:val="en-GB"/>
        </w:rPr>
        <w:t xml:space="preserve">Research design &amp; case selection </w:t>
      </w:r>
    </w:p>
    <w:bookmarkEnd w:id="3"/>
    <w:p w14:paraId="7CEF3170" w14:textId="7C899978" w:rsidR="00C505DD" w:rsidRPr="00317CB4" w:rsidRDefault="00565C53" w:rsidP="0083672D">
      <w:pPr>
        <w:pStyle w:val="ListParagraph"/>
        <w:numPr>
          <w:ilvl w:val="2"/>
          <w:numId w:val="40"/>
        </w:numPr>
        <w:spacing w:line="360" w:lineRule="auto"/>
        <w:rPr>
          <w:b/>
          <w:bCs/>
          <w:color w:val="2F5496" w:themeColor="accent1" w:themeShade="BF"/>
          <w:lang w:val="en-GB"/>
        </w:rPr>
      </w:pPr>
      <w:r w:rsidRPr="00317CB4">
        <w:rPr>
          <w:b/>
          <w:bCs/>
          <w:color w:val="2F5496" w:themeColor="accent1" w:themeShade="BF"/>
          <w:lang w:val="en-GB"/>
        </w:rPr>
        <w:t xml:space="preserve">Why a case study? </w:t>
      </w:r>
    </w:p>
    <w:p w14:paraId="56D93248" w14:textId="6BBF26B6" w:rsidR="008E27E5" w:rsidRPr="00317CB4" w:rsidRDefault="000B3BC2" w:rsidP="00834901">
      <w:pPr>
        <w:spacing w:line="360" w:lineRule="auto"/>
        <w:rPr>
          <w:u w:val="single"/>
          <w:lang w:val="en-GB"/>
        </w:rPr>
      </w:pPr>
      <w:r w:rsidRPr="00317CB4">
        <w:rPr>
          <w:lang w:val="en-GB"/>
        </w:rPr>
        <w:t xml:space="preserve">In the most basic definition, a case study offers the researcher a possibility </w:t>
      </w:r>
      <w:r w:rsidR="007124FB" w:rsidRPr="00317CB4">
        <w:rPr>
          <w:lang w:val="en-GB"/>
        </w:rPr>
        <w:t>“</w:t>
      </w:r>
      <w:r w:rsidRPr="00317CB4">
        <w:rPr>
          <w:lang w:val="en-GB"/>
        </w:rPr>
        <w:t>in which a particular instance o</w:t>
      </w:r>
      <w:r w:rsidR="00687F11" w:rsidRPr="00317CB4">
        <w:rPr>
          <w:lang w:val="en-GB"/>
        </w:rPr>
        <w:t>r</w:t>
      </w:r>
      <w:r w:rsidRPr="00317CB4">
        <w:rPr>
          <w:lang w:val="en-GB"/>
        </w:rPr>
        <w:t xml:space="preserve"> a few carefully selected cases are studied intensively</w:t>
      </w:r>
      <w:r w:rsidR="007124FB" w:rsidRPr="00317CB4">
        <w:rPr>
          <w:lang w:val="en-GB"/>
        </w:rPr>
        <w:t>”</w:t>
      </w:r>
      <w:r w:rsidRPr="00317CB4">
        <w:rPr>
          <w:lang w:val="en-GB"/>
        </w:rPr>
        <w:t xml:space="preserve"> (Kumar, 2011). </w:t>
      </w:r>
      <w:r w:rsidR="00F13548" w:rsidRPr="00317CB4">
        <w:rPr>
          <w:lang w:val="en-GB"/>
        </w:rPr>
        <w:t>An alternative definition of a case study is offered by Gerring (2004) who argues that a case study is</w:t>
      </w:r>
      <w:r w:rsidR="004C3720" w:rsidRPr="00317CB4">
        <w:rPr>
          <w:lang w:val="en-GB"/>
        </w:rPr>
        <w:t xml:space="preserve"> an intensive study of a single unit to understand similar units </w:t>
      </w:r>
      <w:r w:rsidR="00237F61" w:rsidRPr="00317CB4">
        <w:rPr>
          <w:lang w:val="en-GB"/>
        </w:rPr>
        <w:t xml:space="preserve">within the wider population. </w:t>
      </w:r>
      <w:r w:rsidR="009B09FA" w:rsidRPr="00317CB4">
        <w:rPr>
          <w:lang w:val="en-GB"/>
        </w:rPr>
        <w:t>T</w:t>
      </w:r>
      <w:r w:rsidR="00684C2C" w:rsidRPr="00317CB4">
        <w:rPr>
          <w:lang w:val="en-GB"/>
        </w:rPr>
        <w:t>his definition is supported by that of Seawright and Gerring (2008) who</w:t>
      </w:r>
      <w:r w:rsidR="00DC7B97" w:rsidRPr="00317CB4">
        <w:rPr>
          <w:lang w:val="en-GB"/>
        </w:rPr>
        <w:t xml:space="preserve"> say that when it is the researcher’s ambition to understand a population of cases, such as European regulatory agencies, then the analysis of a single unit from the overarching population </w:t>
      </w:r>
      <w:r w:rsidR="00AC1F8A" w:rsidRPr="00317CB4">
        <w:rPr>
          <w:lang w:val="en-GB"/>
        </w:rPr>
        <w:t xml:space="preserve">is a useful tool. </w:t>
      </w:r>
      <w:r w:rsidR="003A6FE5" w:rsidRPr="00317CB4">
        <w:rPr>
          <w:lang w:val="en-GB"/>
        </w:rPr>
        <w:t>Furthermore, McNabb (2015) argues that the criterion that sets the case study apart from other methods of doing research is its focus on a contemporary phenomenon that is observed in its real-life context.</w:t>
      </w:r>
      <w:r w:rsidR="00406552" w:rsidRPr="00317CB4">
        <w:rPr>
          <w:lang w:val="en-GB"/>
        </w:rPr>
        <w:t xml:space="preserve"> </w:t>
      </w:r>
      <w:r w:rsidR="00217551" w:rsidRPr="00317CB4">
        <w:rPr>
          <w:lang w:val="en-GB"/>
        </w:rPr>
        <w:t>Emphasis is therefore also</w:t>
      </w:r>
      <w:r w:rsidR="00F77795" w:rsidRPr="00317CB4">
        <w:rPr>
          <w:lang w:val="en-GB"/>
        </w:rPr>
        <w:t xml:space="preserve"> placed</w:t>
      </w:r>
      <w:r w:rsidR="00217551" w:rsidRPr="00317CB4">
        <w:rPr>
          <w:lang w:val="en-GB"/>
        </w:rPr>
        <w:t xml:space="preserve"> on</w:t>
      </w:r>
      <w:r w:rsidR="00406552" w:rsidRPr="00317CB4">
        <w:rPr>
          <w:lang w:val="en-GB"/>
        </w:rPr>
        <w:t xml:space="preserve"> </w:t>
      </w:r>
      <w:r w:rsidR="00F77795" w:rsidRPr="00317CB4">
        <w:rPr>
          <w:lang w:val="en-GB"/>
        </w:rPr>
        <w:t xml:space="preserve">the </w:t>
      </w:r>
      <w:r w:rsidR="00406552" w:rsidRPr="00317CB4">
        <w:rPr>
          <w:lang w:val="en-GB"/>
        </w:rPr>
        <w:t xml:space="preserve">context in which the </w:t>
      </w:r>
      <w:r w:rsidR="00406552" w:rsidRPr="00317CB4">
        <w:rPr>
          <w:lang w:val="en-GB"/>
        </w:rPr>
        <w:lastRenderedPageBreak/>
        <w:t xml:space="preserve">case is situated </w:t>
      </w:r>
      <w:r w:rsidR="00217551" w:rsidRPr="00317CB4">
        <w:rPr>
          <w:lang w:val="en-GB"/>
        </w:rPr>
        <w:t>(Yin, 2013).</w:t>
      </w:r>
      <w:r w:rsidR="003A6FE5" w:rsidRPr="00317CB4">
        <w:rPr>
          <w:lang w:val="en-GB"/>
        </w:rPr>
        <w:t xml:space="preserve"> </w:t>
      </w:r>
      <w:r w:rsidR="00AC1F8A" w:rsidRPr="00317CB4">
        <w:rPr>
          <w:lang w:val="en-GB"/>
        </w:rPr>
        <w:t xml:space="preserve">Thus, </w:t>
      </w:r>
      <w:r w:rsidR="00237F61" w:rsidRPr="00317CB4">
        <w:rPr>
          <w:lang w:val="en-GB"/>
        </w:rPr>
        <w:t xml:space="preserve">Frontex certainly represents a single-unit </w:t>
      </w:r>
      <w:r w:rsidR="00B27746" w:rsidRPr="00317CB4">
        <w:rPr>
          <w:lang w:val="en-GB"/>
        </w:rPr>
        <w:t xml:space="preserve">study </w:t>
      </w:r>
      <w:r w:rsidR="00DA066C" w:rsidRPr="00317CB4">
        <w:rPr>
          <w:lang w:val="en-GB"/>
        </w:rPr>
        <w:t xml:space="preserve">that is </w:t>
      </w:r>
      <w:r w:rsidR="00253676" w:rsidRPr="00317CB4">
        <w:rPr>
          <w:lang w:val="en-GB"/>
        </w:rPr>
        <w:t xml:space="preserve">studied in a more detailed fashion, and </w:t>
      </w:r>
      <w:r w:rsidR="00B27746" w:rsidRPr="00317CB4">
        <w:rPr>
          <w:lang w:val="en-GB"/>
        </w:rPr>
        <w:t xml:space="preserve">that </w:t>
      </w:r>
      <w:r w:rsidR="00CA1283" w:rsidRPr="00317CB4">
        <w:rPr>
          <w:lang w:val="en-GB"/>
        </w:rPr>
        <w:t>can function to provide more detailed understanding of the wider population of European regulatory agencies</w:t>
      </w:r>
      <w:r w:rsidR="00253676" w:rsidRPr="00317CB4">
        <w:rPr>
          <w:lang w:val="en-GB"/>
        </w:rPr>
        <w:t>. This can subsequently help to understand</w:t>
      </w:r>
      <w:r w:rsidR="00CA1283" w:rsidRPr="00317CB4">
        <w:rPr>
          <w:lang w:val="en-GB"/>
        </w:rPr>
        <w:t xml:space="preserve"> how </w:t>
      </w:r>
      <w:r w:rsidR="00667650" w:rsidRPr="00317CB4">
        <w:rPr>
          <w:lang w:val="en-GB"/>
        </w:rPr>
        <w:t xml:space="preserve">these types of </w:t>
      </w:r>
      <w:r w:rsidR="00CA1283" w:rsidRPr="00317CB4">
        <w:rPr>
          <w:lang w:val="en-GB"/>
        </w:rPr>
        <w:t xml:space="preserve">agencies manage their reputation vis-à-vis their audience. </w:t>
      </w:r>
      <w:r w:rsidR="00F279D2" w:rsidRPr="00317CB4">
        <w:rPr>
          <w:lang w:val="en-GB"/>
        </w:rPr>
        <w:t>With this approach, this research is testing the applicability of an already existing theory</w:t>
      </w:r>
      <w:r w:rsidR="00D24EFF" w:rsidRPr="00317CB4">
        <w:rPr>
          <w:lang w:val="en-GB"/>
        </w:rPr>
        <w:t xml:space="preserve">, </w:t>
      </w:r>
      <w:r w:rsidR="00667650" w:rsidRPr="00317CB4">
        <w:rPr>
          <w:lang w:val="en-GB"/>
        </w:rPr>
        <w:t>reputation theory</w:t>
      </w:r>
      <w:r w:rsidR="00842621" w:rsidRPr="00317CB4">
        <w:rPr>
          <w:lang w:val="en-GB"/>
        </w:rPr>
        <w:t>,</w:t>
      </w:r>
      <w:r w:rsidR="00E66782" w:rsidRPr="00317CB4">
        <w:rPr>
          <w:lang w:val="en-GB"/>
        </w:rPr>
        <w:t xml:space="preserve"> to one unit of a</w:t>
      </w:r>
      <w:r w:rsidR="007960D5" w:rsidRPr="00317CB4">
        <w:rPr>
          <w:lang w:val="en-GB"/>
        </w:rPr>
        <w:t xml:space="preserve"> wider</w:t>
      </w:r>
      <w:r w:rsidR="00E66782" w:rsidRPr="00317CB4">
        <w:rPr>
          <w:lang w:val="en-GB"/>
        </w:rPr>
        <w:t xml:space="preserve"> population</w:t>
      </w:r>
      <w:r w:rsidR="00E523DA" w:rsidRPr="00317CB4">
        <w:rPr>
          <w:lang w:val="en-GB"/>
        </w:rPr>
        <w:t xml:space="preserve">. </w:t>
      </w:r>
      <w:r w:rsidR="007960D5" w:rsidRPr="00317CB4">
        <w:rPr>
          <w:lang w:val="en-GB"/>
        </w:rPr>
        <w:t>Furthermore</w:t>
      </w:r>
      <w:r w:rsidR="00E523DA" w:rsidRPr="00317CB4">
        <w:rPr>
          <w:lang w:val="en-GB"/>
        </w:rPr>
        <w:t xml:space="preserve">, it </w:t>
      </w:r>
      <w:r w:rsidR="00D24EFF" w:rsidRPr="00317CB4">
        <w:rPr>
          <w:lang w:val="en-GB"/>
        </w:rPr>
        <w:t xml:space="preserve">also </w:t>
      </w:r>
      <w:r w:rsidR="00E12E7C" w:rsidRPr="00317CB4">
        <w:rPr>
          <w:lang w:val="en-GB"/>
        </w:rPr>
        <w:t xml:space="preserve">analyses </w:t>
      </w:r>
      <w:r w:rsidR="00BB6117" w:rsidRPr="00317CB4">
        <w:rPr>
          <w:lang w:val="en-GB"/>
        </w:rPr>
        <w:t xml:space="preserve">how agencification </w:t>
      </w:r>
      <w:r w:rsidR="00404A22" w:rsidRPr="00317CB4">
        <w:rPr>
          <w:lang w:val="en-GB"/>
        </w:rPr>
        <w:t xml:space="preserve">can </w:t>
      </w:r>
      <w:r w:rsidR="00BF1C9B" w:rsidRPr="00317CB4">
        <w:rPr>
          <w:lang w:val="en-GB"/>
        </w:rPr>
        <w:t xml:space="preserve">enhance and </w:t>
      </w:r>
      <w:r w:rsidR="00BB6117" w:rsidRPr="00317CB4">
        <w:rPr>
          <w:lang w:val="en-GB"/>
        </w:rPr>
        <w:t xml:space="preserve">contribute to </w:t>
      </w:r>
      <w:r w:rsidR="00404A22" w:rsidRPr="00317CB4">
        <w:rPr>
          <w:lang w:val="en-GB"/>
        </w:rPr>
        <w:t xml:space="preserve">a tug-of-war </w:t>
      </w:r>
      <w:r w:rsidR="00802A5C" w:rsidRPr="00317CB4">
        <w:rPr>
          <w:lang w:val="en-GB"/>
        </w:rPr>
        <w:t>between the relevant audiences</w:t>
      </w:r>
      <w:r w:rsidR="00BD4DCE" w:rsidRPr="00317CB4">
        <w:rPr>
          <w:lang w:val="en-GB"/>
        </w:rPr>
        <w:t xml:space="preserve"> of an agency when</w:t>
      </w:r>
      <w:r w:rsidR="00954E33" w:rsidRPr="00317CB4">
        <w:rPr>
          <w:lang w:val="en-GB"/>
        </w:rPr>
        <w:t xml:space="preserve"> reputation management is considered as well</w:t>
      </w:r>
      <w:r w:rsidR="00A93477" w:rsidRPr="00317CB4">
        <w:rPr>
          <w:lang w:val="en-GB"/>
        </w:rPr>
        <w:t xml:space="preserve">. </w:t>
      </w:r>
      <w:r w:rsidR="00A46549" w:rsidRPr="00317CB4">
        <w:rPr>
          <w:lang w:val="en-GB"/>
        </w:rPr>
        <w:t>B</w:t>
      </w:r>
      <w:r w:rsidR="00A06586" w:rsidRPr="00317CB4">
        <w:rPr>
          <w:lang w:val="en-GB"/>
        </w:rPr>
        <w:t>ecause of the context in which it is analysed</w:t>
      </w:r>
      <w:r w:rsidR="001D04B8" w:rsidRPr="00317CB4">
        <w:rPr>
          <w:lang w:val="en-GB"/>
        </w:rPr>
        <w:t xml:space="preserve">, Frontex has the potential to </w:t>
      </w:r>
      <w:r w:rsidR="00E85DB7" w:rsidRPr="00317CB4">
        <w:rPr>
          <w:lang w:val="en-GB"/>
        </w:rPr>
        <w:t xml:space="preserve">clarify the struggle of core state powers </w:t>
      </w:r>
      <w:r w:rsidR="008E65BB" w:rsidRPr="00317CB4">
        <w:rPr>
          <w:lang w:val="en-GB"/>
        </w:rPr>
        <w:t xml:space="preserve">that appeared due to the proliferation of EU agencies. </w:t>
      </w:r>
      <w:r w:rsidR="00F86839" w:rsidRPr="00317CB4">
        <w:rPr>
          <w:lang w:val="en-GB"/>
        </w:rPr>
        <w:t xml:space="preserve">The </w:t>
      </w:r>
      <w:r w:rsidR="00DB2E5B" w:rsidRPr="00317CB4">
        <w:rPr>
          <w:lang w:val="en-GB"/>
        </w:rPr>
        <w:t xml:space="preserve">way Frontex is managing its reputation while being wedged between supranational and intergovernmental decision-makers </w:t>
      </w:r>
      <w:r w:rsidR="00C73032" w:rsidRPr="00317CB4">
        <w:rPr>
          <w:lang w:val="en-GB"/>
        </w:rPr>
        <w:t>may allow inferences to be made about the reputation management of other EU agencies</w:t>
      </w:r>
      <w:r w:rsidR="00257376" w:rsidRPr="00317CB4">
        <w:rPr>
          <w:lang w:val="en-GB"/>
        </w:rPr>
        <w:t xml:space="preserve"> </w:t>
      </w:r>
      <w:r w:rsidR="00157873" w:rsidRPr="00317CB4">
        <w:rPr>
          <w:lang w:val="en-GB"/>
        </w:rPr>
        <w:t xml:space="preserve">that have to navigate their reputation </w:t>
      </w:r>
      <w:r w:rsidR="00A23048" w:rsidRPr="00317CB4">
        <w:rPr>
          <w:lang w:val="en-GB"/>
        </w:rPr>
        <w:t>with a heterogen</w:t>
      </w:r>
      <w:r w:rsidR="00E12E7C" w:rsidRPr="00317CB4">
        <w:rPr>
          <w:lang w:val="en-GB"/>
        </w:rPr>
        <w:t>e</w:t>
      </w:r>
      <w:r w:rsidR="00A23048" w:rsidRPr="00317CB4">
        <w:rPr>
          <w:lang w:val="en-GB"/>
        </w:rPr>
        <w:t xml:space="preserve">ous audience. </w:t>
      </w:r>
      <w:r w:rsidR="009E3555" w:rsidRPr="00317CB4">
        <w:rPr>
          <w:lang w:val="en-GB"/>
        </w:rPr>
        <w:t xml:space="preserve">This uniqueness </w:t>
      </w:r>
      <w:r w:rsidR="00F95097" w:rsidRPr="00317CB4">
        <w:rPr>
          <w:lang w:val="en-GB"/>
        </w:rPr>
        <w:t xml:space="preserve">of Frontex’ situation is among the reasons why it stands apart from the other European regulatory agencies and </w:t>
      </w:r>
      <w:r w:rsidR="00A54500" w:rsidRPr="00317CB4">
        <w:rPr>
          <w:lang w:val="en-GB"/>
        </w:rPr>
        <w:t>has been chosen over them for this research</w:t>
      </w:r>
      <w:r w:rsidR="00CB6EAA" w:rsidRPr="00317CB4">
        <w:rPr>
          <w:lang w:val="en-GB"/>
        </w:rPr>
        <w:t xml:space="preserve">. </w:t>
      </w:r>
    </w:p>
    <w:p w14:paraId="618C5A58" w14:textId="63874DE1" w:rsidR="00874FC1" w:rsidRPr="00317CB4" w:rsidRDefault="008A4D73" w:rsidP="0083672D">
      <w:pPr>
        <w:pStyle w:val="ListParagraph"/>
        <w:numPr>
          <w:ilvl w:val="2"/>
          <w:numId w:val="40"/>
        </w:numPr>
        <w:spacing w:line="360" w:lineRule="auto"/>
        <w:rPr>
          <w:b/>
          <w:bCs/>
          <w:color w:val="2F5496" w:themeColor="accent1" w:themeShade="BF"/>
          <w:u w:val="single"/>
          <w:lang w:val="en-GB"/>
        </w:rPr>
      </w:pPr>
      <w:r w:rsidRPr="00317CB4">
        <w:rPr>
          <w:b/>
          <w:bCs/>
          <w:color w:val="2F5496" w:themeColor="accent1" w:themeShade="BF"/>
          <w:lang w:val="en-GB"/>
        </w:rPr>
        <w:t>What kind of case study?</w:t>
      </w:r>
      <w:r w:rsidRPr="00317CB4">
        <w:rPr>
          <w:b/>
          <w:bCs/>
          <w:color w:val="2F5496" w:themeColor="accent1" w:themeShade="BF"/>
          <w:u w:val="single"/>
          <w:lang w:val="en-GB"/>
        </w:rPr>
        <w:t xml:space="preserve"> </w:t>
      </w:r>
    </w:p>
    <w:p w14:paraId="2E563879" w14:textId="6312A4D9" w:rsidR="00EF678F" w:rsidRPr="00317CB4" w:rsidRDefault="003B0754" w:rsidP="00834901">
      <w:pPr>
        <w:spacing w:line="360" w:lineRule="auto"/>
        <w:rPr>
          <w:lang w:val="en-GB"/>
        </w:rPr>
      </w:pPr>
      <w:r w:rsidRPr="00317CB4">
        <w:rPr>
          <w:lang w:val="en-GB"/>
        </w:rPr>
        <w:t xml:space="preserve">While it is now established that this research is conducted in the form of a case study, </w:t>
      </w:r>
      <w:r w:rsidR="000E40E1" w:rsidRPr="00317CB4">
        <w:rPr>
          <w:lang w:val="en-GB"/>
        </w:rPr>
        <w:t xml:space="preserve">the type of case study still requires further specification. </w:t>
      </w:r>
      <w:r w:rsidR="00AB40B6" w:rsidRPr="00317CB4">
        <w:rPr>
          <w:lang w:val="en-GB"/>
        </w:rPr>
        <w:t>This specification is important</w:t>
      </w:r>
      <w:r w:rsidR="008C2B14" w:rsidRPr="00317CB4">
        <w:rPr>
          <w:lang w:val="en-GB"/>
        </w:rPr>
        <w:t xml:space="preserve"> because there are a variety of case studies available, and depending on the way the research is set up, </w:t>
      </w:r>
      <w:r w:rsidR="00F3756C" w:rsidRPr="00317CB4">
        <w:rPr>
          <w:lang w:val="en-GB"/>
        </w:rPr>
        <w:t>different ones can be considered in the writing process. Often, the kind of theory that has been chosen by the researcher</w:t>
      </w:r>
      <w:r w:rsidR="00C84A14" w:rsidRPr="00317CB4">
        <w:rPr>
          <w:lang w:val="en-GB"/>
        </w:rPr>
        <w:t xml:space="preserve"> and how it is interacted with determines the kind of case, as does the number of cases that are analysed. </w:t>
      </w:r>
      <w:r w:rsidR="008C6555" w:rsidRPr="00317CB4">
        <w:rPr>
          <w:lang w:val="en-GB"/>
        </w:rPr>
        <w:t xml:space="preserve">In other situations, the type of case study that is chosen determines the case that will subsequently be selected (Seawright &amp; Gerring, 2008). </w:t>
      </w:r>
      <w:r w:rsidR="001A40D7" w:rsidRPr="00317CB4">
        <w:rPr>
          <w:lang w:val="en-GB"/>
        </w:rPr>
        <w:t>Here</w:t>
      </w:r>
      <w:r w:rsidR="00E75215" w:rsidRPr="00317CB4">
        <w:rPr>
          <w:lang w:val="en-GB"/>
        </w:rPr>
        <w:t xml:space="preserve">, the goal of the thesis is </w:t>
      </w:r>
      <w:r w:rsidR="000D521F" w:rsidRPr="00317CB4">
        <w:rPr>
          <w:lang w:val="en-GB"/>
        </w:rPr>
        <w:t xml:space="preserve">to </w:t>
      </w:r>
      <w:r w:rsidR="00363B95" w:rsidRPr="00317CB4">
        <w:rPr>
          <w:lang w:val="en-GB"/>
        </w:rPr>
        <w:t>arrive at a conclusion of how</w:t>
      </w:r>
      <w:r w:rsidR="005647C2" w:rsidRPr="00317CB4">
        <w:rPr>
          <w:lang w:val="en-GB"/>
        </w:rPr>
        <w:t xml:space="preserve"> Frontex’ reputation management </w:t>
      </w:r>
      <w:r w:rsidR="00384E07" w:rsidRPr="00317CB4">
        <w:rPr>
          <w:lang w:val="en-GB"/>
        </w:rPr>
        <w:t>over</w:t>
      </w:r>
      <w:r w:rsidR="00C05244" w:rsidRPr="00317CB4">
        <w:rPr>
          <w:lang w:val="en-GB"/>
        </w:rPr>
        <w:t xml:space="preserve"> </w:t>
      </w:r>
      <w:r w:rsidR="007547D1" w:rsidRPr="00317CB4">
        <w:rPr>
          <w:lang w:val="en-GB"/>
        </w:rPr>
        <w:t>a period of</w:t>
      </w:r>
      <w:r w:rsidR="00C05244" w:rsidRPr="00317CB4">
        <w:rPr>
          <w:lang w:val="en-GB"/>
        </w:rPr>
        <w:t xml:space="preserve"> time </w:t>
      </w:r>
      <w:r w:rsidR="00363B95" w:rsidRPr="00317CB4">
        <w:rPr>
          <w:lang w:val="en-GB"/>
        </w:rPr>
        <w:t xml:space="preserve">can be indicative of the struggle over core state powers. </w:t>
      </w:r>
    </w:p>
    <w:p w14:paraId="74A06F9F" w14:textId="5AFBC388" w:rsidR="008A4D73" w:rsidRPr="00317CB4" w:rsidRDefault="00EF678F" w:rsidP="00EF678F">
      <w:pPr>
        <w:spacing w:line="360" w:lineRule="auto"/>
        <w:ind w:firstLine="720"/>
        <w:rPr>
          <w:lang w:val="en-GB"/>
        </w:rPr>
      </w:pPr>
      <w:r w:rsidRPr="00317CB4">
        <w:rPr>
          <w:lang w:val="en-GB"/>
        </w:rPr>
        <w:t>Even though there are plenty of EU agencies at this point, there are not many besides Frontex that operate in the area of core state powers. Some other examples that touch into this area include: CEPOL, which develops and organises training programmes for police services and other law enforcement officials in the EU; EBA, the European Banking Authority that works to implement standard rules for banking regulation and supervision in all EU countries; Eurojust, which supports judicial cooperation in the EU in a range of cross-border crimes such as terrorism, drug trafficking and cybercrime</w:t>
      </w:r>
      <w:r w:rsidR="00205D75" w:rsidRPr="00317CB4">
        <w:rPr>
          <w:lang w:val="en-GB"/>
        </w:rPr>
        <w:t xml:space="preserve"> (</w:t>
      </w:r>
      <w:r w:rsidR="00547E5D" w:rsidRPr="00317CB4">
        <w:rPr>
          <w:lang w:val="en-GB"/>
        </w:rPr>
        <w:t>European Union, 2021</w:t>
      </w:r>
      <w:r w:rsidR="00205D75" w:rsidRPr="00317CB4">
        <w:rPr>
          <w:lang w:val="en-GB"/>
        </w:rPr>
        <w:t>)</w:t>
      </w:r>
      <w:r w:rsidRPr="00317CB4">
        <w:rPr>
          <w:lang w:val="en-GB"/>
        </w:rPr>
        <w:t xml:space="preserve">. If an agency dedicated to the collection of taxes would exist, then it would be the perfect example of another agency interacting in the core state power dynamics discussed already. It is thus important to see to what extent the argument made in this research through the use of Frontex can be applied and transferred to other agencies that act in </w:t>
      </w:r>
      <w:r w:rsidR="00E75DC2" w:rsidRPr="00317CB4">
        <w:rPr>
          <w:lang w:val="en-GB"/>
        </w:rPr>
        <w:t xml:space="preserve">the </w:t>
      </w:r>
      <w:r w:rsidRPr="00317CB4">
        <w:rPr>
          <w:lang w:val="en-GB"/>
        </w:rPr>
        <w:t>core state power</w:t>
      </w:r>
      <w:r w:rsidR="00E75DC2" w:rsidRPr="00317CB4">
        <w:rPr>
          <w:lang w:val="en-GB"/>
        </w:rPr>
        <w:t xml:space="preserve"> domain</w:t>
      </w:r>
      <w:r w:rsidRPr="00317CB4">
        <w:rPr>
          <w:lang w:val="en-GB"/>
        </w:rPr>
        <w:t xml:space="preserve"> as well. Checking for this allows to make generalisations about </w:t>
      </w:r>
      <w:r w:rsidR="00B12767" w:rsidRPr="00317CB4">
        <w:rPr>
          <w:lang w:val="en-GB"/>
        </w:rPr>
        <w:t>reputation</w:t>
      </w:r>
      <w:r w:rsidRPr="00317CB4">
        <w:rPr>
          <w:lang w:val="en-GB"/>
        </w:rPr>
        <w:t xml:space="preserve"> theory</w:t>
      </w:r>
      <w:r w:rsidR="00B12767" w:rsidRPr="00317CB4">
        <w:rPr>
          <w:lang w:val="en-GB"/>
        </w:rPr>
        <w:t>,</w:t>
      </w:r>
      <w:r w:rsidRPr="00317CB4">
        <w:rPr>
          <w:lang w:val="en-GB"/>
        </w:rPr>
        <w:t xml:space="preserve"> core state power</w:t>
      </w:r>
      <w:r w:rsidR="0014521A" w:rsidRPr="00317CB4">
        <w:rPr>
          <w:lang w:val="en-GB"/>
        </w:rPr>
        <w:t xml:space="preserve"> dynamics,</w:t>
      </w:r>
      <w:r w:rsidRPr="00317CB4">
        <w:rPr>
          <w:lang w:val="en-GB"/>
        </w:rPr>
        <w:t xml:space="preserve"> and the position European agencies hold in t</w:t>
      </w:r>
      <w:r w:rsidR="0014521A" w:rsidRPr="00317CB4">
        <w:rPr>
          <w:lang w:val="en-GB"/>
        </w:rPr>
        <w:t>herein</w:t>
      </w:r>
      <w:r w:rsidRPr="00317CB4">
        <w:rPr>
          <w:lang w:val="en-GB"/>
        </w:rPr>
        <w:t xml:space="preserve">. Based on the discussed literature and presented expectations that derived therefrom, Frontex is presented as a most likely case because </w:t>
      </w:r>
      <w:r w:rsidRPr="00317CB4">
        <w:rPr>
          <w:lang w:val="en-GB"/>
        </w:rPr>
        <w:lastRenderedPageBreak/>
        <w:t>the expectation is that it will likely fit with the theory that has been presented. Following this logic, it is likely that similar cases, i.e. other EU agencies acting in the core state power domain, will fit the same theory, thereby increasing the theory</w:t>
      </w:r>
      <w:r w:rsidR="00A95F4C" w:rsidRPr="00317CB4">
        <w:rPr>
          <w:lang w:val="en-GB"/>
        </w:rPr>
        <w:t>’</w:t>
      </w:r>
      <w:r w:rsidRPr="00317CB4">
        <w:rPr>
          <w:lang w:val="en-GB"/>
        </w:rPr>
        <w:t>s validity. The results from the analysis will therefore show the extent to which this case can provide leverage to the theory or instead negatively impacts the confidence we have in its applicability (</w:t>
      </w:r>
      <w:r w:rsidR="00287847" w:rsidRPr="00317CB4">
        <w:rPr>
          <w:lang w:val="en-GB"/>
        </w:rPr>
        <w:t xml:space="preserve">Goodrick, 2014; </w:t>
      </w:r>
      <w:r w:rsidRPr="00317CB4">
        <w:rPr>
          <w:lang w:val="en-GB"/>
        </w:rPr>
        <w:t xml:space="preserve">Levy, 2008). </w:t>
      </w:r>
      <w:r w:rsidR="00CA5283" w:rsidRPr="00317CB4">
        <w:rPr>
          <w:lang w:val="en-GB"/>
        </w:rPr>
        <w:t xml:space="preserve"> </w:t>
      </w:r>
    </w:p>
    <w:p w14:paraId="65783A55" w14:textId="009E7533" w:rsidR="001A686B" w:rsidRPr="00317CB4" w:rsidRDefault="008B0FBB" w:rsidP="00834901">
      <w:pPr>
        <w:spacing w:line="360" w:lineRule="auto"/>
        <w:rPr>
          <w:lang w:val="en-GB"/>
        </w:rPr>
      </w:pPr>
      <w:r w:rsidRPr="00317CB4">
        <w:rPr>
          <w:lang w:val="en-GB"/>
        </w:rPr>
        <w:tab/>
        <w:t xml:space="preserve">In this research, I </w:t>
      </w:r>
      <w:r w:rsidR="00E1631C" w:rsidRPr="00317CB4">
        <w:rPr>
          <w:lang w:val="en-GB"/>
        </w:rPr>
        <w:t>analyse</w:t>
      </w:r>
      <w:r w:rsidRPr="00317CB4">
        <w:rPr>
          <w:lang w:val="en-GB"/>
        </w:rPr>
        <w:t xml:space="preserve"> how Frontex h</w:t>
      </w:r>
      <w:r w:rsidR="00E1631C" w:rsidRPr="00317CB4">
        <w:rPr>
          <w:lang w:val="en-GB"/>
        </w:rPr>
        <w:t xml:space="preserve">as managed its own reputation </w:t>
      </w:r>
      <w:r w:rsidR="00B873EF" w:rsidRPr="00317CB4">
        <w:rPr>
          <w:lang w:val="en-GB"/>
        </w:rPr>
        <w:t>in various scenarios since the onset of the migration crisis in 2015 until today</w:t>
      </w:r>
      <w:r w:rsidR="00EC7F27" w:rsidRPr="00317CB4">
        <w:rPr>
          <w:lang w:val="en-GB"/>
        </w:rPr>
        <w:t xml:space="preserve">. </w:t>
      </w:r>
      <w:r w:rsidR="00847A3A" w:rsidRPr="00317CB4">
        <w:rPr>
          <w:lang w:val="en-GB"/>
        </w:rPr>
        <w:t xml:space="preserve">This comparison allows a closer look at the relationship Frontex has with the European </w:t>
      </w:r>
      <w:r w:rsidR="00691628" w:rsidRPr="00317CB4">
        <w:rPr>
          <w:lang w:val="en-GB"/>
        </w:rPr>
        <w:t xml:space="preserve">institutions </w:t>
      </w:r>
      <w:r w:rsidR="00847A3A" w:rsidRPr="00317CB4">
        <w:rPr>
          <w:lang w:val="en-GB"/>
        </w:rPr>
        <w:t>and the EU member states</w:t>
      </w:r>
      <w:r w:rsidR="00E12869" w:rsidRPr="00317CB4">
        <w:rPr>
          <w:lang w:val="en-GB"/>
        </w:rPr>
        <w:t xml:space="preserve"> by checking how the demands from both members of Frontex’ audience are implemented in the specified points in time. </w:t>
      </w:r>
      <w:r w:rsidR="0011377C" w:rsidRPr="00317CB4">
        <w:rPr>
          <w:lang w:val="en-GB"/>
        </w:rPr>
        <w:t xml:space="preserve">The unit of analysis, Frontex, is held constant in the </w:t>
      </w:r>
      <w:r w:rsidR="00875162" w:rsidRPr="00317CB4">
        <w:rPr>
          <w:lang w:val="en-GB"/>
        </w:rPr>
        <w:t xml:space="preserve">overall </w:t>
      </w:r>
      <w:r w:rsidR="0011377C" w:rsidRPr="00317CB4">
        <w:rPr>
          <w:lang w:val="en-GB"/>
        </w:rPr>
        <w:t>comparison</w:t>
      </w:r>
      <w:r w:rsidR="007F25F8" w:rsidRPr="00317CB4">
        <w:rPr>
          <w:lang w:val="en-GB"/>
        </w:rPr>
        <w:t xml:space="preserve"> </w:t>
      </w:r>
      <w:r w:rsidR="000C37BA" w:rsidRPr="00317CB4">
        <w:rPr>
          <w:lang w:val="en-GB"/>
        </w:rPr>
        <w:t xml:space="preserve">to ensure that the expectations can be tested in a reliable fashion. It is all other factors that are subject to variation, such as the time period chosen for the comparison, the presence / absence of the migration crisis, or demands </w:t>
      </w:r>
      <w:r w:rsidR="009946F6" w:rsidRPr="00317CB4">
        <w:rPr>
          <w:lang w:val="en-GB"/>
        </w:rPr>
        <w:t>for</w:t>
      </w:r>
      <w:r w:rsidR="000C37BA" w:rsidRPr="00317CB4">
        <w:rPr>
          <w:lang w:val="en-GB"/>
        </w:rPr>
        <w:t xml:space="preserve"> action that come from the audience members (Bartlett &amp; Vavrus, 2017). </w:t>
      </w:r>
    </w:p>
    <w:p w14:paraId="76A91251" w14:textId="6D0D4CA0" w:rsidR="0083672D" w:rsidRPr="00317CB4" w:rsidRDefault="005A7995" w:rsidP="00834901">
      <w:pPr>
        <w:pStyle w:val="ListParagraph"/>
        <w:numPr>
          <w:ilvl w:val="1"/>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Data </w:t>
      </w:r>
      <w:r w:rsidR="0083672D" w:rsidRPr="00317CB4">
        <w:rPr>
          <w:b/>
          <w:bCs/>
          <w:color w:val="2F5496" w:themeColor="accent1" w:themeShade="BF"/>
          <w:sz w:val="24"/>
          <w:szCs w:val="24"/>
          <w:lang w:val="en-GB"/>
        </w:rPr>
        <w:t>c</w:t>
      </w:r>
      <w:r w:rsidRPr="00317CB4">
        <w:rPr>
          <w:b/>
          <w:bCs/>
          <w:color w:val="2F5496" w:themeColor="accent1" w:themeShade="BF"/>
          <w:sz w:val="24"/>
          <w:szCs w:val="24"/>
          <w:lang w:val="en-GB"/>
        </w:rPr>
        <w:t>ollection</w:t>
      </w:r>
      <w:r w:rsidR="0083672D" w:rsidRPr="00317CB4">
        <w:rPr>
          <w:b/>
          <w:bCs/>
          <w:color w:val="2F5496" w:themeColor="accent1" w:themeShade="BF"/>
          <w:sz w:val="24"/>
          <w:szCs w:val="24"/>
          <w:lang w:val="en-GB"/>
        </w:rPr>
        <w:t xml:space="preserve"> m</w:t>
      </w:r>
      <w:r w:rsidR="00790F93" w:rsidRPr="00317CB4">
        <w:rPr>
          <w:b/>
          <w:bCs/>
          <w:color w:val="2F5496" w:themeColor="accent1" w:themeShade="BF"/>
          <w:sz w:val="24"/>
          <w:szCs w:val="24"/>
          <w:lang w:val="en-GB"/>
        </w:rPr>
        <w:t xml:space="preserve">ethod </w:t>
      </w:r>
    </w:p>
    <w:p w14:paraId="4CCC5C3D" w14:textId="14BE997A" w:rsidR="006242E5" w:rsidRPr="00317CB4" w:rsidRDefault="006242E5" w:rsidP="0083672D">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lang w:val="en-GB"/>
        </w:rPr>
        <w:t xml:space="preserve">Secondary </w:t>
      </w:r>
      <w:r w:rsidR="0083672D" w:rsidRPr="00317CB4">
        <w:rPr>
          <w:b/>
          <w:bCs/>
          <w:color w:val="2F5496" w:themeColor="accent1" w:themeShade="BF"/>
          <w:lang w:val="en-GB"/>
        </w:rPr>
        <w:t>d</w:t>
      </w:r>
      <w:r w:rsidRPr="00317CB4">
        <w:rPr>
          <w:b/>
          <w:bCs/>
          <w:color w:val="2F5496" w:themeColor="accent1" w:themeShade="BF"/>
          <w:lang w:val="en-GB"/>
        </w:rPr>
        <w:t xml:space="preserve">ata </w:t>
      </w:r>
    </w:p>
    <w:p w14:paraId="56FDEB4A" w14:textId="40BA6A09" w:rsidR="00DB4B8B" w:rsidRPr="00317CB4" w:rsidRDefault="001E3C43" w:rsidP="00834901">
      <w:pPr>
        <w:spacing w:line="360" w:lineRule="auto"/>
        <w:rPr>
          <w:lang w:val="en-GB"/>
        </w:rPr>
      </w:pPr>
      <w:r w:rsidRPr="00317CB4">
        <w:rPr>
          <w:lang w:val="en-GB"/>
        </w:rPr>
        <w:t xml:space="preserve">In qualitative research, one of the primary starting points in collecting data </w:t>
      </w:r>
      <w:r w:rsidR="00752EFC" w:rsidRPr="00317CB4">
        <w:rPr>
          <w:lang w:val="en-GB"/>
        </w:rPr>
        <w:t xml:space="preserve">is by checking secondary data. </w:t>
      </w:r>
      <w:r w:rsidR="00F03EDA" w:rsidRPr="00317CB4">
        <w:rPr>
          <w:lang w:val="en-GB"/>
        </w:rPr>
        <w:t>Such data</w:t>
      </w:r>
      <w:r w:rsidR="00C21000" w:rsidRPr="00317CB4">
        <w:rPr>
          <w:lang w:val="en-GB"/>
        </w:rPr>
        <w:t xml:space="preserve"> can be previously conducted research, i.e. the research paper of another scholar</w:t>
      </w:r>
      <w:r w:rsidR="003E05F8" w:rsidRPr="00317CB4">
        <w:rPr>
          <w:lang w:val="en-GB"/>
        </w:rPr>
        <w:t xml:space="preserve">, but also newspaper articles, information from websites, </w:t>
      </w:r>
      <w:r w:rsidR="00E311F0" w:rsidRPr="00317CB4">
        <w:rPr>
          <w:lang w:val="en-GB"/>
        </w:rPr>
        <w:t xml:space="preserve">government publications, policy proposals, </w:t>
      </w:r>
      <w:r w:rsidR="00F11CD1" w:rsidRPr="00317CB4">
        <w:rPr>
          <w:lang w:val="en-GB"/>
        </w:rPr>
        <w:t xml:space="preserve">or </w:t>
      </w:r>
      <w:r w:rsidR="00E311F0" w:rsidRPr="00317CB4">
        <w:rPr>
          <w:lang w:val="en-GB"/>
        </w:rPr>
        <w:t>court decisions</w:t>
      </w:r>
      <w:r w:rsidR="00D163C2" w:rsidRPr="00317CB4">
        <w:rPr>
          <w:lang w:val="en-GB"/>
        </w:rPr>
        <w:t xml:space="preserve">. </w:t>
      </w:r>
      <w:r w:rsidR="002D05D6" w:rsidRPr="00317CB4">
        <w:rPr>
          <w:lang w:val="en-GB"/>
        </w:rPr>
        <w:t>All these sources contain information and therefore data that can be synthesised into a new piece of research</w:t>
      </w:r>
      <w:r w:rsidR="00A30350" w:rsidRPr="00317CB4">
        <w:rPr>
          <w:lang w:val="en-GB"/>
        </w:rPr>
        <w:t xml:space="preserve"> (Kumar, 2011)</w:t>
      </w:r>
      <w:r w:rsidR="000C6284" w:rsidRPr="00317CB4">
        <w:rPr>
          <w:lang w:val="en-GB"/>
        </w:rPr>
        <w:t>. However, a few things need to be kept in mind when dealing with secondary data.</w:t>
      </w:r>
    </w:p>
    <w:p w14:paraId="03199D96" w14:textId="264571B0" w:rsidR="00790F93" w:rsidRPr="00317CB4" w:rsidRDefault="008F04AA" w:rsidP="00DB4B8B">
      <w:pPr>
        <w:spacing w:line="360" w:lineRule="auto"/>
        <w:ind w:firstLine="720"/>
        <w:rPr>
          <w:lang w:val="en-GB"/>
        </w:rPr>
      </w:pPr>
      <w:r w:rsidRPr="00317CB4">
        <w:rPr>
          <w:lang w:val="en-GB"/>
        </w:rPr>
        <w:t xml:space="preserve">The first issue relates to validity and reliability: </w:t>
      </w:r>
      <w:r w:rsidR="004D10B2" w:rsidRPr="00317CB4">
        <w:rPr>
          <w:lang w:val="en-GB"/>
        </w:rPr>
        <w:t>two news articles about the same topic can present an entirely different conclusion about it</w:t>
      </w:r>
      <w:r w:rsidR="00E34296" w:rsidRPr="00317CB4">
        <w:rPr>
          <w:lang w:val="en-GB"/>
        </w:rPr>
        <w:t>. It is therefore crucial to be aware of th</w:t>
      </w:r>
      <w:r w:rsidR="00DB4B8B" w:rsidRPr="00317CB4">
        <w:rPr>
          <w:lang w:val="en-GB"/>
        </w:rPr>
        <w:t>e overall credibility of a news outlet to be able to check whether the information is indeed reliable. At the same time, the information should be cross-checked with other publication</w:t>
      </w:r>
      <w:r w:rsidR="00F11CD1" w:rsidRPr="00317CB4">
        <w:rPr>
          <w:lang w:val="en-GB"/>
        </w:rPr>
        <w:t>s</w:t>
      </w:r>
      <w:r w:rsidR="00DB4B8B" w:rsidRPr="00317CB4">
        <w:rPr>
          <w:lang w:val="en-GB"/>
        </w:rPr>
        <w:t xml:space="preserve"> about the same topic to ensure that the conclusion is indeed a valid one.</w:t>
      </w:r>
      <w:r w:rsidR="00F71070" w:rsidRPr="00317CB4">
        <w:rPr>
          <w:lang w:val="en-GB"/>
        </w:rPr>
        <w:t xml:space="preserve"> </w:t>
      </w:r>
      <w:r w:rsidR="00F11CD1" w:rsidRPr="00317CB4">
        <w:rPr>
          <w:lang w:val="en-GB"/>
        </w:rPr>
        <w:t>In some cases, articles tend</w:t>
      </w:r>
      <w:r w:rsidR="00F71070" w:rsidRPr="00317CB4">
        <w:rPr>
          <w:lang w:val="en-GB"/>
        </w:rPr>
        <w:t xml:space="preserve"> to represent the point of view of the person or organisation that published the </w:t>
      </w:r>
      <w:r w:rsidR="00A96048" w:rsidRPr="00317CB4">
        <w:rPr>
          <w:lang w:val="en-GB"/>
        </w:rPr>
        <w:t>information</w:t>
      </w:r>
      <w:r w:rsidR="00CF6832" w:rsidRPr="00317CB4">
        <w:rPr>
          <w:lang w:val="en-GB"/>
        </w:rPr>
        <w:t xml:space="preserve">. This showcases the second issue to keep in mind as a researcher, which is the personal bias of a source. Such bias </w:t>
      </w:r>
      <w:r w:rsidR="00A96048" w:rsidRPr="00317CB4">
        <w:rPr>
          <w:lang w:val="en-GB"/>
        </w:rPr>
        <w:t xml:space="preserve">not only </w:t>
      </w:r>
      <w:r w:rsidR="00CF6832" w:rsidRPr="00317CB4">
        <w:rPr>
          <w:lang w:val="en-GB"/>
        </w:rPr>
        <w:t>extends to newspaper</w:t>
      </w:r>
      <w:r w:rsidR="0072457A" w:rsidRPr="00317CB4">
        <w:rPr>
          <w:lang w:val="en-GB"/>
        </w:rPr>
        <w:t xml:space="preserve"> articles</w:t>
      </w:r>
      <w:r w:rsidR="00F03EDA" w:rsidRPr="00317CB4">
        <w:rPr>
          <w:lang w:val="en-GB"/>
        </w:rPr>
        <w:t>,</w:t>
      </w:r>
      <w:r w:rsidR="0072457A" w:rsidRPr="00317CB4">
        <w:rPr>
          <w:lang w:val="en-GB"/>
        </w:rPr>
        <w:t xml:space="preserve"> </w:t>
      </w:r>
      <w:r w:rsidR="00A96048" w:rsidRPr="00317CB4">
        <w:rPr>
          <w:lang w:val="en-GB"/>
        </w:rPr>
        <w:t>but also</w:t>
      </w:r>
      <w:r w:rsidR="0072457A" w:rsidRPr="00317CB4">
        <w:rPr>
          <w:lang w:val="en-GB"/>
        </w:rPr>
        <w:t xml:space="preserve"> to governmental </w:t>
      </w:r>
      <w:r w:rsidR="00EB0161" w:rsidRPr="00317CB4">
        <w:rPr>
          <w:lang w:val="en-GB"/>
        </w:rPr>
        <w:t>statements because they can relay the political ideology of the current government</w:t>
      </w:r>
      <w:r w:rsidR="0093484E" w:rsidRPr="00317CB4">
        <w:rPr>
          <w:lang w:val="en-GB"/>
        </w:rPr>
        <w:t>. It is therefore crucial to ensure that as much data is gathered from secondary sources as possible</w:t>
      </w:r>
      <w:r w:rsidR="00EB0061" w:rsidRPr="00317CB4">
        <w:rPr>
          <w:lang w:val="en-GB"/>
        </w:rPr>
        <w:t xml:space="preserve">, also to overcome the third issue, availability of data. There may not always be sufficient data within the </w:t>
      </w:r>
      <w:r w:rsidR="00EF2A71" w:rsidRPr="00317CB4">
        <w:rPr>
          <w:lang w:val="en-GB"/>
        </w:rPr>
        <w:t>articles</w:t>
      </w:r>
      <w:r w:rsidR="007B72A3" w:rsidRPr="00317CB4">
        <w:rPr>
          <w:lang w:val="en-GB"/>
        </w:rPr>
        <w:t xml:space="preserve"> </w:t>
      </w:r>
      <w:r w:rsidR="002D5E1C" w:rsidRPr="00317CB4">
        <w:rPr>
          <w:lang w:val="en-GB"/>
        </w:rPr>
        <w:t>or</w:t>
      </w:r>
      <w:r w:rsidR="00EF2A71" w:rsidRPr="00317CB4">
        <w:rPr>
          <w:lang w:val="en-GB"/>
        </w:rPr>
        <w:t xml:space="preserve"> documents that are read which makes it important to diversify the </w:t>
      </w:r>
      <w:r w:rsidR="00444B62" w:rsidRPr="00317CB4">
        <w:rPr>
          <w:lang w:val="en-GB"/>
        </w:rPr>
        <w:t xml:space="preserve">sources (Kumar, 2011). </w:t>
      </w:r>
    </w:p>
    <w:p w14:paraId="22997C58" w14:textId="4F7C0503" w:rsidR="009D2C40" w:rsidRPr="00317CB4" w:rsidRDefault="009D2C40" w:rsidP="00DB4B8B">
      <w:pPr>
        <w:spacing w:line="360" w:lineRule="auto"/>
        <w:ind w:firstLine="720"/>
        <w:rPr>
          <w:lang w:val="en-GB"/>
        </w:rPr>
      </w:pPr>
      <w:r w:rsidRPr="00317CB4">
        <w:rPr>
          <w:lang w:val="en-GB"/>
        </w:rPr>
        <w:lastRenderedPageBreak/>
        <w:t xml:space="preserve">With these </w:t>
      </w:r>
      <w:r w:rsidR="004D28FF" w:rsidRPr="00317CB4">
        <w:rPr>
          <w:lang w:val="en-GB"/>
        </w:rPr>
        <w:t xml:space="preserve">potential problems in mind, this research makes use of triangulation to gather enough data. </w:t>
      </w:r>
      <w:r w:rsidR="00D208BB" w:rsidRPr="00317CB4">
        <w:rPr>
          <w:lang w:val="en-GB"/>
        </w:rPr>
        <w:t>Triangulation</w:t>
      </w:r>
      <w:r w:rsidR="000C15BD" w:rsidRPr="00317CB4">
        <w:rPr>
          <w:lang w:val="en-GB"/>
        </w:rPr>
        <w:t xml:space="preserve"> refers to the use of multiple methods of data collection to ensure that a more complete picture of the researched situation can be gathered</w:t>
      </w:r>
      <w:r w:rsidR="00B82FD5" w:rsidRPr="00317CB4">
        <w:rPr>
          <w:lang w:val="en-GB"/>
        </w:rPr>
        <w:t>. This is especially useful when the analysed topic is more sensitive</w:t>
      </w:r>
      <w:r w:rsidR="000A51D5" w:rsidRPr="00317CB4">
        <w:rPr>
          <w:lang w:val="en-GB"/>
        </w:rPr>
        <w:t>, as can be</w:t>
      </w:r>
      <w:r w:rsidR="00F03EDA" w:rsidRPr="00317CB4">
        <w:rPr>
          <w:lang w:val="en-GB"/>
        </w:rPr>
        <w:t xml:space="preserve"> </w:t>
      </w:r>
      <w:r w:rsidR="000A51D5" w:rsidRPr="00317CB4">
        <w:rPr>
          <w:lang w:val="en-GB"/>
        </w:rPr>
        <w:t>the implementation of migration &amp; asylum policy</w:t>
      </w:r>
      <w:r w:rsidR="00B82FD5" w:rsidRPr="00317CB4">
        <w:rPr>
          <w:lang w:val="en-GB"/>
        </w:rPr>
        <w:t xml:space="preserve"> (McNabb, 2015</w:t>
      </w:r>
      <w:r w:rsidR="004770B2" w:rsidRPr="00317CB4">
        <w:rPr>
          <w:lang w:val="en-GB"/>
        </w:rPr>
        <w:t>; Natow, 2020</w:t>
      </w:r>
      <w:r w:rsidR="00B82FD5" w:rsidRPr="00317CB4">
        <w:rPr>
          <w:lang w:val="en-GB"/>
        </w:rPr>
        <w:t>).</w:t>
      </w:r>
      <w:r w:rsidR="00842D12" w:rsidRPr="00317CB4">
        <w:rPr>
          <w:lang w:val="en-GB"/>
        </w:rPr>
        <w:t xml:space="preserve"> Triangulation can be achieved in several ways, by for </w:t>
      </w:r>
      <w:r w:rsidR="0094548A" w:rsidRPr="00317CB4">
        <w:rPr>
          <w:lang w:val="en-GB"/>
        </w:rPr>
        <w:t>example</w:t>
      </w:r>
      <w:r w:rsidR="00842D12" w:rsidRPr="00317CB4">
        <w:rPr>
          <w:lang w:val="en-GB"/>
        </w:rPr>
        <w:t xml:space="preserve"> extracting data across an extended period of time</w:t>
      </w:r>
      <w:r w:rsidR="00FA0C4B" w:rsidRPr="00317CB4">
        <w:rPr>
          <w:lang w:val="en-GB"/>
        </w:rPr>
        <w:t>, different locations, or perspectives. The best suited methods depend on the overall research and the goal thereof</w:t>
      </w:r>
      <w:r w:rsidR="00C559A4" w:rsidRPr="00317CB4">
        <w:rPr>
          <w:lang w:val="en-GB"/>
        </w:rPr>
        <w:t>. In this research, the secondary data collected from newspapers, policy documents,</w:t>
      </w:r>
      <w:r w:rsidR="009446A7" w:rsidRPr="00317CB4">
        <w:rPr>
          <w:lang w:val="en-GB"/>
        </w:rPr>
        <w:t xml:space="preserve"> and</w:t>
      </w:r>
      <w:r w:rsidR="00C559A4" w:rsidRPr="00317CB4">
        <w:rPr>
          <w:lang w:val="en-GB"/>
        </w:rPr>
        <w:t xml:space="preserve"> reports, are </w:t>
      </w:r>
      <w:r w:rsidR="00CE63FF" w:rsidRPr="00317CB4">
        <w:rPr>
          <w:lang w:val="en-GB"/>
        </w:rPr>
        <w:t>supported by</w:t>
      </w:r>
      <w:r w:rsidR="00D83CFE" w:rsidRPr="00317CB4">
        <w:rPr>
          <w:lang w:val="en-GB"/>
        </w:rPr>
        <w:t xml:space="preserve"> answers to a questionnaire</w:t>
      </w:r>
      <w:r w:rsidR="00B81BC1" w:rsidRPr="00317CB4">
        <w:rPr>
          <w:lang w:val="en-GB"/>
        </w:rPr>
        <w:t xml:space="preserve"> answered by Frontex</w:t>
      </w:r>
      <w:r w:rsidR="00914F61" w:rsidRPr="00317CB4">
        <w:rPr>
          <w:lang w:val="en-GB"/>
        </w:rPr>
        <w:t>, which</w:t>
      </w:r>
      <w:r w:rsidR="00172AFD" w:rsidRPr="00317CB4">
        <w:rPr>
          <w:lang w:val="en-GB"/>
        </w:rPr>
        <w:t xml:space="preserve"> </w:t>
      </w:r>
      <w:r w:rsidR="00D83CFE" w:rsidRPr="00317CB4">
        <w:rPr>
          <w:lang w:val="en-GB"/>
        </w:rPr>
        <w:t>should have also been supported by</w:t>
      </w:r>
      <w:r w:rsidR="00CE63FF" w:rsidRPr="00317CB4">
        <w:rPr>
          <w:lang w:val="en-GB"/>
        </w:rPr>
        <w:t xml:space="preserve"> elite interviews. </w:t>
      </w:r>
      <w:r w:rsidR="00C61D33" w:rsidRPr="00317CB4">
        <w:rPr>
          <w:lang w:val="en-GB"/>
        </w:rPr>
        <w:t>Triangulation</w:t>
      </w:r>
      <w:r w:rsidR="00AE398B" w:rsidRPr="00317CB4">
        <w:rPr>
          <w:lang w:val="en-GB"/>
        </w:rPr>
        <w:t xml:space="preserve"> is particularly useful if the recollection of events is at the centre of </w:t>
      </w:r>
      <w:r w:rsidR="000B6E0C" w:rsidRPr="00317CB4">
        <w:rPr>
          <w:lang w:val="en-GB"/>
        </w:rPr>
        <w:t>the research</w:t>
      </w:r>
      <w:r w:rsidR="00020BCF" w:rsidRPr="00317CB4">
        <w:rPr>
          <w:lang w:val="en-GB"/>
        </w:rPr>
        <w:t>, because the additional use of secondary sources can then ensure that</w:t>
      </w:r>
      <w:r w:rsidR="00E35191" w:rsidRPr="00317CB4">
        <w:rPr>
          <w:lang w:val="en-GB"/>
        </w:rPr>
        <w:t xml:space="preserve"> errors from</w:t>
      </w:r>
      <w:r w:rsidR="00020BCF" w:rsidRPr="00317CB4">
        <w:rPr>
          <w:lang w:val="en-GB"/>
        </w:rPr>
        <w:t xml:space="preserve"> memory gaps</w:t>
      </w:r>
      <w:r w:rsidR="00041071" w:rsidRPr="00317CB4">
        <w:rPr>
          <w:lang w:val="en-GB"/>
        </w:rPr>
        <w:t>, ego-centric</w:t>
      </w:r>
      <w:r w:rsidR="003363A3" w:rsidRPr="00317CB4">
        <w:rPr>
          <w:lang w:val="en-GB"/>
        </w:rPr>
        <w:t xml:space="preserve"> reports</w:t>
      </w:r>
      <w:r w:rsidR="00041071" w:rsidRPr="00317CB4">
        <w:rPr>
          <w:lang w:val="en-GB"/>
        </w:rPr>
        <w:t xml:space="preserve">, </w:t>
      </w:r>
      <w:r w:rsidR="00E35191" w:rsidRPr="00317CB4">
        <w:rPr>
          <w:lang w:val="en-GB"/>
        </w:rPr>
        <w:t xml:space="preserve">or misrepresentations of events </w:t>
      </w:r>
      <w:r w:rsidR="00C61D33" w:rsidRPr="00317CB4">
        <w:rPr>
          <w:lang w:val="en-GB"/>
        </w:rPr>
        <w:t xml:space="preserve">in the interviews or questionnaire </w:t>
      </w:r>
      <w:r w:rsidR="00E35191" w:rsidRPr="00317CB4">
        <w:rPr>
          <w:lang w:val="en-GB"/>
        </w:rPr>
        <w:t xml:space="preserve">can be </w:t>
      </w:r>
      <w:r w:rsidR="00772276" w:rsidRPr="00317CB4">
        <w:rPr>
          <w:lang w:val="en-GB"/>
        </w:rPr>
        <w:t xml:space="preserve">cross-checked. </w:t>
      </w:r>
    </w:p>
    <w:p w14:paraId="294E0845" w14:textId="5B1247EF" w:rsidR="0083672D" w:rsidRPr="00317CB4" w:rsidRDefault="0083672D" w:rsidP="00772276">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Interview </w:t>
      </w:r>
      <w:r w:rsidR="005C62A7" w:rsidRPr="00317CB4">
        <w:rPr>
          <w:b/>
          <w:bCs/>
          <w:color w:val="2F5496" w:themeColor="accent1" w:themeShade="BF"/>
          <w:sz w:val="24"/>
          <w:szCs w:val="24"/>
          <w:lang w:val="en-GB"/>
        </w:rPr>
        <w:t xml:space="preserve">&amp; Questionnaire </w:t>
      </w:r>
      <w:r w:rsidRPr="00317CB4">
        <w:rPr>
          <w:b/>
          <w:bCs/>
          <w:color w:val="2F5496" w:themeColor="accent1" w:themeShade="BF"/>
          <w:sz w:val="24"/>
          <w:szCs w:val="24"/>
          <w:lang w:val="en-GB"/>
        </w:rPr>
        <w:t xml:space="preserve">data </w:t>
      </w:r>
    </w:p>
    <w:p w14:paraId="0DA0F046" w14:textId="676E286A" w:rsidR="00E84AE6" w:rsidRPr="00317CB4" w:rsidRDefault="005A2BCB" w:rsidP="00B1513F">
      <w:pPr>
        <w:spacing w:line="360" w:lineRule="auto"/>
        <w:rPr>
          <w:lang w:val="en-GB"/>
        </w:rPr>
      </w:pPr>
      <w:r w:rsidRPr="00317CB4">
        <w:rPr>
          <w:lang w:val="en-GB"/>
        </w:rPr>
        <w:t xml:space="preserve"> </w:t>
      </w:r>
      <w:r w:rsidR="005A60E1" w:rsidRPr="00317CB4">
        <w:rPr>
          <w:lang w:val="en-GB"/>
        </w:rPr>
        <w:t xml:space="preserve">Interviews with employees of Frontex </w:t>
      </w:r>
      <w:r w:rsidR="00135B43" w:rsidRPr="00317CB4">
        <w:rPr>
          <w:lang w:val="en-GB"/>
        </w:rPr>
        <w:t xml:space="preserve">who were directly involved with the migration crisis </w:t>
      </w:r>
      <w:r w:rsidR="008557E4" w:rsidRPr="00317CB4">
        <w:rPr>
          <w:lang w:val="en-GB"/>
        </w:rPr>
        <w:t xml:space="preserve">would have been ideal but </w:t>
      </w:r>
      <w:r w:rsidR="005A60E1" w:rsidRPr="00317CB4">
        <w:rPr>
          <w:lang w:val="en-GB"/>
        </w:rPr>
        <w:t xml:space="preserve">could not be organised due to </w:t>
      </w:r>
      <w:r w:rsidR="007A05FF" w:rsidRPr="00317CB4">
        <w:rPr>
          <w:lang w:val="en-GB"/>
        </w:rPr>
        <w:t>organisational constraints as communicated by the Press Team</w:t>
      </w:r>
      <w:r w:rsidR="00F8777B" w:rsidRPr="00317CB4">
        <w:rPr>
          <w:lang w:val="en-GB"/>
        </w:rPr>
        <w:t xml:space="preserve"> via </w:t>
      </w:r>
      <w:r w:rsidR="000A65EB" w:rsidRPr="00317CB4">
        <w:rPr>
          <w:lang w:val="en-GB"/>
        </w:rPr>
        <w:t>E</w:t>
      </w:r>
      <w:r w:rsidR="00F8777B" w:rsidRPr="00317CB4">
        <w:rPr>
          <w:lang w:val="en-GB"/>
        </w:rPr>
        <w:t>mail</w:t>
      </w:r>
      <w:r w:rsidR="007A05FF" w:rsidRPr="00317CB4">
        <w:rPr>
          <w:lang w:val="en-GB"/>
        </w:rPr>
        <w:t xml:space="preserve">. </w:t>
      </w:r>
      <w:r w:rsidR="00314403" w:rsidRPr="00317CB4">
        <w:rPr>
          <w:lang w:val="en-GB"/>
        </w:rPr>
        <w:t>It was possible to approach the agency only via the contact on their website (</w:t>
      </w:r>
      <w:r w:rsidR="00F4567B" w:rsidRPr="00317CB4">
        <w:rPr>
          <w:lang w:val="en-GB"/>
        </w:rPr>
        <w:t>Frontex,</w:t>
      </w:r>
      <w:r w:rsidR="00C1750D" w:rsidRPr="00317CB4">
        <w:rPr>
          <w:lang w:val="en-GB"/>
        </w:rPr>
        <w:t xml:space="preserve"> Contact</w:t>
      </w:r>
      <w:r w:rsidR="00B96C10" w:rsidRPr="00317CB4">
        <w:rPr>
          <w:lang w:val="en-GB"/>
        </w:rPr>
        <w:t>,</w:t>
      </w:r>
      <w:r w:rsidR="00F4567B" w:rsidRPr="00317CB4">
        <w:rPr>
          <w:lang w:val="en-GB"/>
        </w:rPr>
        <w:t xml:space="preserve"> 2023</w:t>
      </w:r>
      <w:r w:rsidR="00314403" w:rsidRPr="00317CB4">
        <w:rPr>
          <w:lang w:val="en-GB"/>
        </w:rPr>
        <w:t xml:space="preserve">) which implies that there is one office that assesses the requests and filters those that can be responded to. </w:t>
      </w:r>
      <w:r w:rsidR="00BB59DB" w:rsidRPr="00317CB4">
        <w:rPr>
          <w:lang w:val="en-GB"/>
        </w:rPr>
        <w:t>Instead, the questions for this research were sent in as a document, to be returned with answers provided by Frontex</w:t>
      </w:r>
      <w:r w:rsidR="00B63A47" w:rsidRPr="00317CB4">
        <w:rPr>
          <w:lang w:val="en-GB"/>
        </w:rPr>
        <w:t xml:space="preserve">. </w:t>
      </w:r>
      <w:r w:rsidR="00314403" w:rsidRPr="00317CB4">
        <w:rPr>
          <w:lang w:val="en-GB"/>
        </w:rPr>
        <w:t xml:space="preserve">The request was sent out for as many people as possible to respond to the questionnaire, </w:t>
      </w:r>
      <w:r w:rsidR="00E84AE6" w:rsidRPr="00317CB4">
        <w:rPr>
          <w:lang w:val="en-GB"/>
        </w:rPr>
        <w:t xml:space="preserve">yet only one set of answers was provided. </w:t>
      </w:r>
      <w:r w:rsidR="00B63A47" w:rsidRPr="00317CB4">
        <w:rPr>
          <w:lang w:val="en-GB"/>
        </w:rPr>
        <w:t xml:space="preserve">The questions </w:t>
      </w:r>
      <w:r w:rsidR="00F31B6E" w:rsidRPr="00317CB4">
        <w:rPr>
          <w:lang w:val="en-GB"/>
        </w:rPr>
        <w:t xml:space="preserve">that were sent </w:t>
      </w:r>
      <w:r w:rsidR="00E84AE6" w:rsidRPr="00317CB4">
        <w:rPr>
          <w:lang w:val="en-GB"/>
        </w:rPr>
        <w:t xml:space="preserve">and the answers to them </w:t>
      </w:r>
      <w:r w:rsidR="00F31B6E" w:rsidRPr="00317CB4">
        <w:rPr>
          <w:lang w:val="en-GB"/>
        </w:rPr>
        <w:t>can be found in Appendix</w:t>
      </w:r>
      <w:r w:rsidR="00023E50" w:rsidRPr="00317CB4">
        <w:rPr>
          <w:lang w:val="en-GB"/>
        </w:rPr>
        <w:t xml:space="preserve"> 1</w:t>
      </w:r>
      <w:r w:rsidR="00F31B6E" w:rsidRPr="00317CB4">
        <w:rPr>
          <w:lang w:val="en-GB"/>
        </w:rPr>
        <w:t xml:space="preserve">. </w:t>
      </w:r>
    </w:p>
    <w:p w14:paraId="09C2FD05" w14:textId="4BD683F8" w:rsidR="00F85C01" w:rsidRPr="00317CB4" w:rsidRDefault="00B16C8A" w:rsidP="007D385B">
      <w:pPr>
        <w:spacing w:line="360" w:lineRule="auto"/>
        <w:ind w:firstLine="720"/>
        <w:rPr>
          <w:lang w:val="en-GB"/>
        </w:rPr>
      </w:pPr>
      <w:r w:rsidRPr="00317CB4">
        <w:rPr>
          <w:lang w:val="en-GB"/>
        </w:rPr>
        <w:t xml:space="preserve">The answers that were provided do represent a certain challenge though. Only one set of answers was given, instead of multiple people responding to the same set of questions. Additionally, the answers were provided by the </w:t>
      </w:r>
      <w:r w:rsidR="00F16ECA" w:rsidRPr="00317CB4">
        <w:rPr>
          <w:lang w:val="en-GB"/>
        </w:rPr>
        <w:t>P</w:t>
      </w:r>
      <w:r w:rsidRPr="00317CB4">
        <w:rPr>
          <w:lang w:val="en-GB"/>
        </w:rPr>
        <w:t xml:space="preserve">ress </w:t>
      </w:r>
      <w:r w:rsidR="00F16ECA" w:rsidRPr="00317CB4">
        <w:rPr>
          <w:lang w:val="en-GB"/>
        </w:rPr>
        <w:t>T</w:t>
      </w:r>
      <w:r w:rsidRPr="00317CB4">
        <w:rPr>
          <w:lang w:val="en-GB"/>
        </w:rPr>
        <w:t xml:space="preserve">eam, which </w:t>
      </w:r>
      <w:r w:rsidR="0076321C" w:rsidRPr="00317CB4">
        <w:rPr>
          <w:lang w:val="en-GB"/>
        </w:rPr>
        <w:t xml:space="preserve">indicates that </w:t>
      </w:r>
      <w:r w:rsidR="00065A00" w:rsidRPr="00317CB4">
        <w:rPr>
          <w:lang w:val="en-GB"/>
        </w:rPr>
        <w:t>the information is likely to</w:t>
      </w:r>
      <w:r w:rsidR="00385FEA" w:rsidRPr="00317CB4">
        <w:rPr>
          <w:lang w:val="en-GB"/>
        </w:rPr>
        <w:t xml:space="preserve"> be skewed</w:t>
      </w:r>
      <w:r w:rsidR="00BE4CF8" w:rsidRPr="00317CB4">
        <w:rPr>
          <w:lang w:val="en-GB"/>
        </w:rPr>
        <w:t xml:space="preserve">. </w:t>
      </w:r>
      <w:r w:rsidR="00F16ECA" w:rsidRPr="00317CB4">
        <w:rPr>
          <w:lang w:val="en-GB"/>
        </w:rPr>
        <w:t xml:space="preserve">That is because </w:t>
      </w:r>
      <w:r w:rsidR="00385FEA" w:rsidRPr="00317CB4">
        <w:rPr>
          <w:lang w:val="en-GB"/>
        </w:rPr>
        <w:t>this team</w:t>
      </w:r>
      <w:r w:rsidR="00B42644" w:rsidRPr="00317CB4">
        <w:rPr>
          <w:lang w:val="en-GB"/>
        </w:rPr>
        <w:t xml:space="preserve"> </w:t>
      </w:r>
      <w:r w:rsidR="00385FEA" w:rsidRPr="00317CB4">
        <w:rPr>
          <w:lang w:val="en-GB"/>
        </w:rPr>
        <w:t>is</w:t>
      </w:r>
      <w:r w:rsidR="00B42644" w:rsidRPr="00317CB4">
        <w:rPr>
          <w:lang w:val="en-GB"/>
        </w:rPr>
        <w:t xml:space="preserve"> tasked with </w:t>
      </w:r>
      <w:r w:rsidR="009F7834" w:rsidRPr="00317CB4">
        <w:rPr>
          <w:lang w:val="en-GB"/>
        </w:rPr>
        <w:t>the provision of information that shines a positive light on Frontex, thus providing politically polished and correct answers</w:t>
      </w:r>
      <w:r w:rsidR="00F777F2" w:rsidRPr="00317CB4">
        <w:rPr>
          <w:lang w:val="en-GB"/>
        </w:rPr>
        <w:t>. This is also called self-selecting bias</w:t>
      </w:r>
      <w:r w:rsidR="00E84AE6" w:rsidRPr="00317CB4">
        <w:rPr>
          <w:lang w:val="en-GB"/>
        </w:rPr>
        <w:t xml:space="preserve"> (Kumar, 2011</w:t>
      </w:r>
      <w:r w:rsidR="003C1980" w:rsidRPr="00317CB4">
        <w:rPr>
          <w:lang w:val="en-GB"/>
        </w:rPr>
        <w:t>, p.</w:t>
      </w:r>
      <w:r w:rsidR="00786AB8" w:rsidRPr="00317CB4">
        <w:rPr>
          <w:lang w:val="en-GB"/>
        </w:rPr>
        <w:t>141</w:t>
      </w:r>
      <w:r w:rsidR="00E84AE6" w:rsidRPr="00317CB4">
        <w:rPr>
          <w:lang w:val="en-GB"/>
        </w:rPr>
        <w:t>)</w:t>
      </w:r>
      <w:r w:rsidR="009F7834" w:rsidRPr="00317CB4">
        <w:rPr>
          <w:lang w:val="en-GB"/>
        </w:rPr>
        <w:t xml:space="preserve">. </w:t>
      </w:r>
      <w:r w:rsidR="00BE4CF8" w:rsidRPr="00317CB4">
        <w:rPr>
          <w:lang w:val="en-GB"/>
        </w:rPr>
        <w:t>If the same questions would have been answered by several people</w:t>
      </w:r>
      <w:r w:rsidR="004B1709" w:rsidRPr="00317CB4">
        <w:rPr>
          <w:lang w:val="en-GB"/>
        </w:rPr>
        <w:t xml:space="preserve"> from different departments, more aspects of the same topic could have been discovered. This </w:t>
      </w:r>
      <w:r w:rsidR="00E115CA" w:rsidRPr="00317CB4">
        <w:rPr>
          <w:lang w:val="en-GB"/>
        </w:rPr>
        <w:t>does not mean to imply that the answers are wrong – they simply only represent one possible angle on a multifaceted topic</w:t>
      </w:r>
      <w:r w:rsidR="00BE4CF8" w:rsidRPr="00317CB4">
        <w:rPr>
          <w:lang w:val="en-GB"/>
        </w:rPr>
        <w:t>.</w:t>
      </w:r>
      <w:r w:rsidR="00457358" w:rsidRPr="00317CB4">
        <w:rPr>
          <w:lang w:val="en-GB"/>
        </w:rPr>
        <w:t xml:space="preserve"> </w:t>
      </w:r>
      <w:r w:rsidR="00FE6839" w:rsidRPr="00317CB4">
        <w:rPr>
          <w:lang w:val="en-GB"/>
        </w:rPr>
        <w:t xml:space="preserve">The reliability of the answers is additionally impacted by </w:t>
      </w:r>
      <w:r w:rsidR="008F438D" w:rsidRPr="00317CB4">
        <w:rPr>
          <w:lang w:val="en-GB"/>
        </w:rPr>
        <w:t>the nature of the interaction. Communication took place via Email with an unknown person at the other end</w:t>
      </w:r>
      <w:r w:rsidR="00E638AD" w:rsidRPr="00317CB4">
        <w:rPr>
          <w:lang w:val="en-GB"/>
        </w:rPr>
        <w:t xml:space="preserve"> which leaves no room to gauge a reaction to a question</w:t>
      </w:r>
      <w:r w:rsidR="00C50B51" w:rsidRPr="00317CB4">
        <w:rPr>
          <w:lang w:val="en-GB"/>
        </w:rPr>
        <w:t>. It also did not provide room for me as the researcher to explain the reasoning behind the questions, should that have been unclear</w:t>
      </w:r>
      <w:r w:rsidR="009F7834" w:rsidRPr="00317CB4">
        <w:rPr>
          <w:lang w:val="en-GB"/>
        </w:rPr>
        <w:t xml:space="preserve"> (Kumar, 2011). </w:t>
      </w:r>
    </w:p>
    <w:p w14:paraId="21711BD0" w14:textId="05AC4EE6" w:rsidR="00861B9B" w:rsidRPr="00317CB4" w:rsidRDefault="001653A6" w:rsidP="00A85380">
      <w:pPr>
        <w:spacing w:line="360" w:lineRule="auto"/>
        <w:ind w:firstLine="720"/>
        <w:rPr>
          <w:lang w:val="en-GB"/>
        </w:rPr>
      </w:pPr>
      <w:r w:rsidRPr="00317CB4">
        <w:rPr>
          <w:lang w:val="en-GB"/>
        </w:rPr>
        <w:t>The second request for interviews was directed at an MEP and an APA</w:t>
      </w:r>
      <w:r w:rsidR="007552BB" w:rsidRPr="00317CB4">
        <w:rPr>
          <w:lang w:val="en-GB"/>
        </w:rPr>
        <w:t xml:space="preserve"> that work with Frontex</w:t>
      </w:r>
      <w:r w:rsidRPr="00317CB4">
        <w:rPr>
          <w:lang w:val="en-GB"/>
        </w:rPr>
        <w:t xml:space="preserve">. Contact had been initiated to </w:t>
      </w:r>
      <w:r w:rsidR="003E481C" w:rsidRPr="00317CB4">
        <w:rPr>
          <w:lang w:val="en-GB"/>
        </w:rPr>
        <w:t xml:space="preserve">conduct the interviews and confirmation was provided as well. However, </w:t>
      </w:r>
      <w:r w:rsidR="003E481C" w:rsidRPr="00317CB4">
        <w:rPr>
          <w:lang w:val="en-GB"/>
        </w:rPr>
        <w:lastRenderedPageBreak/>
        <w:t>in the next step, which was to confirm a date on which the interview were to be conducted</w:t>
      </w:r>
      <w:r w:rsidR="004A15A3" w:rsidRPr="00317CB4">
        <w:rPr>
          <w:lang w:val="en-GB"/>
        </w:rPr>
        <w:t xml:space="preserve">, no further details were discussed. That is why the analysis was concluded without the additional information from the interviews. </w:t>
      </w:r>
      <w:r w:rsidR="00BF222B" w:rsidRPr="00317CB4">
        <w:rPr>
          <w:lang w:val="en-GB"/>
        </w:rPr>
        <w:t xml:space="preserve">To see what is important for interviews, if they are to be conducted, see Appendix </w:t>
      </w:r>
      <w:r w:rsidR="00B80D40" w:rsidRPr="00317CB4">
        <w:rPr>
          <w:lang w:val="en-GB"/>
        </w:rPr>
        <w:t>2</w:t>
      </w:r>
      <w:r w:rsidR="00BF222B" w:rsidRPr="00317CB4">
        <w:rPr>
          <w:lang w:val="en-GB"/>
        </w:rPr>
        <w:t xml:space="preserve">. </w:t>
      </w:r>
    </w:p>
    <w:p w14:paraId="5DF474A2" w14:textId="47BC9006" w:rsidR="002F46D0" w:rsidRPr="00317CB4" w:rsidRDefault="002F46D0" w:rsidP="0083672D">
      <w:pPr>
        <w:pStyle w:val="ListParagraph"/>
        <w:numPr>
          <w:ilvl w:val="1"/>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Operationalisation </w:t>
      </w:r>
    </w:p>
    <w:p w14:paraId="02A8D6C4" w14:textId="21091E8D" w:rsidR="00A85380" w:rsidRPr="00317CB4" w:rsidRDefault="0040603D" w:rsidP="00B1513F">
      <w:pPr>
        <w:spacing w:line="360" w:lineRule="auto"/>
        <w:rPr>
          <w:lang w:val="en-GB"/>
        </w:rPr>
      </w:pPr>
      <w:r w:rsidRPr="00317CB4">
        <w:rPr>
          <w:lang w:val="en-GB"/>
        </w:rPr>
        <w:t>The expectations formulated in the theoretical chapter</w:t>
      </w:r>
      <w:r w:rsidR="00451D35" w:rsidRPr="00317CB4">
        <w:rPr>
          <w:lang w:val="en-GB"/>
        </w:rPr>
        <w:t xml:space="preserve"> </w:t>
      </w:r>
      <w:r w:rsidR="00AA13CF" w:rsidRPr="00317CB4">
        <w:rPr>
          <w:lang w:val="en-GB"/>
        </w:rPr>
        <w:t>are</w:t>
      </w:r>
      <w:r w:rsidR="00451D35" w:rsidRPr="00317CB4">
        <w:rPr>
          <w:lang w:val="en-GB"/>
        </w:rPr>
        <w:t xml:space="preserve"> central for the operationalisation of the required concepts. </w:t>
      </w:r>
      <w:r w:rsidR="00DD1F84" w:rsidRPr="00317CB4">
        <w:rPr>
          <w:lang w:val="en-GB"/>
        </w:rPr>
        <w:t xml:space="preserve">To remain chronological, the explanation of how the concepts are operationalised follows the order in which the expectations were formulated. </w:t>
      </w:r>
      <w:r w:rsidR="00D67EDF" w:rsidRPr="00317CB4">
        <w:rPr>
          <w:lang w:val="en-GB"/>
        </w:rPr>
        <w:t xml:space="preserve">The operationalisation of these concepts has subsequently </w:t>
      </w:r>
      <w:r w:rsidR="007D1785" w:rsidRPr="00317CB4">
        <w:rPr>
          <w:lang w:val="en-GB"/>
        </w:rPr>
        <w:t>influenced</w:t>
      </w:r>
      <w:r w:rsidR="00D67EDF" w:rsidRPr="00317CB4">
        <w:rPr>
          <w:lang w:val="en-GB"/>
        </w:rPr>
        <w:t xml:space="preserve"> the formulation of </w:t>
      </w:r>
      <w:r w:rsidR="007D1785" w:rsidRPr="00317CB4">
        <w:rPr>
          <w:lang w:val="en-GB"/>
        </w:rPr>
        <w:t xml:space="preserve">the </w:t>
      </w:r>
      <w:r w:rsidR="008A5834" w:rsidRPr="00317CB4">
        <w:rPr>
          <w:lang w:val="en-GB"/>
        </w:rPr>
        <w:t>questionnaire</w:t>
      </w:r>
      <w:r w:rsidR="00F03EDA" w:rsidRPr="00317CB4">
        <w:rPr>
          <w:lang w:val="en-GB"/>
        </w:rPr>
        <w:t xml:space="preserve"> </w:t>
      </w:r>
      <w:r w:rsidR="00AC0FA2" w:rsidRPr="00317CB4">
        <w:rPr>
          <w:lang w:val="en-GB"/>
        </w:rPr>
        <w:t>(</w:t>
      </w:r>
      <w:r w:rsidR="007E2510" w:rsidRPr="00317CB4">
        <w:rPr>
          <w:lang w:val="en-GB"/>
        </w:rPr>
        <w:t>Appendix</w:t>
      </w:r>
      <w:r w:rsidR="008A5834" w:rsidRPr="00317CB4">
        <w:rPr>
          <w:lang w:val="en-GB"/>
        </w:rPr>
        <w:t xml:space="preserve"> </w:t>
      </w:r>
      <w:r w:rsidR="00D733D3" w:rsidRPr="00317CB4">
        <w:rPr>
          <w:lang w:val="en-GB"/>
        </w:rPr>
        <w:t>1</w:t>
      </w:r>
      <w:r w:rsidR="00AC0FA2" w:rsidRPr="00317CB4">
        <w:rPr>
          <w:lang w:val="en-GB"/>
        </w:rPr>
        <w:t>)</w:t>
      </w:r>
      <w:r w:rsidR="00E17079" w:rsidRPr="00317CB4">
        <w:rPr>
          <w:lang w:val="en-GB"/>
        </w:rPr>
        <w:t>.</w:t>
      </w:r>
      <w:r w:rsidR="002B6846" w:rsidRPr="00317CB4">
        <w:rPr>
          <w:lang w:val="en-GB"/>
        </w:rPr>
        <w:t xml:space="preserve"> </w:t>
      </w:r>
    </w:p>
    <w:p w14:paraId="1B99AB3E" w14:textId="02678E4B" w:rsidR="0083672D" w:rsidRPr="00317CB4" w:rsidRDefault="0083672D" w:rsidP="005153D8">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Core state power dynamics </w:t>
      </w:r>
    </w:p>
    <w:p w14:paraId="46247A06" w14:textId="24C32E18" w:rsidR="004A67BA" w:rsidRPr="00317CB4" w:rsidRDefault="008A0DDD" w:rsidP="00B1513F">
      <w:pPr>
        <w:spacing w:line="360" w:lineRule="auto"/>
        <w:rPr>
          <w:lang w:val="en-GB"/>
        </w:rPr>
      </w:pPr>
      <w:r w:rsidRPr="00317CB4">
        <w:rPr>
          <w:lang w:val="en-GB"/>
        </w:rPr>
        <w:t xml:space="preserve">The operationalisation </w:t>
      </w:r>
      <w:r w:rsidR="00911453" w:rsidRPr="00317CB4">
        <w:rPr>
          <w:lang w:val="en-GB"/>
        </w:rPr>
        <w:t xml:space="preserve">that </w:t>
      </w:r>
      <w:r w:rsidR="00A42072" w:rsidRPr="00317CB4">
        <w:rPr>
          <w:lang w:val="en-GB"/>
        </w:rPr>
        <w:t>allows a measurement of</w:t>
      </w:r>
      <w:r w:rsidR="00911453" w:rsidRPr="00317CB4">
        <w:rPr>
          <w:lang w:val="en-GB"/>
        </w:rPr>
        <w:t xml:space="preserve"> </w:t>
      </w:r>
      <w:r w:rsidRPr="00317CB4">
        <w:rPr>
          <w:lang w:val="en-GB"/>
        </w:rPr>
        <w:t>core state power</w:t>
      </w:r>
      <w:r w:rsidR="007F2F79" w:rsidRPr="00317CB4">
        <w:rPr>
          <w:lang w:val="en-GB"/>
        </w:rPr>
        <w:t xml:space="preserve"> dynamics</w:t>
      </w:r>
      <w:r w:rsidRPr="00317CB4">
        <w:rPr>
          <w:lang w:val="en-GB"/>
        </w:rPr>
        <w:t xml:space="preserve"> can be split into three steps. </w:t>
      </w:r>
      <w:r w:rsidR="002D0BE1" w:rsidRPr="00317CB4">
        <w:rPr>
          <w:lang w:val="en-GB"/>
        </w:rPr>
        <w:t>In the first step, the</w:t>
      </w:r>
      <w:r w:rsidR="00F62B0A" w:rsidRPr="00317CB4">
        <w:rPr>
          <w:lang w:val="en-GB"/>
        </w:rPr>
        <w:t xml:space="preserve"> part to observe </w:t>
      </w:r>
      <w:r w:rsidR="0062144E" w:rsidRPr="00317CB4">
        <w:rPr>
          <w:lang w:val="en-GB"/>
        </w:rPr>
        <w:t xml:space="preserve">concerns </w:t>
      </w:r>
      <w:r w:rsidR="007365B5" w:rsidRPr="00317CB4">
        <w:rPr>
          <w:lang w:val="en-GB"/>
        </w:rPr>
        <w:t xml:space="preserve">the EU institutions and whether they </w:t>
      </w:r>
      <w:r w:rsidR="007F2F79" w:rsidRPr="00317CB4">
        <w:rPr>
          <w:lang w:val="en-GB"/>
        </w:rPr>
        <w:t>make demands to</w:t>
      </w:r>
      <w:r w:rsidR="00090CA6" w:rsidRPr="00317CB4">
        <w:rPr>
          <w:lang w:val="en-GB"/>
        </w:rPr>
        <w:t xml:space="preserve"> Frontex about how they want the agency to implement migration policy. The things to look out for here are </w:t>
      </w:r>
      <w:r w:rsidR="008F5F42" w:rsidRPr="00317CB4">
        <w:rPr>
          <w:lang w:val="en-GB"/>
        </w:rPr>
        <w:t>policy documents, written statements, or reports that state what e.g. the Commission wants Frontex to do</w:t>
      </w:r>
      <w:r w:rsidR="00062887" w:rsidRPr="00317CB4">
        <w:rPr>
          <w:lang w:val="en-GB"/>
        </w:rPr>
        <w:t>. In the second step, the part to observe concerns the EU member states. They are the actor that is traditionally in charge of core state powers, so</w:t>
      </w:r>
      <w:r w:rsidR="00BB625B" w:rsidRPr="00317CB4">
        <w:rPr>
          <w:lang w:val="en-GB"/>
        </w:rPr>
        <w:t xml:space="preserve"> </w:t>
      </w:r>
      <w:r w:rsidR="00ED3143" w:rsidRPr="00317CB4">
        <w:rPr>
          <w:lang w:val="en-GB"/>
        </w:rPr>
        <w:t>they, too, will make demands to Frontex about how they want the agency to implement migration policy. Thus, the same things as</w:t>
      </w:r>
      <w:r w:rsidR="00B93C7B" w:rsidRPr="00317CB4">
        <w:rPr>
          <w:lang w:val="en-GB"/>
        </w:rPr>
        <w:t xml:space="preserve"> in the first steps are observed to see what it is the member states want Frontex to do. </w:t>
      </w:r>
      <w:r w:rsidR="005567F1" w:rsidRPr="00317CB4">
        <w:rPr>
          <w:lang w:val="en-GB"/>
        </w:rPr>
        <w:t xml:space="preserve">In the third step, it </w:t>
      </w:r>
      <w:r w:rsidR="00DA301F" w:rsidRPr="00317CB4">
        <w:rPr>
          <w:lang w:val="en-GB"/>
        </w:rPr>
        <w:t>is</w:t>
      </w:r>
      <w:r w:rsidR="005567F1" w:rsidRPr="00317CB4">
        <w:rPr>
          <w:lang w:val="en-GB"/>
        </w:rPr>
        <w:t xml:space="preserve"> observed how Frontex implements the demands. </w:t>
      </w:r>
      <w:r w:rsidR="00981FA6" w:rsidRPr="00317CB4">
        <w:rPr>
          <w:lang w:val="en-GB"/>
        </w:rPr>
        <w:t xml:space="preserve">It is thus looked at </w:t>
      </w:r>
      <w:r w:rsidR="002F50F0" w:rsidRPr="00317CB4">
        <w:rPr>
          <w:lang w:val="en-GB"/>
        </w:rPr>
        <w:t>what action Frontex takes following the expression of demands from both audience members. By observing which action is demanded from Frontex and which demands are acted upon, it can subsequently be observed</w:t>
      </w:r>
      <w:r w:rsidR="0065329C" w:rsidRPr="00317CB4">
        <w:rPr>
          <w:lang w:val="en-GB"/>
        </w:rPr>
        <w:t xml:space="preserve"> if the dynamic of core state powers shifts towards the supranational</w:t>
      </w:r>
      <w:r w:rsidR="008E593B" w:rsidRPr="00317CB4">
        <w:rPr>
          <w:lang w:val="en-GB"/>
        </w:rPr>
        <w:t xml:space="preserve">, European side, or if the primary authority about issues such as migration remains with the member states. </w:t>
      </w:r>
    </w:p>
    <w:p w14:paraId="054E1366" w14:textId="10C7BBFE" w:rsidR="00DD6053" w:rsidRPr="00317CB4" w:rsidRDefault="000F326E" w:rsidP="00B1513F">
      <w:pPr>
        <w:spacing w:line="360" w:lineRule="auto"/>
        <w:rPr>
          <w:lang w:val="en-GB"/>
        </w:rPr>
      </w:pPr>
      <w:r w:rsidRPr="00317CB4">
        <w:rPr>
          <w:lang w:val="en-GB"/>
        </w:rPr>
        <w:tab/>
        <w:t>In this operationalisation, the focus is on the demands that are made</w:t>
      </w:r>
      <w:r w:rsidR="00EE69D7" w:rsidRPr="00317CB4">
        <w:rPr>
          <w:lang w:val="en-GB"/>
        </w:rPr>
        <w:t xml:space="preserve"> to Frontex</w:t>
      </w:r>
      <w:r w:rsidR="00611FDB" w:rsidRPr="00317CB4">
        <w:rPr>
          <w:lang w:val="en-GB"/>
        </w:rPr>
        <w:t xml:space="preserve">, how they can be observed, and how they relate to core state power. Such demands are not always </w:t>
      </w:r>
      <w:r w:rsidR="003720CA" w:rsidRPr="00317CB4">
        <w:rPr>
          <w:lang w:val="en-GB"/>
        </w:rPr>
        <w:t xml:space="preserve">directly visible and explicit, but can also be more subtle. It is therefore important to </w:t>
      </w:r>
      <w:r w:rsidR="002D0B21" w:rsidRPr="00317CB4">
        <w:rPr>
          <w:lang w:val="en-GB"/>
        </w:rPr>
        <w:t xml:space="preserve">e.g. </w:t>
      </w:r>
      <w:r w:rsidR="003720CA" w:rsidRPr="00317CB4">
        <w:rPr>
          <w:lang w:val="en-GB"/>
        </w:rPr>
        <w:t xml:space="preserve">not only look out for statements that are made directly to Frontex, but also the implicit demands. These can take the shape of </w:t>
      </w:r>
      <w:r w:rsidR="00F37759" w:rsidRPr="00317CB4">
        <w:rPr>
          <w:lang w:val="en-GB"/>
        </w:rPr>
        <w:t xml:space="preserve">repeated statements of an audience member of what they want to do in migration policy, but they do not </w:t>
      </w:r>
      <w:r w:rsidR="00300AB4" w:rsidRPr="00317CB4">
        <w:rPr>
          <w:lang w:val="en-GB"/>
        </w:rPr>
        <w:t>state that Frontex should be involved, or how the</w:t>
      </w:r>
      <w:r w:rsidR="007071FD" w:rsidRPr="00317CB4">
        <w:rPr>
          <w:lang w:val="en-GB"/>
        </w:rPr>
        <w:t xml:space="preserve"> discussed topic should be solved</w:t>
      </w:r>
      <w:r w:rsidR="000A4CCA" w:rsidRPr="00317CB4">
        <w:rPr>
          <w:lang w:val="en-GB"/>
        </w:rPr>
        <w:t xml:space="preserve"> – merely that a certain thing should take place. It would then be necessary to know if what the audience member wants to happen also falls within the mandate of Frontex and </w:t>
      </w:r>
      <w:r w:rsidR="00DD6053" w:rsidRPr="00317CB4">
        <w:rPr>
          <w:lang w:val="en-GB"/>
        </w:rPr>
        <w:t xml:space="preserve">the demand is just not yet openly stated. </w:t>
      </w:r>
    </w:p>
    <w:p w14:paraId="69207102" w14:textId="5482908B" w:rsidR="0083672D" w:rsidRPr="00317CB4" w:rsidRDefault="0083672D" w:rsidP="005153D8">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 xml:space="preserve">Reputational threats </w:t>
      </w:r>
    </w:p>
    <w:p w14:paraId="2192CAE6" w14:textId="70AEF4B0" w:rsidR="001C6C92" w:rsidRPr="00317CB4" w:rsidRDefault="00990B64" w:rsidP="00B1513F">
      <w:pPr>
        <w:spacing w:line="360" w:lineRule="auto"/>
        <w:rPr>
          <w:lang w:val="en-GB"/>
        </w:rPr>
      </w:pPr>
      <w:r w:rsidRPr="00317CB4">
        <w:rPr>
          <w:lang w:val="en-GB"/>
        </w:rPr>
        <w:t xml:space="preserve">From the demands that are made to Frontex, </w:t>
      </w:r>
      <w:r w:rsidR="0072401E" w:rsidRPr="00317CB4">
        <w:rPr>
          <w:lang w:val="en-GB"/>
        </w:rPr>
        <w:t>the next item to be operationalised are reputational threats.</w:t>
      </w:r>
      <w:r w:rsidR="00A651D6" w:rsidRPr="00317CB4">
        <w:rPr>
          <w:lang w:val="en-GB"/>
        </w:rPr>
        <w:t xml:space="preserve"> </w:t>
      </w:r>
      <w:r w:rsidR="00C75247" w:rsidRPr="00317CB4">
        <w:rPr>
          <w:lang w:val="en-GB"/>
        </w:rPr>
        <w:t xml:space="preserve">Thus, </w:t>
      </w:r>
      <w:r w:rsidR="008629EA" w:rsidRPr="00317CB4">
        <w:rPr>
          <w:lang w:val="en-GB"/>
        </w:rPr>
        <w:t>demands have</w:t>
      </w:r>
      <w:r w:rsidR="00C75247" w:rsidRPr="00317CB4">
        <w:rPr>
          <w:lang w:val="en-GB"/>
        </w:rPr>
        <w:t xml:space="preserve"> been made, and it is up to Frontex to decide whether or not the requested </w:t>
      </w:r>
      <w:r w:rsidR="008629EA" w:rsidRPr="00317CB4">
        <w:rPr>
          <w:lang w:val="en-GB"/>
        </w:rPr>
        <w:t>demand</w:t>
      </w:r>
      <w:r w:rsidR="00C67BE3" w:rsidRPr="00317CB4">
        <w:rPr>
          <w:lang w:val="en-GB"/>
        </w:rPr>
        <w:t>s</w:t>
      </w:r>
      <w:r w:rsidR="008629EA" w:rsidRPr="00317CB4">
        <w:rPr>
          <w:lang w:val="en-GB"/>
        </w:rPr>
        <w:t xml:space="preserve"> </w:t>
      </w:r>
      <w:r w:rsidR="00C75247" w:rsidRPr="00317CB4">
        <w:rPr>
          <w:lang w:val="en-GB"/>
        </w:rPr>
        <w:lastRenderedPageBreak/>
        <w:t xml:space="preserve">shall be carried out. </w:t>
      </w:r>
      <w:r w:rsidR="00F33305" w:rsidRPr="00317CB4">
        <w:rPr>
          <w:lang w:val="en-GB"/>
        </w:rPr>
        <w:t xml:space="preserve">A threat to Frontex’ reputation can emerge from that when the </w:t>
      </w:r>
      <w:r w:rsidR="00FA4D26" w:rsidRPr="00317CB4">
        <w:rPr>
          <w:lang w:val="en-GB"/>
        </w:rPr>
        <w:t xml:space="preserve">request </w:t>
      </w:r>
      <w:r w:rsidR="00F33305" w:rsidRPr="00317CB4">
        <w:rPr>
          <w:lang w:val="en-GB"/>
        </w:rPr>
        <w:t>has not yet been carried out, but it is anticipated that this course of action</w:t>
      </w:r>
      <w:r w:rsidR="000138BD" w:rsidRPr="00317CB4">
        <w:rPr>
          <w:lang w:val="en-GB"/>
        </w:rPr>
        <w:t xml:space="preserve"> may result in a reputational loss in the eyes of an audience member</w:t>
      </w:r>
      <w:r w:rsidR="00B070D5" w:rsidRPr="00317CB4">
        <w:rPr>
          <w:lang w:val="en-GB"/>
        </w:rPr>
        <w:t xml:space="preserve">. </w:t>
      </w:r>
      <w:r w:rsidR="001C6C92" w:rsidRPr="00317CB4">
        <w:rPr>
          <w:lang w:val="en-GB"/>
        </w:rPr>
        <w:t>“May” is the key-term here, as the action that Frontex wants to initiate, has in fact not been initiated yet. The observable and subsequently measurable variable to look out for here is speed of compliance with demands. If e.g. the Commission makes demands for action to Frontex, yet Frontex anticipates that implementing the demands may lead to a reputation loss with the member states</w:t>
      </w:r>
      <w:r w:rsidR="0010200A" w:rsidRPr="00317CB4">
        <w:rPr>
          <w:lang w:val="en-GB"/>
        </w:rPr>
        <w:t xml:space="preserve"> due to their opposition to this kind of action</w:t>
      </w:r>
      <w:r w:rsidR="001C6C92" w:rsidRPr="00317CB4">
        <w:rPr>
          <w:lang w:val="en-GB"/>
        </w:rPr>
        <w:t>, then Frontex would slow down on the compliance and implementation part of the demands</w:t>
      </w:r>
      <w:r w:rsidR="001E2B0B" w:rsidRPr="00317CB4">
        <w:rPr>
          <w:lang w:val="en-GB"/>
        </w:rPr>
        <w:t xml:space="preserve"> or not carry out the demanded action at all</w:t>
      </w:r>
      <w:r w:rsidR="001C6C92" w:rsidRPr="00317CB4">
        <w:rPr>
          <w:lang w:val="en-GB"/>
        </w:rPr>
        <w:t>. It is therefore the worry of a reputation loss that indicates a threat, and this will be measured by looking for what Frontex would have to lose in a specific situation. If something of significant benefit is to be given to Frontex, such as financial support for instance, then the audience can threaten to withhold this support until compliance with the demands is ensured (</w:t>
      </w:r>
      <w:r w:rsidR="001B552C" w:rsidRPr="00317CB4">
        <w:rPr>
          <w:lang w:val="en-GB"/>
        </w:rPr>
        <w:t xml:space="preserve">Overman </w:t>
      </w:r>
      <w:r w:rsidR="00EF1580" w:rsidRPr="00317CB4">
        <w:rPr>
          <w:lang w:val="en-GB"/>
        </w:rPr>
        <w:t>et al.</w:t>
      </w:r>
      <w:r w:rsidR="001B552C" w:rsidRPr="00317CB4">
        <w:rPr>
          <w:lang w:val="en-GB"/>
        </w:rPr>
        <w:t xml:space="preserve">, </w:t>
      </w:r>
      <w:r w:rsidR="00B75D79" w:rsidRPr="00317CB4">
        <w:rPr>
          <w:lang w:val="en-GB"/>
        </w:rPr>
        <w:t>2019</w:t>
      </w:r>
      <w:r w:rsidR="001C6C92" w:rsidRPr="00317CB4">
        <w:rPr>
          <w:lang w:val="en-GB"/>
        </w:rPr>
        <w:t>)</w:t>
      </w:r>
      <w:r w:rsidR="00B75D79" w:rsidRPr="00317CB4">
        <w:rPr>
          <w:lang w:val="en-GB"/>
        </w:rPr>
        <w:t xml:space="preserve">. </w:t>
      </w:r>
      <w:r w:rsidR="001C6C92" w:rsidRPr="00317CB4">
        <w:rPr>
          <w:lang w:val="en-GB"/>
        </w:rPr>
        <w:t xml:space="preserve"> </w:t>
      </w:r>
    </w:p>
    <w:p w14:paraId="1090CC5B" w14:textId="2DFFC71F" w:rsidR="0083672D" w:rsidRPr="00317CB4" w:rsidRDefault="0083672D" w:rsidP="005153D8">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Reputational gains &amp; losses</w:t>
      </w:r>
    </w:p>
    <w:p w14:paraId="2C3C9476" w14:textId="1D00C7AE" w:rsidR="003C0F1F" w:rsidRPr="00317CB4" w:rsidRDefault="002478E8" w:rsidP="00B1513F">
      <w:pPr>
        <w:spacing w:line="360" w:lineRule="auto"/>
        <w:rPr>
          <w:lang w:val="en-GB"/>
        </w:rPr>
      </w:pPr>
      <w:r w:rsidRPr="00317CB4">
        <w:rPr>
          <w:lang w:val="en-GB"/>
        </w:rPr>
        <w:t>A win or loss in reputation is tricky to turn into a measurable observation, as reputation in itself does not necessarily manifest in material consequences</w:t>
      </w:r>
      <w:r w:rsidR="00EF1580" w:rsidRPr="00317CB4">
        <w:rPr>
          <w:lang w:val="en-GB"/>
        </w:rPr>
        <w:t xml:space="preserve"> (Overman et al., 2019).</w:t>
      </w:r>
      <w:r w:rsidR="00225272" w:rsidRPr="00317CB4">
        <w:rPr>
          <w:lang w:val="en-GB"/>
        </w:rPr>
        <w:t xml:space="preserve"> Instead, the indicators are more subtle.</w:t>
      </w:r>
      <w:r w:rsidRPr="00317CB4">
        <w:rPr>
          <w:lang w:val="en-GB"/>
        </w:rPr>
        <w:t xml:space="preserve"> To therefore make the concept of reputation tangible enough and turn it into a measurable observation, the tone </w:t>
      </w:r>
      <w:r w:rsidR="007F210E" w:rsidRPr="00317CB4">
        <w:rPr>
          <w:lang w:val="en-GB"/>
        </w:rPr>
        <w:t xml:space="preserve">in which </w:t>
      </w:r>
      <w:r w:rsidRPr="00317CB4">
        <w:rPr>
          <w:lang w:val="en-GB"/>
        </w:rPr>
        <w:t xml:space="preserve">all actors </w:t>
      </w:r>
      <w:r w:rsidR="007F210E" w:rsidRPr="00317CB4">
        <w:rPr>
          <w:lang w:val="en-GB"/>
        </w:rPr>
        <w:t xml:space="preserve">communicate </w:t>
      </w:r>
      <w:r w:rsidRPr="00317CB4">
        <w:rPr>
          <w:lang w:val="en-GB"/>
        </w:rPr>
        <w:t xml:space="preserve">is considered. Not the tone of an actual voice, but the tone of the reports &amp; documents, in the interviews, </w:t>
      </w:r>
      <w:r w:rsidR="000F5B86" w:rsidRPr="00317CB4">
        <w:rPr>
          <w:lang w:val="en-GB"/>
        </w:rPr>
        <w:t xml:space="preserve">and </w:t>
      </w:r>
      <w:r w:rsidRPr="00317CB4">
        <w:rPr>
          <w:lang w:val="en-GB"/>
        </w:rPr>
        <w:t>news reports</w:t>
      </w:r>
      <w:r w:rsidR="005E4EC3" w:rsidRPr="00317CB4">
        <w:rPr>
          <w:lang w:val="en-GB"/>
        </w:rPr>
        <w:t xml:space="preserve"> </w:t>
      </w:r>
      <w:r w:rsidR="00B516C4" w:rsidRPr="00317CB4">
        <w:rPr>
          <w:lang w:val="en-GB"/>
        </w:rPr>
        <w:t>–</w:t>
      </w:r>
      <w:r w:rsidRPr="00317CB4">
        <w:rPr>
          <w:lang w:val="en-GB"/>
        </w:rPr>
        <w:t xml:space="preserve"> after action is taken by Frontex, are the reports about this action positive or negative? </w:t>
      </w:r>
      <w:r w:rsidR="007B3021" w:rsidRPr="00317CB4">
        <w:rPr>
          <w:lang w:val="en-GB"/>
        </w:rPr>
        <w:t xml:space="preserve">Based on </w:t>
      </w:r>
      <w:r w:rsidR="009811C0" w:rsidRPr="00317CB4">
        <w:rPr>
          <w:lang w:val="en-GB"/>
        </w:rPr>
        <w:t xml:space="preserve">previous literature, the analysis will </w:t>
      </w:r>
      <w:r w:rsidR="003C0F1F" w:rsidRPr="00317CB4">
        <w:rPr>
          <w:lang w:val="en-GB"/>
        </w:rPr>
        <w:t>look for demands from the audience that were met by Frontex, and whether the reports thereof have a positive tone</w:t>
      </w:r>
      <w:r w:rsidR="00023EB6" w:rsidRPr="00317CB4">
        <w:rPr>
          <w:lang w:val="en-GB"/>
        </w:rPr>
        <w:t>. If there is a positive report detected, then a reputation win is measured</w:t>
      </w:r>
      <w:r w:rsidR="00B941BF" w:rsidRPr="00317CB4">
        <w:rPr>
          <w:lang w:val="en-GB"/>
        </w:rPr>
        <w:t xml:space="preserve"> as this </w:t>
      </w:r>
      <w:r w:rsidR="009D44D7" w:rsidRPr="00317CB4">
        <w:rPr>
          <w:lang w:val="en-GB"/>
        </w:rPr>
        <w:t>allows to infer that Frontex has fulfilled the demanded requirements</w:t>
      </w:r>
      <w:r w:rsidR="00023EB6" w:rsidRPr="00317CB4">
        <w:rPr>
          <w:lang w:val="en-GB"/>
        </w:rPr>
        <w:t xml:space="preserve">. </w:t>
      </w:r>
      <w:r w:rsidR="009D44D7" w:rsidRPr="00317CB4">
        <w:rPr>
          <w:lang w:val="en-GB"/>
        </w:rPr>
        <w:t>Vice versa, i</w:t>
      </w:r>
      <w:r w:rsidR="00023EB6" w:rsidRPr="00317CB4">
        <w:rPr>
          <w:lang w:val="en-GB"/>
        </w:rPr>
        <w:t>f the reports are negative, then a reputation loss is measured</w:t>
      </w:r>
      <w:r w:rsidR="009D44D7" w:rsidRPr="00317CB4">
        <w:rPr>
          <w:lang w:val="en-GB"/>
        </w:rPr>
        <w:t xml:space="preserve"> based </w:t>
      </w:r>
      <w:r w:rsidR="001015B9" w:rsidRPr="00317CB4">
        <w:rPr>
          <w:lang w:val="en-GB"/>
        </w:rPr>
        <w:t>on the inference that the requirements that were demanded were not fulfilled (Overman et al., 2019).</w:t>
      </w:r>
    </w:p>
    <w:p w14:paraId="5E056EAF" w14:textId="443704B4" w:rsidR="0083672D" w:rsidRPr="00317CB4" w:rsidRDefault="0083672D" w:rsidP="005153D8">
      <w:pPr>
        <w:pStyle w:val="ListParagraph"/>
        <w:numPr>
          <w:ilvl w:val="2"/>
          <w:numId w:val="40"/>
        </w:numPr>
        <w:spacing w:line="360" w:lineRule="auto"/>
        <w:rPr>
          <w:b/>
          <w:bCs/>
          <w:color w:val="2F5496" w:themeColor="accent1" w:themeShade="BF"/>
          <w:sz w:val="24"/>
          <w:szCs w:val="24"/>
          <w:lang w:val="en-GB"/>
        </w:rPr>
      </w:pPr>
      <w:r w:rsidRPr="00317CB4">
        <w:rPr>
          <w:b/>
          <w:bCs/>
          <w:color w:val="2F5496" w:themeColor="accent1" w:themeShade="BF"/>
          <w:sz w:val="24"/>
          <w:szCs w:val="24"/>
          <w:lang w:val="en-GB"/>
        </w:rPr>
        <w:t>Political salience</w:t>
      </w:r>
    </w:p>
    <w:p w14:paraId="0492B00F" w14:textId="77777777" w:rsidR="0033556F" w:rsidRPr="00317CB4" w:rsidRDefault="0033556F" w:rsidP="0033556F">
      <w:pPr>
        <w:spacing w:line="360" w:lineRule="auto"/>
        <w:rPr>
          <w:lang w:val="en-GB"/>
        </w:rPr>
      </w:pPr>
      <w:r w:rsidRPr="00317CB4">
        <w:rPr>
          <w:lang w:val="en-GB"/>
        </w:rPr>
        <w:t xml:space="preserve">To be able to observe and subsequently measure whether an issue carries political salience, it is checked how often an audience member makes the same demands for action to Frontex: high frequency of expressing the same demands is seen to imply high salience. Saliency can also become measurable when audience members express high pressure for immediate action (deadline) or to make use of all available resources (financial &amp; human) to ensure that the demands are complied with in due course. </w:t>
      </w:r>
    </w:p>
    <w:p w14:paraId="1A009763" w14:textId="228F4C47" w:rsidR="00FC3C48" w:rsidRPr="00317CB4" w:rsidRDefault="0033556F" w:rsidP="00231D33">
      <w:pPr>
        <w:spacing w:line="360" w:lineRule="auto"/>
        <w:ind w:firstLine="720"/>
        <w:rPr>
          <w:lang w:val="en-GB"/>
        </w:rPr>
      </w:pPr>
      <w:r w:rsidRPr="00317CB4">
        <w:rPr>
          <w:lang w:val="en-GB"/>
        </w:rPr>
        <w:t>Low political salience is therefore observed and measured in the opposite way: if an audience member makes a demand for certain action once, no action follows, and the issue is only placed on the agenda again later on, if at all.</w:t>
      </w:r>
    </w:p>
    <w:p w14:paraId="1E0B49ED" w14:textId="77777777" w:rsidR="000C21F7" w:rsidRPr="00317CB4" w:rsidRDefault="000C21F7" w:rsidP="00231D33">
      <w:pPr>
        <w:spacing w:line="360" w:lineRule="auto"/>
        <w:ind w:firstLine="720"/>
        <w:rPr>
          <w:lang w:val="en-GB"/>
        </w:rPr>
      </w:pPr>
    </w:p>
    <w:p w14:paraId="7CA376D5" w14:textId="13CC8B6A" w:rsidR="00FE47E7" w:rsidRPr="00317CB4" w:rsidRDefault="002E49C9" w:rsidP="00256400">
      <w:pPr>
        <w:pStyle w:val="ListParagraph"/>
        <w:numPr>
          <w:ilvl w:val="0"/>
          <w:numId w:val="14"/>
        </w:numPr>
        <w:spacing w:line="360" w:lineRule="auto"/>
        <w:rPr>
          <w:color w:val="2F5496" w:themeColor="accent1" w:themeShade="BF"/>
          <w:sz w:val="32"/>
          <w:szCs w:val="32"/>
          <w:lang w:val="en-GB"/>
        </w:rPr>
      </w:pPr>
      <w:r w:rsidRPr="00317CB4">
        <w:rPr>
          <w:b/>
          <w:bCs/>
          <w:color w:val="2F5496" w:themeColor="accent1" w:themeShade="BF"/>
          <w:sz w:val="32"/>
          <w:szCs w:val="32"/>
          <w:lang w:val="en-GB"/>
        </w:rPr>
        <w:lastRenderedPageBreak/>
        <w:t xml:space="preserve">Analysis </w:t>
      </w:r>
      <w:r w:rsidRPr="00317CB4">
        <w:rPr>
          <w:color w:val="2F5496" w:themeColor="accent1" w:themeShade="BF"/>
          <w:sz w:val="32"/>
          <w:szCs w:val="32"/>
          <w:lang w:val="en-GB"/>
        </w:rPr>
        <w:t> </w:t>
      </w:r>
    </w:p>
    <w:p w14:paraId="76979B3B" w14:textId="33F987C1" w:rsidR="008D68A0" w:rsidRPr="00317CB4" w:rsidRDefault="0036603C" w:rsidP="007D385B">
      <w:pPr>
        <w:spacing w:line="360" w:lineRule="auto"/>
        <w:rPr>
          <w:lang w:val="en-GB"/>
        </w:rPr>
      </w:pPr>
      <w:r w:rsidRPr="00317CB4">
        <w:rPr>
          <w:lang w:val="en-GB"/>
        </w:rPr>
        <w:t xml:space="preserve">In this section, </w:t>
      </w:r>
      <w:r w:rsidR="00CE08CA" w:rsidRPr="00317CB4">
        <w:rPr>
          <w:lang w:val="en-GB"/>
        </w:rPr>
        <w:t xml:space="preserve">several arguments are presented to illustrate the applicability of the previously stated expectations. </w:t>
      </w:r>
      <w:r w:rsidR="009E7D3E" w:rsidRPr="00317CB4">
        <w:rPr>
          <w:lang w:val="en-GB"/>
        </w:rPr>
        <w:t>The arguments proceed along the timeframe</w:t>
      </w:r>
      <w:r w:rsidR="00904C25" w:rsidRPr="00317CB4">
        <w:rPr>
          <w:lang w:val="en-GB"/>
        </w:rPr>
        <w:t xml:space="preserve"> that is placed within this thesis’ focus, i.e. </w:t>
      </w:r>
      <w:r w:rsidR="0040138A" w:rsidRPr="00317CB4">
        <w:rPr>
          <w:lang w:val="en-GB"/>
        </w:rPr>
        <w:t xml:space="preserve">July </w:t>
      </w:r>
      <w:r w:rsidR="00904C25" w:rsidRPr="00317CB4">
        <w:rPr>
          <w:lang w:val="en-GB"/>
        </w:rPr>
        <w:t>2015</w:t>
      </w:r>
      <w:r w:rsidR="0040138A" w:rsidRPr="00317CB4">
        <w:rPr>
          <w:lang w:val="en-GB"/>
        </w:rPr>
        <w:t xml:space="preserve"> – June </w:t>
      </w:r>
      <w:r w:rsidR="00904C25" w:rsidRPr="00317CB4">
        <w:rPr>
          <w:lang w:val="en-GB"/>
        </w:rPr>
        <w:t xml:space="preserve">2023 to show how the </w:t>
      </w:r>
      <w:r w:rsidR="00B85E69" w:rsidRPr="00317CB4">
        <w:rPr>
          <w:lang w:val="en-GB"/>
        </w:rPr>
        <w:t>demands to Frontex were subjected to change and how Frontex itself changed in the behaviour it presented to the public</w:t>
      </w:r>
      <w:r w:rsidR="00051500" w:rsidRPr="00317CB4">
        <w:rPr>
          <w:lang w:val="en-GB"/>
        </w:rPr>
        <w:t xml:space="preserve">. Following these arguments, a preliminary conclusion </w:t>
      </w:r>
      <w:r w:rsidR="00831FD7" w:rsidRPr="00317CB4">
        <w:rPr>
          <w:lang w:val="en-GB"/>
        </w:rPr>
        <w:t xml:space="preserve">about core state power dynamics can be reached. </w:t>
      </w:r>
    </w:p>
    <w:p w14:paraId="58357800" w14:textId="505B393C" w:rsidR="007D385B" w:rsidRPr="00317CB4" w:rsidRDefault="007D385B" w:rsidP="005E4EC3">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 xml:space="preserve">Frontex during the migration crisis </w:t>
      </w:r>
      <w:r w:rsidR="0021345E" w:rsidRPr="00317CB4">
        <w:rPr>
          <w:b/>
          <w:bCs/>
          <w:color w:val="2F5496" w:themeColor="accent1" w:themeShade="BF"/>
          <w:lang w:val="en-GB"/>
        </w:rPr>
        <w:t>(2015-2016)</w:t>
      </w:r>
    </w:p>
    <w:p w14:paraId="16498F70" w14:textId="52FEDD60" w:rsidR="007D385B" w:rsidRPr="00317CB4" w:rsidRDefault="007D385B" w:rsidP="007D385B">
      <w:pPr>
        <w:spacing w:line="360" w:lineRule="auto"/>
        <w:rPr>
          <w:lang w:val="en-GB"/>
        </w:rPr>
      </w:pPr>
      <w:r w:rsidRPr="00317CB4">
        <w:rPr>
          <w:lang w:val="en-GB"/>
        </w:rPr>
        <w:t>When the migration crisis began in the second half of 2015, there was an immediate pressure upon all involved actors to find solutions to the increased influx of migrants – on the member states, the EU institutions, and also Frontex. The EU’s institutions, and especially the Commission, wanted to use Frontex and the expert knowledge it can provide in such an emergency situation</w:t>
      </w:r>
      <w:r w:rsidR="006A3E78" w:rsidRPr="00317CB4">
        <w:rPr>
          <w:lang w:val="en-GB"/>
        </w:rPr>
        <w:t xml:space="preserve"> (Schout &amp; Pereya, 2011)</w:t>
      </w:r>
      <w:r w:rsidRPr="00317CB4">
        <w:rPr>
          <w:lang w:val="en-GB"/>
        </w:rPr>
        <w:t xml:space="preserve">. During the crisis, Frontex was therefore expected to implement the technical expertise it possesses by acting upon its mandate. The goal behind this was, at least for the Commission, to show that the regulation they co-created is effective in providing sufficient border protection and that the Commission is responsible for the creation of an efficiently functioning agency. Stressing that Frontex has its origins with the EU institutions meant to increase the overall legitimacy of the Commission, but also to show that what can be created can also be removed by the same actor, hence the requests from the Commission should be followed because there would be a mutual benefit (Meissner, 2017). The Commission also proposed additional assistance for the member states in 2015 to be provided through a capacity based relocation key that Frontex would assist with. With this proposal, the countries of first arrival would not have to accept all migrants into their territory, but the numbers would be shared with other member states. Following deliberations in the Council, this proposal was denied by the member states (Niemann &amp; Zaun, 2018; Thielemann, 2018). </w:t>
      </w:r>
    </w:p>
    <w:p w14:paraId="1F1083B2" w14:textId="4A013C8A" w:rsidR="007D385B" w:rsidRPr="00317CB4" w:rsidRDefault="007D385B" w:rsidP="007D385B">
      <w:pPr>
        <w:spacing w:line="360" w:lineRule="auto"/>
        <w:ind w:firstLine="720"/>
        <w:rPr>
          <w:lang w:val="en-GB"/>
        </w:rPr>
      </w:pPr>
      <w:r w:rsidRPr="00317CB4">
        <w:rPr>
          <w:lang w:val="en-GB"/>
        </w:rPr>
        <w:t>The member states were more directly affected than the institutions, as they had to deal with, among other things, the direct political repercussions of the migration flows. One initiative to cope with this was the suspension of the Dublin Regulation</w:t>
      </w:r>
      <w:r w:rsidR="00896F25" w:rsidRPr="00317CB4">
        <w:rPr>
          <w:lang w:val="en-GB"/>
        </w:rPr>
        <w:t xml:space="preserve"> suggested and implemented</w:t>
      </w:r>
      <w:r w:rsidRPr="00317CB4">
        <w:rPr>
          <w:lang w:val="en-GB"/>
        </w:rPr>
        <w:t xml:space="preserve"> by Germany, as Angela Merkel decided to offer Syrian refugees registration as soon as they arrived in Germany. Previously, they would have been sent back to their country of first arrival which </w:t>
      </w:r>
      <w:r w:rsidR="00D076CD" w:rsidRPr="00317CB4">
        <w:rPr>
          <w:lang w:val="en-GB"/>
        </w:rPr>
        <w:t xml:space="preserve">had </w:t>
      </w:r>
      <w:r w:rsidRPr="00317CB4">
        <w:rPr>
          <w:lang w:val="en-GB"/>
        </w:rPr>
        <w:t xml:space="preserve">put much of the burden of processing the new arrivals onto those countries (Hassel &amp; Wagner, 2016). This was met with certain support by the member states that are the classic countries of first arrival, i.e. those along the Mediterranean and Eastern borders. They would have to process less migrants as a consequence of the suspension of the Dublin Regulation, and were happy to shift that burden to countries with stronger domestic regulations and administrative capacities (Freudlsperger &amp; Jachtenfuchs, 2021). Other member states like France, Denmark, Austria, or Sweden also re-introduced border controls along the </w:t>
      </w:r>
      <w:r w:rsidRPr="00317CB4">
        <w:rPr>
          <w:lang w:val="en-GB"/>
        </w:rPr>
        <w:lastRenderedPageBreak/>
        <w:t xml:space="preserve">European internal borders, something that had been eradicated since the Schengen Agreement was concluded (Meissner, 2017; Niemann &amp; Zaun, 2018). With these changes to the status quo, the member states signalled to Frontex that action for the agency was solely restricted to take place along the external border, and that they would take cooperation between each other into their own hands. This contradicted with Article 2.1 (a) of the original 2004 Regulation that placed the “coordination of operational cooperation between Member States in the field of management of external borders” under the aegis of Frontex (Council Regulation (EC) No 2007/2004, 2004). Hence, it </w:t>
      </w:r>
      <w:r w:rsidR="00D076CD" w:rsidRPr="00317CB4">
        <w:rPr>
          <w:lang w:val="en-GB"/>
        </w:rPr>
        <w:t xml:space="preserve">can </w:t>
      </w:r>
      <w:r w:rsidRPr="00317CB4">
        <w:rPr>
          <w:lang w:val="en-GB"/>
        </w:rPr>
        <w:t xml:space="preserve">be argued that the member states wanted less involvement of Frontex with the border management, and rather make use of their own forces to manage the borders. </w:t>
      </w:r>
      <w:r w:rsidR="00C04B35" w:rsidRPr="00317CB4">
        <w:rPr>
          <w:lang w:val="en-GB"/>
        </w:rPr>
        <w:t>Through the denied relocation key</w:t>
      </w:r>
      <w:r w:rsidRPr="00317CB4">
        <w:rPr>
          <w:lang w:val="en-GB"/>
        </w:rPr>
        <w:t xml:space="preserve">, they </w:t>
      </w:r>
      <w:r w:rsidR="00C04B35" w:rsidRPr="00317CB4">
        <w:rPr>
          <w:lang w:val="en-GB"/>
        </w:rPr>
        <w:t xml:space="preserve">also </w:t>
      </w:r>
      <w:r w:rsidRPr="00317CB4">
        <w:rPr>
          <w:lang w:val="en-GB"/>
        </w:rPr>
        <w:t>signalled to the EU institutions that border control as a mean</w:t>
      </w:r>
      <w:r w:rsidR="007D495D" w:rsidRPr="00317CB4">
        <w:rPr>
          <w:lang w:val="en-GB"/>
        </w:rPr>
        <w:t>s</w:t>
      </w:r>
      <w:r w:rsidRPr="00317CB4">
        <w:rPr>
          <w:lang w:val="en-GB"/>
        </w:rPr>
        <w:t xml:space="preserve"> of coercion would remain a core function of the member states (Niemann &amp; Zaun, 2018). The migration crisis therefore provided the potential for the member states to strengthen their hold on core state powers. At the same time, they forward</w:t>
      </w:r>
      <w:r w:rsidR="00C04B35" w:rsidRPr="00317CB4">
        <w:rPr>
          <w:lang w:val="en-GB"/>
        </w:rPr>
        <w:t>ed</w:t>
      </w:r>
      <w:r w:rsidRPr="00317CB4">
        <w:rPr>
          <w:lang w:val="en-GB"/>
        </w:rPr>
        <w:t xml:space="preserve"> this notion to Frontex by denying the agency permission to support the member states with e.g. joint return operations (Council Regulation (EC) No 2007/2004, Article 2.1 (f), 2004). Part of Frontex’ mandate was therefore suspended due to the member states’ preferences. </w:t>
      </w:r>
    </w:p>
    <w:p w14:paraId="78A5BB5A" w14:textId="1456D7A4" w:rsidR="00E95A52" w:rsidRPr="00317CB4" w:rsidRDefault="00572117" w:rsidP="00692C5E">
      <w:pPr>
        <w:spacing w:line="360" w:lineRule="auto"/>
        <w:ind w:firstLine="720"/>
        <w:rPr>
          <w:lang w:val="en-GB"/>
        </w:rPr>
      </w:pPr>
      <w:r w:rsidRPr="00317CB4">
        <w:rPr>
          <w:lang w:val="en-GB"/>
        </w:rPr>
        <w:t xml:space="preserve">In the </w:t>
      </w:r>
      <w:r w:rsidR="006A3E78" w:rsidRPr="00317CB4">
        <w:rPr>
          <w:lang w:val="en-GB"/>
        </w:rPr>
        <w:t>beginning</w:t>
      </w:r>
      <w:r w:rsidRPr="00317CB4">
        <w:rPr>
          <w:lang w:val="en-GB"/>
        </w:rPr>
        <w:t xml:space="preserve"> of the migration crisis, th</w:t>
      </w:r>
      <w:r w:rsidR="008475A6" w:rsidRPr="00317CB4">
        <w:rPr>
          <w:lang w:val="en-GB"/>
        </w:rPr>
        <w:t xml:space="preserve">e core state power dynamics around Frontex were beginning to unfold. As can be seen in this argument, </w:t>
      </w:r>
      <w:r w:rsidR="00356CA4" w:rsidRPr="00317CB4">
        <w:rPr>
          <w:lang w:val="en-GB"/>
        </w:rPr>
        <w:t xml:space="preserve">the member states denied an advancement of the institutions into this area through the denial of the relocation key. </w:t>
      </w:r>
      <w:r w:rsidR="00F36348" w:rsidRPr="00317CB4">
        <w:rPr>
          <w:lang w:val="en-GB"/>
        </w:rPr>
        <w:t>As a part of the Frontex mandate was subsequently denied,</w:t>
      </w:r>
      <w:r w:rsidR="005D077E" w:rsidRPr="00317CB4">
        <w:rPr>
          <w:lang w:val="en-GB"/>
        </w:rPr>
        <w:t xml:space="preserve"> the hold of the member states on their core state powers was confirmed</w:t>
      </w:r>
      <w:r w:rsidR="00BD5DEA" w:rsidRPr="00317CB4">
        <w:rPr>
          <w:lang w:val="en-GB"/>
        </w:rPr>
        <w:t xml:space="preserve">. Still, </w:t>
      </w:r>
      <w:r w:rsidR="00753A51" w:rsidRPr="00317CB4">
        <w:rPr>
          <w:lang w:val="en-GB"/>
        </w:rPr>
        <w:t>a full</w:t>
      </w:r>
      <w:r w:rsidR="00BD5DEA" w:rsidRPr="00317CB4">
        <w:rPr>
          <w:lang w:val="en-GB"/>
        </w:rPr>
        <w:t xml:space="preserve"> conclusion about the first expectation cannot be made just yet, </w:t>
      </w:r>
      <w:r w:rsidR="00753A51" w:rsidRPr="00317CB4">
        <w:rPr>
          <w:lang w:val="en-GB"/>
        </w:rPr>
        <w:t>only a</w:t>
      </w:r>
      <w:r w:rsidR="00753A51" w:rsidRPr="00317CB4">
        <w:rPr>
          <w:lang w:val="en-GB"/>
        </w:rPr>
        <w:t xml:space="preserve"> </w:t>
      </w:r>
      <w:r w:rsidR="00E648AC" w:rsidRPr="00317CB4">
        <w:rPr>
          <w:lang w:val="en-GB"/>
        </w:rPr>
        <w:t xml:space="preserve">partial confirmation: </w:t>
      </w:r>
      <w:r w:rsidR="004A7101" w:rsidRPr="00317CB4">
        <w:rPr>
          <w:lang w:val="en-GB"/>
        </w:rPr>
        <w:t>the member states have rejected the EU institution</w:t>
      </w:r>
      <w:r w:rsidR="007D495D" w:rsidRPr="00317CB4">
        <w:rPr>
          <w:lang w:val="en-GB"/>
        </w:rPr>
        <w:t>’</w:t>
      </w:r>
      <w:r w:rsidR="004A7101" w:rsidRPr="00317CB4">
        <w:rPr>
          <w:lang w:val="en-GB"/>
        </w:rPr>
        <w:t xml:space="preserve">s advancement into core state powers so that the member states continue to hold authority in this area. In the following sections, it will be seen whether this also means that Frontex will respond to the member states’ demands because of that. </w:t>
      </w:r>
    </w:p>
    <w:p w14:paraId="1BDF7918" w14:textId="7F940A3F" w:rsidR="007D385B" w:rsidRPr="00317CB4" w:rsidRDefault="008E533F" w:rsidP="00C46BC7">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The f</w:t>
      </w:r>
      <w:r w:rsidR="007D385B" w:rsidRPr="00317CB4">
        <w:rPr>
          <w:b/>
          <w:bCs/>
          <w:color w:val="2F5496" w:themeColor="accent1" w:themeShade="BF"/>
          <w:lang w:val="en-GB"/>
        </w:rPr>
        <w:t>ence debate</w:t>
      </w:r>
    </w:p>
    <w:p w14:paraId="67355340" w14:textId="53B91D1B" w:rsidR="007D385B" w:rsidRPr="00317CB4" w:rsidRDefault="007D385B" w:rsidP="007D385B">
      <w:pPr>
        <w:spacing w:line="360" w:lineRule="auto"/>
        <w:rPr>
          <w:lang w:val="en-GB"/>
        </w:rPr>
      </w:pPr>
      <w:r w:rsidRPr="00317CB4">
        <w:rPr>
          <w:lang w:val="en-GB"/>
        </w:rPr>
        <w:t>Parallel to the onset of the migration crisis, the idea to build fences along the external borders of the EU appeared and remained quite present throughout and after it was officially declared over. While this idea appealed more to those member states that had an external border along the primary migration routes than to those that only had internal borders, the discussions around it did not die down when the number of irregular migrants arriving in the EU was eventually reduced. In fact, there is still some recent discussion about fences: of the 1000km of fences that have been built in the past 30 years, the majority of this length has been built since 2015</w:t>
      </w:r>
      <w:r w:rsidR="00DE6AC1" w:rsidRPr="00317CB4">
        <w:rPr>
          <w:lang w:val="en-GB"/>
        </w:rPr>
        <w:t>, for instance between Poland and Belarus (</w:t>
      </w:r>
      <w:r w:rsidR="00B20B6C" w:rsidRPr="00317CB4">
        <w:rPr>
          <w:lang w:val="en-GB"/>
        </w:rPr>
        <w:t>n.a. from Zeit Online, 2022)</w:t>
      </w:r>
      <w:r w:rsidRPr="00317CB4">
        <w:rPr>
          <w:lang w:val="en-GB"/>
        </w:rPr>
        <w:t xml:space="preserve">. As a consequence, more than half of all </w:t>
      </w:r>
      <w:r w:rsidR="00A44F89" w:rsidRPr="00317CB4">
        <w:rPr>
          <w:lang w:val="en-GB"/>
        </w:rPr>
        <w:t>member states</w:t>
      </w:r>
      <w:r w:rsidRPr="00317CB4">
        <w:rPr>
          <w:lang w:val="en-GB"/>
        </w:rPr>
        <w:t xml:space="preserve"> have some form of physical barrier along their external border. With this, the proposition and erection of fences has been normalised since the migration crisis started, even though the Commission does not entirely approve of this idea (</w:t>
      </w:r>
      <w:r w:rsidR="000135F5" w:rsidRPr="00317CB4">
        <w:rPr>
          <w:lang w:val="en-GB"/>
        </w:rPr>
        <w:t xml:space="preserve">Błaszczak, 2022; </w:t>
      </w:r>
      <w:r w:rsidR="00DE1222" w:rsidRPr="00317CB4">
        <w:rPr>
          <w:lang w:val="en-GB"/>
        </w:rPr>
        <w:t>n.a.</w:t>
      </w:r>
      <w:r w:rsidR="00A21573" w:rsidRPr="00317CB4">
        <w:rPr>
          <w:lang w:val="en-GB"/>
        </w:rPr>
        <w:t xml:space="preserve"> from The Economist</w:t>
      </w:r>
      <w:r w:rsidR="00DE1222" w:rsidRPr="00317CB4">
        <w:rPr>
          <w:lang w:val="en-GB"/>
        </w:rPr>
        <w:t xml:space="preserve">, </w:t>
      </w:r>
      <w:r w:rsidRPr="00317CB4">
        <w:rPr>
          <w:lang w:val="en-GB"/>
        </w:rPr>
        <w:t>2021</w:t>
      </w:r>
      <w:r w:rsidR="000135F5" w:rsidRPr="00317CB4">
        <w:rPr>
          <w:lang w:val="en-GB"/>
        </w:rPr>
        <w:t>)</w:t>
      </w:r>
    </w:p>
    <w:p w14:paraId="03C7ADAC" w14:textId="6CEF4676" w:rsidR="007D385B" w:rsidRPr="00317CB4" w:rsidRDefault="007D385B" w:rsidP="007D385B">
      <w:pPr>
        <w:spacing w:line="360" w:lineRule="auto"/>
        <w:ind w:firstLine="720"/>
        <w:rPr>
          <w:lang w:val="en-GB"/>
        </w:rPr>
      </w:pPr>
      <w:r w:rsidRPr="00317CB4">
        <w:rPr>
          <w:lang w:val="en-GB"/>
        </w:rPr>
        <w:lastRenderedPageBreak/>
        <w:t xml:space="preserve">The notion around the </w:t>
      </w:r>
      <w:r w:rsidR="008140CB" w:rsidRPr="00317CB4">
        <w:rPr>
          <w:lang w:val="en-GB"/>
        </w:rPr>
        <w:t>‘</w:t>
      </w:r>
      <w:r w:rsidRPr="00317CB4">
        <w:rPr>
          <w:lang w:val="en-GB"/>
        </w:rPr>
        <w:t>Fortress Europe</w:t>
      </w:r>
      <w:r w:rsidR="008140CB" w:rsidRPr="00317CB4">
        <w:rPr>
          <w:lang w:val="en-GB"/>
        </w:rPr>
        <w:t>’</w:t>
      </w:r>
      <w:r w:rsidRPr="00317CB4">
        <w:rPr>
          <w:lang w:val="en-GB"/>
        </w:rPr>
        <w:t xml:space="preserve"> remains prevalent because of the fences as well, which is one of the reasons why the Commission would rather not fund the building of such barriers. Instead, it wants to promote and increase the use of Frontex even further as a more reliable way to ensure that migration can proceed in an organised way</w:t>
      </w:r>
      <w:r w:rsidR="005C5A24" w:rsidRPr="00317CB4">
        <w:rPr>
          <w:lang w:val="en-GB"/>
        </w:rPr>
        <w:t xml:space="preserve"> (Born, 2022)</w:t>
      </w:r>
      <w:r w:rsidRPr="00317CB4">
        <w:rPr>
          <w:lang w:val="en-GB"/>
        </w:rPr>
        <w:t>. Building fences is argued to make migration routes more unpredictable as they tend to divert migration streams rather than lead them in a manageable way. The Commission therefore wants to spend more money on Frontex to manage migration through a larger staff that can be sent to the necessary border area and spend more money on equipment and people to use it. Otherwise, it would be possible for migrants to irregularly arrive in the EU across random border spots, which makes it more difficult for Frontex and the member states to ensure the security of the Schengen Area (</w:t>
      </w:r>
      <w:r w:rsidR="00865977" w:rsidRPr="00317CB4">
        <w:rPr>
          <w:lang w:val="en-GB"/>
        </w:rPr>
        <w:t>Martin et al., 2023</w:t>
      </w:r>
      <w:r w:rsidRPr="00317CB4">
        <w:rPr>
          <w:lang w:val="en-GB"/>
        </w:rPr>
        <w:t xml:space="preserve">). </w:t>
      </w:r>
    </w:p>
    <w:p w14:paraId="1E5E56C9" w14:textId="0EADDF10" w:rsidR="007D385B" w:rsidRPr="00317CB4" w:rsidRDefault="007D385B" w:rsidP="007D385B">
      <w:pPr>
        <w:spacing w:line="360" w:lineRule="auto"/>
        <w:ind w:firstLine="720"/>
        <w:rPr>
          <w:lang w:val="en-GB"/>
        </w:rPr>
      </w:pPr>
      <w:r w:rsidRPr="00317CB4">
        <w:rPr>
          <w:lang w:val="en-GB"/>
        </w:rPr>
        <w:t>The sub-text of this argument relates back to the core state power dynamic. By building fences, the member states want to take the protection of their sovereign national territory into their own hands. Austria, Italy, Hungary, Poland, Latvia, Lithuania, and Greece – as the leading examples – are the most vocal states on the fence proposal. They quote this as a “necessity” for border protection (</w:t>
      </w:r>
      <w:r w:rsidR="001E3860" w:rsidRPr="00317CB4">
        <w:rPr>
          <w:lang w:val="en-GB"/>
        </w:rPr>
        <w:t>n.a.</w:t>
      </w:r>
      <w:r w:rsidRPr="00317CB4">
        <w:rPr>
          <w:lang w:val="en-GB"/>
        </w:rPr>
        <w:t xml:space="preserve">, </w:t>
      </w:r>
      <w:r w:rsidR="00195517">
        <w:rPr>
          <w:lang w:val="en-GB"/>
        </w:rPr>
        <w:t xml:space="preserve">from The Economist, </w:t>
      </w:r>
      <w:r w:rsidRPr="00317CB4">
        <w:rPr>
          <w:lang w:val="en-GB"/>
        </w:rPr>
        <w:t>2021). Italy and Greece are the countries that have been most directly affected by the migration crisis in 2015 and 2016 as they were the countries of first arrival, thus their expression to additionally rely on physical boundaries follows as a logical consequence. The other countries listed are represented by primarily centre-right or right-wing governments</w:t>
      </w:r>
      <w:r w:rsidR="00594996" w:rsidRPr="00317CB4">
        <w:rPr>
          <w:lang w:val="en-GB"/>
        </w:rPr>
        <w:t xml:space="preserve"> since their last elections</w:t>
      </w:r>
      <w:r w:rsidRPr="00317CB4">
        <w:rPr>
          <w:lang w:val="en-GB"/>
        </w:rPr>
        <w:t>, with the exception of Lithuania</w:t>
      </w:r>
      <w:r w:rsidR="00113EE4" w:rsidRPr="00317CB4">
        <w:rPr>
          <w:lang w:val="en-GB"/>
        </w:rPr>
        <w:t xml:space="preserve"> (PolitPro, 2023</w:t>
      </w:r>
      <w:r w:rsidRPr="00317CB4">
        <w:rPr>
          <w:lang w:val="en-GB"/>
        </w:rPr>
        <w:t xml:space="preserve">). Traditionally, such governments are more on the Eurosceptic side which means that they prefer to rely on their own resources to maintain the state. This includes the management of the external border and migration policies as well. They would therefore prefer to retain sovereignty </w:t>
      </w:r>
      <w:r w:rsidR="007D495D" w:rsidRPr="00317CB4">
        <w:rPr>
          <w:lang w:val="en-GB"/>
        </w:rPr>
        <w:t>over</w:t>
      </w:r>
      <w:r w:rsidR="007D495D" w:rsidRPr="00317CB4">
        <w:rPr>
          <w:lang w:val="en-GB"/>
        </w:rPr>
        <w:t xml:space="preserve"> </w:t>
      </w:r>
      <w:r w:rsidRPr="00317CB4">
        <w:rPr>
          <w:lang w:val="en-GB"/>
        </w:rPr>
        <w:t xml:space="preserve">the way in which their external borders and territories are managed with as little involvement of the EU as possible (Brack &amp; Startin, 2015). </w:t>
      </w:r>
    </w:p>
    <w:p w14:paraId="24341272" w14:textId="54FC433C" w:rsidR="007D385B" w:rsidRPr="00317CB4" w:rsidRDefault="007D385B" w:rsidP="007D385B">
      <w:pPr>
        <w:spacing w:line="360" w:lineRule="auto"/>
        <w:ind w:firstLine="720"/>
        <w:rPr>
          <w:lang w:val="en-GB"/>
        </w:rPr>
      </w:pPr>
      <w:r w:rsidRPr="00317CB4">
        <w:rPr>
          <w:lang w:val="en-GB"/>
        </w:rPr>
        <w:t xml:space="preserve">In this debate, Frontex is seen to take very few stances that definitely declare a position. Former </w:t>
      </w:r>
      <w:r w:rsidR="00785342" w:rsidRPr="00317CB4">
        <w:rPr>
          <w:lang w:val="en-GB"/>
        </w:rPr>
        <w:t xml:space="preserve">Frontex </w:t>
      </w:r>
      <w:r w:rsidRPr="00317CB4">
        <w:rPr>
          <w:lang w:val="en-GB"/>
        </w:rPr>
        <w:t>director Gil Arias is sceptic</w:t>
      </w:r>
      <w:r w:rsidR="00590559" w:rsidRPr="00317CB4">
        <w:rPr>
          <w:lang w:val="en-GB"/>
        </w:rPr>
        <w:t>al</w:t>
      </w:r>
      <w:r w:rsidRPr="00317CB4">
        <w:rPr>
          <w:lang w:val="en-GB"/>
        </w:rPr>
        <w:t xml:space="preserve"> about the idea of building fences, as he argues that migrants will still find a way around them if they truly want to, ”even at the risk of losing their life“ </w:t>
      </w:r>
      <w:r w:rsidR="00865977" w:rsidRPr="00317CB4">
        <w:rPr>
          <w:lang w:val="en-GB"/>
        </w:rPr>
        <w:t>(Martin et al., 2023</w:t>
      </w:r>
      <w:r w:rsidRPr="00317CB4">
        <w:rPr>
          <w:lang w:val="en-GB"/>
        </w:rPr>
        <w:t>). He therefore advocates the use of intelligence rather than a physical barrier, a method that is already deployed as a method by the Commission through the funding of drones, technology and surveillance equipment.</w:t>
      </w:r>
      <w:r w:rsidR="00594996" w:rsidRPr="00317CB4">
        <w:rPr>
          <w:lang w:val="en-GB"/>
        </w:rPr>
        <w:t xml:space="preserve"> </w:t>
      </w:r>
      <w:r w:rsidRPr="00317CB4">
        <w:rPr>
          <w:lang w:val="en-GB"/>
        </w:rPr>
        <w:t xml:space="preserve">This position is criticised by the member states though as they argue that the Commission is failing to provide them with truly defensive means. They would therefore prefer to find their own solution. Hence, there is a division between what at least 12 member states openly demand, and what the Commission wants to financially support. Under von der Leyen as president, the Commission is still avoiding to directly fund the building of physical barriers, and prefers to increase the funding of Frontex itself </w:t>
      </w:r>
      <w:r w:rsidR="00FA3621" w:rsidRPr="00317CB4">
        <w:rPr>
          <w:lang w:val="en-GB"/>
        </w:rPr>
        <w:t>(Rigby &amp; Crisp, 2023</w:t>
      </w:r>
      <w:r w:rsidRPr="00317CB4">
        <w:rPr>
          <w:lang w:val="en-GB"/>
        </w:rPr>
        <w:t xml:space="preserve">). In March 2023, the Commission has, in fact, proposed a set of measures that would provide the member states with a shared policy framework and </w:t>
      </w:r>
      <w:r w:rsidRPr="00317CB4">
        <w:rPr>
          <w:lang w:val="en-GB"/>
        </w:rPr>
        <w:lastRenderedPageBreak/>
        <w:t xml:space="preserve">detailed guidance on migration policy until 2027. This is to be achieved by utilising Frontex, increasing its workforce to 120,000 officers, and generally emphasising intra-EU cooperation </w:t>
      </w:r>
      <w:r w:rsidR="00E60ED4" w:rsidRPr="00317CB4">
        <w:rPr>
          <w:lang w:val="en-GB"/>
        </w:rPr>
        <w:t>(Postings, 2023</w:t>
      </w:r>
      <w:r w:rsidRPr="00317CB4">
        <w:rPr>
          <w:lang w:val="en-GB"/>
        </w:rPr>
        <w:t xml:space="preserve">). </w:t>
      </w:r>
    </w:p>
    <w:p w14:paraId="5A64FC23" w14:textId="0D6CDB39" w:rsidR="00AB6E50" w:rsidRPr="00317CB4" w:rsidRDefault="007D385B" w:rsidP="00E617A4">
      <w:pPr>
        <w:spacing w:line="360" w:lineRule="auto"/>
        <w:ind w:firstLine="720"/>
        <w:rPr>
          <w:lang w:val="en-GB"/>
        </w:rPr>
      </w:pPr>
      <w:r w:rsidRPr="00317CB4">
        <w:rPr>
          <w:lang w:val="en-GB"/>
        </w:rPr>
        <w:t xml:space="preserve">The debate surrounding the erection of fences has been ongoing since the migration crisis began and has received more attention due to the irregular migrants crossing the border from Belarus into Poland </w:t>
      </w:r>
      <w:r w:rsidR="001F3B11" w:rsidRPr="00317CB4">
        <w:rPr>
          <w:lang w:val="en-GB"/>
        </w:rPr>
        <w:t xml:space="preserve">in 2022 </w:t>
      </w:r>
      <w:r w:rsidRPr="00317CB4">
        <w:rPr>
          <w:lang w:val="en-GB"/>
        </w:rPr>
        <w:t>(</w:t>
      </w:r>
      <w:r w:rsidR="007F0291" w:rsidRPr="00317CB4">
        <w:rPr>
          <w:lang w:val="en-GB"/>
        </w:rPr>
        <w:t>Błaszczak, 2022</w:t>
      </w:r>
      <w:r w:rsidRPr="00317CB4">
        <w:rPr>
          <w:lang w:val="en-GB"/>
        </w:rPr>
        <w:t xml:space="preserve">). </w:t>
      </w:r>
      <w:r w:rsidR="00822CD6" w:rsidRPr="00317CB4">
        <w:rPr>
          <w:lang w:val="en-GB"/>
        </w:rPr>
        <w:t xml:space="preserve">Despite the heightened </w:t>
      </w:r>
      <w:r w:rsidR="00E617A4" w:rsidRPr="00317CB4">
        <w:rPr>
          <w:lang w:val="en-GB"/>
        </w:rPr>
        <w:t>level of scrutiny</w:t>
      </w:r>
      <w:r w:rsidR="00822CD6" w:rsidRPr="00317CB4">
        <w:rPr>
          <w:lang w:val="en-GB"/>
        </w:rPr>
        <w:t xml:space="preserve"> this topic has</w:t>
      </w:r>
      <w:r w:rsidR="00E617A4" w:rsidRPr="00317CB4">
        <w:rPr>
          <w:lang w:val="en-GB"/>
        </w:rPr>
        <w:t xml:space="preserve"> been subjected to</w:t>
      </w:r>
      <w:r w:rsidRPr="00317CB4">
        <w:rPr>
          <w:lang w:val="en-GB"/>
        </w:rPr>
        <w:t xml:space="preserve">, it is possible </w:t>
      </w:r>
      <w:r w:rsidR="00E617A4" w:rsidRPr="00317CB4">
        <w:rPr>
          <w:lang w:val="en-GB"/>
        </w:rPr>
        <w:t>t</w:t>
      </w:r>
      <w:r w:rsidR="007F60F5" w:rsidRPr="00317CB4">
        <w:rPr>
          <w:lang w:val="en-GB"/>
        </w:rPr>
        <w:t xml:space="preserve">o argue </w:t>
      </w:r>
      <w:r w:rsidRPr="00317CB4">
        <w:rPr>
          <w:lang w:val="en-GB"/>
        </w:rPr>
        <w:t>that Frontex is withholding taking a definite position until both audience members reach a conclusion, i.e. one of them gives in to the other. At this moment, Frontex does not have reason to side with the member states though, as the Commission is suggesting another significant increase in financial support</w:t>
      </w:r>
      <w:r w:rsidR="00660D2C" w:rsidRPr="00317CB4">
        <w:rPr>
          <w:lang w:val="en-GB"/>
        </w:rPr>
        <w:t xml:space="preserve"> for the agency</w:t>
      </w:r>
      <w:r w:rsidRPr="00317CB4">
        <w:rPr>
          <w:lang w:val="en-GB"/>
        </w:rPr>
        <w:t>. Siding with the member states to argue for the fence would therefore potentially block the funds</w:t>
      </w:r>
      <w:r w:rsidR="008A202E" w:rsidRPr="00317CB4">
        <w:rPr>
          <w:lang w:val="en-GB"/>
        </w:rPr>
        <w:t>.</w:t>
      </w:r>
      <w:r w:rsidR="00143202" w:rsidRPr="00317CB4">
        <w:rPr>
          <w:lang w:val="en-GB"/>
        </w:rPr>
        <w:t xml:space="preserve"> Supporting the member states in</w:t>
      </w:r>
      <w:r w:rsidRPr="00317CB4">
        <w:rPr>
          <w:lang w:val="en-GB"/>
        </w:rPr>
        <w:t xml:space="preserve"> building a fence </w:t>
      </w:r>
      <w:r w:rsidR="00660D2C" w:rsidRPr="00317CB4">
        <w:rPr>
          <w:lang w:val="en-GB"/>
        </w:rPr>
        <w:t>might also make</w:t>
      </w:r>
      <w:r w:rsidRPr="00317CB4">
        <w:rPr>
          <w:lang w:val="en-GB"/>
        </w:rPr>
        <w:t xml:space="preserve"> the use of a border protection service obsolete because the border will already be protected otherwise. Frontex’ function would then be reduced to administrative tasks and less hands-on. In this debate over core state power between Commission and member states, and the dynamics at play, Frontex is thus a rather neutral player with currently more tendencies to side with the Commission.</w:t>
      </w:r>
      <w:r w:rsidR="00660D2C" w:rsidRPr="00317CB4">
        <w:rPr>
          <w:lang w:val="en-GB"/>
        </w:rPr>
        <w:t xml:space="preserve"> This is additionally suggested by the statement made by</w:t>
      </w:r>
      <w:r w:rsidR="00AB6E50" w:rsidRPr="00317CB4">
        <w:rPr>
          <w:lang w:val="en-GB"/>
        </w:rPr>
        <w:t xml:space="preserve"> Gil Arias and </w:t>
      </w:r>
      <w:r w:rsidRPr="00317CB4">
        <w:rPr>
          <w:lang w:val="en-GB"/>
        </w:rPr>
        <w:t>in part also confirmed by the answers that Frontex provided via the questionnaire:</w:t>
      </w:r>
      <w:r w:rsidR="00997965" w:rsidRPr="00317CB4">
        <w:rPr>
          <w:lang w:val="en-GB"/>
        </w:rPr>
        <w:t xml:space="preserve"> </w:t>
      </w:r>
    </w:p>
    <w:p w14:paraId="4011B413" w14:textId="77777777" w:rsidR="00AB6E50" w:rsidRPr="00317CB4" w:rsidRDefault="00997965" w:rsidP="00E617A4">
      <w:pPr>
        <w:spacing w:line="360" w:lineRule="auto"/>
        <w:ind w:firstLine="720"/>
        <w:rPr>
          <w:lang w:val="en-GB"/>
        </w:rPr>
      </w:pPr>
      <w:r w:rsidRPr="00317CB4">
        <w:rPr>
          <w:lang w:val="en-GB"/>
        </w:rPr>
        <w:t>“</w:t>
      </w:r>
      <w:r w:rsidRPr="00317CB4">
        <w:rPr>
          <w:i/>
          <w:iCs/>
          <w:lang w:val="en-GB"/>
        </w:rPr>
        <w:t xml:space="preserve">Frontex is the largest and the fastest growing EU agency. One of the reasons behind the expansion of its competences is the recognition on the European level of the need to have an independent EU body to monitor and coordinate situation at the EU’s external borders.” </w:t>
      </w:r>
      <w:r w:rsidR="007D385B" w:rsidRPr="00317CB4">
        <w:rPr>
          <w:lang w:val="en-GB"/>
        </w:rPr>
        <w:t xml:space="preserve"> (Appendix </w:t>
      </w:r>
      <w:r w:rsidR="00D733D3" w:rsidRPr="00317CB4">
        <w:rPr>
          <w:lang w:val="en-GB"/>
        </w:rPr>
        <w:t>1</w:t>
      </w:r>
      <w:r w:rsidR="007D385B" w:rsidRPr="00317CB4">
        <w:rPr>
          <w:lang w:val="en-GB"/>
        </w:rPr>
        <w:t xml:space="preserve">, Question </w:t>
      </w:r>
      <w:r w:rsidR="003B7C5A" w:rsidRPr="00317CB4">
        <w:rPr>
          <w:lang w:val="en-GB"/>
        </w:rPr>
        <w:t>5</w:t>
      </w:r>
      <w:r w:rsidR="007D385B" w:rsidRPr="00317CB4">
        <w:rPr>
          <w:lang w:val="en-GB"/>
        </w:rPr>
        <w:t xml:space="preserve">). </w:t>
      </w:r>
    </w:p>
    <w:p w14:paraId="7CB46671" w14:textId="56A62CCE" w:rsidR="007D385B" w:rsidRPr="00317CB4" w:rsidRDefault="007D385B" w:rsidP="00C67BE3">
      <w:pPr>
        <w:spacing w:line="360" w:lineRule="auto"/>
        <w:rPr>
          <w:lang w:val="en-GB"/>
        </w:rPr>
      </w:pPr>
      <w:r w:rsidRPr="00317CB4">
        <w:rPr>
          <w:lang w:val="en-GB"/>
        </w:rPr>
        <w:t xml:space="preserve">The answers given often refer to the agency’s legal basis and it is stressed that requests from both audience members are treated in the same way, even though they communicate different objectives. Despite these answers not being directly targeted at the topic of whether or not Frontex supports the building of fences around the Schengen Area, it is unlikely that such a question would have received a different answer. It supports the notion though that in a matter of high political saliency, such as building a fence, Frontex will refer to and work in accordance with its legal basis, which implies preferred compliance with the Commission. </w:t>
      </w:r>
    </w:p>
    <w:p w14:paraId="2FCB04BF" w14:textId="4FDD455A" w:rsidR="007D385B" w:rsidRPr="00317CB4" w:rsidRDefault="007D385B" w:rsidP="007D385B">
      <w:pPr>
        <w:spacing w:line="360" w:lineRule="auto"/>
        <w:ind w:firstLine="720"/>
        <w:rPr>
          <w:lang w:val="en-GB"/>
        </w:rPr>
      </w:pPr>
      <w:r w:rsidRPr="00317CB4">
        <w:rPr>
          <w:lang w:val="en-GB"/>
        </w:rPr>
        <w:t xml:space="preserve">This argument shows that when the saliency of an issue increases, Frontex </w:t>
      </w:r>
      <w:r w:rsidR="00275545" w:rsidRPr="00317CB4">
        <w:rPr>
          <w:lang w:val="en-GB"/>
        </w:rPr>
        <w:t>abstains from taking a</w:t>
      </w:r>
      <w:r w:rsidRPr="00317CB4">
        <w:rPr>
          <w:lang w:val="en-GB"/>
        </w:rPr>
        <w:t xml:space="preserve"> definite side. Declaring for one side not only has the potential to block funds, but in this specific scenario also the potential to reduce the area in which action is possible for the agency. Should a fence be built, then this physical barrier would possibly replace some of the work that the border protection forces are carrying out. Frontex would therefore be at risk to make its own task obsolete. Overall, it would be necessary to see how this debate plays out to draw a definite conclusion on the position that Frontex will take. The question of who maintains their hold on core state powers and would direct Frontex’ action in the “build-a-fence” debate is thus not yet answerable. </w:t>
      </w:r>
    </w:p>
    <w:p w14:paraId="6D160328" w14:textId="264CEFFF" w:rsidR="00383C0B" w:rsidRPr="00317CB4" w:rsidRDefault="00AC7FF2" w:rsidP="007D385B">
      <w:pPr>
        <w:spacing w:line="360" w:lineRule="auto"/>
        <w:ind w:firstLine="720"/>
        <w:rPr>
          <w:lang w:val="en-GB"/>
        </w:rPr>
      </w:pPr>
      <w:r w:rsidRPr="00317CB4">
        <w:rPr>
          <w:lang w:val="en-GB"/>
        </w:rPr>
        <w:lastRenderedPageBreak/>
        <w:t>T</w:t>
      </w:r>
      <w:r w:rsidR="008D193D" w:rsidRPr="00317CB4">
        <w:rPr>
          <w:lang w:val="en-GB"/>
        </w:rPr>
        <w:t>h</w:t>
      </w:r>
      <w:r w:rsidRPr="00317CB4">
        <w:rPr>
          <w:lang w:val="en-GB"/>
        </w:rPr>
        <w:t xml:space="preserve">e debate around fences can provide insights into answers to two of the previously stated expectations, expectations </w:t>
      </w:r>
      <w:r w:rsidR="00076039" w:rsidRPr="00317CB4">
        <w:rPr>
          <w:lang w:val="en-GB"/>
        </w:rPr>
        <w:t>1</w:t>
      </w:r>
      <w:r w:rsidRPr="00317CB4">
        <w:rPr>
          <w:lang w:val="en-GB"/>
        </w:rPr>
        <w:t xml:space="preserve"> and 4. </w:t>
      </w:r>
      <w:r w:rsidR="00076039" w:rsidRPr="00317CB4">
        <w:rPr>
          <w:lang w:val="en-GB"/>
        </w:rPr>
        <w:t xml:space="preserve">Regarding </w:t>
      </w:r>
      <w:r w:rsidR="00286C66" w:rsidRPr="00317CB4">
        <w:rPr>
          <w:lang w:val="en-GB"/>
        </w:rPr>
        <w:t>the first expectation</w:t>
      </w:r>
      <w:r w:rsidR="00076039" w:rsidRPr="00317CB4">
        <w:rPr>
          <w:lang w:val="en-GB"/>
        </w:rPr>
        <w:t xml:space="preserve">, Frontex was assumed to respond to the member states’ demands as long as they hold on to core state powers. </w:t>
      </w:r>
      <w:r w:rsidR="00B92EB9" w:rsidRPr="00317CB4">
        <w:rPr>
          <w:lang w:val="en-GB"/>
        </w:rPr>
        <w:t xml:space="preserve">Because in some member states, fences have been built, it can be argued that they </w:t>
      </w:r>
      <w:r w:rsidR="008830A9" w:rsidRPr="00317CB4">
        <w:rPr>
          <w:lang w:val="en-GB"/>
        </w:rPr>
        <w:t xml:space="preserve">have indeed managed to </w:t>
      </w:r>
      <w:r w:rsidR="00AA2F80" w:rsidRPr="00317CB4">
        <w:rPr>
          <w:lang w:val="en-GB"/>
        </w:rPr>
        <w:t xml:space="preserve">oppose the Commission’s preferences and </w:t>
      </w:r>
      <w:r w:rsidR="002D6A24" w:rsidRPr="00317CB4">
        <w:rPr>
          <w:lang w:val="en-GB"/>
        </w:rPr>
        <w:t xml:space="preserve">build the fences without institutional financial support, and thus </w:t>
      </w:r>
      <w:r w:rsidR="006047AD" w:rsidRPr="00317CB4">
        <w:rPr>
          <w:lang w:val="en-GB"/>
        </w:rPr>
        <w:t>the hold on core state powers has been fastened in those member states. Considering that the Commission is holding a budget increase in front of Frontex’ nose</w:t>
      </w:r>
      <w:r w:rsidR="00376301" w:rsidRPr="00317CB4">
        <w:rPr>
          <w:lang w:val="en-GB"/>
        </w:rPr>
        <w:t xml:space="preserve"> and the stress that building fences would be a violation of human rights</w:t>
      </w:r>
      <w:r w:rsidR="00674AFB" w:rsidRPr="00317CB4">
        <w:rPr>
          <w:lang w:val="en-GB"/>
        </w:rPr>
        <w:t xml:space="preserve"> (Born, 2022)</w:t>
      </w:r>
      <w:r w:rsidR="00376301" w:rsidRPr="00317CB4">
        <w:rPr>
          <w:lang w:val="en-GB"/>
        </w:rPr>
        <w:t xml:space="preserve">, the Commission is actively preventing Frontex to support </w:t>
      </w:r>
      <w:r w:rsidR="004E17A4" w:rsidRPr="00317CB4">
        <w:rPr>
          <w:lang w:val="en-GB"/>
        </w:rPr>
        <w:t>these member states, despite the</w:t>
      </w:r>
      <w:r w:rsidR="00D521AE" w:rsidRPr="00317CB4">
        <w:rPr>
          <w:lang w:val="en-GB"/>
        </w:rPr>
        <w:t>ir</w:t>
      </w:r>
      <w:r w:rsidR="004E17A4" w:rsidRPr="00317CB4">
        <w:rPr>
          <w:lang w:val="en-GB"/>
        </w:rPr>
        <w:t xml:space="preserve"> hold on core state powers. Especially since the new executive director Leitjens came into office, the focus on compliance with human rights and adherence to the </w:t>
      </w:r>
      <w:r w:rsidR="007574E0" w:rsidRPr="00317CB4">
        <w:rPr>
          <w:lang w:val="en-GB"/>
        </w:rPr>
        <w:t xml:space="preserve">agency’s legal base have been pushed into </w:t>
      </w:r>
      <w:r w:rsidR="00EC562F" w:rsidRPr="00317CB4">
        <w:rPr>
          <w:lang w:val="en-GB"/>
        </w:rPr>
        <w:t>focus</w:t>
      </w:r>
      <w:r w:rsidR="00A41E41" w:rsidRPr="00317CB4">
        <w:rPr>
          <w:lang w:val="en-GB"/>
        </w:rPr>
        <w:t xml:space="preserve"> (Corall, 2023)</w:t>
      </w:r>
      <w:r w:rsidR="00EC562F" w:rsidRPr="00317CB4">
        <w:rPr>
          <w:lang w:val="en-GB"/>
        </w:rPr>
        <w:t xml:space="preserve">. This further supports the notion that in this debate, the hold on core state powers does not matter as much as assumed. </w:t>
      </w:r>
      <w:r w:rsidR="00A32D74" w:rsidRPr="00317CB4">
        <w:rPr>
          <w:lang w:val="en-GB"/>
        </w:rPr>
        <w:t>So</w:t>
      </w:r>
      <w:r w:rsidR="00A32D74" w:rsidRPr="00317CB4">
        <w:rPr>
          <w:lang w:val="en-GB"/>
        </w:rPr>
        <w:t xml:space="preserve"> </w:t>
      </w:r>
      <w:r w:rsidR="00EC562F" w:rsidRPr="00317CB4">
        <w:rPr>
          <w:lang w:val="en-GB"/>
        </w:rPr>
        <w:t xml:space="preserve">far, Frontex is therefore seen to </w:t>
      </w:r>
      <w:r w:rsidR="00B531D8" w:rsidRPr="00317CB4">
        <w:rPr>
          <w:lang w:val="en-GB"/>
        </w:rPr>
        <w:t xml:space="preserve">indicate a </w:t>
      </w:r>
      <w:r w:rsidR="008967DE" w:rsidRPr="00317CB4">
        <w:rPr>
          <w:lang w:val="en-GB"/>
        </w:rPr>
        <w:t xml:space="preserve">slight </w:t>
      </w:r>
      <w:r w:rsidR="00B531D8" w:rsidRPr="00317CB4">
        <w:rPr>
          <w:lang w:val="en-GB"/>
        </w:rPr>
        <w:t xml:space="preserve">preference with the Commission, </w:t>
      </w:r>
      <w:r w:rsidR="008967DE" w:rsidRPr="00317CB4">
        <w:rPr>
          <w:lang w:val="en-GB"/>
        </w:rPr>
        <w:t>based on</w:t>
      </w:r>
      <w:r w:rsidR="00E241A9" w:rsidRPr="00317CB4">
        <w:rPr>
          <w:lang w:val="en-GB"/>
        </w:rPr>
        <w:t xml:space="preserve"> the focus on its legal basis. </w:t>
      </w:r>
      <w:r w:rsidR="00C73A0C" w:rsidRPr="00317CB4">
        <w:rPr>
          <w:lang w:val="en-GB"/>
        </w:rPr>
        <w:t xml:space="preserve">The first expectation can therefore not be confirmed. </w:t>
      </w:r>
    </w:p>
    <w:p w14:paraId="587B44E2" w14:textId="60D8BFF2" w:rsidR="00034372" w:rsidRPr="00317CB4" w:rsidRDefault="00076039" w:rsidP="00692C5E">
      <w:pPr>
        <w:spacing w:line="360" w:lineRule="auto"/>
        <w:ind w:firstLine="720"/>
        <w:rPr>
          <w:lang w:val="en-GB"/>
        </w:rPr>
      </w:pPr>
      <w:r w:rsidRPr="00317CB4">
        <w:rPr>
          <w:lang w:val="en-GB"/>
        </w:rPr>
        <w:t xml:space="preserve"> </w:t>
      </w:r>
      <w:r w:rsidR="00FB01AE" w:rsidRPr="00317CB4">
        <w:rPr>
          <w:lang w:val="en-GB"/>
        </w:rPr>
        <w:t xml:space="preserve">With regards to the fourth expectation, </w:t>
      </w:r>
      <w:r w:rsidR="007F1778" w:rsidRPr="00317CB4">
        <w:rPr>
          <w:lang w:val="en-GB"/>
        </w:rPr>
        <w:t>a similar conclusion can be reached, i.e. that Frontex would side with the Commission. However, that is the opposite of what has been expected</w:t>
      </w:r>
      <w:r w:rsidR="00CC1035" w:rsidRPr="00317CB4">
        <w:rPr>
          <w:lang w:val="en-GB"/>
        </w:rPr>
        <w:t xml:space="preserve">: it was hypothesised that rather in low-saliency issues, Frontex would follow the demands of the Commission </w:t>
      </w:r>
      <w:r w:rsidR="00E95BAC" w:rsidRPr="00317CB4">
        <w:rPr>
          <w:lang w:val="en-GB"/>
        </w:rPr>
        <w:t xml:space="preserve">while high-saliency issues would result in following the demands made by the member states. </w:t>
      </w:r>
      <w:r w:rsidR="000D3FBA" w:rsidRPr="00317CB4">
        <w:rPr>
          <w:lang w:val="en-GB"/>
        </w:rPr>
        <w:t xml:space="preserve">The frequency with which it was debated whether or not a fence should be built along the EU’s external border has seen an increase, regardless of the denial of the proposal by the Commission. Hence, why this is a high saliency issue. </w:t>
      </w:r>
      <w:r w:rsidR="003069C8" w:rsidRPr="00317CB4">
        <w:rPr>
          <w:lang w:val="en-GB"/>
        </w:rPr>
        <w:t>Following the Commission’s denial,</w:t>
      </w:r>
      <w:r w:rsidR="00F06590" w:rsidRPr="00317CB4">
        <w:rPr>
          <w:lang w:val="en-GB"/>
        </w:rPr>
        <w:t xml:space="preserve"> an action plan</w:t>
      </w:r>
      <w:r w:rsidR="003069C8" w:rsidRPr="00317CB4">
        <w:rPr>
          <w:lang w:val="en-GB"/>
        </w:rPr>
        <w:t xml:space="preserve"> has been presented</w:t>
      </w:r>
      <w:r w:rsidR="00F06590" w:rsidRPr="00317CB4">
        <w:rPr>
          <w:lang w:val="en-GB"/>
        </w:rPr>
        <w:t xml:space="preserve"> </w:t>
      </w:r>
      <w:r w:rsidR="00DF07AD" w:rsidRPr="00317CB4">
        <w:rPr>
          <w:lang w:val="en-GB"/>
        </w:rPr>
        <w:t xml:space="preserve">which places focus on making active use of Frontex </w:t>
      </w:r>
      <w:r w:rsidR="00F06590" w:rsidRPr="00317CB4">
        <w:rPr>
          <w:lang w:val="en-GB"/>
        </w:rPr>
        <w:t>(</w:t>
      </w:r>
      <w:r w:rsidR="00E60ED4" w:rsidRPr="00317CB4">
        <w:rPr>
          <w:lang w:val="en-GB"/>
        </w:rPr>
        <w:t>Postings, 2023</w:t>
      </w:r>
      <w:r w:rsidR="00F06590" w:rsidRPr="00317CB4">
        <w:rPr>
          <w:lang w:val="en-GB"/>
        </w:rPr>
        <w:t xml:space="preserve">). </w:t>
      </w:r>
      <w:r w:rsidR="00DF07AD" w:rsidRPr="00317CB4">
        <w:rPr>
          <w:lang w:val="en-GB"/>
        </w:rPr>
        <w:t xml:space="preserve">This thus provides an incentive for Frontex to follow the institutional demands </w:t>
      </w:r>
      <w:r w:rsidR="00D628BB" w:rsidRPr="00317CB4">
        <w:rPr>
          <w:lang w:val="en-GB"/>
        </w:rPr>
        <w:t xml:space="preserve">and continue to send their forces to areas in which support is needed rather than supporting the </w:t>
      </w:r>
      <w:r w:rsidR="00E95A52" w:rsidRPr="00317CB4">
        <w:rPr>
          <w:lang w:val="en-GB"/>
        </w:rPr>
        <w:t xml:space="preserve">construction of physical barriers that would make the work of Frontex obsolete. </w:t>
      </w:r>
    </w:p>
    <w:p w14:paraId="4BB2A8DE" w14:textId="2F773021" w:rsidR="007D385B" w:rsidRPr="00317CB4" w:rsidRDefault="00E20F3D" w:rsidP="00B00714">
      <w:pPr>
        <w:pStyle w:val="ListParagraph"/>
        <w:numPr>
          <w:ilvl w:val="1"/>
          <w:numId w:val="16"/>
        </w:numPr>
        <w:spacing w:line="360" w:lineRule="auto"/>
        <w:rPr>
          <w:b/>
          <w:bCs/>
          <w:color w:val="2F5496" w:themeColor="accent1" w:themeShade="BF"/>
          <w:lang w:val="en-GB"/>
        </w:rPr>
      </w:pPr>
      <w:bookmarkStart w:id="4" w:name="_Hlk137815186"/>
      <w:r w:rsidRPr="00317CB4">
        <w:rPr>
          <w:b/>
          <w:bCs/>
          <w:color w:val="2F5496" w:themeColor="accent1" w:themeShade="BF"/>
          <w:lang w:val="en-GB"/>
        </w:rPr>
        <w:t xml:space="preserve">The </w:t>
      </w:r>
      <w:r w:rsidR="007D385B" w:rsidRPr="00317CB4">
        <w:rPr>
          <w:b/>
          <w:bCs/>
          <w:color w:val="2F5496" w:themeColor="accent1" w:themeShade="BF"/>
          <w:lang w:val="en-GB"/>
        </w:rPr>
        <w:t>2016 debate about the new Frontex regulation</w:t>
      </w:r>
    </w:p>
    <w:bookmarkEnd w:id="4"/>
    <w:p w14:paraId="20052032" w14:textId="089A0D3B" w:rsidR="007D385B" w:rsidRPr="00317CB4" w:rsidRDefault="007D385B" w:rsidP="007D385B">
      <w:pPr>
        <w:spacing w:line="360" w:lineRule="auto"/>
        <w:rPr>
          <w:lang w:val="en-GB"/>
        </w:rPr>
      </w:pPr>
      <w:r w:rsidRPr="00317CB4">
        <w:rPr>
          <w:lang w:val="en-GB"/>
        </w:rPr>
        <w:t>The discussions about the strengthening of Frontex were already well underway as the migration crisis had hit its peak in September 2015</w:t>
      </w:r>
      <w:r w:rsidR="00E74B7E" w:rsidRPr="00317CB4">
        <w:rPr>
          <w:lang w:val="en-GB"/>
        </w:rPr>
        <w:t xml:space="preserve">, but they </w:t>
      </w:r>
      <w:r w:rsidR="004C2D60" w:rsidRPr="00317CB4">
        <w:rPr>
          <w:lang w:val="en-GB"/>
        </w:rPr>
        <w:t>increased in urgency as the crisis progressed</w:t>
      </w:r>
      <w:r w:rsidRPr="00317CB4">
        <w:rPr>
          <w:lang w:val="en-GB"/>
        </w:rPr>
        <w:t>. Germany &amp; France, as well as Italy supported the planned strengthening of Frontex, while Greece stressed that the new plans have to be in accordance with Articles 72 &amp; 79 TEU,  which prioritises each member state’s sovereign interests with regard to defending its security and the immigration issue. Sweden was predicted to reject the proposal of the EU Commission with the argument that border control is the competence of the member states. To this, Austrian MEP Angelika Mlinar said, “I’m convinced at this time that member states have to transfer some responsibility to the EU level in order to increase the security of citizens.” Dimitris Avramopoulos, the EU justice and home affairs commissioner</w:t>
      </w:r>
      <w:r w:rsidR="00A32D74" w:rsidRPr="00317CB4">
        <w:rPr>
          <w:lang w:val="en-GB"/>
        </w:rPr>
        <w:t xml:space="preserve"> at the time</w:t>
      </w:r>
      <w:r w:rsidRPr="00317CB4">
        <w:rPr>
          <w:lang w:val="en-GB"/>
        </w:rPr>
        <w:t xml:space="preserve">, </w:t>
      </w:r>
      <w:r w:rsidRPr="00317CB4">
        <w:rPr>
          <w:lang w:val="en-GB"/>
        </w:rPr>
        <w:lastRenderedPageBreak/>
        <w:t>defended the proposal, saying the new agency goes “beyond Frontex but we don’t replace member states’ responsibilities and definitely not their sovereignt</w:t>
      </w:r>
      <w:r w:rsidR="00E0324C" w:rsidRPr="00317CB4">
        <w:rPr>
          <w:lang w:val="en-GB"/>
        </w:rPr>
        <w:t>y</w:t>
      </w:r>
      <w:r w:rsidRPr="00317CB4">
        <w:rPr>
          <w:lang w:val="en-GB"/>
        </w:rPr>
        <w:t>” (</w:t>
      </w:r>
      <w:r w:rsidR="00E0324C" w:rsidRPr="00317CB4">
        <w:rPr>
          <w:lang w:val="en-GB"/>
        </w:rPr>
        <w:t>De la Baume, 2015</w:t>
      </w:r>
      <w:r w:rsidRPr="00317CB4">
        <w:rPr>
          <w:lang w:val="en-GB"/>
        </w:rPr>
        <w:t xml:space="preserve">). There was thus plenty of disagreement between the member states about what the new regulation was allowed to include and where to cap the attribution of new competences for Frontex. Sweden for instance was set on maintaining a firm grip on its core state powers. </w:t>
      </w:r>
    </w:p>
    <w:p w14:paraId="7FB0E5F1" w14:textId="771A0251" w:rsidR="007D385B" w:rsidRPr="00317CB4" w:rsidRDefault="007D385B" w:rsidP="007D385B">
      <w:pPr>
        <w:spacing w:line="360" w:lineRule="auto"/>
        <w:rPr>
          <w:lang w:val="en-GB"/>
        </w:rPr>
      </w:pPr>
      <w:r w:rsidRPr="00317CB4">
        <w:rPr>
          <w:lang w:val="en-GB"/>
        </w:rPr>
        <w:tab/>
        <w:t>In answer to the sovereignty concerns expressed by Greece, Sweden, and Poland, Frontex director Fabrice Leggeri said that “sovereignty is not at stake” the proposal would include checks and balances to avoid stepping on national powers. To foster support from Greece, Leggeri mapped out action plans for support along the external border there to show what Frontex can do to support Greek forces in the Aegean Sea with Rapid Border Intervention Teams (Rabits) (</w:t>
      </w:r>
      <w:r w:rsidR="00F07BD4" w:rsidRPr="00317CB4">
        <w:rPr>
          <w:lang w:val="en-GB"/>
        </w:rPr>
        <w:t>Barigazzi, 2015</w:t>
      </w:r>
      <w:r w:rsidR="00CE3A99" w:rsidRPr="00317CB4">
        <w:rPr>
          <w:lang w:val="en-GB"/>
        </w:rPr>
        <w:t xml:space="preserve">; Caligiuri, </w:t>
      </w:r>
      <w:r w:rsidR="00EC007F" w:rsidRPr="00317CB4">
        <w:rPr>
          <w:lang w:val="en-GB"/>
        </w:rPr>
        <w:t>2022</w:t>
      </w:r>
      <w:r w:rsidRPr="00317CB4">
        <w:rPr>
          <w:lang w:val="en-GB"/>
        </w:rPr>
        <w:t xml:space="preserve">). This shows that when new regulation is proposed, Frontex will argue for its implementation and therefore take the side of the Commission in a debate. This is only natural since major benefits would come from the new regulation through increased financial &amp; human resources. Open opposition to such a proposal and siding with the </w:t>
      </w:r>
      <w:r w:rsidR="00D64EEE" w:rsidRPr="00317CB4">
        <w:rPr>
          <w:lang w:val="en-GB"/>
        </w:rPr>
        <w:t>diverging preferences of the</w:t>
      </w:r>
      <w:r w:rsidRPr="00317CB4">
        <w:rPr>
          <w:lang w:val="en-GB"/>
        </w:rPr>
        <w:t xml:space="preserve"> member states instead of the Commission would therefore pose too much of a risk</w:t>
      </w:r>
      <w:r w:rsidR="00407C51" w:rsidRPr="00317CB4">
        <w:rPr>
          <w:lang w:val="en-GB"/>
        </w:rPr>
        <w:t xml:space="preserve">. </w:t>
      </w:r>
      <w:r w:rsidRPr="00317CB4">
        <w:rPr>
          <w:lang w:val="en-GB"/>
        </w:rPr>
        <w:t>The statement made by Leggeri worked to soothe the member states though. While Frontex wants the new regulation to increase their own functional capacity and thus has to side with the Commission, antagonising the member states is not in Frontex’ interest either. The agency tried to convince the hesita</w:t>
      </w:r>
      <w:r w:rsidR="00EF4C6D" w:rsidRPr="00317CB4">
        <w:rPr>
          <w:lang w:val="en-GB"/>
        </w:rPr>
        <w:t>nt</w:t>
      </w:r>
      <w:r w:rsidRPr="00317CB4">
        <w:rPr>
          <w:lang w:val="en-GB"/>
        </w:rPr>
        <w:t xml:space="preserve"> member states like Greece that the expansion of the mandate was a good thing and that mutual benefits would come from it</w:t>
      </w:r>
      <w:r w:rsidR="00621959" w:rsidRPr="00317CB4">
        <w:rPr>
          <w:lang w:val="en-GB"/>
        </w:rPr>
        <w:t xml:space="preserve"> (Barigazzi, 2015; De la Baume, 2015; </w:t>
      </w:r>
      <w:r w:rsidR="006D5CC8" w:rsidRPr="00317CB4">
        <w:rPr>
          <w:lang w:val="en-GB"/>
        </w:rPr>
        <w:t>Fjørtoft, 2022)</w:t>
      </w:r>
      <w:r w:rsidRPr="00317CB4">
        <w:rPr>
          <w:lang w:val="en-GB"/>
        </w:rPr>
        <w:t xml:space="preserve">. Frontex thus tried to let action speak to showcase how effective the support of the agency along the external border can be, but also tried to show at the same time that it would not interfere with national sovereignty. </w:t>
      </w:r>
      <w:r w:rsidR="001C2924" w:rsidRPr="00317CB4">
        <w:rPr>
          <w:lang w:val="en-GB"/>
        </w:rPr>
        <w:t xml:space="preserve">In this process, Frontex </w:t>
      </w:r>
      <w:r w:rsidR="003B6BF1" w:rsidRPr="00317CB4">
        <w:rPr>
          <w:lang w:val="en-GB"/>
        </w:rPr>
        <w:t>sided</w:t>
      </w:r>
      <w:r w:rsidR="003F5857" w:rsidRPr="00317CB4">
        <w:rPr>
          <w:lang w:val="en-GB"/>
        </w:rPr>
        <w:t xml:space="preserve"> with the Commission to see the implementation of the regulation happen, but also indicated that it would subject itself to the member states’ authority for that same reason</w:t>
      </w:r>
      <w:r w:rsidR="00306E49" w:rsidRPr="00317CB4">
        <w:rPr>
          <w:lang w:val="en-GB"/>
        </w:rPr>
        <w:t xml:space="preserve"> (Caligiuri, 2022)</w:t>
      </w:r>
      <w:r w:rsidR="00A84327" w:rsidRPr="00317CB4">
        <w:rPr>
          <w:lang w:val="en-GB"/>
        </w:rPr>
        <w:t xml:space="preserve">. </w:t>
      </w:r>
    </w:p>
    <w:p w14:paraId="1DB42B04" w14:textId="7C1363AB" w:rsidR="007B0AB1" w:rsidRPr="00317CB4" w:rsidRDefault="007D385B" w:rsidP="007D385B">
      <w:pPr>
        <w:spacing w:line="360" w:lineRule="auto"/>
        <w:rPr>
          <w:lang w:val="en-GB"/>
        </w:rPr>
      </w:pPr>
      <w:r w:rsidRPr="00317CB4">
        <w:rPr>
          <w:lang w:val="en-GB"/>
        </w:rPr>
        <w:tab/>
        <w:t xml:space="preserve">The </w:t>
      </w:r>
      <w:r w:rsidR="0056000B" w:rsidRPr="00317CB4">
        <w:rPr>
          <w:lang w:val="en-GB"/>
        </w:rPr>
        <w:t xml:space="preserve">first </w:t>
      </w:r>
      <w:r w:rsidRPr="00317CB4">
        <w:rPr>
          <w:lang w:val="en-GB"/>
        </w:rPr>
        <w:t>expectation was that Frontex is more likely to respond to the member states’ demands if the</w:t>
      </w:r>
      <w:r w:rsidR="00FD0305" w:rsidRPr="00317CB4">
        <w:rPr>
          <w:lang w:val="en-GB"/>
        </w:rPr>
        <w:t>y maintain their authority in core state powers, but side with the institutions if the core state powers are transferred to the supranational side.</w:t>
      </w:r>
      <w:r w:rsidRPr="00317CB4">
        <w:rPr>
          <w:lang w:val="en-GB"/>
        </w:rPr>
        <w:t xml:space="preserve"> Based on the illustration above, the expectation </w:t>
      </w:r>
      <w:r w:rsidR="004A003E" w:rsidRPr="00317CB4">
        <w:rPr>
          <w:lang w:val="en-GB"/>
        </w:rPr>
        <w:t xml:space="preserve">indirectly </w:t>
      </w:r>
      <w:r w:rsidRPr="00317CB4">
        <w:rPr>
          <w:lang w:val="en-GB"/>
        </w:rPr>
        <w:t>appl</w:t>
      </w:r>
      <w:r w:rsidR="00DB2AE7" w:rsidRPr="00317CB4">
        <w:rPr>
          <w:lang w:val="en-GB"/>
        </w:rPr>
        <w:t>ies</w:t>
      </w:r>
      <w:r w:rsidRPr="00317CB4">
        <w:rPr>
          <w:lang w:val="en-GB"/>
        </w:rPr>
        <w:t xml:space="preserve"> when the 2016 </w:t>
      </w:r>
      <w:r w:rsidR="00F973C7" w:rsidRPr="00317CB4">
        <w:rPr>
          <w:lang w:val="en-GB"/>
        </w:rPr>
        <w:t>R</w:t>
      </w:r>
      <w:r w:rsidRPr="00317CB4">
        <w:rPr>
          <w:lang w:val="en-GB"/>
        </w:rPr>
        <w:t xml:space="preserve">egulation was discussed back in 2015. </w:t>
      </w:r>
      <w:r w:rsidR="00E106F6" w:rsidRPr="00317CB4">
        <w:rPr>
          <w:lang w:val="en-GB"/>
        </w:rPr>
        <w:t>The proposed regulation did include a certain transfer of capacity in core state powers to the institutions,</w:t>
      </w:r>
      <w:r w:rsidR="007D3925" w:rsidRPr="00317CB4">
        <w:rPr>
          <w:lang w:val="en-GB"/>
        </w:rPr>
        <w:t xml:space="preserve"> </w:t>
      </w:r>
      <w:r w:rsidR="00230EFD" w:rsidRPr="00317CB4">
        <w:rPr>
          <w:lang w:val="en-GB"/>
        </w:rPr>
        <w:t xml:space="preserve">but the majority </w:t>
      </w:r>
      <w:r w:rsidR="00DB2AE7" w:rsidRPr="00317CB4">
        <w:rPr>
          <w:lang w:val="en-GB"/>
        </w:rPr>
        <w:t>of authority and the last say remained with the member states</w:t>
      </w:r>
      <w:r w:rsidR="003F2C20" w:rsidRPr="00317CB4">
        <w:rPr>
          <w:lang w:val="en-GB"/>
        </w:rPr>
        <w:t xml:space="preserve"> (</w:t>
      </w:r>
      <w:r w:rsidR="00A03D4C" w:rsidRPr="00317CB4">
        <w:rPr>
          <w:lang w:val="en-GB"/>
        </w:rPr>
        <w:t xml:space="preserve">Bossong, 2019; </w:t>
      </w:r>
      <w:r w:rsidR="003F2C20" w:rsidRPr="00317CB4">
        <w:rPr>
          <w:lang w:val="en-GB"/>
        </w:rPr>
        <w:t>Caligiuri, 2022)</w:t>
      </w:r>
      <w:r w:rsidR="00DB2AE7" w:rsidRPr="00317CB4">
        <w:rPr>
          <w:lang w:val="en-GB"/>
        </w:rPr>
        <w:t xml:space="preserve">. While Frontex sided with the Commission to ensure that the proposal sees </w:t>
      </w:r>
      <w:r w:rsidR="00063F62" w:rsidRPr="00317CB4">
        <w:rPr>
          <w:lang w:val="en-GB"/>
        </w:rPr>
        <w:t>implementation, the authority in core state powers remains with the member states.</w:t>
      </w:r>
      <w:r w:rsidR="00A93BFA" w:rsidRPr="00317CB4">
        <w:rPr>
          <w:lang w:val="en-GB"/>
        </w:rPr>
        <w:t xml:space="preserve"> That is why, to reduce the tension between both audience members, Leggeri assured the hesitant member states that national sovereignty would not be violated and </w:t>
      </w:r>
      <w:r w:rsidR="00E83E62" w:rsidRPr="00317CB4">
        <w:rPr>
          <w:lang w:val="en-GB"/>
        </w:rPr>
        <w:t>submitted Frontex to Greek authorities (Caligiuri, 2022).</w:t>
      </w:r>
      <w:r w:rsidR="00063F62" w:rsidRPr="00317CB4">
        <w:rPr>
          <w:lang w:val="en-GB"/>
        </w:rPr>
        <w:t xml:space="preserve"> </w:t>
      </w:r>
      <w:r w:rsidRPr="00317CB4">
        <w:rPr>
          <w:lang w:val="en-GB"/>
        </w:rPr>
        <w:t>As a consequence of the deliberations surrounding the 201</w:t>
      </w:r>
      <w:r w:rsidR="000A214C" w:rsidRPr="00317CB4">
        <w:rPr>
          <w:lang w:val="en-GB"/>
        </w:rPr>
        <w:t>6</w:t>
      </w:r>
      <w:r w:rsidRPr="00317CB4">
        <w:rPr>
          <w:lang w:val="en-GB"/>
        </w:rPr>
        <w:t xml:space="preserve"> </w:t>
      </w:r>
      <w:r w:rsidR="00F973C7" w:rsidRPr="00317CB4">
        <w:rPr>
          <w:lang w:val="en-GB"/>
        </w:rPr>
        <w:t>R</w:t>
      </w:r>
      <w:r w:rsidRPr="00317CB4">
        <w:rPr>
          <w:lang w:val="en-GB"/>
        </w:rPr>
        <w:t xml:space="preserve">egulation, it can be seen that Frontex gives preference to an increased mandate </w:t>
      </w:r>
      <w:r w:rsidR="00E722BC" w:rsidRPr="00317CB4">
        <w:rPr>
          <w:lang w:val="en-GB"/>
        </w:rPr>
        <w:t>over the core state power struggle</w:t>
      </w:r>
      <w:r w:rsidR="00A84327" w:rsidRPr="00317CB4">
        <w:rPr>
          <w:lang w:val="en-GB"/>
        </w:rPr>
        <w:t>.</w:t>
      </w:r>
      <w:r w:rsidR="00E722BC" w:rsidRPr="00317CB4">
        <w:rPr>
          <w:lang w:val="en-GB"/>
        </w:rPr>
        <w:t xml:space="preserve"> </w:t>
      </w:r>
    </w:p>
    <w:p w14:paraId="37079DC2" w14:textId="6AC72A7F" w:rsidR="007D385B" w:rsidRPr="00317CB4" w:rsidRDefault="008E533F" w:rsidP="00E20F3D">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lastRenderedPageBreak/>
        <w:t xml:space="preserve">The </w:t>
      </w:r>
      <w:r w:rsidR="007D385B" w:rsidRPr="00317CB4">
        <w:rPr>
          <w:b/>
          <w:bCs/>
          <w:color w:val="2F5496" w:themeColor="accent1" w:themeShade="BF"/>
          <w:lang w:val="en-GB"/>
        </w:rPr>
        <w:t>EU-Turkey Deal</w:t>
      </w:r>
      <w:r w:rsidR="00F401C4" w:rsidRPr="00317CB4">
        <w:rPr>
          <w:b/>
          <w:bCs/>
          <w:color w:val="2F5496" w:themeColor="accent1" w:themeShade="BF"/>
          <w:lang w:val="en-GB"/>
        </w:rPr>
        <w:t xml:space="preserve"> 2016</w:t>
      </w:r>
      <w:r w:rsidR="007D385B" w:rsidRPr="00317CB4">
        <w:rPr>
          <w:b/>
          <w:bCs/>
          <w:color w:val="2F5496" w:themeColor="accent1" w:themeShade="BF"/>
          <w:lang w:val="en-GB"/>
        </w:rPr>
        <w:t xml:space="preserve"> </w:t>
      </w:r>
    </w:p>
    <w:p w14:paraId="3A3BE25C" w14:textId="42DC077B" w:rsidR="007D385B" w:rsidRPr="00317CB4" w:rsidRDefault="00CD77F3" w:rsidP="007D385B">
      <w:pPr>
        <w:spacing w:line="360" w:lineRule="auto"/>
        <w:rPr>
          <w:lang w:val="en-GB"/>
        </w:rPr>
      </w:pPr>
      <w:r w:rsidRPr="00317CB4">
        <w:rPr>
          <w:lang w:val="en-GB"/>
        </w:rPr>
        <w:t>One ever</w:t>
      </w:r>
      <w:r w:rsidR="007D385B" w:rsidRPr="00317CB4">
        <w:rPr>
          <w:lang w:val="en-GB"/>
        </w:rPr>
        <w:t xml:space="preserve"> demanded course of action was a noticeable reduction of irregular migrants entering the Schengen Area. The pressure to deliver on this was especially high on the governing parties of the member states of first arrival such as Greece and Italy, though political repercussions to the migration crisis were experienced across all member states. For that reason, the heads of state and governments met in the intergovernmental framework of the European Council to negotiate a solution with their Turkish counterpart that would be acceptable for all, and this resulted in the EU-Turkey deal. </w:t>
      </w:r>
    </w:p>
    <w:p w14:paraId="2667B6D2" w14:textId="275E5EE8" w:rsidR="007D385B" w:rsidRPr="00317CB4" w:rsidRDefault="007D385B" w:rsidP="007D385B">
      <w:pPr>
        <w:spacing w:line="360" w:lineRule="auto"/>
        <w:ind w:firstLine="720"/>
        <w:rPr>
          <w:lang w:val="en-GB"/>
        </w:rPr>
      </w:pPr>
      <w:r w:rsidRPr="00317CB4">
        <w:rPr>
          <w:lang w:val="en-GB"/>
        </w:rPr>
        <w:t xml:space="preserve">In essence, the deal included the following aspects: Turkey would </w:t>
      </w:r>
      <w:r w:rsidR="00CA34E9" w:rsidRPr="00317CB4">
        <w:rPr>
          <w:lang w:val="en-GB"/>
        </w:rPr>
        <w:t>accept</w:t>
      </w:r>
      <w:r w:rsidRPr="00317CB4">
        <w:rPr>
          <w:lang w:val="en-GB"/>
        </w:rPr>
        <w:t xml:space="preserve"> the irregular migrants originally from Syria that wanted to enter the EU via the Greek islands. Only those migrants that apply for asylum when they arrive on the islands would be processed according to the Asylum Procedures Directive, while those that do not apply for asylum or are found inadmissible are returned to Turkey. For every Syrian that is returned from a Greek island to Turkey, one that has not previously tried to irregularly enter the EU can be resettled to one of the member states according to the agreed upon relocation scheme. In return, Turkey</w:t>
      </w:r>
      <w:r w:rsidR="002C5A59" w:rsidRPr="00317CB4">
        <w:rPr>
          <w:lang w:val="en-GB"/>
        </w:rPr>
        <w:t>’</w:t>
      </w:r>
      <w:r w:rsidRPr="00317CB4">
        <w:rPr>
          <w:lang w:val="en-GB"/>
        </w:rPr>
        <w:t>s EU admission negotiations would be taken up again and visa liberalisation negotiations would be accelerated, among other things (</w:t>
      </w:r>
      <w:r w:rsidR="00711E2E" w:rsidRPr="00317CB4">
        <w:rPr>
          <w:lang w:val="en-GB"/>
        </w:rPr>
        <w:t>European Council, 2016</w:t>
      </w:r>
      <w:r w:rsidR="00232160" w:rsidRPr="00317CB4">
        <w:rPr>
          <w:lang w:val="en-GB"/>
        </w:rPr>
        <w:t>a</w:t>
      </w:r>
      <w:r w:rsidRPr="00317CB4">
        <w:rPr>
          <w:lang w:val="en-GB"/>
        </w:rPr>
        <w:t xml:space="preserve">). </w:t>
      </w:r>
    </w:p>
    <w:p w14:paraId="73DD5022" w14:textId="2B9677A2" w:rsidR="007D385B" w:rsidRPr="00317CB4" w:rsidRDefault="007D385B" w:rsidP="007D385B">
      <w:pPr>
        <w:spacing w:line="360" w:lineRule="auto"/>
        <w:ind w:firstLine="720"/>
        <w:rPr>
          <w:lang w:val="en-GB"/>
        </w:rPr>
      </w:pPr>
      <w:r w:rsidRPr="00317CB4">
        <w:rPr>
          <w:lang w:val="en-GB"/>
        </w:rPr>
        <w:t xml:space="preserve">It is in the process of reducing the influx of irregular migrants and making it more manageable for the member states that Frontex was tasked to provide assistance to the member states (Appendix </w:t>
      </w:r>
      <w:r w:rsidR="00D733D3" w:rsidRPr="00317CB4">
        <w:rPr>
          <w:lang w:val="en-GB"/>
        </w:rPr>
        <w:t>1</w:t>
      </w:r>
      <w:r w:rsidRPr="00317CB4">
        <w:rPr>
          <w:lang w:val="en-GB"/>
        </w:rPr>
        <w:t>, Question 1</w:t>
      </w:r>
      <w:r w:rsidR="000A214C" w:rsidRPr="00317CB4">
        <w:rPr>
          <w:lang w:val="en-GB"/>
        </w:rPr>
        <w:t>2</w:t>
      </w:r>
      <w:r w:rsidRPr="00317CB4">
        <w:rPr>
          <w:lang w:val="en-GB"/>
        </w:rPr>
        <w:t>). The agency itself states that it is expected to provide assistance to the management of irregular arrivals according to the expectations and timeline of each individual member state. Apart from the assistance with irregular returns (</w:t>
      </w:r>
      <w:r w:rsidR="00EE5E68" w:rsidRPr="00317CB4">
        <w:rPr>
          <w:lang w:val="en-GB"/>
        </w:rPr>
        <w:t>Blamont &amp; Labbé, 2016</w:t>
      </w:r>
      <w:r w:rsidRPr="00317CB4">
        <w:rPr>
          <w:lang w:val="en-GB"/>
        </w:rPr>
        <w:t>), the member states also wanted Frontex to step up and improve the measures against human trafficking and import of illegal substances (</w:t>
      </w:r>
      <w:r w:rsidR="00EE5E68" w:rsidRPr="00317CB4">
        <w:rPr>
          <w:lang w:val="en-GB"/>
        </w:rPr>
        <w:t>European Council, 2016</w:t>
      </w:r>
      <w:r w:rsidR="00232160" w:rsidRPr="00317CB4">
        <w:rPr>
          <w:lang w:val="en-GB"/>
        </w:rPr>
        <w:t>a</w:t>
      </w:r>
      <w:r w:rsidRPr="00317CB4">
        <w:rPr>
          <w:lang w:val="en-GB"/>
        </w:rPr>
        <w:t xml:space="preserve">). Part of the </w:t>
      </w:r>
      <w:r w:rsidR="008B1184" w:rsidRPr="00317CB4">
        <w:rPr>
          <w:lang w:val="en-GB"/>
        </w:rPr>
        <w:t xml:space="preserve">discussions in the </w:t>
      </w:r>
      <w:r w:rsidRPr="00317CB4">
        <w:rPr>
          <w:lang w:val="en-GB"/>
        </w:rPr>
        <w:t>European Council meeting was</w:t>
      </w:r>
      <w:r w:rsidR="008B1184" w:rsidRPr="00317CB4">
        <w:rPr>
          <w:lang w:val="en-GB"/>
        </w:rPr>
        <w:t xml:space="preserve"> to achieve</w:t>
      </w:r>
      <w:r w:rsidRPr="00317CB4">
        <w:rPr>
          <w:lang w:val="en-GB"/>
        </w:rPr>
        <w:t xml:space="preserve"> a quick adoption of the European Border and Coast Guard proposal to increase the competences of Frontex. This proposal </w:t>
      </w:r>
      <w:r w:rsidR="00A90B41" w:rsidRPr="00317CB4">
        <w:rPr>
          <w:lang w:val="en-GB"/>
        </w:rPr>
        <w:t>resulted</w:t>
      </w:r>
      <w:r w:rsidRPr="00317CB4">
        <w:rPr>
          <w:lang w:val="en-GB"/>
        </w:rPr>
        <w:t xml:space="preserve"> in the 2016 Regulation to significantly transform </w:t>
      </w:r>
      <w:r w:rsidR="008B1184" w:rsidRPr="00317CB4">
        <w:rPr>
          <w:lang w:val="en-GB"/>
        </w:rPr>
        <w:t xml:space="preserve">and upgrade </w:t>
      </w:r>
      <w:r w:rsidRPr="00317CB4">
        <w:rPr>
          <w:lang w:val="en-GB"/>
        </w:rPr>
        <w:t>Frontex. Thus, the expectations for Frontex were increased alongside the capacities to be able to assist the member states with the return of irregular migrants to Turkey, assist at hotspots where a high number of migrants arrived, and accelerated relocation</w:t>
      </w:r>
      <w:r w:rsidR="00EC5FC7" w:rsidRPr="00317CB4">
        <w:rPr>
          <w:lang w:val="en-GB"/>
        </w:rPr>
        <w:t xml:space="preserve"> of migrants</w:t>
      </w:r>
      <w:r w:rsidRPr="00317CB4">
        <w:rPr>
          <w:lang w:val="en-GB"/>
        </w:rPr>
        <w:t xml:space="preserve"> from Greece (</w:t>
      </w:r>
      <w:r w:rsidR="00232160" w:rsidRPr="00317CB4">
        <w:rPr>
          <w:lang w:val="en-GB"/>
        </w:rPr>
        <w:t>European Council, 2016</w:t>
      </w:r>
      <w:r w:rsidRPr="00317CB4">
        <w:rPr>
          <w:lang w:val="en-GB"/>
        </w:rPr>
        <w:t xml:space="preserve">). </w:t>
      </w:r>
    </w:p>
    <w:p w14:paraId="5D5BADAD" w14:textId="1F04B833" w:rsidR="005B117A" w:rsidRPr="00317CB4" w:rsidRDefault="007D385B" w:rsidP="007D385B">
      <w:pPr>
        <w:spacing w:line="360" w:lineRule="auto"/>
        <w:rPr>
          <w:lang w:val="en-GB"/>
        </w:rPr>
      </w:pPr>
      <w:r w:rsidRPr="00317CB4">
        <w:rPr>
          <w:lang w:val="en-GB"/>
        </w:rPr>
        <w:t xml:space="preserve"> </w:t>
      </w:r>
      <w:r w:rsidRPr="00317CB4">
        <w:rPr>
          <w:lang w:val="en-GB"/>
        </w:rPr>
        <w:tab/>
        <w:t xml:space="preserve">The agreement of the European Council with Turkey to the deal was published  on March 18, 2016. Already in the preceding winter months, from October to February, a significant drop in arriving migrants from Syria could be noted, especially on the Western Balkan Route. According to Frontex numbers, this is the route that the vast majority of refugees </w:t>
      </w:r>
      <w:r w:rsidR="005114A6" w:rsidRPr="00317CB4">
        <w:rPr>
          <w:lang w:val="en-GB"/>
        </w:rPr>
        <w:t xml:space="preserve">from Syria </w:t>
      </w:r>
      <w:r w:rsidRPr="00317CB4">
        <w:rPr>
          <w:lang w:val="en-GB"/>
        </w:rPr>
        <w:t xml:space="preserve">chose, </w:t>
      </w:r>
      <w:r w:rsidR="003E584F" w:rsidRPr="00317CB4">
        <w:rPr>
          <w:lang w:val="en-GB"/>
        </w:rPr>
        <w:t>followed by</w:t>
      </w:r>
      <w:r w:rsidRPr="00317CB4">
        <w:rPr>
          <w:lang w:val="en-GB"/>
        </w:rPr>
        <w:t xml:space="preserve"> the Central and Eastern Mediterranean Routes. Even though the numbers of irregular migrants remained low in comparison to the peak months of the migration crisis (July-September 2015), a slight increase in numbers can again be noted from March to August 2016 after the low-influx winter months on the same three Routes</w:t>
      </w:r>
      <w:r w:rsidR="00533997" w:rsidRPr="00317CB4">
        <w:rPr>
          <w:lang w:val="en-GB"/>
        </w:rPr>
        <w:t xml:space="preserve"> (see Table 1 &amp; 2)</w:t>
      </w:r>
      <w:r w:rsidRPr="00317CB4">
        <w:rPr>
          <w:lang w:val="en-GB"/>
        </w:rPr>
        <w:t xml:space="preserve">. It is difficult to distinguish whether it was only the winter season that </w:t>
      </w:r>
      <w:r w:rsidRPr="00317CB4">
        <w:rPr>
          <w:lang w:val="en-GB"/>
        </w:rPr>
        <w:lastRenderedPageBreak/>
        <w:t>led to a reduction of irregular arrivals or if the implemented deal</w:t>
      </w:r>
      <w:r w:rsidR="00A90B41" w:rsidRPr="00317CB4">
        <w:rPr>
          <w:lang w:val="en-GB"/>
        </w:rPr>
        <w:t xml:space="preserve"> was more relevant</w:t>
      </w:r>
      <w:r w:rsidRPr="00317CB4">
        <w:rPr>
          <w:lang w:val="en-GB"/>
        </w:rPr>
        <w:t xml:space="preserve">. </w:t>
      </w:r>
      <w:r w:rsidR="00F86ACF" w:rsidRPr="00317CB4">
        <w:rPr>
          <w:lang w:val="en-GB"/>
        </w:rPr>
        <w:t>Even though the numbers increased again over the summer of 2016, they remained significantly lower than those of the preceding summer</w:t>
      </w:r>
      <w:r w:rsidR="00E172A7" w:rsidRPr="00317CB4">
        <w:rPr>
          <w:lang w:val="en-GB"/>
        </w:rPr>
        <w:t xml:space="preserve"> (to see the numbers in more detail per route, see Appendix </w:t>
      </w:r>
      <w:r w:rsidR="00BC5D15" w:rsidRPr="00317CB4">
        <w:rPr>
          <w:lang w:val="en-GB"/>
        </w:rPr>
        <w:t>3</w:t>
      </w:r>
      <w:r w:rsidR="00E172A7" w:rsidRPr="00317CB4">
        <w:rPr>
          <w:lang w:val="en-GB"/>
        </w:rPr>
        <w:t>)</w:t>
      </w:r>
      <w:r w:rsidR="00503CDA" w:rsidRPr="00317CB4">
        <w:rPr>
          <w:lang w:val="en-GB"/>
        </w:rPr>
        <w:t>. Based on these numbers</w:t>
      </w:r>
      <w:r w:rsidR="00533997" w:rsidRPr="00317CB4">
        <w:rPr>
          <w:lang w:val="en-GB"/>
        </w:rPr>
        <w:t xml:space="preserve"> presented in tables 1 &amp; 2</w:t>
      </w:r>
      <w:r w:rsidR="00503CDA" w:rsidRPr="00317CB4">
        <w:rPr>
          <w:lang w:val="en-GB"/>
        </w:rPr>
        <w:t>, it is therefore possible to claim that Frontex was</w:t>
      </w:r>
      <w:r w:rsidR="00A90B41" w:rsidRPr="00317CB4">
        <w:rPr>
          <w:lang w:val="en-GB"/>
        </w:rPr>
        <w:t xml:space="preserve"> quickly</w:t>
      </w:r>
      <w:r w:rsidR="00503CDA" w:rsidRPr="00317CB4">
        <w:rPr>
          <w:lang w:val="en-GB"/>
        </w:rPr>
        <w:t xml:space="preserve"> able to </w:t>
      </w:r>
      <w:r w:rsidR="004B0ADA" w:rsidRPr="00317CB4">
        <w:rPr>
          <w:lang w:val="en-GB"/>
        </w:rPr>
        <w:t>reduce the numbers of irregular migrants according to the member states’ demands</w:t>
      </w:r>
      <w:r w:rsidR="00503CDA" w:rsidRPr="00317CB4">
        <w:rPr>
          <w:lang w:val="en-GB"/>
        </w:rPr>
        <w:t xml:space="preserve"> in the aftermath of the EU-Turkey deal</w:t>
      </w:r>
      <w:r w:rsidR="00E172A7" w:rsidRPr="00317CB4">
        <w:rPr>
          <w:lang w:val="en-GB"/>
        </w:rPr>
        <w:t xml:space="preserve">. </w:t>
      </w:r>
    </w:p>
    <w:p w14:paraId="10064D8A" w14:textId="77777777" w:rsidR="007D385B" w:rsidRPr="00317CB4" w:rsidRDefault="007D385B" w:rsidP="007D385B">
      <w:pPr>
        <w:pStyle w:val="Caption"/>
        <w:keepNext/>
        <w:spacing w:line="360" w:lineRule="auto"/>
        <w:rPr>
          <w:lang w:val="en-GB"/>
        </w:rPr>
      </w:pPr>
      <w:r w:rsidRPr="00317CB4">
        <w:rPr>
          <w:lang w:val="en-GB"/>
        </w:rPr>
        <w:t xml:space="preserve">Table </w:t>
      </w:r>
      <w:r w:rsidRPr="00317CB4">
        <w:rPr>
          <w:lang w:val="en-GB"/>
        </w:rPr>
        <w:fldChar w:fldCharType="begin"/>
      </w:r>
      <w:r w:rsidRPr="00317CB4">
        <w:rPr>
          <w:lang w:val="en-GB"/>
        </w:rPr>
        <w:instrText xml:space="preserve"> SEQ Table \* ARABIC </w:instrText>
      </w:r>
      <w:r w:rsidRPr="00317CB4">
        <w:rPr>
          <w:lang w:val="en-GB"/>
        </w:rPr>
        <w:fldChar w:fldCharType="separate"/>
      </w:r>
      <w:r w:rsidRPr="00317CB4">
        <w:rPr>
          <w:lang w:val="en-GB"/>
        </w:rPr>
        <w:t>1</w:t>
      </w:r>
      <w:r w:rsidRPr="00317CB4">
        <w:rPr>
          <w:lang w:val="en-GB"/>
        </w:rPr>
        <w:fldChar w:fldCharType="end"/>
      </w:r>
      <w:r w:rsidRPr="00317CB4">
        <w:rPr>
          <w:lang w:val="en-GB"/>
        </w:rPr>
        <w:t>: Numbers of irregular migrants from Syria, July - September 2015</w:t>
      </w:r>
    </w:p>
    <w:tbl>
      <w:tblPr>
        <w:tblW w:w="5000" w:type="pct"/>
        <w:tblLook w:val="04A0" w:firstRow="1" w:lastRow="0" w:firstColumn="1" w:lastColumn="0" w:noHBand="0" w:noVBand="1"/>
      </w:tblPr>
      <w:tblGrid>
        <w:gridCol w:w="2705"/>
        <w:gridCol w:w="2643"/>
        <w:gridCol w:w="1170"/>
        <w:gridCol w:w="1306"/>
        <w:gridCol w:w="1192"/>
      </w:tblGrid>
      <w:tr w:rsidR="007D385B" w:rsidRPr="00317CB4" w14:paraId="7A6E4AB5" w14:textId="77777777" w:rsidTr="00C12249">
        <w:trPr>
          <w:trHeight w:val="312"/>
        </w:trPr>
        <w:tc>
          <w:tcPr>
            <w:tcW w:w="150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5CD94FF8"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Route</w:t>
            </w:r>
          </w:p>
        </w:tc>
        <w:tc>
          <w:tcPr>
            <w:tcW w:w="146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17DDB6B6"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 xml:space="preserve">Border type </w:t>
            </w:r>
          </w:p>
        </w:tc>
        <w:tc>
          <w:tcPr>
            <w:tcW w:w="649"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2FB720E3"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JUL2015</w:t>
            </w:r>
          </w:p>
        </w:tc>
        <w:tc>
          <w:tcPr>
            <w:tcW w:w="724"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1F7563DB"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AUG2015</w:t>
            </w:r>
          </w:p>
        </w:tc>
        <w:tc>
          <w:tcPr>
            <w:tcW w:w="661"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758495A8"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SEP2015</w:t>
            </w:r>
          </w:p>
        </w:tc>
      </w:tr>
      <w:tr w:rsidR="007D385B" w:rsidRPr="00317CB4" w14:paraId="26734C6B" w14:textId="77777777" w:rsidTr="00C12249">
        <w:trPr>
          <w:trHeight w:val="312"/>
        </w:trPr>
        <w:tc>
          <w:tcPr>
            <w:tcW w:w="1500" w:type="pct"/>
            <w:tcBorders>
              <w:top w:val="single" w:sz="4" w:space="0" w:color="auto"/>
              <w:left w:val="single" w:sz="4" w:space="0" w:color="auto"/>
              <w:bottom w:val="single" w:sz="4" w:space="0" w:color="auto"/>
              <w:right w:val="single" w:sz="4" w:space="0" w:color="auto"/>
            </w:tcBorders>
            <w:shd w:val="clear" w:color="000000" w:fill="FAFAFA"/>
            <w:noWrap/>
            <w:vAlign w:val="bottom"/>
            <w:hideMark/>
          </w:tcPr>
          <w:p w14:paraId="74350B8B"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 xml:space="preserve">Western Balkan </w:t>
            </w:r>
          </w:p>
        </w:tc>
        <w:tc>
          <w:tcPr>
            <w:tcW w:w="1466" w:type="pct"/>
            <w:tcBorders>
              <w:top w:val="single" w:sz="4" w:space="0" w:color="auto"/>
              <w:left w:val="nil"/>
              <w:bottom w:val="single" w:sz="4" w:space="0" w:color="auto"/>
              <w:right w:val="single" w:sz="4" w:space="0" w:color="auto"/>
            </w:tcBorders>
            <w:shd w:val="clear" w:color="000000" w:fill="FAFAFA"/>
            <w:noWrap/>
            <w:vAlign w:val="bottom"/>
            <w:hideMark/>
          </w:tcPr>
          <w:p w14:paraId="3208D533"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Land</w:t>
            </w:r>
          </w:p>
        </w:tc>
        <w:tc>
          <w:tcPr>
            <w:tcW w:w="649" w:type="pct"/>
            <w:tcBorders>
              <w:top w:val="single" w:sz="4" w:space="0" w:color="auto"/>
              <w:left w:val="nil"/>
              <w:bottom w:val="single" w:sz="4" w:space="0" w:color="auto"/>
              <w:right w:val="single" w:sz="4" w:space="0" w:color="auto"/>
            </w:tcBorders>
            <w:shd w:val="clear" w:color="000000" w:fill="FAFAFA"/>
            <w:noWrap/>
            <w:vAlign w:val="bottom"/>
            <w:hideMark/>
          </w:tcPr>
          <w:p w14:paraId="17E7C931"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15835</w:t>
            </w:r>
          </w:p>
        </w:tc>
        <w:tc>
          <w:tcPr>
            <w:tcW w:w="724" w:type="pct"/>
            <w:tcBorders>
              <w:top w:val="single" w:sz="4" w:space="0" w:color="auto"/>
              <w:left w:val="nil"/>
              <w:bottom w:val="single" w:sz="4" w:space="0" w:color="auto"/>
              <w:right w:val="single" w:sz="4" w:space="0" w:color="auto"/>
            </w:tcBorders>
            <w:shd w:val="clear" w:color="000000" w:fill="FAFAFA"/>
            <w:noWrap/>
            <w:vAlign w:val="bottom"/>
            <w:hideMark/>
          </w:tcPr>
          <w:p w14:paraId="321E111A"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27818</w:t>
            </w:r>
          </w:p>
        </w:tc>
        <w:tc>
          <w:tcPr>
            <w:tcW w:w="661" w:type="pct"/>
            <w:tcBorders>
              <w:top w:val="single" w:sz="4" w:space="0" w:color="auto"/>
              <w:left w:val="nil"/>
              <w:bottom w:val="single" w:sz="4" w:space="0" w:color="auto"/>
              <w:right w:val="single" w:sz="4" w:space="0" w:color="auto"/>
            </w:tcBorders>
            <w:shd w:val="clear" w:color="000000" w:fill="FAFAFA"/>
            <w:noWrap/>
            <w:vAlign w:val="bottom"/>
            <w:hideMark/>
          </w:tcPr>
          <w:p w14:paraId="4682E40B"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32773</w:t>
            </w:r>
          </w:p>
        </w:tc>
      </w:tr>
    </w:tbl>
    <w:p w14:paraId="30477738" w14:textId="77777777" w:rsidR="007D385B" w:rsidRPr="00317CB4" w:rsidRDefault="007D385B" w:rsidP="007D385B">
      <w:pPr>
        <w:pStyle w:val="Caption"/>
        <w:keepNext/>
        <w:spacing w:line="360" w:lineRule="auto"/>
        <w:rPr>
          <w:lang w:val="en-GB"/>
        </w:rPr>
      </w:pPr>
    </w:p>
    <w:p w14:paraId="40B56AB9" w14:textId="77777777" w:rsidR="007D385B" w:rsidRPr="00317CB4" w:rsidRDefault="007D385B" w:rsidP="007D385B">
      <w:pPr>
        <w:pStyle w:val="Caption"/>
        <w:keepNext/>
        <w:spacing w:line="360" w:lineRule="auto"/>
        <w:rPr>
          <w:lang w:val="en-GB"/>
        </w:rPr>
      </w:pPr>
      <w:r w:rsidRPr="00317CB4">
        <w:rPr>
          <w:lang w:val="en-GB"/>
        </w:rPr>
        <w:t xml:space="preserve">Table </w:t>
      </w:r>
      <w:r w:rsidRPr="00317CB4">
        <w:rPr>
          <w:lang w:val="en-GB"/>
        </w:rPr>
        <w:fldChar w:fldCharType="begin"/>
      </w:r>
      <w:r w:rsidRPr="00317CB4">
        <w:rPr>
          <w:lang w:val="en-GB"/>
        </w:rPr>
        <w:instrText xml:space="preserve"> SEQ Table \* ARABIC </w:instrText>
      </w:r>
      <w:r w:rsidRPr="00317CB4">
        <w:rPr>
          <w:lang w:val="en-GB"/>
        </w:rPr>
        <w:fldChar w:fldCharType="separate"/>
      </w:r>
      <w:r w:rsidRPr="00317CB4">
        <w:rPr>
          <w:lang w:val="en-GB"/>
        </w:rPr>
        <w:t>2</w:t>
      </w:r>
      <w:r w:rsidRPr="00317CB4">
        <w:rPr>
          <w:lang w:val="en-GB"/>
        </w:rPr>
        <w:fldChar w:fldCharType="end"/>
      </w:r>
      <w:r w:rsidRPr="00317CB4">
        <w:rPr>
          <w:lang w:val="en-GB"/>
        </w:rPr>
        <w:t>: Numbers of irregular migrants from Syria, March - August 2016</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513"/>
        <w:gridCol w:w="1086"/>
        <w:gridCol w:w="907"/>
        <w:gridCol w:w="857"/>
        <w:gridCol w:w="835"/>
        <w:gridCol w:w="835"/>
        <w:gridCol w:w="1336"/>
      </w:tblGrid>
      <w:tr w:rsidR="007D385B" w:rsidRPr="00317CB4" w14:paraId="1A7FEF9D" w14:textId="77777777" w:rsidTr="00C12249">
        <w:trPr>
          <w:trHeight w:val="312"/>
          <w:jc w:val="center"/>
        </w:trPr>
        <w:tc>
          <w:tcPr>
            <w:tcW w:w="913" w:type="pct"/>
            <w:shd w:val="clear" w:color="000000" w:fill="EEEEEE"/>
            <w:vAlign w:val="bottom"/>
          </w:tcPr>
          <w:p w14:paraId="0ACC0AB6"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Route</w:t>
            </w:r>
          </w:p>
        </w:tc>
        <w:tc>
          <w:tcPr>
            <w:tcW w:w="839" w:type="pct"/>
            <w:shd w:val="clear" w:color="000000" w:fill="EEEEEE"/>
            <w:vAlign w:val="bottom"/>
          </w:tcPr>
          <w:p w14:paraId="50C390E1"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Border type</w:t>
            </w:r>
          </w:p>
        </w:tc>
        <w:tc>
          <w:tcPr>
            <w:tcW w:w="602" w:type="pct"/>
            <w:shd w:val="clear" w:color="000000" w:fill="EEEEEE"/>
            <w:noWrap/>
            <w:vAlign w:val="bottom"/>
            <w:hideMark/>
          </w:tcPr>
          <w:p w14:paraId="7999DA62"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MARCH</w:t>
            </w:r>
          </w:p>
        </w:tc>
        <w:tc>
          <w:tcPr>
            <w:tcW w:w="503" w:type="pct"/>
            <w:shd w:val="clear" w:color="000000" w:fill="EEEEEE"/>
            <w:noWrap/>
            <w:vAlign w:val="bottom"/>
            <w:hideMark/>
          </w:tcPr>
          <w:p w14:paraId="1E5BC8DB"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APRIL</w:t>
            </w:r>
          </w:p>
        </w:tc>
        <w:tc>
          <w:tcPr>
            <w:tcW w:w="475" w:type="pct"/>
            <w:shd w:val="clear" w:color="000000" w:fill="EEEEEE"/>
            <w:noWrap/>
            <w:vAlign w:val="bottom"/>
            <w:hideMark/>
          </w:tcPr>
          <w:p w14:paraId="423538B9"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MAY</w:t>
            </w:r>
          </w:p>
        </w:tc>
        <w:tc>
          <w:tcPr>
            <w:tcW w:w="463" w:type="pct"/>
            <w:shd w:val="clear" w:color="000000" w:fill="EEEEEE"/>
            <w:noWrap/>
            <w:vAlign w:val="bottom"/>
            <w:hideMark/>
          </w:tcPr>
          <w:p w14:paraId="0ECDEFC5"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JUNE</w:t>
            </w:r>
          </w:p>
        </w:tc>
        <w:tc>
          <w:tcPr>
            <w:tcW w:w="463" w:type="pct"/>
            <w:shd w:val="clear" w:color="000000" w:fill="EEEEEE"/>
            <w:noWrap/>
            <w:vAlign w:val="bottom"/>
            <w:hideMark/>
          </w:tcPr>
          <w:p w14:paraId="0D7414E3"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JULY</w:t>
            </w:r>
          </w:p>
        </w:tc>
        <w:tc>
          <w:tcPr>
            <w:tcW w:w="741" w:type="pct"/>
            <w:shd w:val="clear" w:color="000000" w:fill="EEEEEE"/>
            <w:noWrap/>
            <w:vAlign w:val="bottom"/>
            <w:hideMark/>
          </w:tcPr>
          <w:p w14:paraId="39520469" w14:textId="77777777" w:rsidR="007D385B" w:rsidRPr="00317CB4" w:rsidRDefault="007D385B" w:rsidP="00C12249">
            <w:pPr>
              <w:spacing w:after="0" w:line="360" w:lineRule="auto"/>
              <w:rPr>
                <w:rFonts w:ascii="Calibri" w:eastAsia="Times New Roman" w:hAnsi="Calibri" w:cs="Calibri"/>
                <w:b/>
                <w:bCs/>
                <w:color w:val="111111"/>
                <w:lang w:val="en-GB" w:eastAsia="en-GB"/>
              </w:rPr>
            </w:pPr>
            <w:r w:rsidRPr="00317CB4">
              <w:rPr>
                <w:rFonts w:ascii="Calibri" w:eastAsia="Times New Roman" w:hAnsi="Calibri" w:cs="Calibri"/>
                <w:b/>
                <w:bCs/>
                <w:color w:val="111111"/>
                <w:lang w:val="en-GB" w:eastAsia="en-GB"/>
              </w:rPr>
              <w:t>AUGUST</w:t>
            </w:r>
          </w:p>
        </w:tc>
      </w:tr>
      <w:tr w:rsidR="007D385B" w:rsidRPr="00317CB4" w14:paraId="5D2BAD60" w14:textId="77777777" w:rsidTr="00C12249">
        <w:trPr>
          <w:trHeight w:val="312"/>
          <w:jc w:val="center"/>
        </w:trPr>
        <w:tc>
          <w:tcPr>
            <w:tcW w:w="913" w:type="pct"/>
            <w:shd w:val="clear" w:color="000000" w:fill="FAFAFA"/>
            <w:vAlign w:val="bottom"/>
          </w:tcPr>
          <w:p w14:paraId="391807BE"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 xml:space="preserve">Western Balkan </w:t>
            </w:r>
          </w:p>
        </w:tc>
        <w:tc>
          <w:tcPr>
            <w:tcW w:w="839" w:type="pct"/>
            <w:shd w:val="clear" w:color="000000" w:fill="FAFAFA"/>
            <w:vAlign w:val="bottom"/>
          </w:tcPr>
          <w:p w14:paraId="69EDD638"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Land</w:t>
            </w:r>
          </w:p>
        </w:tc>
        <w:tc>
          <w:tcPr>
            <w:tcW w:w="602" w:type="pct"/>
            <w:shd w:val="clear" w:color="000000" w:fill="FAFAFA"/>
            <w:noWrap/>
            <w:vAlign w:val="bottom"/>
            <w:hideMark/>
          </w:tcPr>
          <w:p w14:paraId="64400625"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266</w:t>
            </w:r>
          </w:p>
        </w:tc>
        <w:tc>
          <w:tcPr>
            <w:tcW w:w="503" w:type="pct"/>
            <w:shd w:val="clear" w:color="000000" w:fill="FAFAFA"/>
            <w:noWrap/>
            <w:vAlign w:val="bottom"/>
            <w:hideMark/>
          </w:tcPr>
          <w:p w14:paraId="0738B78D"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311</w:t>
            </w:r>
          </w:p>
        </w:tc>
        <w:tc>
          <w:tcPr>
            <w:tcW w:w="475" w:type="pct"/>
            <w:shd w:val="clear" w:color="000000" w:fill="FAFAFA"/>
            <w:noWrap/>
            <w:vAlign w:val="bottom"/>
            <w:hideMark/>
          </w:tcPr>
          <w:p w14:paraId="25E6443C"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356</w:t>
            </w:r>
          </w:p>
        </w:tc>
        <w:tc>
          <w:tcPr>
            <w:tcW w:w="463" w:type="pct"/>
            <w:shd w:val="clear" w:color="000000" w:fill="FAFAFA"/>
            <w:noWrap/>
            <w:vAlign w:val="bottom"/>
            <w:hideMark/>
          </w:tcPr>
          <w:p w14:paraId="0DD48B7D"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580</w:t>
            </w:r>
          </w:p>
        </w:tc>
        <w:tc>
          <w:tcPr>
            <w:tcW w:w="463" w:type="pct"/>
            <w:shd w:val="clear" w:color="000000" w:fill="FAFAFA"/>
            <w:noWrap/>
            <w:vAlign w:val="bottom"/>
            <w:hideMark/>
          </w:tcPr>
          <w:p w14:paraId="2DF7FE26"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386</w:t>
            </w:r>
          </w:p>
        </w:tc>
        <w:tc>
          <w:tcPr>
            <w:tcW w:w="741" w:type="pct"/>
            <w:shd w:val="clear" w:color="000000" w:fill="FAFAFA"/>
            <w:noWrap/>
            <w:vAlign w:val="bottom"/>
            <w:hideMark/>
          </w:tcPr>
          <w:p w14:paraId="1DDDB313" w14:textId="77777777" w:rsidR="007D385B" w:rsidRPr="00317CB4" w:rsidRDefault="007D385B" w:rsidP="00C12249">
            <w:pPr>
              <w:spacing w:after="0" w:line="360" w:lineRule="auto"/>
              <w:rPr>
                <w:rFonts w:ascii="Calibri" w:eastAsia="Times New Roman" w:hAnsi="Calibri" w:cs="Calibri"/>
                <w:color w:val="111111"/>
                <w:lang w:val="en-GB" w:eastAsia="en-GB"/>
              </w:rPr>
            </w:pPr>
            <w:r w:rsidRPr="00317CB4">
              <w:rPr>
                <w:rFonts w:ascii="Calibri" w:eastAsia="Times New Roman" w:hAnsi="Calibri" w:cs="Calibri"/>
                <w:color w:val="111111"/>
                <w:lang w:val="en-GB" w:eastAsia="en-GB"/>
              </w:rPr>
              <w:t>208</w:t>
            </w:r>
          </w:p>
        </w:tc>
      </w:tr>
    </w:tbl>
    <w:p w14:paraId="6FA73508" w14:textId="3728A230" w:rsidR="007D385B" w:rsidRPr="00317CB4" w:rsidRDefault="007D385B" w:rsidP="007D385B">
      <w:pPr>
        <w:spacing w:line="360" w:lineRule="auto"/>
        <w:rPr>
          <w:lang w:val="en-GB"/>
        </w:rPr>
      </w:pPr>
    </w:p>
    <w:p w14:paraId="7CAA6917" w14:textId="1E241909" w:rsidR="007D385B" w:rsidRPr="00317CB4" w:rsidRDefault="002A1F48" w:rsidP="007D385B">
      <w:pPr>
        <w:spacing w:line="360" w:lineRule="auto"/>
        <w:rPr>
          <w:lang w:val="en-GB"/>
        </w:rPr>
      </w:pPr>
      <w:r w:rsidRPr="00317CB4">
        <w:rPr>
          <w:lang w:val="en-GB"/>
        </w:rPr>
        <w:t>Together with</w:t>
      </w:r>
      <w:r w:rsidR="007D385B" w:rsidRPr="00317CB4">
        <w:rPr>
          <w:lang w:val="en-GB"/>
        </w:rPr>
        <w:t xml:space="preserve"> the argument derived from numbers alone, the reports about the reduction of numbers confirm that April </w:t>
      </w:r>
      <w:r w:rsidR="00306EB5" w:rsidRPr="00317CB4">
        <w:rPr>
          <w:lang w:val="en-GB"/>
        </w:rPr>
        <w:t xml:space="preserve">2016 </w:t>
      </w:r>
      <w:r w:rsidR="007D385B" w:rsidRPr="00317CB4">
        <w:rPr>
          <w:lang w:val="en-GB"/>
        </w:rPr>
        <w:t>was in fact the cut off point from which the influx has slowed down, and Frontex Director Leggeri confirmed as much as well (</w:t>
      </w:r>
      <w:r w:rsidR="00406F30" w:rsidRPr="00317CB4">
        <w:rPr>
          <w:lang w:val="en-GB"/>
        </w:rPr>
        <w:t>Blamont &amp; Labbé, 2016</w:t>
      </w:r>
      <w:r w:rsidR="007D385B" w:rsidRPr="00317CB4">
        <w:rPr>
          <w:lang w:val="en-GB"/>
        </w:rPr>
        <w:t xml:space="preserve">). In fact, Politico reports that there has been a drop of 90% from the previous month, March. The deal thus led to a quick implementation of the member states’ demands, despite concerns from Italy that more migrants would attempt to cross to the EU via the Central Mediterranean Route. As the table in Appendix </w:t>
      </w:r>
      <w:r w:rsidR="00BC5D15" w:rsidRPr="00317CB4">
        <w:rPr>
          <w:lang w:val="en-GB"/>
        </w:rPr>
        <w:t>3</w:t>
      </w:r>
      <w:r w:rsidR="007D385B" w:rsidRPr="00317CB4">
        <w:rPr>
          <w:lang w:val="en-GB"/>
        </w:rPr>
        <w:t xml:space="preserve"> shows, the number of arriving migrants via the Central Mediterranean Route did see an increase over the summer months of 2016, with a peak of 249 in August, but this was followed by a sharp decrease as well for the winter of that same year (</w:t>
      </w:r>
      <w:r w:rsidR="005E792E" w:rsidRPr="00317CB4">
        <w:rPr>
          <w:lang w:val="en-GB"/>
        </w:rPr>
        <w:t xml:space="preserve">Appendix 3; </w:t>
      </w:r>
      <w:r w:rsidR="00406F30" w:rsidRPr="00317CB4">
        <w:rPr>
          <w:lang w:val="en-GB"/>
        </w:rPr>
        <w:t>Chadwick, 2016</w:t>
      </w:r>
      <w:r w:rsidR="007D385B" w:rsidRPr="00317CB4">
        <w:rPr>
          <w:lang w:val="en-GB"/>
        </w:rPr>
        <w:t>). Overall, reports about the deal and the results it displays are positive, and especially as more time passed it was possible to draw positive conclusions about the effectiveness of the implemented measures (</w:t>
      </w:r>
      <w:r w:rsidR="005C6CA9" w:rsidRPr="00317CB4">
        <w:rPr>
          <w:lang w:val="en-GB"/>
        </w:rPr>
        <w:t>Terry, 2021</w:t>
      </w:r>
      <w:r w:rsidR="007D385B" w:rsidRPr="00317CB4">
        <w:rPr>
          <w:lang w:val="en-GB"/>
        </w:rPr>
        <w:t xml:space="preserve">). </w:t>
      </w:r>
      <w:r w:rsidR="00874BB5" w:rsidRPr="00317CB4">
        <w:rPr>
          <w:lang w:val="en-GB"/>
        </w:rPr>
        <w:t>This positive coverage about the effectiveness of the measures that Frontex implemented after the conclusion of the deal therefore indicate</w:t>
      </w:r>
      <w:r w:rsidR="00EF4C6D" w:rsidRPr="00317CB4">
        <w:rPr>
          <w:lang w:val="en-GB"/>
        </w:rPr>
        <w:t>s</w:t>
      </w:r>
      <w:r w:rsidR="00874BB5" w:rsidRPr="00317CB4">
        <w:rPr>
          <w:lang w:val="en-GB"/>
        </w:rPr>
        <w:t xml:space="preserve"> a positive repercussion on its reputation. </w:t>
      </w:r>
    </w:p>
    <w:p w14:paraId="308E9ADB" w14:textId="78D332C8" w:rsidR="007D385B" w:rsidRPr="00317CB4" w:rsidRDefault="007D385B" w:rsidP="007D385B">
      <w:pPr>
        <w:spacing w:line="360" w:lineRule="auto"/>
        <w:rPr>
          <w:lang w:val="en-GB"/>
        </w:rPr>
      </w:pPr>
      <w:r w:rsidRPr="00317CB4">
        <w:rPr>
          <w:lang w:val="en-GB"/>
        </w:rPr>
        <w:t xml:space="preserve"> </w:t>
      </w:r>
      <w:r w:rsidRPr="00317CB4">
        <w:rPr>
          <w:lang w:val="en-GB"/>
        </w:rPr>
        <w:tab/>
        <w:t xml:space="preserve">Overall, the EU-Turkey deal represents a good example of a decision that the member states made as a collective, even though some were pushing for it more than others. They were collectively </w:t>
      </w:r>
      <w:r w:rsidR="00306EB5" w:rsidRPr="00317CB4">
        <w:rPr>
          <w:lang w:val="en-GB"/>
        </w:rPr>
        <w:t>demanding</w:t>
      </w:r>
      <w:r w:rsidRPr="00317CB4">
        <w:rPr>
          <w:lang w:val="en-GB"/>
        </w:rPr>
        <w:t xml:space="preserve"> the same result, which was the reduction of irregular migration for which Frontex was to be used as a supporting tool. Even though the central aspect of the deal meant that migration control was externalised to Turkey, a country in which Frontex does not act, the agency </w:t>
      </w:r>
      <w:r w:rsidR="0079369F" w:rsidRPr="00317CB4">
        <w:rPr>
          <w:lang w:val="en-GB"/>
        </w:rPr>
        <w:t xml:space="preserve">received an upgrade through the 2016 </w:t>
      </w:r>
      <w:r w:rsidR="00F973C7" w:rsidRPr="00317CB4">
        <w:rPr>
          <w:lang w:val="en-GB"/>
        </w:rPr>
        <w:t>R</w:t>
      </w:r>
      <w:r w:rsidR="0079369F" w:rsidRPr="00317CB4">
        <w:rPr>
          <w:lang w:val="en-GB"/>
        </w:rPr>
        <w:t>egulation</w:t>
      </w:r>
      <w:r w:rsidR="00042864" w:rsidRPr="00317CB4">
        <w:rPr>
          <w:lang w:val="en-GB"/>
        </w:rPr>
        <w:t xml:space="preserve"> shortly after the deal</w:t>
      </w:r>
      <w:r w:rsidR="0079369F" w:rsidRPr="00317CB4">
        <w:rPr>
          <w:lang w:val="en-GB"/>
        </w:rPr>
        <w:t xml:space="preserve"> which provided it with the capacity to take more action on sovereign national territory than before. </w:t>
      </w:r>
      <w:r w:rsidRPr="00317CB4">
        <w:rPr>
          <w:lang w:val="en-GB"/>
        </w:rPr>
        <w:t xml:space="preserve">It is therefore possible to argue that in combination with the </w:t>
      </w:r>
      <w:r w:rsidRPr="00317CB4">
        <w:rPr>
          <w:lang w:val="en-GB"/>
        </w:rPr>
        <w:lastRenderedPageBreak/>
        <w:t xml:space="preserve">increased budget and responsibilities, the unified demand to Frontex to reduce migration along the external border led to a quick compliance </w:t>
      </w:r>
      <w:r w:rsidR="00042864" w:rsidRPr="00317CB4">
        <w:rPr>
          <w:lang w:val="en-GB"/>
        </w:rPr>
        <w:t xml:space="preserve">by </w:t>
      </w:r>
      <w:r w:rsidRPr="00317CB4">
        <w:rPr>
          <w:lang w:val="en-GB"/>
        </w:rPr>
        <w:t xml:space="preserve">the agency. </w:t>
      </w:r>
    </w:p>
    <w:p w14:paraId="6FED6A90" w14:textId="32306D19" w:rsidR="004D50C6" w:rsidRPr="00317CB4" w:rsidRDefault="009261F9" w:rsidP="007D385B">
      <w:pPr>
        <w:spacing w:line="360" w:lineRule="auto"/>
        <w:rPr>
          <w:lang w:val="en-GB"/>
        </w:rPr>
      </w:pPr>
      <w:r w:rsidRPr="00317CB4">
        <w:rPr>
          <w:lang w:val="en-GB"/>
        </w:rPr>
        <w:tab/>
        <w:t xml:space="preserve">With </w:t>
      </w:r>
      <w:r w:rsidR="00606019" w:rsidRPr="00317CB4">
        <w:rPr>
          <w:lang w:val="en-GB"/>
        </w:rPr>
        <w:t xml:space="preserve">the </w:t>
      </w:r>
      <w:r w:rsidRPr="00317CB4">
        <w:rPr>
          <w:lang w:val="en-GB"/>
        </w:rPr>
        <w:t xml:space="preserve">benefits acquired through the new regulation, </w:t>
      </w:r>
      <w:r w:rsidR="001A0B7C" w:rsidRPr="00317CB4">
        <w:rPr>
          <w:lang w:val="en-GB"/>
        </w:rPr>
        <w:t xml:space="preserve">it is possible to wonder whether Frontex </w:t>
      </w:r>
      <w:r w:rsidR="00CC5CC5" w:rsidRPr="00317CB4">
        <w:rPr>
          <w:lang w:val="en-GB"/>
        </w:rPr>
        <w:t>was truly represented with</w:t>
      </w:r>
      <w:r w:rsidR="001A0B7C" w:rsidRPr="00317CB4">
        <w:rPr>
          <w:lang w:val="en-GB"/>
        </w:rPr>
        <w:t xml:space="preserve"> a choice </w:t>
      </w:r>
      <w:r w:rsidR="00044E1F" w:rsidRPr="00317CB4">
        <w:rPr>
          <w:lang w:val="en-GB"/>
        </w:rPr>
        <w:t>in complying with the</w:t>
      </w:r>
      <w:r w:rsidR="00CC5CC5" w:rsidRPr="00317CB4">
        <w:rPr>
          <w:lang w:val="en-GB"/>
        </w:rPr>
        <w:t>se</w:t>
      </w:r>
      <w:r w:rsidR="00044E1F" w:rsidRPr="00317CB4">
        <w:rPr>
          <w:lang w:val="en-GB"/>
        </w:rPr>
        <w:t xml:space="preserve"> demands</w:t>
      </w:r>
      <w:r w:rsidR="00CC5CC5" w:rsidRPr="00317CB4">
        <w:rPr>
          <w:lang w:val="en-GB"/>
        </w:rPr>
        <w:t>; t</w:t>
      </w:r>
      <w:r w:rsidR="00044E1F" w:rsidRPr="00317CB4">
        <w:rPr>
          <w:lang w:val="en-GB"/>
        </w:rPr>
        <w:t>he member states were quite clear on what they wanted Frontex to achieve</w:t>
      </w:r>
      <w:r w:rsidR="00AF0072" w:rsidRPr="00317CB4">
        <w:rPr>
          <w:lang w:val="en-GB"/>
        </w:rPr>
        <w:t xml:space="preserve">. </w:t>
      </w:r>
      <w:r w:rsidR="00E67F64" w:rsidRPr="00317CB4">
        <w:rPr>
          <w:lang w:val="en-GB"/>
        </w:rPr>
        <w:t>It can thus be suggested that t</w:t>
      </w:r>
      <w:r w:rsidR="00AF0072" w:rsidRPr="00317CB4">
        <w:rPr>
          <w:lang w:val="en-GB"/>
        </w:rPr>
        <w:t xml:space="preserve">he reduction of irregular migrants was what needed to be done to see the benefits of the 2016 </w:t>
      </w:r>
      <w:r w:rsidR="00F973C7" w:rsidRPr="00317CB4">
        <w:rPr>
          <w:lang w:val="en-GB"/>
        </w:rPr>
        <w:t>R</w:t>
      </w:r>
      <w:r w:rsidR="00AF0072" w:rsidRPr="00317CB4">
        <w:rPr>
          <w:lang w:val="en-GB"/>
        </w:rPr>
        <w:t>egulation come to reality</w:t>
      </w:r>
      <w:r w:rsidR="003B7140" w:rsidRPr="00317CB4">
        <w:rPr>
          <w:lang w:val="en-GB"/>
        </w:rPr>
        <w:t xml:space="preserve">. It would have otherwise been possible for the member states to withhold </w:t>
      </w:r>
      <w:r w:rsidR="008F2E85" w:rsidRPr="00317CB4">
        <w:rPr>
          <w:lang w:val="en-GB"/>
        </w:rPr>
        <w:t xml:space="preserve">both the increased financial support and the staff that Frontex wanted </w:t>
      </w:r>
      <w:r w:rsidR="00220CB4" w:rsidRPr="00317CB4">
        <w:rPr>
          <w:lang w:val="en-GB"/>
        </w:rPr>
        <w:t xml:space="preserve">in order </w:t>
      </w:r>
      <w:r w:rsidR="008F2E85" w:rsidRPr="00317CB4">
        <w:rPr>
          <w:lang w:val="en-GB"/>
        </w:rPr>
        <w:t xml:space="preserve">to </w:t>
      </w:r>
      <w:r w:rsidR="00E279C6" w:rsidRPr="00317CB4">
        <w:rPr>
          <w:lang w:val="en-GB"/>
        </w:rPr>
        <w:t>achieve the</w:t>
      </w:r>
      <w:r w:rsidR="006A719B" w:rsidRPr="00317CB4">
        <w:rPr>
          <w:lang w:val="en-GB"/>
        </w:rPr>
        <w:t xml:space="preserve"> political recogni</w:t>
      </w:r>
      <w:r w:rsidR="00E279C6" w:rsidRPr="00317CB4">
        <w:rPr>
          <w:lang w:val="en-GB"/>
        </w:rPr>
        <w:t>tion</w:t>
      </w:r>
      <w:r w:rsidR="006A719B" w:rsidRPr="00317CB4">
        <w:rPr>
          <w:lang w:val="en-GB"/>
        </w:rPr>
        <w:t xml:space="preserve"> </w:t>
      </w:r>
      <w:r w:rsidR="00FE4502" w:rsidRPr="00317CB4">
        <w:rPr>
          <w:lang w:val="en-GB"/>
        </w:rPr>
        <w:t>in its role of border management</w:t>
      </w:r>
      <w:r w:rsidR="00E279C6" w:rsidRPr="00317CB4">
        <w:rPr>
          <w:lang w:val="en-GB"/>
        </w:rPr>
        <w:t xml:space="preserve"> that i</w:t>
      </w:r>
      <w:r w:rsidR="0012589D" w:rsidRPr="00317CB4">
        <w:rPr>
          <w:lang w:val="en-GB"/>
        </w:rPr>
        <w:t xml:space="preserve">t </w:t>
      </w:r>
      <w:r w:rsidR="00E279C6" w:rsidRPr="00317CB4">
        <w:rPr>
          <w:lang w:val="en-GB"/>
        </w:rPr>
        <w:t>now</w:t>
      </w:r>
      <w:r w:rsidR="0012589D" w:rsidRPr="00317CB4">
        <w:rPr>
          <w:lang w:val="en-GB"/>
        </w:rPr>
        <w:t xml:space="preserve"> has</w:t>
      </w:r>
      <w:r w:rsidR="00FE4502" w:rsidRPr="00317CB4">
        <w:rPr>
          <w:lang w:val="en-GB"/>
        </w:rPr>
        <w:t xml:space="preserve"> (Appendix </w:t>
      </w:r>
      <w:r w:rsidR="00BC5D15" w:rsidRPr="00317CB4">
        <w:rPr>
          <w:lang w:val="en-GB"/>
        </w:rPr>
        <w:t>1</w:t>
      </w:r>
      <w:r w:rsidR="00FE4502" w:rsidRPr="00317CB4">
        <w:rPr>
          <w:lang w:val="en-GB"/>
        </w:rPr>
        <w:t xml:space="preserve">, Question </w:t>
      </w:r>
      <w:r w:rsidR="00231D69" w:rsidRPr="00317CB4">
        <w:rPr>
          <w:lang w:val="en-GB"/>
        </w:rPr>
        <w:t>5</w:t>
      </w:r>
      <w:r w:rsidR="00FE4502" w:rsidRPr="00317CB4">
        <w:rPr>
          <w:lang w:val="en-GB"/>
        </w:rPr>
        <w:t xml:space="preserve">). </w:t>
      </w:r>
      <w:r w:rsidR="007D385B" w:rsidRPr="00317CB4">
        <w:rPr>
          <w:lang w:val="en-GB"/>
        </w:rPr>
        <w:t xml:space="preserve">Thus, there was a lot on the line for Frontex when the EU-Turkey deal was concluded and non-compliance with the unified demands would have been too much of a risk to the agency. </w:t>
      </w:r>
      <w:r w:rsidR="00C15A2C" w:rsidRPr="00317CB4">
        <w:rPr>
          <w:lang w:val="en-GB"/>
        </w:rPr>
        <w:t>This indicates that the</w:t>
      </w:r>
      <w:r w:rsidR="00550C70" w:rsidRPr="00317CB4">
        <w:rPr>
          <w:lang w:val="en-GB"/>
        </w:rPr>
        <w:t xml:space="preserve"> first part of the</w:t>
      </w:r>
      <w:r w:rsidR="00C15A2C" w:rsidRPr="00317CB4">
        <w:rPr>
          <w:lang w:val="en-GB"/>
        </w:rPr>
        <w:t xml:space="preserve"> </w:t>
      </w:r>
      <w:r w:rsidR="00606019" w:rsidRPr="00317CB4">
        <w:rPr>
          <w:lang w:val="en-GB"/>
        </w:rPr>
        <w:t>third</w:t>
      </w:r>
      <w:r w:rsidR="00C15A2C" w:rsidRPr="00317CB4">
        <w:rPr>
          <w:lang w:val="en-GB"/>
        </w:rPr>
        <w:t xml:space="preserve"> expectation </w:t>
      </w:r>
      <w:r w:rsidR="008836BD" w:rsidRPr="00317CB4">
        <w:rPr>
          <w:lang w:val="en-GB"/>
        </w:rPr>
        <w:t>holds in</w:t>
      </w:r>
      <w:r w:rsidR="00C15A2C" w:rsidRPr="00317CB4">
        <w:rPr>
          <w:lang w:val="en-GB"/>
        </w:rPr>
        <w:t xml:space="preserve"> this situation</w:t>
      </w:r>
      <w:r w:rsidR="00E31AE8" w:rsidRPr="00317CB4">
        <w:rPr>
          <w:lang w:val="en-GB"/>
        </w:rPr>
        <w:t xml:space="preserve">, making the second, conditional part of it </w:t>
      </w:r>
      <w:r w:rsidR="00E90E0A" w:rsidRPr="00317CB4">
        <w:rPr>
          <w:lang w:val="en-GB"/>
        </w:rPr>
        <w:t>non-applicable to this scenario</w:t>
      </w:r>
      <w:r w:rsidR="00C15A2C" w:rsidRPr="00317CB4">
        <w:rPr>
          <w:lang w:val="en-GB"/>
        </w:rPr>
        <w:t xml:space="preserve">. </w:t>
      </w:r>
      <w:r w:rsidR="003730D3" w:rsidRPr="00317CB4">
        <w:rPr>
          <w:lang w:val="en-GB"/>
        </w:rPr>
        <w:t>Non-compliance with the member states acting as a united actor would have been too high of a reputational risk</w:t>
      </w:r>
      <w:r w:rsidR="00422783" w:rsidRPr="00317CB4">
        <w:rPr>
          <w:lang w:val="en-GB"/>
        </w:rPr>
        <w:t xml:space="preserve"> for the agency since the consequences of such non-compliance would have otherwise meant </w:t>
      </w:r>
      <w:r w:rsidR="00940135" w:rsidRPr="00317CB4">
        <w:rPr>
          <w:lang w:val="en-GB"/>
        </w:rPr>
        <w:t xml:space="preserve">that Frontex would remain a </w:t>
      </w:r>
      <w:r w:rsidR="00220CB4" w:rsidRPr="00317CB4">
        <w:rPr>
          <w:lang w:val="en-GB"/>
        </w:rPr>
        <w:t xml:space="preserve">comparatively </w:t>
      </w:r>
      <w:r w:rsidR="00940135" w:rsidRPr="00317CB4">
        <w:rPr>
          <w:lang w:val="en-GB"/>
        </w:rPr>
        <w:t xml:space="preserve">low-budget agency. Instead, complying with the demands has resulted in </w:t>
      </w:r>
      <w:r w:rsidR="00FE2A0A" w:rsidRPr="00317CB4">
        <w:rPr>
          <w:lang w:val="en-GB"/>
        </w:rPr>
        <w:t xml:space="preserve">“Frontex’s role [being] recognised, its budget increased, and its role reinforced” (Appendix </w:t>
      </w:r>
      <w:r w:rsidR="00BC5D15" w:rsidRPr="00317CB4">
        <w:rPr>
          <w:lang w:val="en-GB"/>
        </w:rPr>
        <w:t>1</w:t>
      </w:r>
      <w:r w:rsidR="00FE2A0A" w:rsidRPr="00317CB4">
        <w:rPr>
          <w:lang w:val="en-GB"/>
        </w:rPr>
        <w:t xml:space="preserve">, Question </w:t>
      </w:r>
      <w:r w:rsidR="00A620E6" w:rsidRPr="00317CB4">
        <w:rPr>
          <w:lang w:val="en-GB"/>
        </w:rPr>
        <w:t>5</w:t>
      </w:r>
      <w:r w:rsidR="00FE2A0A" w:rsidRPr="00317CB4">
        <w:rPr>
          <w:lang w:val="en-GB"/>
        </w:rPr>
        <w:t xml:space="preserve">). </w:t>
      </w:r>
      <w:r w:rsidR="00C73F37" w:rsidRPr="00317CB4">
        <w:rPr>
          <w:lang w:val="en-GB"/>
        </w:rPr>
        <w:t xml:space="preserve">From this follows </w:t>
      </w:r>
      <w:r w:rsidR="002141C2" w:rsidRPr="00317CB4">
        <w:rPr>
          <w:lang w:val="en-GB"/>
        </w:rPr>
        <w:t xml:space="preserve">a </w:t>
      </w:r>
      <w:r w:rsidR="006B0ACC" w:rsidRPr="00317CB4">
        <w:rPr>
          <w:lang w:val="en-GB"/>
        </w:rPr>
        <w:t xml:space="preserve">partial </w:t>
      </w:r>
      <w:r w:rsidR="002141C2" w:rsidRPr="00317CB4">
        <w:rPr>
          <w:lang w:val="en-GB"/>
        </w:rPr>
        <w:t xml:space="preserve">confirmation for the </w:t>
      </w:r>
      <w:r w:rsidR="00606019" w:rsidRPr="00317CB4">
        <w:rPr>
          <w:lang w:val="en-GB"/>
        </w:rPr>
        <w:t>second</w:t>
      </w:r>
      <w:r w:rsidR="002141C2" w:rsidRPr="00317CB4">
        <w:rPr>
          <w:lang w:val="en-GB"/>
        </w:rPr>
        <w:t xml:space="preserve"> expectation</w:t>
      </w:r>
      <w:r w:rsidR="005E2CEE" w:rsidRPr="00317CB4">
        <w:rPr>
          <w:lang w:val="en-GB"/>
        </w:rPr>
        <w:t xml:space="preserve"> in which it was stated that if demands were to be directed at the </w:t>
      </w:r>
      <w:r w:rsidR="00587966" w:rsidRPr="00317CB4">
        <w:rPr>
          <w:lang w:val="en-GB"/>
        </w:rPr>
        <w:t xml:space="preserve">core of Frontex’ mandate, Frontex is to be expected to follow the demands of the member states. </w:t>
      </w:r>
      <w:r w:rsidR="006B0ACC" w:rsidRPr="00317CB4">
        <w:rPr>
          <w:lang w:val="en-GB"/>
        </w:rPr>
        <w:t>The other part of the expectation can in this situation not be confirmed though</w:t>
      </w:r>
      <w:r w:rsidR="002C59CD" w:rsidRPr="00317CB4">
        <w:rPr>
          <w:lang w:val="en-GB"/>
        </w:rPr>
        <w:t xml:space="preserve"> because there are no oppo</w:t>
      </w:r>
      <w:r w:rsidR="004C3258" w:rsidRPr="00317CB4">
        <w:rPr>
          <w:lang w:val="en-GB"/>
        </w:rPr>
        <w:t>sing demands</w:t>
      </w:r>
      <w:r w:rsidR="006B0ACC" w:rsidRPr="00317CB4">
        <w:rPr>
          <w:lang w:val="en-GB"/>
        </w:rPr>
        <w:t xml:space="preserve">. This second part concerns </w:t>
      </w:r>
      <w:r w:rsidR="00E835FB" w:rsidRPr="00317CB4">
        <w:rPr>
          <w:lang w:val="en-GB"/>
        </w:rPr>
        <w:t xml:space="preserve">the institutions, who may naturally also make demands to Frontex. If the demands were to be made at the same time as those from the member states and ask </w:t>
      </w:r>
      <w:r w:rsidR="004C3258" w:rsidRPr="00317CB4">
        <w:rPr>
          <w:lang w:val="en-GB"/>
        </w:rPr>
        <w:t>competing</w:t>
      </w:r>
      <w:r w:rsidR="004C3258" w:rsidRPr="00317CB4">
        <w:rPr>
          <w:lang w:val="en-GB"/>
        </w:rPr>
        <w:t xml:space="preserve"> </w:t>
      </w:r>
      <w:r w:rsidR="00E835FB" w:rsidRPr="00317CB4">
        <w:rPr>
          <w:lang w:val="en-GB"/>
        </w:rPr>
        <w:t>things from the agency, then Frontex was expected to sideline the demands from the institutions</w:t>
      </w:r>
      <w:r w:rsidR="00BA22F1" w:rsidRPr="00317CB4">
        <w:rPr>
          <w:lang w:val="en-GB"/>
        </w:rPr>
        <w:t xml:space="preserve"> and follow the member states instead. In this situation, even though the EU-Turkey deal was clearly concluded in the intergovernmental setting of the European Council, </w:t>
      </w:r>
      <w:r w:rsidR="00C0417B" w:rsidRPr="00317CB4">
        <w:rPr>
          <w:lang w:val="en-GB"/>
        </w:rPr>
        <w:t>the Commission supported the deal. It was only the ECJ that objected to it, but rather for legal and not political reasons</w:t>
      </w:r>
      <w:r w:rsidR="003D675A" w:rsidRPr="00317CB4">
        <w:rPr>
          <w:lang w:val="en-GB"/>
        </w:rPr>
        <w:t xml:space="preserve"> (Niemann &amp; Zaun, 2018). </w:t>
      </w:r>
      <w:r w:rsidR="00AA0A98" w:rsidRPr="00317CB4">
        <w:rPr>
          <w:lang w:val="en-GB"/>
        </w:rPr>
        <w:t xml:space="preserve">It can thus be argued here that Frontex does side with the member states’ demands, but it cannot be concluded </w:t>
      </w:r>
      <w:r w:rsidR="00AA44FB" w:rsidRPr="00317CB4">
        <w:rPr>
          <w:lang w:val="en-GB"/>
        </w:rPr>
        <w:t xml:space="preserve">whether this would have been different if the Commission had had a different position to the deal. </w:t>
      </w:r>
    </w:p>
    <w:p w14:paraId="5BCF404F" w14:textId="6258269B" w:rsidR="003C1C8E" w:rsidRPr="00317CB4" w:rsidRDefault="003C1C8E" w:rsidP="00810113">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 xml:space="preserve">Expansion of the mandate (2016-2019) </w:t>
      </w:r>
    </w:p>
    <w:p w14:paraId="38E2ED78" w14:textId="2B24C44C" w:rsidR="003C1C8E" w:rsidRPr="00317CB4" w:rsidRDefault="003C1C8E" w:rsidP="003C1C8E">
      <w:pPr>
        <w:spacing w:line="360" w:lineRule="auto"/>
        <w:rPr>
          <w:lang w:val="en-GB"/>
        </w:rPr>
      </w:pPr>
      <w:r w:rsidRPr="00317CB4">
        <w:rPr>
          <w:lang w:val="en-GB"/>
        </w:rPr>
        <w:t xml:space="preserve">The overall regulation that expanded the mandate for Frontex in 2016 meant that it would be better able in the future to respond to spikes of migration into Europe (Meissner, 2017). One of the articles includes Article 13.4, the Vulnerability Assessment. As can be seen in Table </w:t>
      </w:r>
      <w:r w:rsidR="00060B68" w:rsidRPr="00317CB4">
        <w:rPr>
          <w:lang w:val="en-GB"/>
        </w:rPr>
        <w:t>3</w:t>
      </w:r>
      <w:r w:rsidRPr="00317CB4">
        <w:rPr>
          <w:lang w:val="en-GB"/>
        </w:rPr>
        <w:t xml:space="preserve">, this article did not yet exist in the original regulation created in 2004. The original intention of this was to assess if any given member state is fulfilling their border management duties sufficiently or whether Frontex has to step in and take over. According to Fjørtoft (2022) this would make it possible to ensure that border protection can be </w:t>
      </w:r>
      <w:r w:rsidRPr="00317CB4">
        <w:rPr>
          <w:lang w:val="en-GB"/>
        </w:rPr>
        <w:lastRenderedPageBreak/>
        <w:t xml:space="preserve">guaranteed, and at the same time reduce the costs of border protection when none is required in a specific area. The member states would therefore have to communicate more to allow Frontex to filter where support is truly required but it would be up to Frontex to make a decision to carry out a mission on national territory, and not vice versa the member states deciding they want assistance. </w:t>
      </w:r>
    </w:p>
    <w:p w14:paraId="74BCD51B" w14:textId="4DC34BB4" w:rsidR="003C1C8E" w:rsidRPr="00317CB4" w:rsidRDefault="003C1C8E" w:rsidP="003C1C8E">
      <w:pPr>
        <w:spacing w:line="360" w:lineRule="auto"/>
        <w:ind w:firstLine="720"/>
        <w:rPr>
          <w:lang w:val="en-GB"/>
        </w:rPr>
      </w:pPr>
      <w:r w:rsidRPr="00317CB4">
        <w:rPr>
          <w:lang w:val="en-GB"/>
        </w:rPr>
        <w:t>Considering the historical reluctance to relinquish core state powers, the member states’ objection to this version of the Vulnerability Assessment follows as a logical consequence. Article 13.4 was therefore watered down, and the final version determines that the Vulnerability Assessment can lead to Frontex having the right to intervene according to Article 19.6. The key-word is indeed ‘can’ because there are several requirements that need to be fulfilled before intervention is even thinkable. The first condition that needs to be fulfilled is that the preliminary Vulnerability Assessment conducted based on Article 13.4 found that the management of a member state’s border affairs puts the overall stability of the entire Schengen Area at risk. This area includes all EU member states, except Cyprus, Ireland, Bulgaria, and Romania</w:t>
      </w:r>
      <w:r w:rsidR="004C3258" w:rsidRPr="00317CB4">
        <w:rPr>
          <w:lang w:val="en-GB"/>
        </w:rPr>
        <w:t>,</w:t>
      </w:r>
      <w:r w:rsidRPr="00317CB4">
        <w:rPr>
          <w:lang w:val="en-GB"/>
        </w:rPr>
        <w:t xml:space="preserve"> but the additional Schengen members Iceland, Liechtenstein, Norway, and Switzerland (Auswärtiges Amt, 2023). Consequently, a very large area has to feel significantly threatened by the mismanagement of one external border area. Assuming that has happened, the member state in which the mismanagement is taking place is informed thereof and actions to improve the situation are recommended by Frontex. If these binding recommendations are not implemented, then Frontex reserves the right to intervene. This intervention</w:t>
      </w:r>
      <w:r w:rsidR="004C3258" w:rsidRPr="00317CB4">
        <w:rPr>
          <w:lang w:val="en-GB"/>
        </w:rPr>
        <w:t xml:space="preserve"> still</w:t>
      </w:r>
      <w:r w:rsidRPr="00317CB4">
        <w:rPr>
          <w:lang w:val="en-GB"/>
        </w:rPr>
        <w:t xml:space="preserve"> needs to be approved by the Council, i.e. there is some intergovernmental control over where and how Frontex can carry out its mandate. Following the approved intervention, an action-plan needs to be drafted which has to be approved by the member state that failed the Vulnerability Assessment</w:t>
      </w:r>
      <w:r w:rsidRPr="00317CB4">
        <w:rPr>
          <w:i/>
          <w:iCs/>
          <w:lang w:val="en-GB"/>
        </w:rPr>
        <w:t>.</w:t>
      </w:r>
      <w:r w:rsidRPr="00317CB4">
        <w:rPr>
          <w:lang w:val="en-GB"/>
        </w:rPr>
        <w:t xml:space="preserve"> Consequently, the Vulnerability Assessment in the 2016 </w:t>
      </w:r>
      <w:r w:rsidR="00F973C7" w:rsidRPr="00317CB4">
        <w:rPr>
          <w:lang w:val="en-GB"/>
        </w:rPr>
        <w:t>R</w:t>
      </w:r>
      <w:r w:rsidRPr="00317CB4">
        <w:rPr>
          <w:lang w:val="en-GB"/>
        </w:rPr>
        <w:t xml:space="preserve">egulation illustrates nicely who </w:t>
      </w:r>
      <w:r w:rsidR="0000488E" w:rsidRPr="00317CB4">
        <w:rPr>
          <w:lang w:val="en-GB"/>
        </w:rPr>
        <w:t>has</w:t>
      </w:r>
      <w:r w:rsidRPr="00317CB4">
        <w:rPr>
          <w:lang w:val="en-GB"/>
        </w:rPr>
        <w:t xml:space="preserve"> the last say in what Frontex does – the member states. </w:t>
      </w:r>
    </w:p>
    <w:p w14:paraId="0B4855B6" w14:textId="6BCED0F7" w:rsidR="003C1C8E" w:rsidRPr="00317CB4" w:rsidRDefault="003C1C8E" w:rsidP="003C1C8E">
      <w:pPr>
        <w:spacing w:line="360" w:lineRule="auto"/>
        <w:ind w:firstLine="720"/>
        <w:rPr>
          <w:lang w:val="en-GB"/>
        </w:rPr>
      </w:pPr>
      <w:r w:rsidRPr="00317CB4">
        <w:rPr>
          <w:lang w:val="en-GB"/>
        </w:rPr>
        <w:t xml:space="preserve">The flaw in this plan is that there is no mention of what would happen if a member state would actually object to the action-plan. Another worry is that even though Frontex would intervene on the member state’s terms, it would initiate action on national territory. Article 72 of the Treaty for the Functioning of the European Union maintains that the member states reserve the right to ensure their internal security, which implies the use of their own police forces to do so (Deleixhe &amp; Duez, 2019; Fernandez-Rojo, 2020). This contradiction would deny Frontex their mandated room for action to protect the external borders to the extent that they can only do so upon invitation from a member state. This is amplified by the emphasis on ‘intelligence-led policing’ whereby any intelligence that Frontex gathers is actually collected and submitted to them by the member states (Deleixhe &amp; Duez, 2019). It is therefore, again, the member states that have a say in what Frontex knows and can subsequently do. </w:t>
      </w:r>
    </w:p>
    <w:p w14:paraId="710CE5FB" w14:textId="7F4A1302" w:rsidR="003C1C8E" w:rsidRPr="00317CB4" w:rsidRDefault="003C1C8E" w:rsidP="003C1C8E">
      <w:pPr>
        <w:spacing w:line="360" w:lineRule="auto"/>
        <w:ind w:firstLine="720"/>
        <w:rPr>
          <w:lang w:val="en-GB"/>
        </w:rPr>
      </w:pPr>
      <w:r w:rsidRPr="00317CB4">
        <w:rPr>
          <w:lang w:val="en-GB"/>
        </w:rPr>
        <w:t xml:space="preserve">Generally, the 2019 </w:t>
      </w:r>
      <w:r w:rsidR="00F973C7" w:rsidRPr="00317CB4">
        <w:rPr>
          <w:lang w:val="en-GB"/>
        </w:rPr>
        <w:t>R</w:t>
      </w:r>
      <w:r w:rsidRPr="00317CB4">
        <w:rPr>
          <w:lang w:val="en-GB"/>
        </w:rPr>
        <w:t xml:space="preserve">egulation represents an expansion of the 2016 </w:t>
      </w:r>
      <w:r w:rsidR="00F973C7" w:rsidRPr="00317CB4">
        <w:rPr>
          <w:lang w:val="en-GB"/>
        </w:rPr>
        <w:t>Re</w:t>
      </w:r>
      <w:r w:rsidRPr="00317CB4">
        <w:rPr>
          <w:lang w:val="en-GB"/>
        </w:rPr>
        <w:t xml:space="preserve">gulation as in most situations it simply elaborates on the responsibilities Frontex can assume. More specifically, the agency was granted with a wide scope for action and cooperation with third countries neighbouring the EU </w:t>
      </w:r>
      <w:r w:rsidRPr="00317CB4">
        <w:rPr>
          <w:lang w:val="en-GB"/>
        </w:rPr>
        <w:lastRenderedPageBreak/>
        <w:t xml:space="preserve">(European Council, 2018). Even though the 2019 </w:t>
      </w:r>
      <w:r w:rsidR="00F973C7" w:rsidRPr="00317CB4">
        <w:rPr>
          <w:lang w:val="en-GB"/>
        </w:rPr>
        <w:t>R</w:t>
      </w:r>
      <w:r w:rsidRPr="00317CB4">
        <w:rPr>
          <w:lang w:val="en-GB"/>
        </w:rPr>
        <w:t xml:space="preserve">egulation was implemented after the Commission suggested an improvement, the nexus is still stronger with the member states, as is illustrated through the Vulnerability Assessment (Deleixhe &amp; Duez, 2019). For a more detailed comparison between the three regulations and the increased competences, see Appendix 4. </w:t>
      </w:r>
    </w:p>
    <w:p w14:paraId="6A3940F5" w14:textId="375A592D" w:rsidR="00810113" w:rsidRPr="00317CB4" w:rsidRDefault="003C1C8E" w:rsidP="003C1C8E">
      <w:pPr>
        <w:spacing w:line="360" w:lineRule="auto"/>
        <w:rPr>
          <w:lang w:val="en-GB"/>
        </w:rPr>
      </w:pPr>
      <w:r w:rsidRPr="00317CB4">
        <w:rPr>
          <w:lang w:val="en-GB"/>
        </w:rPr>
        <w:tab/>
        <w:t xml:space="preserve">This argument shows </w:t>
      </w:r>
      <w:r w:rsidR="000B24DB" w:rsidRPr="00317CB4">
        <w:rPr>
          <w:lang w:val="en-GB"/>
        </w:rPr>
        <w:t>what has been hinted</w:t>
      </w:r>
      <w:r w:rsidR="00E90E0A" w:rsidRPr="00317CB4">
        <w:rPr>
          <w:lang w:val="en-GB"/>
        </w:rPr>
        <w:t xml:space="preserve"> at</w:t>
      </w:r>
      <w:r w:rsidR="000B24DB" w:rsidRPr="00317CB4">
        <w:rPr>
          <w:lang w:val="en-GB"/>
        </w:rPr>
        <w:t xml:space="preserve"> in the very first argument, </w:t>
      </w:r>
      <w:r w:rsidRPr="00317CB4">
        <w:rPr>
          <w:lang w:val="en-GB"/>
        </w:rPr>
        <w:t>that the first expectation can be confirmed: the member states have been able to hold on to their core state powers and have rejected a change to this by denying Frontex an independent assessment ability</w:t>
      </w:r>
      <w:r w:rsidR="00A6345E" w:rsidRPr="00317CB4">
        <w:rPr>
          <w:lang w:val="en-GB"/>
        </w:rPr>
        <w:t xml:space="preserve"> that was </w:t>
      </w:r>
      <w:r w:rsidR="00D43A6E" w:rsidRPr="00317CB4">
        <w:rPr>
          <w:lang w:val="en-GB"/>
        </w:rPr>
        <w:t>suggested by the institutions</w:t>
      </w:r>
      <w:r w:rsidRPr="00317CB4">
        <w:rPr>
          <w:lang w:val="en-GB"/>
        </w:rPr>
        <w:t xml:space="preserve">. </w:t>
      </w:r>
      <w:r w:rsidR="002250E4" w:rsidRPr="00317CB4">
        <w:rPr>
          <w:lang w:val="en-GB"/>
        </w:rPr>
        <w:t>Thus, the institutions wanted Frontex to have a certain independence from the member states, but the member states rejected this demand</w:t>
      </w:r>
      <w:r w:rsidR="00A76A86" w:rsidRPr="00317CB4">
        <w:rPr>
          <w:lang w:val="en-GB"/>
        </w:rPr>
        <w:t xml:space="preserve"> thereby pointing out to Frontex what kind of action will be allowed for the agency. </w:t>
      </w:r>
      <w:r w:rsidR="009F2BE0" w:rsidRPr="00317CB4">
        <w:rPr>
          <w:lang w:val="en-GB"/>
        </w:rPr>
        <w:t xml:space="preserve">Because the member states confirmed their authority in core state powers, it was not possible for Frontex to take the institution’s side in this debate. </w:t>
      </w:r>
      <w:r w:rsidRPr="00317CB4">
        <w:rPr>
          <w:lang w:val="en-GB"/>
        </w:rPr>
        <w:t xml:space="preserve">As the Vulnerability Assessment has not been changed in the 2019 </w:t>
      </w:r>
      <w:r w:rsidR="00F973C7" w:rsidRPr="00317CB4">
        <w:rPr>
          <w:lang w:val="en-GB"/>
        </w:rPr>
        <w:t>R</w:t>
      </w:r>
      <w:r w:rsidRPr="00317CB4">
        <w:rPr>
          <w:lang w:val="en-GB"/>
        </w:rPr>
        <w:t xml:space="preserve">egulation, the confirmation of who has the last say in what Frontex is able to do on the sovereign national territory and the borders is still determined by the member states. </w:t>
      </w:r>
    </w:p>
    <w:p w14:paraId="66264EFC" w14:textId="78BDCB2D" w:rsidR="007D385B" w:rsidRPr="00317CB4" w:rsidRDefault="007D385B" w:rsidP="00810113">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 xml:space="preserve">Frontex after the migration crisis </w:t>
      </w:r>
      <w:r w:rsidR="00A620E6" w:rsidRPr="00317CB4">
        <w:rPr>
          <w:b/>
          <w:bCs/>
          <w:color w:val="2F5496" w:themeColor="accent1" w:themeShade="BF"/>
          <w:lang w:val="en-GB"/>
        </w:rPr>
        <w:t>(2016-2023)</w:t>
      </w:r>
    </w:p>
    <w:p w14:paraId="66B115C7" w14:textId="2E1708BA" w:rsidR="007D385B" w:rsidRPr="00317CB4" w:rsidRDefault="007D385B" w:rsidP="007D385B">
      <w:pPr>
        <w:spacing w:line="360" w:lineRule="auto"/>
        <w:rPr>
          <w:lang w:val="en-GB"/>
        </w:rPr>
      </w:pPr>
      <w:r w:rsidRPr="00317CB4">
        <w:rPr>
          <w:lang w:val="en-GB"/>
        </w:rPr>
        <w:t xml:space="preserve">The EU has already long had the ambition to converge the member states’ laws on migration. This convergence was initiated in the 1980s with the Dublin Regulation, however, this piece of legislation has not been able to account for what Thielemann (2018) calls “pull-factors”: due to previously established historical and cultural connections or economic opportunities, some member states would always “pull in” more migrants than others. The importance of Frontex to the institutions is therefore quite high, as they rely on the agency and its functioning to make sure that these pull-factors do not lead to an unmanageably high number of migrants for the countries of first arrival (European Union, 2021).  Especially with the new mandates issued in 2016 and 2019, the institutions stressed that they wanted Frontex to be more efficient in this task. As can be seen in Table </w:t>
      </w:r>
      <w:r w:rsidR="00060B68" w:rsidRPr="00317CB4">
        <w:rPr>
          <w:lang w:val="en-GB"/>
        </w:rPr>
        <w:t>3</w:t>
      </w:r>
      <w:r w:rsidRPr="00317CB4">
        <w:rPr>
          <w:lang w:val="en-GB"/>
        </w:rPr>
        <w:t>, each new regulation increased the scope of tasks that the agency would be trusted with</w:t>
      </w:r>
      <w:r w:rsidR="00F918D8" w:rsidRPr="00317CB4">
        <w:rPr>
          <w:lang w:val="en-GB"/>
        </w:rPr>
        <w:t xml:space="preserve"> to ensure this requested efficiency. </w:t>
      </w:r>
    </w:p>
    <w:p w14:paraId="329D5347" w14:textId="04D1A84A" w:rsidR="007D385B" w:rsidRPr="00317CB4" w:rsidRDefault="007D385B" w:rsidP="007D385B">
      <w:pPr>
        <w:pStyle w:val="Caption"/>
        <w:keepNext/>
        <w:rPr>
          <w:lang w:val="en-GB"/>
        </w:rPr>
      </w:pPr>
      <w:r w:rsidRPr="00317CB4">
        <w:rPr>
          <w:lang w:val="en-GB"/>
        </w:rPr>
        <w:t xml:space="preserve">Table </w:t>
      </w:r>
      <w:r w:rsidR="00DB50BF" w:rsidRPr="00317CB4">
        <w:rPr>
          <w:lang w:val="en-GB"/>
        </w:rPr>
        <w:t>3</w:t>
      </w:r>
      <w:r w:rsidRPr="00317CB4">
        <w:rPr>
          <w:lang w:val="en-GB"/>
        </w:rPr>
        <w:t>: Excerpts from the 2004 - 2016 - 2019 Frontex Regulations</w:t>
      </w:r>
    </w:p>
    <w:tbl>
      <w:tblPr>
        <w:tblStyle w:val="TableGrid"/>
        <w:tblW w:w="0" w:type="auto"/>
        <w:tblLook w:val="04A0" w:firstRow="1" w:lastRow="0" w:firstColumn="1" w:lastColumn="0" w:noHBand="0" w:noVBand="1"/>
      </w:tblPr>
      <w:tblGrid>
        <w:gridCol w:w="2254"/>
        <w:gridCol w:w="2254"/>
        <w:gridCol w:w="2254"/>
        <w:gridCol w:w="2254"/>
      </w:tblGrid>
      <w:tr w:rsidR="007D385B" w:rsidRPr="00317CB4" w14:paraId="3E34219B" w14:textId="77777777" w:rsidTr="00C12249">
        <w:tc>
          <w:tcPr>
            <w:tcW w:w="9016" w:type="dxa"/>
            <w:gridSpan w:val="4"/>
            <w:tcBorders>
              <w:top w:val="nil"/>
              <w:left w:val="nil"/>
              <w:bottom w:val="single" w:sz="4" w:space="0" w:color="auto"/>
              <w:right w:val="nil"/>
            </w:tcBorders>
          </w:tcPr>
          <w:p w14:paraId="5890986B" w14:textId="77777777" w:rsidR="007D385B" w:rsidRPr="00317CB4" w:rsidRDefault="007D385B" w:rsidP="00C12249">
            <w:pPr>
              <w:spacing w:line="360" w:lineRule="auto"/>
              <w:rPr>
                <w:lang w:val="en-GB"/>
              </w:rPr>
            </w:pPr>
            <w:r w:rsidRPr="00317CB4">
              <w:rPr>
                <w:lang w:val="en-GB"/>
              </w:rPr>
              <w:t xml:space="preserve">Comparison of Articles in the Frontex Regulations over the years </w:t>
            </w:r>
          </w:p>
        </w:tc>
      </w:tr>
      <w:tr w:rsidR="007D385B" w:rsidRPr="00317CB4" w14:paraId="07F0CCC9" w14:textId="77777777" w:rsidTr="00C12249">
        <w:tc>
          <w:tcPr>
            <w:tcW w:w="2254" w:type="dxa"/>
            <w:tcBorders>
              <w:left w:val="nil"/>
              <w:bottom w:val="single" w:sz="4" w:space="0" w:color="auto"/>
            </w:tcBorders>
          </w:tcPr>
          <w:p w14:paraId="70F9FDE3" w14:textId="77777777" w:rsidR="007D385B" w:rsidRPr="00317CB4" w:rsidRDefault="007D385B" w:rsidP="00C12249">
            <w:pPr>
              <w:spacing w:line="360" w:lineRule="auto"/>
              <w:rPr>
                <w:b/>
                <w:bCs/>
                <w:lang w:val="en-GB"/>
              </w:rPr>
            </w:pPr>
            <w:r w:rsidRPr="00317CB4">
              <w:rPr>
                <w:b/>
                <w:bCs/>
                <w:lang w:val="en-GB"/>
              </w:rPr>
              <w:t>Explanation of Frontex’ Tasks</w:t>
            </w:r>
          </w:p>
        </w:tc>
        <w:tc>
          <w:tcPr>
            <w:tcW w:w="2254" w:type="dxa"/>
            <w:tcBorders>
              <w:bottom w:val="single" w:sz="4" w:space="0" w:color="auto"/>
            </w:tcBorders>
          </w:tcPr>
          <w:p w14:paraId="418DF1B7" w14:textId="77777777" w:rsidR="007D385B" w:rsidRPr="00317CB4" w:rsidRDefault="007D385B" w:rsidP="00C12249">
            <w:pPr>
              <w:spacing w:line="360" w:lineRule="auto"/>
              <w:rPr>
                <w:lang w:val="en-GB"/>
              </w:rPr>
            </w:pPr>
            <w:r w:rsidRPr="00317CB4">
              <w:rPr>
                <w:lang w:val="en-GB"/>
              </w:rPr>
              <w:t>2004 Regulation: Article 2 a-f</w:t>
            </w:r>
          </w:p>
        </w:tc>
        <w:tc>
          <w:tcPr>
            <w:tcW w:w="2254" w:type="dxa"/>
            <w:tcBorders>
              <w:bottom w:val="single" w:sz="4" w:space="0" w:color="auto"/>
            </w:tcBorders>
          </w:tcPr>
          <w:p w14:paraId="7D7EC3E1" w14:textId="77777777" w:rsidR="007D385B" w:rsidRPr="00317CB4" w:rsidRDefault="007D385B" w:rsidP="00C12249">
            <w:pPr>
              <w:spacing w:line="360" w:lineRule="auto"/>
              <w:rPr>
                <w:lang w:val="en-GB"/>
              </w:rPr>
            </w:pPr>
            <w:r w:rsidRPr="00317CB4">
              <w:rPr>
                <w:lang w:val="en-GB"/>
              </w:rPr>
              <w:t>2016 Regulation: Article 8 a-u</w:t>
            </w:r>
          </w:p>
        </w:tc>
        <w:tc>
          <w:tcPr>
            <w:tcW w:w="2254" w:type="dxa"/>
            <w:tcBorders>
              <w:bottom w:val="single" w:sz="4" w:space="0" w:color="auto"/>
              <w:right w:val="nil"/>
            </w:tcBorders>
          </w:tcPr>
          <w:p w14:paraId="032D9D1B" w14:textId="77777777" w:rsidR="007D385B" w:rsidRPr="00317CB4" w:rsidRDefault="007D385B" w:rsidP="00C12249">
            <w:pPr>
              <w:spacing w:line="360" w:lineRule="auto"/>
              <w:rPr>
                <w:lang w:val="en-GB"/>
              </w:rPr>
            </w:pPr>
            <w:r w:rsidRPr="00317CB4">
              <w:rPr>
                <w:lang w:val="en-GB"/>
              </w:rPr>
              <w:t>2019 Regulation: Chapter 2, Section 1, Article 10 a-ag</w:t>
            </w:r>
          </w:p>
        </w:tc>
      </w:tr>
      <w:tr w:rsidR="007D385B" w:rsidRPr="00317CB4" w14:paraId="27B0E77D" w14:textId="77777777" w:rsidTr="00C12249">
        <w:tc>
          <w:tcPr>
            <w:tcW w:w="2254" w:type="dxa"/>
            <w:tcBorders>
              <w:left w:val="nil"/>
              <w:bottom w:val="nil"/>
            </w:tcBorders>
          </w:tcPr>
          <w:p w14:paraId="3BECE26F" w14:textId="77777777" w:rsidR="007D385B" w:rsidRPr="00317CB4" w:rsidRDefault="007D385B" w:rsidP="00C12249">
            <w:pPr>
              <w:spacing w:line="360" w:lineRule="auto"/>
              <w:rPr>
                <w:b/>
                <w:bCs/>
                <w:lang w:val="en-GB"/>
              </w:rPr>
            </w:pPr>
            <w:r w:rsidRPr="00317CB4">
              <w:rPr>
                <w:b/>
                <w:bCs/>
                <w:lang w:val="en-GB"/>
              </w:rPr>
              <w:t xml:space="preserve">Vulnerability Assessment </w:t>
            </w:r>
          </w:p>
        </w:tc>
        <w:tc>
          <w:tcPr>
            <w:tcW w:w="2254" w:type="dxa"/>
            <w:tcBorders>
              <w:bottom w:val="nil"/>
            </w:tcBorders>
          </w:tcPr>
          <w:p w14:paraId="09B79BA1" w14:textId="77777777" w:rsidR="007D385B" w:rsidRPr="00317CB4" w:rsidRDefault="007D385B" w:rsidP="00C12249">
            <w:pPr>
              <w:spacing w:line="360" w:lineRule="auto"/>
              <w:rPr>
                <w:lang w:val="en-GB"/>
              </w:rPr>
            </w:pPr>
            <w:r w:rsidRPr="00317CB4">
              <w:rPr>
                <w:lang w:val="en-GB"/>
              </w:rPr>
              <w:t xml:space="preserve">2004 Regulation: </w:t>
            </w:r>
            <w:r w:rsidRPr="00317CB4">
              <w:rPr>
                <w:i/>
                <w:iCs/>
                <w:lang w:val="en-GB"/>
              </w:rPr>
              <w:t>Did not exist</w:t>
            </w:r>
            <w:r w:rsidRPr="00317CB4">
              <w:rPr>
                <w:lang w:val="en-GB"/>
              </w:rPr>
              <w:t xml:space="preserve"> </w:t>
            </w:r>
          </w:p>
        </w:tc>
        <w:tc>
          <w:tcPr>
            <w:tcW w:w="2254" w:type="dxa"/>
            <w:tcBorders>
              <w:bottom w:val="nil"/>
            </w:tcBorders>
          </w:tcPr>
          <w:p w14:paraId="63DA157A" w14:textId="77777777" w:rsidR="007D385B" w:rsidRPr="00317CB4" w:rsidRDefault="007D385B" w:rsidP="00C12249">
            <w:pPr>
              <w:spacing w:line="360" w:lineRule="auto"/>
              <w:rPr>
                <w:lang w:val="en-GB"/>
              </w:rPr>
            </w:pPr>
            <w:r w:rsidRPr="00317CB4">
              <w:rPr>
                <w:lang w:val="en-GB"/>
              </w:rPr>
              <w:t>2016 Regulation: Article 13</w:t>
            </w:r>
          </w:p>
        </w:tc>
        <w:tc>
          <w:tcPr>
            <w:tcW w:w="2254" w:type="dxa"/>
            <w:tcBorders>
              <w:bottom w:val="nil"/>
              <w:right w:val="nil"/>
            </w:tcBorders>
          </w:tcPr>
          <w:p w14:paraId="4076C6AE" w14:textId="77777777" w:rsidR="007D385B" w:rsidRPr="00317CB4" w:rsidRDefault="007D385B" w:rsidP="00C12249">
            <w:pPr>
              <w:spacing w:line="360" w:lineRule="auto"/>
              <w:rPr>
                <w:lang w:val="en-GB"/>
              </w:rPr>
            </w:pPr>
            <w:r w:rsidRPr="00317CB4">
              <w:rPr>
                <w:lang w:val="en-GB"/>
              </w:rPr>
              <w:t>2019 Regulation: Article 32</w:t>
            </w:r>
          </w:p>
        </w:tc>
      </w:tr>
    </w:tbl>
    <w:p w14:paraId="48AD7DED" w14:textId="77777777" w:rsidR="007D385B" w:rsidRPr="00317CB4" w:rsidRDefault="007D385B" w:rsidP="007D385B">
      <w:pPr>
        <w:spacing w:line="360" w:lineRule="auto"/>
        <w:rPr>
          <w:lang w:val="en-GB"/>
        </w:rPr>
      </w:pPr>
    </w:p>
    <w:p w14:paraId="42C4CCEE" w14:textId="609E2E1C" w:rsidR="007D385B" w:rsidRPr="00317CB4" w:rsidRDefault="007D385B" w:rsidP="00BB44F9">
      <w:pPr>
        <w:spacing w:line="360" w:lineRule="auto"/>
        <w:rPr>
          <w:lang w:val="en-GB"/>
        </w:rPr>
      </w:pPr>
      <w:r w:rsidRPr="00317CB4">
        <w:rPr>
          <w:lang w:val="en-GB"/>
        </w:rPr>
        <w:lastRenderedPageBreak/>
        <w:t>What the new mandates did not change, however, is that Frontex remains primarily under the control of the member states (Deleixhe &amp; Duez, 2019). This continues to provide potential for a challenge, because despite what the institutions are asking of Frontex to do at the external border, the last say remains with the member state whos</w:t>
      </w:r>
      <w:r w:rsidR="00E54D35" w:rsidRPr="00317CB4">
        <w:rPr>
          <w:lang w:val="en-GB"/>
        </w:rPr>
        <w:t>e</w:t>
      </w:r>
      <w:r w:rsidRPr="00317CB4">
        <w:rPr>
          <w:lang w:val="en-GB"/>
        </w:rPr>
        <w:t xml:space="preserve"> border is concerned. Further problems present themselves because the member states are not always united for a common approach to border management should be achieved. Operational cooperation for joint return operations can thus be difficult to acquire. Germany, for instance, wants the increase of border guards to 10,000 available for duty by 2027 to proceed faster than is mapped out in the regulation, but not all member states agree with this proposition. There are some convergences in what the member states want to achieve though, as they are all pushing for a </w:t>
      </w:r>
      <w:r w:rsidR="00AF5631" w:rsidRPr="00317CB4">
        <w:rPr>
          <w:lang w:val="en-GB"/>
        </w:rPr>
        <w:t xml:space="preserve">general </w:t>
      </w:r>
      <w:r w:rsidRPr="00317CB4">
        <w:rPr>
          <w:lang w:val="en-GB"/>
        </w:rPr>
        <w:t>reduction in irregular migration (Bossong, 2019). Especially after the peak of the crisis had been passed in 2016, there was a clear reduction in migrations arriving in the EU</w:t>
      </w:r>
      <w:r w:rsidR="00443614" w:rsidRPr="00317CB4">
        <w:rPr>
          <w:lang w:val="en-GB"/>
        </w:rPr>
        <w:t xml:space="preserve"> via the EU-Turkey deal</w:t>
      </w:r>
      <w:r w:rsidRPr="00317CB4">
        <w:rPr>
          <w:lang w:val="en-GB"/>
        </w:rPr>
        <w:t xml:space="preserve">, especially via the Eastern Route, but also via the Central Route that leads from North Africa and Turkey across the Mediterranean, as illustrated in Figure 1. It can thus be argued that Frontex acted upon the member states’ request in </w:t>
      </w:r>
      <w:r w:rsidR="00AF5631" w:rsidRPr="00317CB4">
        <w:rPr>
          <w:lang w:val="en-GB"/>
        </w:rPr>
        <w:t>2016</w:t>
      </w:r>
      <w:r w:rsidR="00443614" w:rsidRPr="00317CB4">
        <w:rPr>
          <w:lang w:val="en-GB"/>
        </w:rPr>
        <w:t xml:space="preserve">, as </w:t>
      </w:r>
      <w:r w:rsidR="003A280D" w:rsidRPr="00317CB4">
        <w:rPr>
          <w:lang w:val="en-GB"/>
        </w:rPr>
        <w:t>was also</w:t>
      </w:r>
      <w:r w:rsidR="00443614" w:rsidRPr="00317CB4">
        <w:rPr>
          <w:lang w:val="en-GB"/>
        </w:rPr>
        <w:t xml:space="preserve"> seen in section</w:t>
      </w:r>
      <w:r w:rsidR="0000488E" w:rsidRPr="00317CB4">
        <w:rPr>
          <w:lang w:val="en-GB"/>
        </w:rPr>
        <w:t xml:space="preserve"> 5.4</w:t>
      </w:r>
      <w:r w:rsidR="00443614" w:rsidRPr="00317CB4">
        <w:rPr>
          <w:lang w:val="en-GB"/>
        </w:rPr>
        <w:t xml:space="preserve">. </w:t>
      </w:r>
    </w:p>
    <w:p w14:paraId="12F6AC84" w14:textId="77777777" w:rsidR="007D385B" w:rsidRPr="00317CB4" w:rsidRDefault="007D385B" w:rsidP="007D385B">
      <w:pPr>
        <w:keepNext/>
        <w:spacing w:line="360" w:lineRule="auto"/>
        <w:rPr>
          <w:lang w:val="en-GB"/>
        </w:rPr>
      </w:pPr>
      <w:r w:rsidRPr="00317CB4">
        <w:rPr>
          <w:lang w:val="en-GB"/>
        </w:rPr>
        <w:drawing>
          <wp:inline distT="0" distB="0" distL="0" distR="0" wp14:anchorId="2F45BEC5" wp14:editId="21B44D95">
            <wp:extent cx="5721985" cy="2778125"/>
            <wp:effectExtent l="0" t="0" r="0" b="3175"/>
            <wp:docPr id="1576954880" name="Picture 157695488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1985" cy="2778125"/>
                    </a:xfrm>
                    <a:prstGeom prst="rect">
                      <a:avLst/>
                    </a:prstGeom>
                    <a:noFill/>
                    <a:ln>
                      <a:noFill/>
                    </a:ln>
                  </pic:spPr>
                </pic:pic>
              </a:graphicData>
            </a:graphic>
          </wp:inline>
        </w:drawing>
      </w:r>
    </w:p>
    <w:p w14:paraId="1C450691" w14:textId="2F14161A" w:rsidR="007D385B" w:rsidRPr="00317CB4" w:rsidRDefault="007D385B" w:rsidP="007D385B">
      <w:pPr>
        <w:pStyle w:val="Caption"/>
        <w:rPr>
          <w:lang w:val="en-GB"/>
        </w:rPr>
      </w:pPr>
      <w:r w:rsidRPr="00317CB4">
        <w:rPr>
          <w:lang w:val="en-GB"/>
        </w:rPr>
        <w:t xml:space="preserve">Figure </w:t>
      </w:r>
      <w:r w:rsidRPr="00317CB4">
        <w:rPr>
          <w:lang w:val="en-GB"/>
        </w:rPr>
        <w:fldChar w:fldCharType="begin"/>
      </w:r>
      <w:r w:rsidRPr="00317CB4">
        <w:rPr>
          <w:lang w:val="en-GB"/>
        </w:rPr>
        <w:instrText xml:space="preserve"> SEQ Figure \* ARABIC </w:instrText>
      </w:r>
      <w:r w:rsidRPr="00317CB4">
        <w:rPr>
          <w:lang w:val="en-GB"/>
        </w:rPr>
        <w:fldChar w:fldCharType="separate"/>
      </w:r>
      <w:r w:rsidRPr="00317CB4">
        <w:rPr>
          <w:lang w:val="en-GB"/>
        </w:rPr>
        <w:t>1</w:t>
      </w:r>
      <w:r w:rsidRPr="00317CB4">
        <w:rPr>
          <w:lang w:val="en-GB"/>
        </w:rPr>
        <w:fldChar w:fldCharType="end"/>
      </w:r>
      <w:r w:rsidRPr="00317CB4">
        <w:rPr>
          <w:lang w:val="en-GB"/>
        </w:rPr>
        <w:t>: Variation in the number of irregular arrivals in the EU, 2014-2020</w:t>
      </w:r>
    </w:p>
    <w:p w14:paraId="1F19AE83" w14:textId="77777777" w:rsidR="007D385B" w:rsidRPr="00317CB4" w:rsidRDefault="007D385B" w:rsidP="007D385B">
      <w:pPr>
        <w:rPr>
          <w:lang w:val="en-GB"/>
        </w:rPr>
      </w:pPr>
    </w:p>
    <w:p w14:paraId="37489628" w14:textId="77777777" w:rsidR="007D385B" w:rsidRPr="00317CB4" w:rsidRDefault="007D385B" w:rsidP="007D385B">
      <w:pPr>
        <w:spacing w:line="360" w:lineRule="auto"/>
        <w:rPr>
          <w:lang w:val="en-GB"/>
        </w:rPr>
      </w:pPr>
      <w:r w:rsidRPr="00317CB4">
        <w:rPr>
          <w:lang w:val="en-GB"/>
        </w:rPr>
        <w:t xml:space="preserve">A request such as a noticeable reduction of irregular migrants is targeting the core of Frontex’ mandate. Not complying with this kind of request would logically lead to reduced reputation in the eyes of the audience, no matter which audience that is. At the same time as the member states wanted to ensure that the external borders are closed to irregular migrants, the European Parliament had different plans. According to Bossong (2019), negotiations were initiated to provide a financial incentive for third countries to accept the migrants instead of EU countries. These are the so-called transit countries, as the migrants would be sent there from the European external border, to the third country, and then back to their country of origin. This could look as follows: Hungary (European external border country) – </w:t>
      </w:r>
      <w:r w:rsidRPr="00317CB4">
        <w:rPr>
          <w:lang w:val="en-GB"/>
        </w:rPr>
        <w:lastRenderedPageBreak/>
        <w:t xml:space="preserve">Morocco (transit country) – Nigeria (country of origin). Even though negotiations among the member states and involved third countries to carry out these operations were already started, the European Parliament prevented Frontex from initiating such return operations and as a consequence weakened the effectiveness of a part of Frontex’ core mandate, operational cooperation for joint return operations (Bossong, 2019). </w:t>
      </w:r>
    </w:p>
    <w:p w14:paraId="76B549B4" w14:textId="6B94632C" w:rsidR="007D385B" w:rsidRPr="00317CB4" w:rsidRDefault="009F4F66" w:rsidP="007D385B">
      <w:pPr>
        <w:spacing w:line="360" w:lineRule="auto"/>
        <w:ind w:firstLine="720"/>
        <w:rPr>
          <w:lang w:val="en-GB"/>
        </w:rPr>
      </w:pPr>
      <w:r w:rsidRPr="00317CB4">
        <w:rPr>
          <w:lang w:val="en-GB"/>
        </w:rPr>
        <w:t>Here, both</w:t>
      </w:r>
      <w:r w:rsidR="007D385B" w:rsidRPr="00317CB4">
        <w:rPr>
          <w:lang w:val="en-GB"/>
        </w:rPr>
        <w:t xml:space="preserve"> members of Frontex’ audience were making demands to Frontex to act upon an aspect of its core mandate, the return of migrants through joint operations. Yet, the demands to the  execution of the mandate contradicted each other as the European Parliament prevented the mandate from being put to practice, potentially because the Parliament was concerned about Frontex’ increase of power, but also due to human rights concerns. At the same time, </w:t>
      </w:r>
      <w:r w:rsidR="00BC2F1A" w:rsidRPr="00317CB4">
        <w:rPr>
          <w:lang w:val="en-GB"/>
        </w:rPr>
        <w:t xml:space="preserve">some of </w:t>
      </w:r>
      <w:r w:rsidR="007D385B" w:rsidRPr="00317CB4">
        <w:rPr>
          <w:lang w:val="en-GB"/>
        </w:rPr>
        <w:t xml:space="preserve">the member states, such as Poland, Italy, or Greece wanted Frontex to assist in the reduction of irregular migrants through such return operations (Bossong, 2019; Fjørtoft, 2022). Hence, the member states and the institutions wanted opposing things to be achieved by Frontex. </w:t>
      </w:r>
    </w:p>
    <w:p w14:paraId="12096CFC" w14:textId="195828C2" w:rsidR="00C80350" w:rsidRPr="00317CB4" w:rsidRDefault="00A55A60" w:rsidP="007D385B">
      <w:pPr>
        <w:spacing w:line="360" w:lineRule="auto"/>
        <w:ind w:firstLine="720"/>
        <w:rPr>
          <w:lang w:val="en-GB"/>
        </w:rPr>
      </w:pPr>
      <w:r w:rsidRPr="00317CB4">
        <w:rPr>
          <w:lang w:val="en-GB"/>
        </w:rPr>
        <w:t xml:space="preserve">In the end, no </w:t>
      </w:r>
      <w:r w:rsidR="002E7EEE" w:rsidRPr="00317CB4">
        <w:rPr>
          <w:lang w:val="en-GB"/>
        </w:rPr>
        <w:t xml:space="preserve">decisive </w:t>
      </w:r>
      <w:r w:rsidRPr="00317CB4">
        <w:rPr>
          <w:lang w:val="en-GB"/>
        </w:rPr>
        <w:t xml:space="preserve">agreement on how joint return operations </w:t>
      </w:r>
      <w:r w:rsidR="00E1415E" w:rsidRPr="00317CB4">
        <w:rPr>
          <w:lang w:val="en-GB"/>
        </w:rPr>
        <w:t>are</w:t>
      </w:r>
      <w:r w:rsidR="00E1415E" w:rsidRPr="00317CB4">
        <w:rPr>
          <w:lang w:val="en-GB"/>
        </w:rPr>
        <w:t xml:space="preserve"> </w:t>
      </w:r>
      <w:r w:rsidRPr="00317CB4">
        <w:rPr>
          <w:lang w:val="en-GB"/>
        </w:rPr>
        <w:t>to be conducted</w:t>
      </w:r>
      <w:r w:rsidR="00113BBF" w:rsidRPr="00317CB4">
        <w:rPr>
          <w:lang w:val="en-GB"/>
        </w:rPr>
        <w:t xml:space="preserve"> </w:t>
      </w:r>
      <w:r w:rsidR="00E1415E" w:rsidRPr="00317CB4">
        <w:rPr>
          <w:lang w:val="en-GB"/>
        </w:rPr>
        <w:t xml:space="preserve">was reached </w:t>
      </w:r>
      <w:r w:rsidR="00113BBF" w:rsidRPr="00317CB4">
        <w:rPr>
          <w:lang w:val="en-GB"/>
        </w:rPr>
        <w:t xml:space="preserve">until </w:t>
      </w:r>
      <w:r w:rsidR="0089466D" w:rsidRPr="00317CB4">
        <w:rPr>
          <w:lang w:val="en-GB"/>
        </w:rPr>
        <w:t>June 2023</w:t>
      </w:r>
      <w:r w:rsidR="00113BBF" w:rsidRPr="00317CB4">
        <w:rPr>
          <w:lang w:val="en-GB"/>
        </w:rPr>
        <w:t xml:space="preserve">. </w:t>
      </w:r>
      <w:r w:rsidR="0089466D" w:rsidRPr="00317CB4">
        <w:rPr>
          <w:lang w:val="en-GB"/>
        </w:rPr>
        <w:t>Until then, t</w:t>
      </w:r>
      <w:r w:rsidR="003D4A6F" w:rsidRPr="00317CB4">
        <w:rPr>
          <w:lang w:val="en-GB"/>
        </w:rPr>
        <w:t>he member states</w:t>
      </w:r>
      <w:r w:rsidR="00F959EB" w:rsidRPr="00317CB4">
        <w:rPr>
          <w:lang w:val="en-GB"/>
        </w:rPr>
        <w:t xml:space="preserve"> themselves</w:t>
      </w:r>
      <w:r w:rsidR="003D4A6F" w:rsidRPr="00317CB4">
        <w:rPr>
          <w:lang w:val="en-GB"/>
        </w:rPr>
        <w:t xml:space="preserve"> largely wanted to achieve different things, and the divergence between the individual demands </w:t>
      </w:r>
      <w:r w:rsidR="00A118A8" w:rsidRPr="00317CB4">
        <w:rPr>
          <w:lang w:val="en-GB"/>
        </w:rPr>
        <w:t xml:space="preserve">could not initially be bridged. </w:t>
      </w:r>
      <w:r w:rsidR="00B57807" w:rsidRPr="00317CB4">
        <w:rPr>
          <w:lang w:val="en-GB"/>
        </w:rPr>
        <w:t>Austria, for example</w:t>
      </w:r>
      <w:r w:rsidR="00E54D35" w:rsidRPr="00317CB4">
        <w:rPr>
          <w:lang w:val="en-GB"/>
        </w:rPr>
        <w:t>,</w:t>
      </w:r>
      <w:r w:rsidR="00B57807" w:rsidRPr="00317CB4">
        <w:rPr>
          <w:lang w:val="en-GB"/>
        </w:rPr>
        <w:t xml:space="preserve"> wanted migrants to be returned to “safe zones” in Africa</w:t>
      </w:r>
      <w:r w:rsidR="0019783C" w:rsidRPr="00317CB4">
        <w:rPr>
          <w:lang w:val="en-GB"/>
        </w:rPr>
        <w:t>, despite this suggestion not being in line with both EU and international</w:t>
      </w:r>
      <w:r w:rsidR="00FD52EE" w:rsidRPr="00317CB4">
        <w:rPr>
          <w:lang w:val="en-GB"/>
        </w:rPr>
        <w:t xml:space="preserve"> human</w:t>
      </w:r>
      <w:r w:rsidR="0019783C" w:rsidRPr="00317CB4">
        <w:rPr>
          <w:lang w:val="en-GB"/>
        </w:rPr>
        <w:t xml:space="preserve"> law</w:t>
      </w:r>
      <w:r w:rsidR="007F438E" w:rsidRPr="00317CB4">
        <w:rPr>
          <w:lang w:val="en-GB"/>
        </w:rPr>
        <w:t>.</w:t>
      </w:r>
      <w:r w:rsidR="0019783C" w:rsidRPr="00317CB4">
        <w:rPr>
          <w:lang w:val="en-GB"/>
        </w:rPr>
        <w:t xml:space="preserve"> </w:t>
      </w:r>
      <w:r w:rsidR="00A5789B" w:rsidRPr="00317CB4">
        <w:rPr>
          <w:lang w:val="en-GB"/>
        </w:rPr>
        <w:t xml:space="preserve">Denmark, as another example, suggested </w:t>
      </w:r>
      <w:r w:rsidR="00E54D35" w:rsidRPr="00317CB4">
        <w:rPr>
          <w:lang w:val="en-GB"/>
        </w:rPr>
        <w:t>re-hosting</w:t>
      </w:r>
      <w:r w:rsidR="004F3117" w:rsidRPr="00317CB4">
        <w:rPr>
          <w:lang w:val="en-GB"/>
        </w:rPr>
        <w:t xml:space="preserve"> asylum seeking migrants to “undesirable” parts of Europe</w:t>
      </w:r>
      <w:r w:rsidR="007F438E" w:rsidRPr="00317CB4">
        <w:rPr>
          <w:lang w:val="en-GB"/>
        </w:rPr>
        <w:t xml:space="preserve"> (</w:t>
      </w:r>
      <w:r w:rsidR="00CB3065" w:rsidRPr="00317CB4">
        <w:rPr>
          <w:lang w:val="en-GB"/>
        </w:rPr>
        <w:t>Collett &amp; Fratzke, 2018</w:t>
      </w:r>
      <w:r w:rsidR="007F438E" w:rsidRPr="00317CB4">
        <w:rPr>
          <w:lang w:val="en-GB"/>
        </w:rPr>
        <w:t xml:space="preserve">). </w:t>
      </w:r>
      <w:r w:rsidR="00E616CB" w:rsidRPr="00317CB4">
        <w:rPr>
          <w:lang w:val="en-GB"/>
        </w:rPr>
        <w:t>Meanwhile, the European Parliament wanted to achieve more sustainable return operations that would ensure that asylum seekers are successfully re-emigrated into their own country of origin</w:t>
      </w:r>
      <w:r w:rsidR="00F06D39" w:rsidRPr="00317CB4">
        <w:rPr>
          <w:lang w:val="en-GB"/>
        </w:rPr>
        <w:t xml:space="preserve">. However, to be successful in this endeavour, it would be required that </w:t>
      </w:r>
      <w:r w:rsidR="00962742" w:rsidRPr="00317CB4">
        <w:rPr>
          <w:lang w:val="en-GB"/>
        </w:rPr>
        <w:t xml:space="preserve">reintegration into the country of origin takes place before the departure from that country, implying that the root cause for </w:t>
      </w:r>
      <w:r w:rsidR="00A15E26" w:rsidRPr="00317CB4">
        <w:rPr>
          <w:lang w:val="en-GB"/>
        </w:rPr>
        <w:t>migration</w:t>
      </w:r>
      <w:r w:rsidR="00522269" w:rsidRPr="00317CB4">
        <w:rPr>
          <w:lang w:val="en-GB"/>
        </w:rPr>
        <w:t xml:space="preserve"> is</w:t>
      </w:r>
      <w:r w:rsidR="00872AB8" w:rsidRPr="00317CB4">
        <w:rPr>
          <w:lang w:val="en-GB"/>
        </w:rPr>
        <w:t xml:space="preserve"> to be</w:t>
      </w:r>
      <w:r w:rsidR="00522269" w:rsidRPr="00317CB4">
        <w:rPr>
          <w:lang w:val="en-GB"/>
        </w:rPr>
        <w:t xml:space="preserve"> eradicated.</w:t>
      </w:r>
      <w:r w:rsidR="00AE11FE" w:rsidRPr="00317CB4">
        <w:rPr>
          <w:lang w:val="en-GB"/>
        </w:rPr>
        <w:t xml:space="preserve"> The European Parliament would </w:t>
      </w:r>
      <w:r w:rsidR="00434AD5" w:rsidRPr="00317CB4">
        <w:rPr>
          <w:lang w:val="en-GB"/>
        </w:rPr>
        <w:t>also prefer it if the member states advocated voluntary returns of migrants over forced returns</w:t>
      </w:r>
      <w:r w:rsidR="00F930C7" w:rsidRPr="00317CB4">
        <w:rPr>
          <w:lang w:val="en-GB"/>
        </w:rPr>
        <w:t xml:space="preserve"> (</w:t>
      </w:r>
      <w:r w:rsidR="00330C8D" w:rsidRPr="00317CB4">
        <w:rPr>
          <w:lang w:val="en-GB"/>
        </w:rPr>
        <w:t>Latek, 2017</w:t>
      </w:r>
      <w:r w:rsidR="003A280D" w:rsidRPr="00317CB4">
        <w:rPr>
          <w:lang w:val="en-GB"/>
        </w:rPr>
        <w:t>)</w:t>
      </w:r>
      <w:r w:rsidR="00832FC2" w:rsidRPr="00317CB4">
        <w:rPr>
          <w:lang w:val="en-GB"/>
        </w:rPr>
        <w:t xml:space="preserve"> </w:t>
      </w:r>
    </w:p>
    <w:p w14:paraId="03ED382C" w14:textId="30FC6590" w:rsidR="005C22A1" w:rsidRPr="00317CB4" w:rsidRDefault="00832FC2" w:rsidP="00C80350">
      <w:pPr>
        <w:spacing w:line="360" w:lineRule="auto"/>
        <w:ind w:firstLine="720"/>
        <w:rPr>
          <w:lang w:val="en-GB"/>
        </w:rPr>
      </w:pPr>
      <w:r w:rsidRPr="00317CB4">
        <w:rPr>
          <w:lang w:val="en-GB"/>
        </w:rPr>
        <w:t xml:space="preserve">Because the institutions have </w:t>
      </w:r>
      <w:r w:rsidR="0074058E" w:rsidRPr="00317CB4">
        <w:rPr>
          <w:lang w:val="en-GB"/>
        </w:rPr>
        <w:t>at the time of writing not yet concluded the negotiations</w:t>
      </w:r>
      <w:r w:rsidR="00F959EB" w:rsidRPr="00317CB4">
        <w:rPr>
          <w:lang w:val="en-GB"/>
        </w:rPr>
        <w:t xml:space="preserve"> after the Council agreement in </w:t>
      </w:r>
      <w:r w:rsidR="008319A5" w:rsidRPr="00317CB4">
        <w:rPr>
          <w:lang w:val="en-GB"/>
        </w:rPr>
        <w:t>June 2023</w:t>
      </w:r>
      <w:r w:rsidR="0074058E" w:rsidRPr="00317CB4">
        <w:rPr>
          <w:lang w:val="en-GB"/>
        </w:rPr>
        <w:t>, it cannot yet be stated what role they want Frontex to take</w:t>
      </w:r>
      <w:r w:rsidR="00C80350" w:rsidRPr="00317CB4">
        <w:rPr>
          <w:lang w:val="en-GB"/>
        </w:rPr>
        <w:t xml:space="preserve">. </w:t>
      </w:r>
      <w:r w:rsidR="009D06DC" w:rsidRPr="00317CB4">
        <w:rPr>
          <w:lang w:val="en-GB"/>
        </w:rPr>
        <w:t xml:space="preserve">Stemming from the previous developments in how joint return operations were intended to be carried out, as well as the overall pressure to deliver on a coordinated asylum policy approach, it is </w:t>
      </w:r>
      <w:r w:rsidR="00E25C01" w:rsidRPr="00317CB4">
        <w:rPr>
          <w:lang w:val="en-GB"/>
        </w:rPr>
        <w:t>likely</w:t>
      </w:r>
      <w:r w:rsidR="009D06DC" w:rsidRPr="00317CB4">
        <w:rPr>
          <w:lang w:val="en-GB"/>
        </w:rPr>
        <w:t xml:space="preserve"> that the institutions agree to the </w:t>
      </w:r>
      <w:r w:rsidR="00111BE3" w:rsidRPr="00317CB4">
        <w:rPr>
          <w:lang w:val="en-GB"/>
        </w:rPr>
        <w:t xml:space="preserve">approach suggested by the member states. </w:t>
      </w:r>
      <w:r w:rsidR="002D6710" w:rsidRPr="00317CB4">
        <w:rPr>
          <w:lang w:val="en-GB"/>
        </w:rPr>
        <w:t xml:space="preserve">Furthermore, as Germany wants to increase the number of border guards employed by Frontex until 2027 </w:t>
      </w:r>
      <w:r w:rsidR="00FA13B1" w:rsidRPr="00317CB4">
        <w:rPr>
          <w:lang w:val="en-GB"/>
        </w:rPr>
        <w:t xml:space="preserve">to 10,000 </w:t>
      </w:r>
      <w:r w:rsidR="002D6710" w:rsidRPr="00317CB4">
        <w:rPr>
          <w:lang w:val="en-GB"/>
        </w:rPr>
        <w:t xml:space="preserve">and </w:t>
      </w:r>
      <w:r w:rsidR="00FA13B1" w:rsidRPr="00317CB4">
        <w:rPr>
          <w:lang w:val="en-GB"/>
        </w:rPr>
        <w:t xml:space="preserve">Chancellor Scholz </w:t>
      </w:r>
      <w:r w:rsidR="002D6710" w:rsidRPr="00317CB4">
        <w:rPr>
          <w:lang w:val="en-GB"/>
        </w:rPr>
        <w:t xml:space="preserve">additionally stressed that </w:t>
      </w:r>
      <w:r w:rsidR="00CD1E23" w:rsidRPr="00317CB4">
        <w:rPr>
          <w:lang w:val="en-GB"/>
        </w:rPr>
        <w:t xml:space="preserve">“cooperation is in order” when the management of arriving migrants is </w:t>
      </w:r>
      <w:r w:rsidR="00FA13B1" w:rsidRPr="00317CB4">
        <w:rPr>
          <w:lang w:val="en-GB"/>
        </w:rPr>
        <w:t>concerned</w:t>
      </w:r>
      <w:r w:rsidR="00B84747" w:rsidRPr="00317CB4">
        <w:rPr>
          <w:lang w:val="en-GB"/>
        </w:rPr>
        <w:t xml:space="preserve"> (</w:t>
      </w:r>
      <w:r w:rsidR="001D4B6F" w:rsidRPr="00317CB4">
        <w:rPr>
          <w:lang w:val="en-GB"/>
        </w:rPr>
        <w:t>Sorgi &amp; Barigazzi, 2023</w:t>
      </w:r>
      <w:r w:rsidR="00B84747" w:rsidRPr="00317CB4">
        <w:rPr>
          <w:lang w:val="en-GB"/>
        </w:rPr>
        <w:t>)</w:t>
      </w:r>
      <w:r w:rsidR="00FA13B1" w:rsidRPr="00317CB4">
        <w:rPr>
          <w:lang w:val="en-GB"/>
        </w:rPr>
        <w:t xml:space="preserve">, it </w:t>
      </w:r>
      <w:r w:rsidR="00EB0203" w:rsidRPr="00317CB4">
        <w:rPr>
          <w:lang w:val="en-GB"/>
        </w:rPr>
        <w:t xml:space="preserve">would seem likely that at least the member states will want </w:t>
      </w:r>
      <w:r w:rsidR="00D33EF9" w:rsidRPr="00317CB4">
        <w:rPr>
          <w:lang w:val="en-GB"/>
        </w:rPr>
        <w:t>Frontex</w:t>
      </w:r>
      <w:r w:rsidR="000F7770" w:rsidRPr="00317CB4">
        <w:rPr>
          <w:lang w:val="en-GB"/>
        </w:rPr>
        <w:t>’ assistance</w:t>
      </w:r>
      <w:r w:rsidR="00BF72D9" w:rsidRPr="00317CB4">
        <w:rPr>
          <w:lang w:val="en-GB"/>
        </w:rPr>
        <w:t>.</w:t>
      </w:r>
      <w:r w:rsidR="004F4EF0" w:rsidRPr="00317CB4">
        <w:rPr>
          <w:lang w:val="en-GB"/>
        </w:rPr>
        <w:t xml:space="preserve"> </w:t>
      </w:r>
      <w:r w:rsidR="00B84747" w:rsidRPr="00317CB4">
        <w:rPr>
          <w:lang w:val="en-GB"/>
        </w:rPr>
        <w:t xml:space="preserve">This is further supported by the </w:t>
      </w:r>
      <w:r w:rsidR="006B0F70" w:rsidRPr="00317CB4">
        <w:rPr>
          <w:lang w:val="en-GB"/>
        </w:rPr>
        <w:t>pre-screening process through which each arriving asylum seeker would need to go</w:t>
      </w:r>
      <w:r w:rsidR="00D02434" w:rsidRPr="00317CB4">
        <w:rPr>
          <w:lang w:val="en-GB"/>
        </w:rPr>
        <w:t xml:space="preserve"> to decide where they are allowed to settle</w:t>
      </w:r>
      <w:r w:rsidR="00BF72D9" w:rsidRPr="00317CB4">
        <w:rPr>
          <w:lang w:val="en-GB"/>
        </w:rPr>
        <w:t xml:space="preserve"> (</w:t>
      </w:r>
      <w:r w:rsidR="001D4B6F" w:rsidRPr="00317CB4">
        <w:rPr>
          <w:lang w:val="en-GB"/>
        </w:rPr>
        <w:t>Sorgi &amp; Barigazzi, 2023a</w:t>
      </w:r>
      <w:r w:rsidR="00BF72D9" w:rsidRPr="00317CB4">
        <w:rPr>
          <w:lang w:val="en-GB"/>
        </w:rPr>
        <w:t>).</w:t>
      </w:r>
      <w:r w:rsidR="008E0D58" w:rsidRPr="00317CB4">
        <w:rPr>
          <w:lang w:val="en-GB"/>
        </w:rPr>
        <w:t xml:space="preserve"> </w:t>
      </w:r>
      <w:r w:rsidR="008E0D58" w:rsidRPr="00317CB4">
        <w:rPr>
          <w:lang w:val="en-GB"/>
        </w:rPr>
        <w:lastRenderedPageBreak/>
        <w:t xml:space="preserve">For such a process, administrative, but also policing capabilities are required to ensure that the process can be carried out </w:t>
      </w:r>
      <w:r w:rsidR="00E1619D" w:rsidRPr="00317CB4">
        <w:rPr>
          <w:lang w:val="en-GB"/>
        </w:rPr>
        <w:t>in the most effective way,</w:t>
      </w:r>
      <w:r w:rsidR="0058751B" w:rsidRPr="00317CB4">
        <w:rPr>
          <w:lang w:val="en-GB"/>
        </w:rPr>
        <w:t xml:space="preserve"> such as those that Frontex already has. </w:t>
      </w:r>
      <w:r w:rsidR="00E1619D" w:rsidRPr="00317CB4">
        <w:rPr>
          <w:lang w:val="en-GB"/>
        </w:rPr>
        <w:t xml:space="preserve"> </w:t>
      </w:r>
      <w:r w:rsidR="0058751B" w:rsidRPr="00317CB4">
        <w:rPr>
          <w:lang w:val="en-GB"/>
        </w:rPr>
        <w:t>The use of Frontex therefore offers itself in this scenario</w:t>
      </w:r>
      <w:r w:rsidR="00971BBE" w:rsidRPr="00317CB4">
        <w:rPr>
          <w:lang w:val="en-GB"/>
        </w:rPr>
        <w:t xml:space="preserve">. </w:t>
      </w:r>
    </w:p>
    <w:p w14:paraId="56255CBD" w14:textId="78FDB433" w:rsidR="007B0AB1" w:rsidRPr="00317CB4" w:rsidRDefault="00267BBF" w:rsidP="00692C5E">
      <w:pPr>
        <w:spacing w:line="360" w:lineRule="auto"/>
        <w:ind w:firstLine="720"/>
        <w:rPr>
          <w:lang w:val="en-GB"/>
        </w:rPr>
      </w:pPr>
      <w:r w:rsidRPr="00317CB4">
        <w:rPr>
          <w:lang w:val="en-GB"/>
        </w:rPr>
        <w:t xml:space="preserve">Since 2016, the member states and the European Parliament have been expressing opposing </w:t>
      </w:r>
      <w:r w:rsidR="00E2400F" w:rsidRPr="00317CB4">
        <w:rPr>
          <w:lang w:val="en-GB"/>
        </w:rPr>
        <w:t>approaches to joint</w:t>
      </w:r>
      <w:r w:rsidR="008348C7" w:rsidRPr="00317CB4">
        <w:rPr>
          <w:lang w:val="en-GB"/>
        </w:rPr>
        <w:t xml:space="preserve"> operations</w:t>
      </w:r>
      <w:r w:rsidRPr="00317CB4">
        <w:rPr>
          <w:lang w:val="en-GB"/>
        </w:rPr>
        <w:t xml:space="preserve"> </w:t>
      </w:r>
      <w:r w:rsidR="001403CE" w:rsidRPr="00317CB4">
        <w:rPr>
          <w:lang w:val="en-GB"/>
        </w:rPr>
        <w:t xml:space="preserve">from Frontex. However, Frontex has thus far refrained from taking a stance </w:t>
      </w:r>
      <w:r w:rsidR="00AB53D2" w:rsidRPr="00317CB4">
        <w:rPr>
          <w:lang w:val="en-GB"/>
        </w:rPr>
        <w:t>in this specific debat</w:t>
      </w:r>
      <w:r w:rsidR="008348C7" w:rsidRPr="00317CB4">
        <w:rPr>
          <w:lang w:val="en-GB"/>
        </w:rPr>
        <w:t xml:space="preserve">e. This may be due to the Parliament’s ability to add to or reduce the </w:t>
      </w:r>
      <w:r w:rsidR="00DA59BC" w:rsidRPr="00317CB4">
        <w:rPr>
          <w:lang w:val="en-GB"/>
        </w:rPr>
        <w:t>budget that Frontex can refer to</w:t>
      </w:r>
      <w:r w:rsidR="00EB3943" w:rsidRPr="00317CB4">
        <w:rPr>
          <w:lang w:val="en-GB"/>
        </w:rPr>
        <w:t xml:space="preserve"> (Perkowski, 2019; von der Burchard, 2021). </w:t>
      </w:r>
      <w:r w:rsidR="006901BD" w:rsidRPr="00317CB4">
        <w:rPr>
          <w:lang w:val="en-GB"/>
        </w:rPr>
        <w:t xml:space="preserve">Because Frontex has not yet responded to either audience member’s demands, </w:t>
      </w:r>
      <w:r w:rsidR="0026581C" w:rsidRPr="00317CB4">
        <w:rPr>
          <w:lang w:val="en-GB"/>
        </w:rPr>
        <w:t xml:space="preserve">it is also not exactly putting its own reputation on the line. Since no definite decision has been made, </w:t>
      </w:r>
      <w:r w:rsidR="00FC1CCD" w:rsidRPr="00317CB4">
        <w:rPr>
          <w:lang w:val="en-GB"/>
        </w:rPr>
        <w:t>neither audience can hold inaction over Frontex’ head</w:t>
      </w:r>
      <w:r w:rsidR="001A69C6" w:rsidRPr="00317CB4">
        <w:rPr>
          <w:lang w:val="en-GB"/>
        </w:rPr>
        <w:t xml:space="preserve"> as no demand for specific action has been articulated. </w:t>
      </w:r>
      <w:r w:rsidR="00BE3E54" w:rsidRPr="00317CB4">
        <w:rPr>
          <w:lang w:val="en-GB"/>
        </w:rPr>
        <w:t>Consequently, there is also no threat to Frontex’ reputation that would emerge from this situation</w:t>
      </w:r>
      <w:r w:rsidR="005D0D6C" w:rsidRPr="00317CB4">
        <w:rPr>
          <w:lang w:val="en-GB"/>
        </w:rPr>
        <w:t xml:space="preserve">. This may be subjected to change </w:t>
      </w:r>
      <w:r w:rsidR="00A3351E" w:rsidRPr="00317CB4">
        <w:rPr>
          <w:lang w:val="en-GB"/>
        </w:rPr>
        <w:t>after the decision that was reached in the European Council in early June 2023</w:t>
      </w:r>
      <w:r w:rsidR="00BD245D" w:rsidRPr="00317CB4">
        <w:rPr>
          <w:lang w:val="en-GB"/>
        </w:rPr>
        <w:t xml:space="preserve">, but it is </w:t>
      </w:r>
      <w:r w:rsidR="004A1602" w:rsidRPr="00317CB4">
        <w:rPr>
          <w:lang w:val="en-GB"/>
        </w:rPr>
        <w:t xml:space="preserve">not </w:t>
      </w:r>
      <w:r w:rsidR="00BD245D" w:rsidRPr="00317CB4">
        <w:rPr>
          <w:lang w:val="en-GB"/>
        </w:rPr>
        <w:t xml:space="preserve">yet </w:t>
      </w:r>
      <w:r w:rsidR="004A1602" w:rsidRPr="00317CB4">
        <w:rPr>
          <w:lang w:val="en-GB"/>
        </w:rPr>
        <w:t>possible to say whether the audience members want opposing things from Frontex</w:t>
      </w:r>
      <w:r w:rsidR="0034181C" w:rsidRPr="00317CB4">
        <w:rPr>
          <w:lang w:val="en-GB"/>
        </w:rPr>
        <w:t xml:space="preserve"> which would require the agency to choose one set of demands over the other. </w:t>
      </w:r>
      <w:r w:rsidR="00725351" w:rsidRPr="00317CB4">
        <w:rPr>
          <w:lang w:val="en-GB"/>
        </w:rPr>
        <w:t>As a result, neither the second, nor the third expectation can be confirmed or denied</w:t>
      </w:r>
      <w:r w:rsidR="00AE1119" w:rsidRPr="00317CB4">
        <w:rPr>
          <w:lang w:val="en-GB"/>
        </w:rPr>
        <w:t xml:space="preserve"> but remain in limbo</w:t>
      </w:r>
      <w:r w:rsidR="00C3678B" w:rsidRPr="00317CB4">
        <w:rPr>
          <w:lang w:val="en-GB"/>
        </w:rPr>
        <w:t xml:space="preserve"> with regards to what Frontex will be expected and tasked to do. </w:t>
      </w:r>
      <w:r w:rsidR="00725351" w:rsidRPr="00317CB4">
        <w:rPr>
          <w:lang w:val="en-GB"/>
        </w:rPr>
        <w:t xml:space="preserve"> </w:t>
      </w:r>
    </w:p>
    <w:p w14:paraId="6CA8ED39" w14:textId="6FA70406" w:rsidR="007D385B" w:rsidRPr="00317CB4" w:rsidRDefault="007D385B" w:rsidP="00810113">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Pushback allegations (2021)</w:t>
      </w:r>
    </w:p>
    <w:p w14:paraId="27A18A23" w14:textId="1B86D486" w:rsidR="007D385B" w:rsidRPr="00317CB4" w:rsidRDefault="007D385B" w:rsidP="007D385B">
      <w:pPr>
        <w:spacing w:line="360" w:lineRule="auto"/>
        <w:rPr>
          <w:lang w:val="en-GB"/>
        </w:rPr>
      </w:pPr>
      <w:r w:rsidRPr="00317CB4">
        <w:rPr>
          <w:lang w:val="en-GB"/>
        </w:rPr>
        <w:t xml:space="preserve">In response to the confirmation for Greece that its sovereignty would not be at stake through the increased competences of Frontex through the 2016 </w:t>
      </w:r>
      <w:r w:rsidR="00FC3116" w:rsidRPr="00317CB4">
        <w:rPr>
          <w:lang w:val="en-GB"/>
        </w:rPr>
        <w:t>R</w:t>
      </w:r>
      <w:r w:rsidRPr="00317CB4">
        <w:rPr>
          <w:lang w:val="en-GB"/>
        </w:rPr>
        <w:t>egulation, a Rapid Border Intervention was initiated in the Aegean Sea in summer 2020. As a strange twist, this intervention would turn out to be involved with illegal pushbacks, according to a Bellingcat report (</w:t>
      </w:r>
      <w:r w:rsidR="001669A7" w:rsidRPr="00317CB4">
        <w:rPr>
          <w:lang w:val="en-GB"/>
        </w:rPr>
        <w:t>Waters et al., 2020</w:t>
      </w:r>
      <w:r w:rsidRPr="00317CB4">
        <w:rPr>
          <w:lang w:val="en-GB"/>
        </w:rPr>
        <w:t xml:space="preserve">). Even though the height of the migration crisis was already 4 years in the past at this point, reports about illegal pushbacks only really came to light after independent investigations were conducted by researchers and news outlets in the aftermath of the crisis (Der Spiegel, ARD, Bellingcat, Lighthouse Reports, and TV Asahi). </w:t>
      </w:r>
    </w:p>
    <w:p w14:paraId="7B3D1FE0" w14:textId="6CB964FA" w:rsidR="007D385B" w:rsidRPr="00317CB4" w:rsidRDefault="007D385B" w:rsidP="007D385B">
      <w:pPr>
        <w:spacing w:line="360" w:lineRule="auto"/>
        <w:ind w:firstLine="720"/>
        <w:rPr>
          <w:lang w:val="en-GB"/>
        </w:rPr>
      </w:pPr>
      <w:r w:rsidRPr="00317CB4">
        <w:rPr>
          <w:lang w:val="en-GB"/>
        </w:rPr>
        <w:t>The definition for pushbacks is taken from the European Centre for Constitutional and Human Rights (ECCHR), which describes them as “incidents where refugees and migrants are forced back over a border without consideration of individual circumstances and without any possibility to apply for asylum or to put forward arguments against the measures taken” (</w:t>
      </w:r>
      <w:r w:rsidR="00560DC2" w:rsidRPr="00317CB4">
        <w:rPr>
          <w:lang w:val="en-GB"/>
        </w:rPr>
        <w:t>Waters et al. 2020</w:t>
      </w:r>
      <w:r w:rsidRPr="00317CB4">
        <w:rPr>
          <w:lang w:val="en-GB"/>
        </w:rPr>
        <w:t>). As pushbacks are therefore effectively considered to be human rights violations, Frontex has long held on to the narrative of denying its participation therein. This denial was supported by the member states, especially Greece, and the EU institutions alike as statements on the topic remained rare (</w:t>
      </w:r>
      <w:r w:rsidR="00CD1D8B" w:rsidRPr="00317CB4">
        <w:rPr>
          <w:lang w:val="en-GB"/>
        </w:rPr>
        <w:t>Gall, 2022</w:t>
      </w:r>
      <w:r w:rsidRPr="00317CB4">
        <w:rPr>
          <w:lang w:val="en-GB"/>
        </w:rPr>
        <w:t xml:space="preserve">). As Frontex themselves state, their “operations are multipurpose and helping Member States manage irregular arrivals is only one of them”. Emphasis is placed on the legal basis upon which the agency operates, but also that “the initiative to request Frontex’s support and presence belongs to the Member States” (Appendix </w:t>
      </w:r>
      <w:r w:rsidR="00C55602" w:rsidRPr="00317CB4">
        <w:rPr>
          <w:lang w:val="en-GB"/>
        </w:rPr>
        <w:t>1</w:t>
      </w:r>
      <w:r w:rsidRPr="00317CB4">
        <w:rPr>
          <w:lang w:val="en-GB"/>
        </w:rPr>
        <w:t>, Questions 3 &amp; 1</w:t>
      </w:r>
      <w:r w:rsidR="0020103A" w:rsidRPr="00317CB4">
        <w:rPr>
          <w:lang w:val="en-GB"/>
        </w:rPr>
        <w:t>2</w:t>
      </w:r>
      <w:r w:rsidRPr="00317CB4">
        <w:rPr>
          <w:lang w:val="en-GB"/>
        </w:rPr>
        <w:t xml:space="preserve">). Operations taking place on e.g. the Mediterranean to monitor that </w:t>
      </w:r>
      <w:r w:rsidRPr="00317CB4">
        <w:rPr>
          <w:lang w:val="en-GB"/>
        </w:rPr>
        <w:lastRenderedPageBreak/>
        <w:t>migration route are therefore not excluded from Frontex’ list of competences, but will ultimately be carried out upon a member state</w:t>
      </w:r>
      <w:r w:rsidR="00164DBA" w:rsidRPr="00317CB4">
        <w:rPr>
          <w:lang w:val="en-GB"/>
        </w:rPr>
        <w:t>’</w:t>
      </w:r>
      <w:r w:rsidRPr="00317CB4">
        <w:rPr>
          <w:lang w:val="en-GB"/>
        </w:rPr>
        <w:t xml:space="preserve">s request. </w:t>
      </w:r>
    </w:p>
    <w:p w14:paraId="72FCD94C" w14:textId="53C652D4" w:rsidR="007D385B" w:rsidRPr="00317CB4" w:rsidRDefault="007D385B" w:rsidP="007D385B">
      <w:pPr>
        <w:spacing w:line="360" w:lineRule="auto"/>
        <w:ind w:firstLine="720"/>
        <w:rPr>
          <w:lang w:val="en-GB"/>
        </w:rPr>
      </w:pPr>
      <w:r w:rsidRPr="00317CB4">
        <w:rPr>
          <w:lang w:val="en-GB"/>
        </w:rPr>
        <w:t>Sticking to the denial of pushback allegations became more difficult recently, as the European anti-fraud watchdog OLAF published a report in 2021 over the harassment, misconduct, and pushing back of migrants when they arrived at European external borders. It found that several national and international human rights organisations reported these human rights violations at several EU member states</w:t>
      </w:r>
      <w:r w:rsidR="00D341C9" w:rsidRPr="00317CB4">
        <w:rPr>
          <w:lang w:val="en-GB"/>
        </w:rPr>
        <w:t>’</w:t>
      </w:r>
      <w:r w:rsidRPr="00317CB4">
        <w:rPr>
          <w:lang w:val="en-GB"/>
        </w:rPr>
        <w:t xml:space="preserve"> external borders where Frontex was carrying out joint missions with these member states, yet, prior to the OLAF report, these reports were generally disregarded (</w:t>
      </w:r>
      <w:r w:rsidR="00343BC0" w:rsidRPr="00317CB4">
        <w:rPr>
          <w:lang w:val="en-GB"/>
        </w:rPr>
        <w:t>von der Burchard, 2021</w:t>
      </w:r>
      <w:r w:rsidR="00CC74AF" w:rsidRPr="00317CB4">
        <w:rPr>
          <w:lang w:val="en-GB"/>
        </w:rPr>
        <w:t>a</w:t>
      </w:r>
      <w:r w:rsidRPr="00317CB4">
        <w:rPr>
          <w:lang w:val="en-GB"/>
        </w:rPr>
        <w:t>). As a consequence</w:t>
      </w:r>
      <w:r w:rsidR="00950A8D" w:rsidRPr="00317CB4">
        <w:rPr>
          <w:lang w:val="en-GB"/>
        </w:rPr>
        <w:t xml:space="preserve"> of the 2021 report</w:t>
      </w:r>
      <w:r w:rsidRPr="00317CB4">
        <w:rPr>
          <w:lang w:val="en-GB"/>
        </w:rPr>
        <w:t>, Frontex did stop backing Hungary in its missions along the external border, but only after the Commission and the ECJ ruled that the proof for the pushbacks was too overwhelmingly convincing to decide otherwise (</w:t>
      </w:r>
      <w:r w:rsidR="004E4BA9" w:rsidRPr="00317CB4">
        <w:rPr>
          <w:lang w:val="en-GB"/>
        </w:rPr>
        <w:t>Barigazzi, 2021</w:t>
      </w:r>
      <w:r w:rsidRPr="00317CB4">
        <w:rPr>
          <w:lang w:val="en-GB"/>
        </w:rPr>
        <w:t xml:space="preserve">). </w:t>
      </w:r>
    </w:p>
    <w:p w14:paraId="69291B70" w14:textId="61C2F375" w:rsidR="007D385B" w:rsidRPr="00317CB4" w:rsidRDefault="007D385B" w:rsidP="007D385B">
      <w:pPr>
        <w:spacing w:line="360" w:lineRule="auto"/>
        <w:ind w:firstLine="720"/>
        <w:rPr>
          <w:lang w:val="en-GB"/>
        </w:rPr>
      </w:pPr>
      <w:r w:rsidRPr="00317CB4">
        <w:rPr>
          <w:lang w:val="en-GB"/>
        </w:rPr>
        <w:t>A year after the first part of the OLAF report was published, the executive director Leggeri had to step down. This was accompanied by an increasing number of EU member states refusing their support for denied pushback claims and instead asking for responsibility being taken. Leggeri’s home country France, as well as Sweden had openly called for his resignation, while external border countries Poland, Hungary, or Greece advocated for him to remain in office (</w:t>
      </w:r>
      <w:r w:rsidR="00A056EC" w:rsidRPr="00317CB4">
        <w:rPr>
          <w:lang w:val="en-GB"/>
        </w:rPr>
        <w:t>Barigazzi &amp; Lynch, 2022</w:t>
      </w:r>
      <w:r w:rsidRPr="00317CB4">
        <w:rPr>
          <w:lang w:val="en-GB"/>
        </w:rPr>
        <w:t xml:space="preserve">). Shortly after the resignation, German Foreign Minister Baerbock visited Greece in </w:t>
      </w:r>
      <w:r w:rsidR="0020103A" w:rsidRPr="00317CB4">
        <w:rPr>
          <w:lang w:val="en-GB"/>
        </w:rPr>
        <w:t xml:space="preserve">August </w:t>
      </w:r>
      <w:r w:rsidRPr="00317CB4">
        <w:rPr>
          <w:lang w:val="en-GB"/>
        </w:rPr>
        <w:t>2022 and also commented on the leaked Frontex report. She said that the Greek authorities should systemically investigate these claims since the pushbacks were reported to have largely taken place in Greek waters and involved Greek border forces. In response to this, the Greek Migration Minister Mitarachi denied that Greek border services were involved in the pushbacks. According to him, Gree</w:t>
      </w:r>
      <w:r w:rsidR="0020103A" w:rsidRPr="00317CB4">
        <w:rPr>
          <w:lang w:val="en-GB"/>
        </w:rPr>
        <w:t>ce</w:t>
      </w:r>
      <w:r w:rsidRPr="00317CB4">
        <w:rPr>
          <w:lang w:val="en-GB"/>
        </w:rPr>
        <w:t xml:space="preserve"> would hold on to its right to protect its own borders. He also stated that even though the majority of officials would have adhered to the rules and not participated in the pushbacks, errors by individuals can not be excluded (</w:t>
      </w:r>
      <w:r w:rsidR="00581400" w:rsidRPr="00317CB4">
        <w:rPr>
          <w:lang w:val="en-GB"/>
        </w:rPr>
        <w:t>Deutsche Welle, 2022</w:t>
      </w:r>
      <w:r w:rsidRPr="00317CB4">
        <w:rPr>
          <w:lang w:val="en-GB"/>
        </w:rPr>
        <w:t>). Greece, as the country w</w:t>
      </w:r>
      <w:r w:rsidR="006F5D70" w:rsidRPr="00317CB4">
        <w:rPr>
          <w:lang w:val="en-GB"/>
        </w:rPr>
        <w:t>h</w:t>
      </w:r>
      <w:r w:rsidRPr="00317CB4">
        <w:rPr>
          <w:lang w:val="en-GB"/>
        </w:rPr>
        <w:t>ere most pushbacks were allegedly taking place, was thus very vocal in defending Frontex’ denial of these events taking place, especially Greek Commission Vice President Schinas. He “argued that support for Frontex came not only from the Commission but also “all the [EU] member states and the European Parliament,” since they had jointly adopted a new mandate and budget for the agency, under which it is set to be dramatically expanded” (</w:t>
      </w:r>
      <w:r w:rsidR="00584C10" w:rsidRPr="00317CB4">
        <w:rPr>
          <w:lang w:val="en-GB"/>
        </w:rPr>
        <w:t>v</w:t>
      </w:r>
      <w:r w:rsidR="00390AE1" w:rsidRPr="00317CB4">
        <w:rPr>
          <w:lang w:val="en-GB"/>
        </w:rPr>
        <w:t>o</w:t>
      </w:r>
      <w:r w:rsidR="00584C10" w:rsidRPr="00317CB4">
        <w:rPr>
          <w:lang w:val="en-GB"/>
        </w:rPr>
        <w:t>n der Burchard, 2021</w:t>
      </w:r>
      <w:r w:rsidRPr="00317CB4">
        <w:rPr>
          <w:lang w:val="en-GB"/>
        </w:rPr>
        <w:t>). After taking office in late 2022, the new executive director Leitjens argued that under his charge, the agency would not participate in further pushbacks, referencing the fact that they are not legal. He also argued that Frontex would strive to become more transparent in the way it operates and work more closely together with NGOs to ensure that operations along the external border are carried out in compliance with the legal framework (</w:t>
      </w:r>
      <w:r w:rsidR="0093478F" w:rsidRPr="00317CB4">
        <w:rPr>
          <w:lang w:val="en-GB"/>
        </w:rPr>
        <w:t>Corall, 2023</w:t>
      </w:r>
      <w:r w:rsidRPr="00317CB4">
        <w:rPr>
          <w:lang w:val="en-GB"/>
        </w:rPr>
        <w:t xml:space="preserve">). </w:t>
      </w:r>
    </w:p>
    <w:p w14:paraId="690E8801" w14:textId="146A91EE" w:rsidR="007D385B" w:rsidRPr="00317CB4" w:rsidRDefault="007D385B" w:rsidP="007D385B">
      <w:pPr>
        <w:spacing w:line="360" w:lineRule="auto"/>
        <w:ind w:firstLine="720"/>
        <w:rPr>
          <w:lang w:val="en-GB"/>
        </w:rPr>
      </w:pPr>
      <w:r w:rsidRPr="00317CB4">
        <w:rPr>
          <w:lang w:val="en-GB"/>
        </w:rPr>
        <w:t xml:space="preserve">Initially, Frontex was in a good position to deny its participation in pushbacks because both the EU institutions and the member states made no mention of being aware of pushbacks to have taken </w:t>
      </w:r>
      <w:r w:rsidRPr="00317CB4">
        <w:rPr>
          <w:lang w:val="en-GB"/>
        </w:rPr>
        <w:lastRenderedPageBreak/>
        <w:t xml:space="preserve">place. This support meant for Frontex that any negative reports about the agency would also imply negative reports about both institutions and member states </w:t>
      </w:r>
      <w:r w:rsidR="008313E4" w:rsidRPr="00317CB4">
        <w:rPr>
          <w:lang w:val="en-GB"/>
        </w:rPr>
        <w:t>–</w:t>
      </w:r>
      <w:r w:rsidRPr="00317CB4">
        <w:rPr>
          <w:lang w:val="en-GB"/>
        </w:rPr>
        <w:t xml:space="preserve"> they all held the same position and would all be equally affected by negative press. There was thus no threat to Frontex</w:t>
      </w:r>
      <w:r w:rsidR="00C21753" w:rsidRPr="00317CB4">
        <w:rPr>
          <w:lang w:val="en-GB"/>
        </w:rPr>
        <w:t>’</w:t>
      </w:r>
      <w:r w:rsidRPr="00317CB4">
        <w:rPr>
          <w:lang w:val="en-GB"/>
        </w:rPr>
        <w:t xml:space="preserve"> reputation in the denial of pushbacks, as they did not have to worry that either audience member would reprimand them for action that they were all denying. </w:t>
      </w:r>
    </w:p>
    <w:p w14:paraId="6D8472EA" w14:textId="1AEBBD6B" w:rsidR="007D385B" w:rsidRPr="00317CB4" w:rsidRDefault="007D385B" w:rsidP="007D385B">
      <w:pPr>
        <w:spacing w:line="360" w:lineRule="auto"/>
        <w:ind w:firstLine="720"/>
        <w:rPr>
          <w:lang w:val="en-GB"/>
        </w:rPr>
      </w:pPr>
      <w:r w:rsidRPr="00317CB4">
        <w:rPr>
          <w:lang w:val="en-GB"/>
        </w:rPr>
        <w:t>The situation shifted significantly with the publishing of the OLAF report. It presented evidence that neither Frontex, nor the member states or the institutions could deny: Bellingcat reported that Greek vessels were confirmed in proximity to the vessels that were pushed back, as well as Portuguese and Romanian boats. The same article also reported that in one example of a confirmed pushback, a DEA Aviation surveillance plane flew over the area as the pushback took place, and this plane forwarded its coverage in form of a live stream to Warsaw, where the Frontex headquarters are located (</w:t>
      </w:r>
      <w:r w:rsidR="00D71BC8" w:rsidRPr="00317CB4">
        <w:rPr>
          <w:lang w:val="en-GB"/>
        </w:rPr>
        <w:t>Waters et al., 2023</w:t>
      </w:r>
      <w:r w:rsidRPr="00317CB4">
        <w:rPr>
          <w:lang w:val="en-GB"/>
        </w:rPr>
        <w:t>). Prior statements were thus amended, and Leggeri stated in response to the inquiry made by the  Committee on Civil Liberties, Justice and Home Affairs (LIBE) at the European Parliament that Frontex had observed and recorded just a single incident which may have been a pushback in the Aegean (</w:t>
      </w:r>
      <w:r w:rsidR="00245A51" w:rsidRPr="00317CB4">
        <w:rPr>
          <w:lang w:val="en-GB"/>
        </w:rPr>
        <w:t>Waters et al., 2023</w:t>
      </w:r>
      <w:r w:rsidRPr="00317CB4">
        <w:rPr>
          <w:lang w:val="en-GB"/>
        </w:rPr>
        <w:t>).</w:t>
      </w:r>
    </w:p>
    <w:p w14:paraId="0D397213" w14:textId="117387B0" w:rsidR="007D385B" w:rsidRPr="00317CB4" w:rsidRDefault="007D385B" w:rsidP="007D385B">
      <w:pPr>
        <w:spacing w:line="360" w:lineRule="auto"/>
        <w:ind w:firstLine="720"/>
        <w:rPr>
          <w:lang w:val="en-GB"/>
        </w:rPr>
      </w:pPr>
      <w:r w:rsidRPr="00317CB4">
        <w:rPr>
          <w:lang w:val="en-GB"/>
        </w:rPr>
        <w:t xml:space="preserve">When the evidentiary support was too overwhelming and the numbers of reports about this issue increased, the unity of the member states broke apart and several states demanded responsibility being taken by the involved parties. The demanding member states were primarily those that do not have an external border along the Eastern and Mediterranean migration routes, while those directly affected and allegedly involved (Greece or Hungary) downplayed what happened. Nonetheless, unity between the member states was broken. </w:t>
      </w:r>
      <w:r w:rsidR="00182292" w:rsidRPr="00317CB4">
        <w:rPr>
          <w:lang w:val="en-GB"/>
        </w:rPr>
        <w:t>A</w:t>
      </w:r>
      <w:r w:rsidR="00286BB6" w:rsidRPr="00317CB4">
        <w:rPr>
          <w:lang w:val="en-GB"/>
        </w:rPr>
        <w:t xml:space="preserve"> simple Google search of “Pushbacks 2021”</w:t>
      </w:r>
      <w:r w:rsidR="00182292" w:rsidRPr="00317CB4">
        <w:rPr>
          <w:lang w:val="en-GB"/>
        </w:rPr>
        <w:t xml:space="preserve"> </w:t>
      </w:r>
      <w:r w:rsidR="000E09E8" w:rsidRPr="00317CB4">
        <w:rPr>
          <w:lang w:val="en-GB"/>
        </w:rPr>
        <w:t xml:space="preserve">with a time filter </w:t>
      </w:r>
      <w:r w:rsidR="00182292" w:rsidRPr="00317CB4">
        <w:rPr>
          <w:lang w:val="en-GB"/>
        </w:rPr>
        <w:t xml:space="preserve">shows that there is little difference in media coverage in the periods 2016-2020 and 2021-today, indicating that the saliency of this topic remained </w:t>
      </w:r>
      <w:r w:rsidR="004B206B" w:rsidRPr="00317CB4">
        <w:rPr>
          <w:lang w:val="en-GB"/>
        </w:rPr>
        <w:t>similarly high since the topic first appeared</w:t>
      </w:r>
      <w:r w:rsidR="001E604F" w:rsidRPr="00317CB4">
        <w:rPr>
          <w:lang w:val="en-GB"/>
        </w:rPr>
        <w:t xml:space="preserve"> vs when the OLAF report was published</w:t>
      </w:r>
      <w:r w:rsidR="004B206B" w:rsidRPr="00317CB4">
        <w:rPr>
          <w:lang w:val="en-GB"/>
        </w:rPr>
        <w:t xml:space="preserve">. It was thus not immediately the saliency of the topic that put Frontex’ reputation at risk, but </w:t>
      </w:r>
      <w:r w:rsidR="00E44F5E" w:rsidRPr="00317CB4">
        <w:rPr>
          <w:lang w:val="en-GB"/>
        </w:rPr>
        <w:t>rather</w:t>
      </w:r>
      <w:r w:rsidR="00707782" w:rsidRPr="00317CB4">
        <w:rPr>
          <w:lang w:val="en-GB"/>
        </w:rPr>
        <w:t xml:space="preserve"> the</w:t>
      </w:r>
      <w:r w:rsidR="00E44F5E" w:rsidRPr="00317CB4">
        <w:rPr>
          <w:lang w:val="en-GB"/>
        </w:rPr>
        <w:t xml:space="preserve"> disunity, of the member states that resulted in a threat to the reputation</w:t>
      </w:r>
      <w:r w:rsidR="009A33EF" w:rsidRPr="00317CB4">
        <w:rPr>
          <w:lang w:val="en-GB"/>
        </w:rPr>
        <w:t xml:space="preserve">. </w:t>
      </w:r>
      <w:r w:rsidRPr="00317CB4">
        <w:rPr>
          <w:lang w:val="en-GB"/>
        </w:rPr>
        <w:t xml:space="preserve">There was a reduced reputational risk for Frontex to deny the pushback allegations while the member states were all denying them as well. This was even supported by the silence of the EU institutions. That combination enabled Frontex to safely maintain its denial and maintain its reputation at the same time: the member states and institutions were not in a position to question Frontex’ action as they held onto the very same. Holding on to the claim that there is no knowledge of pushbacks after the original OLAF report was published would have severely damaged the agency’s reputation in the face of such proof and the media coverage the topic </w:t>
      </w:r>
      <w:r w:rsidR="009A33EF" w:rsidRPr="00317CB4">
        <w:rPr>
          <w:lang w:val="en-GB"/>
        </w:rPr>
        <w:t xml:space="preserve">had already </w:t>
      </w:r>
      <w:r w:rsidRPr="00317CB4">
        <w:rPr>
          <w:lang w:val="en-GB"/>
        </w:rPr>
        <w:t>received. Leggeri thus used the chance to respond to LIBE</w:t>
      </w:r>
      <w:r w:rsidR="007169D9" w:rsidRPr="00317CB4">
        <w:rPr>
          <w:lang w:val="en-GB"/>
        </w:rPr>
        <w:t>’</w:t>
      </w:r>
      <w:r w:rsidRPr="00317CB4">
        <w:rPr>
          <w:lang w:val="en-GB"/>
        </w:rPr>
        <w:t xml:space="preserve">s inquiry to quickly amend previously made statements to admit some knowledge of pushbacks. </w:t>
      </w:r>
    </w:p>
    <w:p w14:paraId="6FD9E824" w14:textId="6AA4A8F9" w:rsidR="007D385B" w:rsidRPr="00317CB4" w:rsidRDefault="007D385B" w:rsidP="007D385B">
      <w:pPr>
        <w:spacing w:line="360" w:lineRule="auto"/>
        <w:ind w:firstLine="720"/>
        <w:rPr>
          <w:lang w:val="en-GB"/>
        </w:rPr>
      </w:pPr>
      <w:r w:rsidRPr="00317CB4">
        <w:rPr>
          <w:lang w:val="en-GB"/>
        </w:rPr>
        <w:lastRenderedPageBreak/>
        <w:t>The result of this argument shows that the second part of the fourth expectation is valid: the pushback allegations and attached debated is an issue of high saliency, and the movements of the member states were mirrored. All of the member states denied the</w:t>
      </w:r>
      <w:r w:rsidR="001D23A6" w:rsidRPr="00317CB4">
        <w:rPr>
          <w:lang w:val="en-GB"/>
        </w:rPr>
        <w:t xml:space="preserve"> pushbacks</w:t>
      </w:r>
      <w:r w:rsidRPr="00317CB4">
        <w:rPr>
          <w:lang w:val="en-GB"/>
        </w:rPr>
        <w:t xml:space="preserve"> took place – Frontex denied they took place; some member states admitted that the proof provided by the OLAF report was sufficient proof</w:t>
      </w:r>
      <w:r w:rsidR="001D23A6" w:rsidRPr="00317CB4">
        <w:rPr>
          <w:lang w:val="en-GB"/>
        </w:rPr>
        <w:t xml:space="preserve"> and demanded action</w:t>
      </w:r>
      <w:r w:rsidRPr="00317CB4">
        <w:rPr>
          <w:lang w:val="en-GB"/>
        </w:rPr>
        <w:t xml:space="preserve"> – Frontex admitted to having had some part in the pushbacks. At the same time, this high saliency issue also represented a threat to, and eventual loss of reputation. </w:t>
      </w:r>
    </w:p>
    <w:p w14:paraId="795CB79D" w14:textId="4CCD0205" w:rsidR="00E126A7" w:rsidRPr="00317CB4" w:rsidRDefault="002208C9" w:rsidP="00692C5E">
      <w:pPr>
        <w:spacing w:line="360" w:lineRule="auto"/>
        <w:ind w:firstLine="720"/>
        <w:rPr>
          <w:lang w:val="en-GB"/>
        </w:rPr>
      </w:pPr>
      <w:r w:rsidRPr="00317CB4">
        <w:rPr>
          <w:lang w:val="en-GB"/>
        </w:rPr>
        <w:t xml:space="preserve">Conversely, the opposite to the </w:t>
      </w:r>
      <w:r w:rsidR="000F732E" w:rsidRPr="00317CB4">
        <w:rPr>
          <w:lang w:val="en-GB"/>
        </w:rPr>
        <w:t>third</w:t>
      </w:r>
      <w:r w:rsidRPr="00317CB4">
        <w:rPr>
          <w:lang w:val="en-GB"/>
        </w:rPr>
        <w:t xml:space="preserve"> expectation came to pass in this situation. While all member states were </w:t>
      </w:r>
      <w:r w:rsidR="00F84074" w:rsidRPr="00317CB4">
        <w:rPr>
          <w:lang w:val="en-GB"/>
        </w:rPr>
        <w:t xml:space="preserve">unified, the reputational risk was fairly low for Frontex, </w:t>
      </w:r>
      <w:r w:rsidR="00884194" w:rsidRPr="00317CB4">
        <w:rPr>
          <w:lang w:val="en-GB"/>
        </w:rPr>
        <w:t>even though</w:t>
      </w:r>
      <w:r w:rsidR="00884194" w:rsidRPr="00317CB4">
        <w:rPr>
          <w:lang w:val="en-GB"/>
        </w:rPr>
        <w:t xml:space="preserve"> </w:t>
      </w:r>
      <w:r w:rsidR="00F84074" w:rsidRPr="00317CB4">
        <w:rPr>
          <w:lang w:val="en-GB"/>
        </w:rPr>
        <w:t>it was hypothesised that the member states acting as one unit would pose a high reputational risk. Yet, this situation illustrate</w:t>
      </w:r>
      <w:r w:rsidR="00233067" w:rsidRPr="00317CB4">
        <w:rPr>
          <w:lang w:val="en-GB"/>
        </w:rPr>
        <w:t>s</w:t>
      </w:r>
      <w:r w:rsidR="00F84074" w:rsidRPr="00317CB4">
        <w:rPr>
          <w:lang w:val="en-GB"/>
        </w:rPr>
        <w:t xml:space="preserve"> how </w:t>
      </w:r>
      <w:r w:rsidR="00853FF7" w:rsidRPr="00317CB4">
        <w:rPr>
          <w:lang w:val="en-GB"/>
        </w:rPr>
        <w:t xml:space="preserve">the disunity between the member states can affect the reputational threat </w:t>
      </w:r>
      <w:r w:rsidR="00542DF1" w:rsidRPr="00317CB4">
        <w:rPr>
          <w:lang w:val="en-GB"/>
        </w:rPr>
        <w:t>more than</w:t>
      </w:r>
      <w:r w:rsidR="00853FF7" w:rsidRPr="00317CB4">
        <w:rPr>
          <w:lang w:val="en-GB"/>
        </w:rPr>
        <w:t xml:space="preserve"> a high saliency discussion taking place. </w:t>
      </w:r>
      <w:r w:rsidR="00FF6E06" w:rsidRPr="00317CB4">
        <w:rPr>
          <w:lang w:val="en-GB"/>
        </w:rPr>
        <w:t>This was further enhanced by the Commission demanding from Frontex to stop its missions along the Hungarian external border</w:t>
      </w:r>
      <w:r w:rsidR="00A94A4B" w:rsidRPr="00317CB4">
        <w:rPr>
          <w:lang w:val="en-GB"/>
        </w:rPr>
        <w:t xml:space="preserve">. </w:t>
      </w:r>
      <w:r w:rsidR="00DA115C" w:rsidRPr="00317CB4">
        <w:rPr>
          <w:lang w:val="en-GB"/>
        </w:rPr>
        <w:t>In this, the Commission took the side of the member states</w:t>
      </w:r>
      <w:r w:rsidR="000D1555" w:rsidRPr="00317CB4">
        <w:rPr>
          <w:lang w:val="en-GB"/>
        </w:rPr>
        <w:t>, like France, Sweden, and Germany,</w:t>
      </w:r>
      <w:r w:rsidR="00DA115C" w:rsidRPr="00317CB4">
        <w:rPr>
          <w:lang w:val="en-GB"/>
        </w:rPr>
        <w:t xml:space="preserve"> that were demanding Frontex to </w:t>
      </w:r>
      <w:r w:rsidR="00C114D5" w:rsidRPr="00317CB4">
        <w:rPr>
          <w:lang w:val="en-GB"/>
        </w:rPr>
        <w:t>admit its guilt</w:t>
      </w:r>
      <w:r w:rsidR="006A00E4" w:rsidRPr="00317CB4">
        <w:rPr>
          <w:lang w:val="en-GB"/>
        </w:rPr>
        <w:t xml:space="preserve">. </w:t>
      </w:r>
      <w:r w:rsidR="00157C74" w:rsidRPr="00317CB4">
        <w:rPr>
          <w:lang w:val="en-GB"/>
        </w:rPr>
        <w:t xml:space="preserve">The disunity of the member states, together with the </w:t>
      </w:r>
      <w:r w:rsidR="009F1430" w:rsidRPr="00317CB4">
        <w:rPr>
          <w:lang w:val="en-GB"/>
        </w:rPr>
        <w:t xml:space="preserve">position of the Commission and the </w:t>
      </w:r>
      <w:r w:rsidR="00157C74" w:rsidRPr="00317CB4">
        <w:rPr>
          <w:lang w:val="en-GB"/>
        </w:rPr>
        <w:t>independently conducted OLAF report resulted in a change of action</w:t>
      </w:r>
      <w:r w:rsidR="00C2422A" w:rsidRPr="00317CB4">
        <w:rPr>
          <w:lang w:val="en-GB"/>
        </w:rPr>
        <w:t xml:space="preserve"> due to the reputational threat it represented,</w:t>
      </w:r>
      <w:r w:rsidR="00157C74" w:rsidRPr="00317CB4">
        <w:rPr>
          <w:lang w:val="en-GB"/>
        </w:rPr>
        <w:t xml:space="preserve"> and </w:t>
      </w:r>
      <w:r w:rsidR="00426A35" w:rsidRPr="00317CB4">
        <w:rPr>
          <w:lang w:val="en-GB"/>
        </w:rPr>
        <w:t xml:space="preserve">acknowledgement </w:t>
      </w:r>
      <w:r w:rsidR="00157C74" w:rsidRPr="00317CB4">
        <w:rPr>
          <w:lang w:val="en-GB"/>
        </w:rPr>
        <w:t xml:space="preserve">of </w:t>
      </w:r>
      <w:r w:rsidR="001A3EEE" w:rsidRPr="00317CB4">
        <w:rPr>
          <w:lang w:val="en-GB"/>
        </w:rPr>
        <w:t xml:space="preserve">pushbacks, i.e. Frontex complied with the demand for </w:t>
      </w:r>
      <w:r w:rsidR="00426A35" w:rsidRPr="00317CB4">
        <w:rPr>
          <w:lang w:val="en-GB"/>
        </w:rPr>
        <w:t xml:space="preserve">admitting </w:t>
      </w:r>
      <w:r w:rsidR="00B80363" w:rsidRPr="00317CB4">
        <w:rPr>
          <w:lang w:val="en-GB"/>
        </w:rPr>
        <w:t xml:space="preserve">unlawful </w:t>
      </w:r>
      <w:r w:rsidR="00FE16AF" w:rsidRPr="00317CB4">
        <w:rPr>
          <w:lang w:val="en-GB"/>
        </w:rPr>
        <w:t>behaviour</w:t>
      </w:r>
      <w:r w:rsidR="00426A35" w:rsidRPr="00317CB4">
        <w:rPr>
          <w:lang w:val="en-GB"/>
        </w:rPr>
        <w:t xml:space="preserve"> </w:t>
      </w:r>
      <w:r w:rsidR="00E126A7" w:rsidRPr="00317CB4">
        <w:rPr>
          <w:lang w:val="en-GB"/>
        </w:rPr>
        <w:t xml:space="preserve">and did so quickly. </w:t>
      </w:r>
    </w:p>
    <w:p w14:paraId="4CA7A2EE" w14:textId="6BD392F0" w:rsidR="007D385B" w:rsidRPr="00317CB4" w:rsidRDefault="0009007E" w:rsidP="00810113">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Frontex’</w:t>
      </w:r>
      <w:r w:rsidR="007D385B" w:rsidRPr="00317CB4">
        <w:rPr>
          <w:b/>
          <w:bCs/>
          <w:color w:val="2F5496" w:themeColor="accent1" w:themeShade="BF"/>
          <w:lang w:val="en-GB"/>
        </w:rPr>
        <w:t xml:space="preserve"> Research &amp; Innovation unit </w:t>
      </w:r>
    </w:p>
    <w:p w14:paraId="56226066" w14:textId="544D58F4" w:rsidR="007D385B" w:rsidRPr="00317CB4" w:rsidRDefault="007D385B" w:rsidP="007D385B">
      <w:pPr>
        <w:spacing w:line="360" w:lineRule="auto"/>
        <w:rPr>
          <w:lang w:val="en-GB"/>
        </w:rPr>
      </w:pPr>
      <w:r w:rsidRPr="00317CB4">
        <w:rPr>
          <w:lang w:val="en-GB"/>
        </w:rPr>
        <w:t>Though the Commission remains firm on its rejection of various requests to support the funding of fences along the EU</w:t>
      </w:r>
      <w:r w:rsidR="00F12F6F" w:rsidRPr="00317CB4">
        <w:rPr>
          <w:lang w:val="en-GB"/>
        </w:rPr>
        <w:t>’</w:t>
      </w:r>
      <w:r w:rsidRPr="00317CB4">
        <w:rPr>
          <w:lang w:val="en-GB"/>
        </w:rPr>
        <w:t xml:space="preserve">s external border, there is something of a back-door </w:t>
      </w:r>
      <w:r w:rsidR="00E80555" w:rsidRPr="00317CB4">
        <w:rPr>
          <w:lang w:val="en-GB"/>
        </w:rPr>
        <w:t xml:space="preserve">to non-human-power border control </w:t>
      </w:r>
      <w:r w:rsidRPr="00317CB4">
        <w:rPr>
          <w:lang w:val="en-GB"/>
        </w:rPr>
        <w:t>that is much less discussed. This back-door leads to the Commission</w:t>
      </w:r>
      <w:r w:rsidR="006E50F9" w:rsidRPr="00317CB4">
        <w:rPr>
          <w:lang w:val="en-GB"/>
        </w:rPr>
        <w:t>’</w:t>
      </w:r>
      <w:r w:rsidRPr="00317CB4">
        <w:rPr>
          <w:lang w:val="en-GB"/>
        </w:rPr>
        <w:t>s focus on research &amp; development programs through which civil-military technological solutions are to be acquired and to be made useable for the management of borders (Csersatoni, 2018). This solution to irregular migration has gained traction since the onset of the migration crisis in 2015. In fact, this focus has been documented and acknowledged in the 2016 strategic document “Shared Vision, Common Action: A Stronger Europe” (EUGS, 2016). In this document, specific attention has been given to the coordination of Common Security and Defence Policy (CSDP) missions and operations with Frontex. Through this cooperation, both land and maritime borders are to be securitised to “save more lives, fight cross-border crime and disrupt smuggling networks” (EUGS, 2016, p. 20). Such a goal can only be reached if sufficient funds are directed at the acquisition process, hence the</w:t>
      </w:r>
      <w:r w:rsidR="00883102" w:rsidRPr="00317CB4">
        <w:rPr>
          <w:lang w:val="en-GB"/>
        </w:rPr>
        <w:t xml:space="preserve"> Commission’s</w:t>
      </w:r>
      <w:r w:rsidRPr="00317CB4">
        <w:rPr>
          <w:lang w:val="en-GB"/>
        </w:rPr>
        <w:t xml:space="preserve"> research &amp; development focus. </w:t>
      </w:r>
    </w:p>
    <w:p w14:paraId="7FD8FE05" w14:textId="2878FBC8" w:rsidR="007D385B" w:rsidRPr="00317CB4" w:rsidRDefault="007D385B" w:rsidP="007D385B">
      <w:pPr>
        <w:spacing w:line="360" w:lineRule="auto"/>
        <w:ind w:firstLine="720"/>
        <w:rPr>
          <w:lang w:val="en-GB"/>
        </w:rPr>
      </w:pPr>
      <w:r w:rsidRPr="00317CB4">
        <w:rPr>
          <w:lang w:val="en-GB"/>
        </w:rPr>
        <w:t xml:space="preserve">Frontex, too, has a unit that focuses on precisely this topic, the Research &amp; Innovation Unit. It supports and implements EU-funded research and the innovations that are targeted at the management of the external borders. This, the agency does by testing the suggested approaches, procedures, and </w:t>
      </w:r>
      <w:r w:rsidRPr="00317CB4">
        <w:rPr>
          <w:lang w:val="en-GB"/>
        </w:rPr>
        <w:lastRenderedPageBreak/>
        <w:t xml:space="preserve">technical solutions – all in a feedback loop with the member states, the European Cooperation Division, and the EBCG Regulation, i.e. the 2016 </w:t>
      </w:r>
      <w:r w:rsidR="00FC3116" w:rsidRPr="00317CB4">
        <w:rPr>
          <w:lang w:val="en-GB"/>
        </w:rPr>
        <w:t>R</w:t>
      </w:r>
      <w:r w:rsidRPr="00317CB4">
        <w:rPr>
          <w:lang w:val="en-GB"/>
        </w:rPr>
        <w:t>egulation (</w:t>
      </w:r>
      <w:r w:rsidR="0057464B" w:rsidRPr="00317CB4">
        <w:rPr>
          <w:lang w:val="en-GB"/>
        </w:rPr>
        <w:t>Frontex, Research and Innovation, 2023</w:t>
      </w:r>
      <w:r w:rsidRPr="00317CB4">
        <w:rPr>
          <w:lang w:val="en-GB"/>
        </w:rPr>
        <w:t xml:space="preserve">). </w:t>
      </w:r>
    </w:p>
    <w:p w14:paraId="26FD223A" w14:textId="77777777" w:rsidR="00002365" w:rsidRPr="00317CB4" w:rsidRDefault="007D385B" w:rsidP="00B87D4A">
      <w:pPr>
        <w:spacing w:line="360" w:lineRule="auto"/>
        <w:ind w:firstLine="720"/>
        <w:rPr>
          <w:lang w:val="en-GB"/>
        </w:rPr>
      </w:pPr>
      <w:r w:rsidRPr="00317CB4">
        <w:rPr>
          <w:lang w:val="en-GB"/>
        </w:rPr>
        <w:t>Though it is more subtle in this topic, there is a push-and-pull dynamic between the member states and the EU institutions here as well. According to the European Commission, Frontex has been designated to provide the coordination centres of each member state with the surveillance information that is gathered through the use of technologies meant for border control (Csersatoni, 2018). These technologies often refer to surveillance drones or “unmanned aerial vehicles” (European Commission, 2016). Thus, the Commission has tasked Frontex with cooperation with the member states to explicitly share information with them and organise joint response operations when needed. To do so, the Commission and Parliament have authorised €81 million to be spent on aerial surveillance until 2020 by Frontex and the EMSA (European Maritime Safety Agency) (Monroy, 2016). Both agencies can thereby make use of a large source of funds to gather information and monitor the EU</w:t>
      </w:r>
      <w:r w:rsidR="00423A7A" w:rsidRPr="00317CB4">
        <w:rPr>
          <w:lang w:val="en-GB"/>
        </w:rPr>
        <w:t>’</w:t>
      </w:r>
      <w:r w:rsidRPr="00317CB4">
        <w:rPr>
          <w:lang w:val="en-GB"/>
        </w:rPr>
        <w:t xml:space="preserve">s land and maritime borders without sending personnel into these regions. </w:t>
      </w:r>
      <w:r w:rsidR="00C45B0A" w:rsidRPr="00317CB4">
        <w:rPr>
          <w:lang w:val="en-GB"/>
        </w:rPr>
        <w:t xml:space="preserve">Despite the Commission saying that such missions are to be carried out in coordination with the member states, </w:t>
      </w:r>
      <w:r w:rsidR="00B87D4A" w:rsidRPr="00317CB4">
        <w:rPr>
          <w:lang w:val="en-GB"/>
        </w:rPr>
        <w:t>aerial surveillance would rather be carried out on their request</w:t>
      </w:r>
      <w:r w:rsidRPr="00317CB4">
        <w:rPr>
          <w:lang w:val="en-GB"/>
        </w:rPr>
        <w:t xml:space="preserve"> </w:t>
      </w:r>
      <w:r w:rsidR="003E6F8F" w:rsidRPr="00317CB4">
        <w:rPr>
          <w:lang w:val="en-GB"/>
        </w:rPr>
        <w:t xml:space="preserve">only </w:t>
      </w:r>
      <w:r w:rsidRPr="00317CB4">
        <w:rPr>
          <w:lang w:val="en-GB"/>
        </w:rPr>
        <w:t xml:space="preserve">(Csersatoni, 2018; Loukinas, 2022). </w:t>
      </w:r>
    </w:p>
    <w:p w14:paraId="42960545" w14:textId="014AA088" w:rsidR="007D385B" w:rsidRPr="00317CB4" w:rsidRDefault="007D385B" w:rsidP="00B87D4A">
      <w:pPr>
        <w:spacing w:line="360" w:lineRule="auto"/>
        <w:ind w:firstLine="720"/>
        <w:rPr>
          <w:lang w:val="en-GB"/>
        </w:rPr>
      </w:pPr>
      <w:r w:rsidRPr="00317CB4">
        <w:rPr>
          <w:lang w:val="en-GB"/>
        </w:rPr>
        <w:t>This implies that Frontex cannot always just carry out information gathering missions; the aerial space, too, is part of the sovereign national territory and thus falls under the authority of the national governments. That is also one of the reasons why there is not too much use made of aerial surveillance despite the general use seeing an increase. Referencing internal security concerns, actual use of this technology has only really been reported from the Mediterranean member states Italy and Greece (Loukinas, 2022). However, these are also reported to merely have been tests to see the efficacy of this technology (</w:t>
      </w:r>
      <w:r w:rsidR="00A132AB" w:rsidRPr="00317CB4">
        <w:rPr>
          <w:lang w:val="en-GB"/>
        </w:rPr>
        <w:t>Mazzeo, 2020</w:t>
      </w:r>
      <w:r w:rsidRPr="00317CB4">
        <w:rPr>
          <w:lang w:val="en-GB"/>
        </w:rPr>
        <w:t xml:space="preserve">). </w:t>
      </w:r>
    </w:p>
    <w:p w14:paraId="7B1BE23A" w14:textId="6A60288B" w:rsidR="00232C07" w:rsidRPr="00317CB4" w:rsidRDefault="007D385B" w:rsidP="007D385B">
      <w:pPr>
        <w:spacing w:line="360" w:lineRule="auto"/>
        <w:rPr>
          <w:lang w:val="en-GB"/>
        </w:rPr>
      </w:pPr>
      <w:r w:rsidRPr="00317CB4">
        <w:rPr>
          <w:lang w:val="en-GB"/>
        </w:rPr>
        <w:t> </w:t>
      </w:r>
      <w:r w:rsidRPr="00317CB4">
        <w:rPr>
          <w:lang w:val="en-GB"/>
        </w:rPr>
        <w:tab/>
        <w:t xml:space="preserve">The overall ‘race for drones’ is supported by many member states (Martins &amp; Küsters, 2019), though this race has not yet reached the protection of the external borders. The EU is nonetheless keen on pushing the topic, much more than the member states. Under the Horizon2020 umbrella to fund research and innovation for 2014-2020, the Commission has placed focus on Remotely Piloted Aircraft Systems (RPAS), and these are meant to become an integral part of the Frontex-run European Border Surveillance System (EUROSUR) as per the 2016 </w:t>
      </w:r>
      <w:r w:rsidR="00FC3116" w:rsidRPr="00317CB4">
        <w:rPr>
          <w:lang w:val="en-GB"/>
        </w:rPr>
        <w:t>R</w:t>
      </w:r>
      <w:r w:rsidRPr="00317CB4">
        <w:rPr>
          <w:lang w:val="en-GB"/>
        </w:rPr>
        <w:t xml:space="preserve">egulation (Csersatoni, 2018). Academic literature stresses that it is </w:t>
      </w:r>
      <w:r w:rsidR="00002365" w:rsidRPr="00317CB4">
        <w:rPr>
          <w:lang w:val="en-GB"/>
        </w:rPr>
        <w:t xml:space="preserve">principally </w:t>
      </w:r>
      <w:r w:rsidRPr="00317CB4">
        <w:rPr>
          <w:lang w:val="en-GB"/>
        </w:rPr>
        <w:t>the Commission that is the pushing force behind research &amp; development that delves into this kind of technology (Csersartoni, 2018, Loukinas, 2022; Martins &amp; Küsters, 2019). It also points out that</w:t>
      </w:r>
      <w:r w:rsidR="00D93BFE" w:rsidRPr="00317CB4">
        <w:rPr>
          <w:lang w:val="en-GB"/>
        </w:rPr>
        <w:t>, despite the push for it,</w:t>
      </w:r>
      <w:r w:rsidRPr="00317CB4">
        <w:rPr>
          <w:lang w:val="en-GB"/>
        </w:rPr>
        <w:t xml:space="preserve"> there is not too much agreement on how the EU is planning to approach technically supported border protection (Jumbert, 2016; Marin and Krajčíková, 2016), though the migration crisis did contribute to an increased level of attention to this debate. Possibly, that is the reason why EUROSUR has received </w:t>
      </w:r>
      <w:r w:rsidR="00002365" w:rsidRPr="00317CB4">
        <w:rPr>
          <w:lang w:val="en-GB"/>
        </w:rPr>
        <w:t>such extensive</w:t>
      </w:r>
      <w:r w:rsidR="00002365" w:rsidRPr="00317CB4">
        <w:rPr>
          <w:lang w:val="en-GB"/>
        </w:rPr>
        <w:t xml:space="preserve"> </w:t>
      </w:r>
      <w:r w:rsidRPr="00317CB4">
        <w:rPr>
          <w:lang w:val="en-GB"/>
        </w:rPr>
        <w:t xml:space="preserve">mentioning in the 2016 </w:t>
      </w:r>
      <w:r w:rsidR="00FC3116" w:rsidRPr="00317CB4">
        <w:rPr>
          <w:lang w:val="en-GB"/>
        </w:rPr>
        <w:t>R</w:t>
      </w:r>
      <w:r w:rsidRPr="00317CB4">
        <w:rPr>
          <w:lang w:val="en-GB"/>
        </w:rPr>
        <w:t>egulation</w:t>
      </w:r>
      <w:r w:rsidR="004B536D" w:rsidRPr="00317CB4">
        <w:rPr>
          <w:lang w:val="en-GB"/>
        </w:rPr>
        <w:t xml:space="preserve"> to ensure its implementation</w:t>
      </w:r>
      <w:r w:rsidRPr="00317CB4">
        <w:rPr>
          <w:lang w:val="en-GB"/>
        </w:rPr>
        <w:t xml:space="preserve">. This was </w:t>
      </w:r>
      <w:r w:rsidR="00F36D62" w:rsidRPr="00317CB4">
        <w:rPr>
          <w:lang w:val="en-GB"/>
        </w:rPr>
        <w:t>noticeably</w:t>
      </w:r>
      <w:r w:rsidRPr="00317CB4">
        <w:rPr>
          <w:lang w:val="en-GB"/>
        </w:rPr>
        <w:t xml:space="preserve"> elaborated on in the 2019 </w:t>
      </w:r>
      <w:r w:rsidR="00FC3116" w:rsidRPr="00317CB4">
        <w:rPr>
          <w:lang w:val="en-GB"/>
        </w:rPr>
        <w:t>R</w:t>
      </w:r>
      <w:r w:rsidRPr="00317CB4">
        <w:rPr>
          <w:lang w:val="en-GB"/>
        </w:rPr>
        <w:t xml:space="preserve">egulation to ensure that “land, sea </w:t>
      </w:r>
      <w:r w:rsidRPr="00317CB4">
        <w:rPr>
          <w:lang w:val="en-GB"/>
        </w:rPr>
        <w:lastRenderedPageBreak/>
        <w:t>and air border surveillance and border checks” can be provided (Regulation (EU) 2019/896, 2019, p. 5).</w:t>
      </w:r>
      <w:r w:rsidR="007A6D6F" w:rsidRPr="00317CB4">
        <w:rPr>
          <w:lang w:val="en-GB"/>
        </w:rPr>
        <w:t xml:space="preserve"> </w:t>
      </w: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114"/>
        <w:gridCol w:w="5902"/>
      </w:tblGrid>
      <w:tr w:rsidR="007D385B" w:rsidRPr="00317CB4" w14:paraId="5739898F" w14:textId="77777777" w:rsidTr="00C12249">
        <w:tc>
          <w:tcPr>
            <w:tcW w:w="9016" w:type="dxa"/>
            <w:gridSpan w:val="2"/>
          </w:tcPr>
          <w:p w14:paraId="280EB4C4" w14:textId="77777777" w:rsidR="007D385B" w:rsidRPr="00317CB4" w:rsidRDefault="007D385B" w:rsidP="00C12249">
            <w:pPr>
              <w:spacing w:line="360" w:lineRule="auto"/>
              <w:rPr>
                <w:lang w:val="en-GB"/>
              </w:rPr>
            </w:pPr>
            <w:r w:rsidRPr="00317CB4">
              <w:rPr>
                <w:lang w:val="en-GB"/>
              </w:rPr>
              <w:t xml:space="preserve">Regulation (EU) 2019/896 mentions of EUROSUR </w:t>
            </w:r>
          </w:p>
        </w:tc>
      </w:tr>
      <w:tr w:rsidR="007D385B" w:rsidRPr="00317CB4" w14:paraId="278D7019" w14:textId="77777777" w:rsidTr="00C12249">
        <w:tc>
          <w:tcPr>
            <w:tcW w:w="3114" w:type="dxa"/>
          </w:tcPr>
          <w:p w14:paraId="555F224B" w14:textId="77777777" w:rsidR="007D385B" w:rsidRPr="00317CB4" w:rsidRDefault="007D385B" w:rsidP="00C12249">
            <w:pPr>
              <w:spacing w:line="360" w:lineRule="auto"/>
              <w:rPr>
                <w:lang w:val="en-GB"/>
              </w:rPr>
            </w:pPr>
            <w:r w:rsidRPr="00317CB4">
              <w:rPr>
                <w:lang w:val="en-GB"/>
              </w:rPr>
              <w:t>Articles headlining EUROSUR</w:t>
            </w:r>
          </w:p>
        </w:tc>
        <w:tc>
          <w:tcPr>
            <w:tcW w:w="5902" w:type="dxa"/>
          </w:tcPr>
          <w:p w14:paraId="3DB36DF0" w14:textId="77777777" w:rsidR="007D385B" w:rsidRPr="00317CB4" w:rsidRDefault="007D385B" w:rsidP="00C12249">
            <w:pPr>
              <w:spacing w:line="360" w:lineRule="auto"/>
              <w:rPr>
                <w:lang w:val="en-GB"/>
              </w:rPr>
            </w:pPr>
            <w:r w:rsidRPr="00317CB4">
              <w:rPr>
                <w:lang w:val="en-GB"/>
              </w:rPr>
              <w:t>Chapter II, Section 3, Articles 18-20, 22, 23, 28, Chapter II, Section 11, Article 75</w:t>
            </w:r>
          </w:p>
        </w:tc>
      </w:tr>
      <w:tr w:rsidR="007D385B" w:rsidRPr="00317CB4" w14:paraId="59B0264F" w14:textId="77777777" w:rsidTr="00C12249">
        <w:tc>
          <w:tcPr>
            <w:tcW w:w="3114" w:type="dxa"/>
          </w:tcPr>
          <w:p w14:paraId="781235BC" w14:textId="77777777" w:rsidR="007D385B" w:rsidRPr="00317CB4" w:rsidRDefault="007D385B" w:rsidP="00C12249">
            <w:pPr>
              <w:spacing w:line="360" w:lineRule="auto"/>
              <w:rPr>
                <w:lang w:val="en-GB"/>
              </w:rPr>
            </w:pPr>
            <w:r w:rsidRPr="00317CB4">
              <w:rPr>
                <w:lang w:val="en-GB"/>
              </w:rPr>
              <w:t>Mentions of the applicability of EUROSUR</w:t>
            </w:r>
          </w:p>
        </w:tc>
        <w:tc>
          <w:tcPr>
            <w:tcW w:w="5902" w:type="dxa"/>
          </w:tcPr>
          <w:p w14:paraId="6DA47883" w14:textId="77777777" w:rsidR="007D385B" w:rsidRPr="00317CB4" w:rsidRDefault="007D385B" w:rsidP="00C12249">
            <w:pPr>
              <w:keepNext/>
              <w:spacing w:line="360" w:lineRule="auto"/>
              <w:rPr>
                <w:lang w:val="en-GB"/>
              </w:rPr>
            </w:pPr>
            <w:r w:rsidRPr="00317CB4">
              <w:rPr>
                <w:lang w:val="en-GB"/>
              </w:rPr>
              <w:t>Legislative acts (27), (28), (29), (32), (33), (34), (36), (37, (38), (90); Chapter I, Article 2(9); Chapter II, Section 1, Article 10 (f); Chapter II, Section 2, Article 21; Chapter II, Section 7, Article 36 (f); Chapter II, Section 11, Articles 68-70, 72-74, 76; Chapter IV, Section 2, Articles 87, 89; Chapter IV, Section 4, Article 121; Chapter V, Article 123</w:t>
            </w:r>
          </w:p>
        </w:tc>
      </w:tr>
    </w:tbl>
    <w:p w14:paraId="55BA941E" w14:textId="32F53D0D" w:rsidR="007D385B" w:rsidRPr="00317CB4" w:rsidRDefault="007D385B" w:rsidP="007D385B">
      <w:pPr>
        <w:pStyle w:val="Caption"/>
        <w:rPr>
          <w:lang w:val="en-GB"/>
        </w:rPr>
      </w:pPr>
      <w:r w:rsidRPr="00317CB4">
        <w:rPr>
          <w:lang w:val="en-GB"/>
        </w:rPr>
        <w:t xml:space="preserve">Table </w:t>
      </w:r>
      <w:r w:rsidR="005B3CE4" w:rsidRPr="00317CB4">
        <w:rPr>
          <w:lang w:val="en-GB"/>
        </w:rPr>
        <w:t>4</w:t>
      </w:r>
      <w:r w:rsidRPr="00317CB4">
        <w:rPr>
          <w:lang w:val="en-GB"/>
        </w:rPr>
        <w:t>: EUROSUR in the 2019 Frontex Regulation</w:t>
      </w:r>
    </w:p>
    <w:p w14:paraId="022151AD" w14:textId="27816ADF" w:rsidR="00C56985" w:rsidRPr="00317CB4" w:rsidRDefault="007D385B" w:rsidP="00B1513F">
      <w:pPr>
        <w:spacing w:line="360" w:lineRule="auto"/>
        <w:rPr>
          <w:lang w:val="en-GB"/>
        </w:rPr>
      </w:pPr>
      <w:r w:rsidRPr="00317CB4">
        <w:rPr>
          <w:lang w:val="en-GB"/>
        </w:rPr>
        <w:t xml:space="preserve">According to the 2019 </w:t>
      </w:r>
      <w:r w:rsidR="00FC3116" w:rsidRPr="00317CB4">
        <w:rPr>
          <w:lang w:val="en-GB"/>
        </w:rPr>
        <w:t>R</w:t>
      </w:r>
      <w:r w:rsidRPr="00317CB4">
        <w:rPr>
          <w:lang w:val="en-GB"/>
        </w:rPr>
        <w:t xml:space="preserve">egulation, aerial surveillance at the external borders via EUROSUR shall take place in coordination between Frontex and the respective member states. Thus, it may seem that this, too, is an issue where Frontex is working more closely together with the member states than the institutions. However, reports of the actual use of EUROSUR are far and few in between, with only </w:t>
      </w:r>
      <w:r w:rsidR="00434643" w:rsidRPr="00317CB4">
        <w:rPr>
          <w:lang w:val="en-GB"/>
        </w:rPr>
        <w:t xml:space="preserve">Mazzeo </w:t>
      </w:r>
      <w:r w:rsidR="003E6F8F" w:rsidRPr="00317CB4">
        <w:rPr>
          <w:lang w:val="en-GB"/>
        </w:rPr>
        <w:t>(</w:t>
      </w:r>
      <w:r w:rsidR="00434643" w:rsidRPr="00317CB4">
        <w:rPr>
          <w:lang w:val="en-GB"/>
        </w:rPr>
        <w:t>2020</w:t>
      </w:r>
      <w:r w:rsidR="003E6F8F" w:rsidRPr="00317CB4">
        <w:rPr>
          <w:lang w:val="en-GB"/>
        </w:rPr>
        <w:t>)</w:t>
      </w:r>
      <w:r w:rsidRPr="00317CB4">
        <w:rPr>
          <w:lang w:val="en-GB"/>
        </w:rPr>
        <w:t xml:space="preserve"> providing sufficient non-academic insights. It can thus be argued that the pressure coming from the EU to fund research &amp; development into aerial surveillance is the primary reason for section 3 of Chapter II on EUROSUR being so explicitly included in the 2019 </w:t>
      </w:r>
      <w:r w:rsidR="00FC3116" w:rsidRPr="00317CB4">
        <w:rPr>
          <w:lang w:val="en-GB"/>
        </w:rPr>
        <w:t>R</w:t>
      </w:r>
      <w:r w:rsidRPr="00317CB4">
        <w:rPr>
          <w:lang w:val="en-GB"/>
        </w:rPr>
        <w:t xml:space="preserve">egulation (see Table </w:t>
      </w:r>
      <w:r w:rsidR="0095290E" w:rsidRPr="00317CB4">
        <w:rPr>
          <w:lang w:val="en-GB"/>
        </w:rPr>
        <w:t>4</w:t>
      </w:r>
      <w:r w:rsidRPr="00317CB4">
        <w:rPr>
          <w:lang w:val="en-GB"/>
        </w:rPr>
        <w:t xml:space="preserve">). However, this topic is still fairly low in saliency and has only received somewhat increased attention when the migration crisis began, </w:t>
      </w:r>
      <w:r w:rsidR="0095290E" w:rsidRPr="00317CB4">
        <w:rPr>
          <w:lang w:val="en-GB"/>
        </w:rPr>
        <w:t xml:space="preserve">and even </w:t>
      </w:r>
      <w:r w:rsidRPr="00317CB4">
        <w:rPr>
          <w:lang w:val="en-GB"/>
        </w:rPr>
        <w:t>this attention has since died down. This can be seen by the few articles, both academic and non-academic that are published on this topic. For the time being, the EU’s focus is on general defence policy, which is fuelled by a more assertive Russia (Martins &amp; Küsters, 2019). It is thus difficult to conclude with which audience member Frontex would work with when aerial surveillance is concerned: the EU institutions are the ones providing the funds to cover the expenses in acquiring the technology that allows Frontex to expand on its abilities. Meanwhile, the member states do hold the sovereignty also in aerial territories which means that Frontex requires their permission to initiate action. A conclusion</w:t>
      </w:r>
      <w:r w:rsidR="00F52A4F" w:rsidRPr="00317CB4">
        <w:rPr>
          <w:lang w:val="en-GB"/>
        </w:rPr>
        <w:t xml:space="preserve"> </w:t>
      </w:r>
      <w:r w:rsidRPr="00317CB4">
        <w:rPr>
          <w:lang w:val="en-GB"/>
        </w:rPr>
        <w:t xml:space="preserve">is therefore still pending and the initially held </w:t>
      </w:r>
      <w:r w:rsidR="00F52A4F" w:rsidRPr="00317CB4">
        <w:rPr>
          <w:lang w:val="en-GB"/>
        </w:rPr>
        <w:t xml:space="preserve">fourth </w:t>
      </w:r>
      <w:r w:rsidRPr="00317CB4">
        <w:rPr>
          <w:lang w:val="en-GB"/>
        </w:rPr>
        <w:t xml:space="preserve">expectation remains largely unanswered. </w:t>
      </w:r>
    </w:p>
    <w:p w14:paraId="760E6515" w14:textId="6FE4B75B" w:rsidR="00F52A4F" w:rsidRPr="00317CB4" w:rsidRDefault="00F52A4F" w:rsidP="00A05072">
      <w:pPr>
        <w:pStyle w:val="ListParagraph"/>
        <w:numPr>
          <w:ilvl w:val="1"/>
          <w:numId w:val="16"/>
        </w:numPr>
        <w:spacing w:line="360" w:lineRule="auto"/>
        <w:rPr>
          <w:b/>
          <w:bCs/>
          <w:color w:val="2F5496" w:themeColor="accent1" w:themeShade="BF"/>
          <w:lang w:val="en-GB"/>
        </w:rPr>
      </w:pPr>
      <w:r w:rsidRPr="00317CB4">
        <w:rPr>
          <w:b/>
          <w:bCs/>
          <w:color w:val="2F5496" w:themeColor="accent1" w:themeShade="BF"/>
          <w:lang w:val="en-GB"/>
        </w:rPr>
        <w:t xml:space="preserve">Analysis Summary </w:t>
      </w:r>
    </w:p>
    <w:p w14:paraId="29D249C1" w14:textId="1FBF3E4B" w:rsidR="00BC4D1D" w:rsidRPr="00317CB4" w:rsidRDefault="00BC4D1D" w:rsidP="00BC4D1D">
      <w:pPr>
        <w:spacing w:line="360" w:lineRule="auto"/>
        <w:rPr>
          <w:lang w:val="en-GB"/>
        </w:rPr>
      </w:pPr>
      <w:r w:rsidRPr="00317CB4">
        <w:rPr>
          <w:lang w:val="en-GB"/>
        </w:rPr>
        <w:t xml:space="preserve">The beginning of the analysis has shown that at least on the surface, the member states maintain the upper hand vis-à-vis the institutions in core state power dynamics when matters of their sovereign territory are debated. The follow-up arguments were thus used to see whether this also means that Frontex would then respond to the demands of the member states as well if they are the audience member that would be the one with more authority. Depending on the topic that is up for debate, there </w:t>
      </w:r>
      <w:r w:rsidRPr="00317CB4">
        <w:rPr>
          <w:lang w:val="en-GB"/>
        </w:rPr>
        <w:lastRenderedPageBreak/>
        <w:t xml:space="preserve">is some back-and-forth to be observed. In the discussion surrounding whether or not a fence should be built along the external borders, preference is given to the Commission’s demands with reference to the legal basis of the agency. The first expectation could hence not yet be confirmed. Confirmation is </w:t>
      </w:r>
      <w:r w:rsidR="0066008A" w:rsidRPr="00317CB4">
        <w:rPr>
          <w:lang w:val="en-GB"/>
        </w:rPr>
        <w:t xml:space="preserve">indirectly </w:t>
      </w:r>
      <w:r w:rsidRPr="00317CB4">
        <w:rPr>
          <w:lang w:val="en-GB"/>
        </w:rPr>
        <w:t>possible when looking at the third argument. Even though Frontex may have preferred to side with the Commission</w:t>
      </w:r>
      <w:r w:rsidR="00922908" w:rsidRPr="00317CB4">
        <w:rPr>
          <w:lang w:val="en-GB"/>
        </w:rPr>
        <w:t>’</w:t>
      </w:r>
      <w:r w:rsidRPr="00317CB4">
        <w:rPr>
          <w:lang w:val="en-GB"/>
        </w:rPr>
        <w:t xml:space="preserve">s preferences to acquire more competences, it was not possible to </w:t>
      </w:r>
      <w:r w:rsidR="007C64B2" w:rsidRPr="00317CB4">
        <w:rPr>
          <w:lang w:val="en-GB"/>
        </w:rPr>
        <w:t xml:space="preserve">set aside </w:t>
      </w:r>
      <w:r w:rsidRPr="00317CB4">
        <w:rPr>
          <w:lang w:val="en-GB"/>
        </w:rPr>
        <w:t>the member states</w:t>
      </w:r>
      <w:r w:rsidR="007C64B2" w:rsidRPr="00317CB4">
        <w:rPr>
          <w:lang w:val="en-GB"/>
        </w:rPr>
        <w:t>’ preferences</w:t>
      </w:r>
      <w:r w:rsidRPr="00317CB4">
        <w:rPr>
          <w:lang w:val="en-GB"/>
        </w:rPr>
        <w:t xml:space="preserve">; they could have rejected the regulation altogether out of concern that too much of the core state powers would be transferred to the institutions via the 2016 </w:t>
      </w:r>
      <w:r w:rsidR="00FC3116" w:rsidRPr="00317CB4">
        <w:rPr>
          <w:lang w:val="en-GB"/>
        </w:rPr>
        <w:t>R</w:t>
      </w:r>
      <w:r w:rsidRPr="00317CB4">
        <w:rPr>
          <w:lang w:val="en-GB"/>
        </w:rPr>
        <w:t>egulation. This debate indeed showcases perfectly how in-between the institutions and member states Frontex is caught</w:t>
      </w:r>
      <w:r w:rsidR="002F0A71" w:rsidRPr="00317CB4">
        <w:rPr>
          <w:lang w:val="en-GB"/>
        </w:rPr>
        <w:t>.</w:t>
      </w:r>
      <w:r w:rsidRPr="00317CB4">
        <w:rPr>
          <w:lang w:val="en-GB"/>
        </w:rPr>
        <w:t xml:space="preserve"> </w:t>
      </w:r>
      <w:r w:rsidR="007C64B2" w:rsidRPr="00317CB4">
        <w:rPr>
          <w:lang w:val="en-GB"/>
        </w:rPr>
        <w:t>It also shows that</w:t>
      </w:r>
      <w:r w:rsidR="00B906DC" w:rsidRPr="00317CB4">
        <w:rPr>
          <w:lang w:val="en-GB"/>
        </w:rPr>
        <w:t xml:space="preserve"> Frontex would have to submit to the member states’ demands to ensure that the regulation sees implementation. </w:t>
      </w:r>
      <w:r w:rsidRPr="00317CB4">
        <w:rPr>
          <w:lang w:val="en-GB"/>
        </w:rPr>
        <w:t xml:space="preserve">The first expectation can subsequently be only confirmed when looking at the details of the regulation, specifically the Vulnerability Assessment. The member states disliked the fact that the originally intended article would allow Frontex too much independence and insisted on the process needing to fulfil several requirements as the evaluation is conducted. Thus, the member states maintain their hold on core state powers and remain the audience member that Frontex </w:t>
      </w:r>
      <w:r w:rsidR="00004E87" w:rsidRPr="00317CB4">
        <w:rPr>
          <w:lang w:val="en-GB"/>
        </w:rPr>
        <w:t>adheres</w:t>
      </w:r>
      <w:r w:rsidRPr="00317CB4">
        <w:rPr>
          <w:lang w:val="en-GB"/>
        </w:rPr>
        <w:t xml:space="preserve"> to</w:t>
      </w:r>
      <w:r w:rsidR="00D336B8" w:rsidRPr="00317CB4">
        <w:rPr>
          <w:lang w:val="en-GB"/>
        </w:rPr>
        <w:t xml:space="preserve"> when the focus is only on this dynamic</w:t>
      </w:r>
      <w:r w:rsidR="008714A1" w:rsidRPr="00317CB4">
        <w:rPr>
          <w:lang w:val="en-GB"/>
        </w:rPr>
        <w:t xml:space="preserve"> </w:t>
      </w:r>
      <w:r w:rsidR="00F30574" w:rsidRPr="00317CB4">
        <w:rPr>
          <w:lang w:val="en-GB"/>
        </w:rPr>
        <w:t xml:space="preserve">and </w:t>
      </w:r>
      <w:r w:rsidR="008714A1" w:rsidRPr="00317CB4">
        <w:rPr>
          <w:lang w:val="en-GB"/>
        </w:rPr>
        <w:t>when demands are made</w:t>
      </w:r>
      <w:r w:rsidR="00F30574" w:rsidRPr="00317CB4">
        <w:rPr>
          <w:lang w:val="en-GB"/>
        </w:rPr>
        <w:t xml:space="preserve"> to it</w:t>
      </w:r>
      <w:r w:rsidRPr="00317CB4">
        <w:rPr>
          <w:lang w:val="en-GB"/>
        </w:rPr>
        <w:t xml:space="preserve">. </w:t>
      </w:r>
    </w:p>
    <w:p w14:paraId="68B6D061" w14:textId="3FBF3F90" w:rsidR="00A40390" w:rsidRPr="00317CB4" w:rsidRDefault="00BC4D1D" w:rsidP="00A40390">
      <w:pPr>
        <w:spacing w:line="360" w:lineRule="auto"/>
        <w:ind w:firstLine="720"/>
        <w:rPr>
          <w:lang w:val="en-GB"/>
        </w:rPr>
      </w:pPr>
      <w:r w:rsidRPr="00317CB4">
        <w:rPr>
          <w:lang w:val="en-GB"/>
        </w:rPr>
        <w:t> </w:t>
      </w:r>
      <w:r w:rsidR="00A40390" w:rsidRPr="00317CB4">
        <w:rPr>
          <w:lang w:val="en-GB"/>
        </w:rPr>
        <w:t xml:space="preserve">The second expectation could only be partially confirmed in this analysis. The EU-Turkey deal showcased that when the core of Frontex’ mandate is explicitly targeted, i.e. the management of irregular migration at the external border, compliance with this demand is ensured. In this case, this demand came from the member states as the deal was concluded in the intergovernmental setting of the European Council. However, this was not contradicted by the institutions which is why the second part of this expectation remains unanswered </w:t>
      </w:r>
      <w:r w:rsidR="00EC343E" w:rsidRPr="00317CB4">
        <w:rPr>
          <w:lang w:val="en-GB"/>
        </w:rPr>
        <w:t>–</w:t>
      </w:r>
      <w:r w:rsidR="00A40390" w:rsidRPr="00317CB4">
        <w:rPr>
          <w:lang w:val="en-GB"/>
        </w:rPr>
        <w:t xml:space="preserve"> would Frontex have considered its path of action for a longer time if the Commission</w:t>
      </w:r>
      <w:r w:rsidR="00E02EA3" w:rsidRPr="00317CB4">
        <w:rPr>
          <w:lang w:val="en-GB"/>
        </w:rPr>
        <w:t xml:space="preserve"> </w:t>
      </w:r>
      <w:r w:rsidR="00A40390" w:rsidRPr="00317CB4">
        <w:rPr>
          <w:lang w:val="en-GB"/>
        </w:rPr>
        <w:t xml:space="preserve">had asked them to do something else? The same is the case in the </w:t>
      </w:r>
      <w:r w:rsidR="00D336B8" w:rsidRPr="00317CB4">
        <w:rPr>
          <w:lang w:val="en-GB"/>
        </w:rPr>
        <w:t xml:space="preserve">sixth </w:t>
      </w:r>
      <w:r w:rsidR="00A40390" w:rsidRPr="00317CB4">
        <w:rPr>
          <w:lang w:val="en-GB"/>
        </w:rPr>
        <w:t xml:space="preserve">argument that was made. The EU has long intended to find a common approach for migration </w:t>
      </w:r>
      <w:r w:rsidR="003C18E9" w:rsidRPr="00317CB4">
        <w:rPr>
          <w:lang w:val="en-GB"/>
        </w:rPr>
        <w:t xml:space="preserve">&amp; </w:t>
      </w:r>
      <w:r w:rsidR="00A40390" w:rsidRPr="00317CB4">
        <w:rPr>
          <w:lang w:val="en-GB"/>
        </w:rPr>
        <w:t xml:space="preserve">asylum policy, yet there were always different suggestions and little compromise could be found. The most discussed approach was to cooperate with third countries to ensure that migrants can return to their country of origin. However, the European Parliament was suggesting different approaches to manage the arriving migrants, despite the institutions wanting Frontex to be efficient in managing just this. The Parliament’s demanded course of action was thus an obstacle in the implementation of action that was also demanded by the member states. The solution to a common asylum </w:t>
      </w:r>
      <w:r w:rsidR="0094027A" w:rsidRPr="00317CB4">
        <w:rPr>
          <w:lang w:val="en-GB"/>
        </w:rPr>
        <w:t xml:space="preserve">&amp; </w:t>
      </w:r>
      <w:r w:rsidR="00A40390" w:rsidRPr="00317CB4">
        <w:rPr>
          <w:lang w:val="en-GB"/>
        </w:rPr>
        <w:t>migration policy was therefore long at a standstill due to the opposing demands and it was unclear which path Frontex was requested to take. This may now be solved with the agreement reached in the European Council in early June 2023, but these developments remain to be seen. Consequently, the outcome of the second expectation is still uncertain at this stage.  </w:t>
      </w:r>
    </w:p>
    <w:p w14:paraId="09639E18" w14:textId="29BDEFF2" w:rsidR="00BC4D1D" w:rsidRPr="00317CB4" w:rsidRDefault="00BC4D1D" w:rsidP="00D51E40">
      <w:pPr>
        <w:spacing w:line="360" w:lineRule="auto"/>
        <w:ind w:firstLine="720"/>
        <w:rPr>
          <w:lang w:val="en-GB"/>
        </w:rPr>
      </w:pPr>
      <w:r w:rsidRPr="00317CB4">
        <w:rPr>
          <w:lang w:val="en-GB"/>
        </w:rPr>
        <w:t>Adherence to an audience member can change though when Frontex has to consider its own reputation. This is particularly the case when the unity of the member states wavers. In the case of the EU-Turkey deal of 2016, the unity weighed heavily and non-compliance with the member states</w:t>
      </w:r>
      <w:r w:rsidR="00922908" w:rsidRPr="00317CB4">
        <w:rPr>
          <w:lang w:val="en-GB"/>
        </w:rPr>
        <w:t>’</w:t>
      </w:r>
      <w:r w:rsidRPr="00317CB4">
        <w:rPr>
          <w:lang w:val="en-GB"/>
        </w:rPr>
        <w:t xml:space="preserve"> </w:t>
      </w:r>
      <w:r w:rsidRPr="00317CB4">
        <w:rPr>
          <w:lang w:val="en-GB"/>
        </w:rPr>
        <w:lastRenderedPageBreak/>
        <w:t xml:space="preserve">demands to reduce irregular migration would have been too much of a reputational risk for Frontex. Coupled with the previously indicated </w:t>
      </w:r>
      <w:r w:rsidR="007A3A87" w:rsidRPr="00317CB4">
        <w:rPr>
          <w:lang w:val="en-GB"/>
        </w:rPr>
        <w:t xml:space="preserve">preference </w:t>
      </w:r>
      <w:r w:rsidRPr="00317CB4">
        <w:rPr>
          <w:lang w:val="en-GB"/>
        </w:rPr>
        <w:t xml:space="preserve">in the third argument </w:t>
      </w:r>
      <w:r w:rsidR="0023623E" w:rsidRPr="00317CB4">
        <w:rPr>
          <w:lang w:val="en-GB"/>
        </w:rPr>
        <w:t>with which Frontex</w:t>
      </w:r>
      <w:r w:rsidRPr="00317CB4">
        <w:rPr>
          <w:lang w:val="en-GB"/>
        </w:rPr>
        <w:t xml:space="preserve"> consider</w:t>
      </w:r>
      <w:r w:rsidR="0023623E" w:rsidRPr="00317CB4">
        <w:rPr>
          <w:lang w:val="en-GB"/>
        </w:rPr>
        <w:t>s</w:t>
      </w:r>
      <w:r w:rsidRPr="00317CB4">
        <w:rPr>
          <w:lang w:val="en-GB"/>
        </w:rPr>
        <w:t xml:space="preserve"> the member states</w:t>
      </w:r>
      <w:r w:rsidR="0023623E" w:rsidRPr="00317CB4">
        <w:rPr>
          <w:lang w:val="en-GB"/>
        </w:rPr>
        <w:t>’</w:t>
      </w:r>
      <w:r w:rsidR="00860CBC" w:rsidRPr="00317CB4">
        <w:rPr>
          <w:lang w:val="en-GB"/>
        </w:rPr>
        <w:t xml:space="preserve"> inclinations to ensure the implementation of the new mandate takes place</w:t>
      </w:r>
      <w:r w:rsidRPr="00317CB4">
        <w:rPr>
          <w:lang w:val="en-GB"/>
        </w:rPr>
        <w:t>, the agency had to ensure the demands to reduce irregular migrations are complied with. Otherwise, the member states would have been in a position to deny the expansion of the mandate in the upcoming negotiations which would have had a negative impact on Frontex</w:t>
      </w:r>
      <w:r w:rsidR="002328BE" w:rsidRPr="00317CB4">
        <w:rPr>
          <w:lang w:val="en-GB"/>
        </w:rPr>
        <w:t>’</w:t>
      </w:r>
      <w:r w:rsidRPr="00317CB4">
        <w:rPr>
          <w:lang w:val="en-GB"/>
        </w:rPr>
        <w:t xml:space="preserve"> reputation. The risk to Frontex</w:t>
      </w:r>
      <w:r w:rsidR="002B4223" w:rsidRPr="00317CB4">
        <w:rPr>
          <w:lang w:val="en-GB"/>
        </w:rPr>
        <w:t>’</w:t>
      </w:r>
      <w:r w:rsidRPr="00317CB4">
        <w:rPr>
          <w:lang w:val="en-GB"/>
        </w:rPr>
        <w:t xml:space="preserve"> reputation was a different one after the publication of the OLAF report in 2021 though. While the member states were united in their denial of pushbacks pre-publication</w:t>
      </w:r>
      <w:r w:rsidR="00252744" w:rsidRPr="00317CB4">
        <w:rPr>
          <w:lang w:val="en-GB"/>
        </w:rPr>
        <w:t xml:space="preserve"> and the institutions remained silent</w:t>
      </w:r>
      <w:r w:rsidRPr="00317CB4">
        <w:rPr>
          <w:lang w:val="en-GB"/>
        </w:rPr>
        <w:t>, the reputational risk to Frontex was low. It increased significantly and led to a reputational loss as soon as that unity was broken though</w:t>
      </w:r>
      <w:r w:rsidR="009919A4" w:rsidRPr="00317CB4">
        <w:rPr>
          <w:lang w:val="en-GB"/>
        </w:rPr>
        <w:t>. This was additionally supported by the position the Commission took</w:t>
      </w:r>
      <w:r w:rsidRPr="00317CB4">
        <w:rPr>
          <w:lang w:val="en-GB"/>
        </w:rPr>
        <w:t xml:space="preserve">. Acknowledging its guilt was therefore crucial for Frontex to ensure that no further losses in reputation would be suffered. The </w:t>
      </w:r>
      <w:r w:rsidR="00D51E40" w:rsidRPr="00317CB4">
        <w:rPr>
          <w:lang w:val="en-GB"/>
        </w:rPr>
        <w:t>third</w:t>
      </w:r>
      <w:r w:rsidRPr="00317CB4">
        <w:rPr>
          <w:lang w:val="en-GB"/>
        </w:rPr>
        <w:t xml:space="preserve"> expectation was thus once confirmed and once denied, though in both cases, the action that Frontex took was targeted at maintaining its reputation with its audience</w:t>
      </w:r>
      <w:r w:rsidR="003E0D36" w:rsidRPr="00317CB4">
        <w:rPr>
          <w:lang w:val="en-GB"/>
        </w:rPr>
        <w:t xml:space="preserve"> and necessarily not at adherence with an audience member</w:t>
      </w:r>
      <w:r w:rsidRPr="00317CB4">
        <w:rPr>
          <w:lang w:val="en-GB"/>
        </w:rPr>
        <w:t xml:space="preserve">. The agency thus proved to be able to recognise when its reputation is on the line </w:t>
      </w:r>
      <w:r w:rsidR="00442BE5" w:rsidRPr="00317CB4">
        <w:rPr>
          <w:lang w:val="en-GB"/>
        </w:rPr>
        <w:t xml:space="preserve">and adjusted its behaviour relative to </w:t>
      </w:r>
      <w:r w:rsidRPr="00317CB4">
        <w:rPr>
          <w:lang w:val="en-GB"/>
        </w:rPr>
        <w:t>the position of its audience</w:t>
      </w:r>
      <w:r w:rsidR="003C18E9" w:rsidRPr="00317CB4">
        <w:rPr>
          <w:lang w:val="en-GB"/>
        </w:rPr>
        <w:t xml:space="preserve"> to stipulate a </w:t>
      </w:r>
      <w:r w:rsidR="00764F0F" w:rsidRPr="00317CB4">
        <w:rPr>
          <w:lang w:val="en-GB"/>
        </w:rPr>
        <w:t>reputation gain</w:t>
      </w:r>
      <w:r w:rsidRPr="00317CB4">
        <w:rPr>
          <w:lang w:val="en-GB"/>
        </w:rPr>
        <w:t xml:space="preserve">. </w:t>
      </w:r>
    </w:p>
    <w:p w14:paraId="336E127B" w14:textId="528D3F85" w:rsidR="000C21F7" w:rsidRPr="00317CB4" w:rsidRDefault="00BC4D1D" w:rsidP="000C21F7">
      <w:pPr>
        <w:spacing w:line="360" w:lineRule="auto"/>
        <w:ind w:firstLine="720"/>
        <w:rPr>
          <w:lang w:val="en-GB"/>
        </w:rPr>
      </w:pPr>
      <w:r w:rsidRPr="00317CB4">
        <w:rPr>
          <w:lang w:val="en-GB"/>
        </w:rPr>
        <w:t xml:space="preserve">With the fourth expectation, it was hypothesised that Frontex would work preferably with the Commission when the saliency of an issue is low, but work with the member states when the saliency is high. In the second argument that was made, this could not be confirmed, as the opposite took place. Whether or not a fence should be built along the external border of the EU is a very sensitive topic that directly touches upon core state power </w:t>
      </w:r>
      <w:r w:rsidR="008446F1" w:rsidRPr="00317CB4">
        <w:rPr>
          <w:lang w:val="en-GB"/>
        </w:rPr>
        <w:t>dynamics</w:t>
      </w:r>
      <w:r w:rsidRPr="00317CB4">
        <w:rPr>
          <w:lang w:val="en-GB"/>
        </w:rPr>
        <w:t xml:space="preserve"> and it has been debated for a long time. However, what is important in this case and plays a role in the position taken by Frontex, is the incentives provided by the audience. The Commission rejects the building of fences and also offers expanded competences for Frontex which is sufficient for Frontex to show </w:t>
      </w:r>
      <w:r w:rsidR="00764F0F" w:rsidRPr="00317CB4">
        <w:rPr>
          <w:lang w:val="en-GB"/>
        </w:rPr>
        <w:t xml:space="preserve">some </w:t>
      </w:r>
      <w:r w:rsidRPr="00317CB4">
        <w:rPr>
          <w:lang w:val="en-GB"/>
        </w:rPr>
        <w:t>support for the Commission</w:t>
      </w:r>
      <w:r w:rsidR="007B3EB7" w:rsidRPr="00317CB4">
        <w:rPr>
          <w:lang w:val="en-GB"/>
        </w:rPr>
        <w:t>’</w:t>
      </w:r>
      <w:r w:rsidRPr="00317CB4">
        <w:rPr>
          <w:lang w:val="en-GB"/>
        </w:rPr>
        <w:t>s position. The last argument that was made in the analysis shows another uncertain situation. There is not much documentation on which audience member wants to make use of aerial surveillance along the EU</w:t>
      </w:r>
      <w:r w:rsidR="007B3EB7" w:rsidRPr="00317CB4">
        <w:rPr>
          <w:lang w:val="en-GB"/>
        </w:rPr>
        <w:t>’</w:t>
      </w:r>
      <w:r w:rsidRPr="00317CB4">
        <w:rPr>
          <w:lang w:val="en-GB"/>
        </w:rPr>
        <w:t xml:space="preserve">s external border in which way, hence why this is a low saliency issue. In fact, it is so low in salience that apart from the pressure from the Commission to invest into and make use of this technology, not many demands can be detected. The only position of the member states </w:t>
      </w:r>
      <w:r w:rsidR="00C82E2D" w:rsidRPr="00317CB4">
        <w:rPr>
          <w:lang w:val="en-GB"/>
        </w:rPr>
        <w:t>are their internal security concerns and that</w:t>
      </w:r>
      <w:r w:rsidRPr="00317CB4">
        <w:rPr>
          <w:lang w:val="en-GB"/>
        </w:rPr>
        <w:t xml:space="preserve"> they hold authority in what happens in their aerial space since that is part of their territory which may be a reason for Frontex to take their side. In either case, how to use aerial surveillance and the demands that are made to Frontex need to be more documented to reach a </w:t>
      </w:r>
      <w:r w:rsidR="003E0D36" w:rsidRPr="00317CB4">
        <w:rPr>
          <w:lang w:val="en-GB"/>
        </w:rPr>
        <w:t xml:space="preserve">definitive </w:t>
      </w:r>
      <w:r w:rsidRPr="00317CB4">
        <w:rPr>
          <w:lang w:val="en-GB"/>
        </w:rPr>
        <w:t>conclusion on the fourth expectation.</w:t>
      </w:r>
      <w:r w:rsidR="0094027A" w:rsidRPr="00317CB4">
        <w:rPr>
          <w:lang w:val="en-GB"/>
        </w:rPr>
        <w:t xml:space="preserve"> Definite action from Frontex to show which course of action is preferred also remains pending. </w:t>
      </w:r>
    </w:p>
    <w:p w14:paraId="296078D5" w14:textId="77777777" w:rsidR="000C21F7" w:rsidRPr="00317CB4" w:rsidRDefault="000C21F7" w:rsidP="00382687">
      <w:pPr>
        <w:spacing w:line="360" w:lineRule="auto"/>
        <w:ind w:firstLine="720"/>
        <w:rPr>
          <w:lang w:val="en-GB"/>
        </w:rPr>
      </w:pPr>
    </w:p>
    <w:p w14:paraId="2FF602EE" w14:textId="255B475E" w:rsidR="00BC4D1D" w:rsidRPr="00317CB4" w:rsidRDefault="00A9291B" w:rsidP="00A05072">
      <w:pPr>
        <w:pStyle w:val="ListParagraph"/>
        <w:numPr>
          <w:ilvl w:val="0"/>
          <w:numId w:val="14"/>
        </w:numPr>
        <w:spacing w:line="360" w:lineRule="auto"/>
        <w:rPr>
          <w:lang w:val="en-GB"/>
        </w:rPr>
      </w:pPr>
      <w:r w:rsidRPr="00317CB4">
        <w:rPr>
          <w:b/>
          <w:bCs/>
          <w:color w:val="2F5496" w:themeColor="accent1" w:themeShade="BF"/>
          <w:sz w:val="32"/>
          <w:szCs w:val="32"/>
          <w:lang w:val="en-GB"/>
        </w:rPr>
        <w:lastRenderedPageBreak/>
        <w:t xml:space="preserve">Conclusion </w:t>
      </w:r>
    </w:p>
    <w:p w14:paraId="35DD94B9" w14:textId="63A6DC50" w:rsidR="000C70E3" w:rsidRPr="00317CB4" w:rsidRDefault="004A2CBF" w:rsidP="00BC4D1D">
      <w:pPr>
        <w:spacing w:line="360" w:lineRule="auto"/>
        <w:rPr>
          <w:lang w:val="en-GB"/>
        </w:rPr>
      </w:pPr>
      <w:r w:rsidRPr="00317CB4">
        <w:rPr>
          <w:lang w:val="en-GB"/>
        </w:rPr>
        <w:t xml:space="preserve">The recent agreement on a common asylum </w:t>
      </w:r>
      <w:r w:rsidR="0094027A" w:rsidRPr="00317CB4">
        <w:rPr>
          <w:lang w:val="en-GB"/>
        </w:rPr>
        <w:t xml:space="preserve">&amp; </w:t>
      </w:r>
      <w:r w:rsidRPr="00317CB4">
        <w:rPr>
          <w:lang w:val="en-GB"/>
        </w:rPr>
        <w:t xml:space="preserve">migration policy reached in the European Council once more put focus on the urgency with which such a common approach </w:t>
      </w:r>
      <w:r w:rsidR="0094027A" w:rsidRPr="00317CB4">
        <w:rPr>
          <w:lang w:val="en-GB"/>
        </w:rPr>
        <w:t xml:space="preserve">to migration </w:t>
      </w:r>
      <w:r w:rsidRPr="00317CB4">
        <w:rPr>
          <w:lang w:val="en-GB"/>
        </w:rPr>
        <w:t>needs to be found. How difficult this is</w:t>
      </w:r>
      <w:r w:rsidR="00E02EA3" w:rsidRPr="00317CB4">
        <w:rPr>
          <w:lang w:val="en-GB"/>
        </w:rPr>
        <w:t>,</w:t>
      </w:r>
      <w:r w:rsidRPr="00317CB4">
        <w:rPr>
          <w:lang w:val="en-GB"/>
        </w:rPr>
        <w:t xml:space="preserve"> is illustrated by the fact that the deal could not be concluded without Italy, and that despite the agreement, there is still dissatisfaction about the deal among the member states (</w:t>
      </w:r>
      <w:r w:rsidR="00EA1620" w:rsidRPr="00317CB4">
        <w:rPr>
          <w:lang w:val="en-GB"/>
        </w:rPr>
        <w:t>Sorgi &amp; Barigazzi, 2023a</w:t>
      </w:r>
      <w:r w:rsidRPr="00317CB4">
        <w:rPr>
          <w:lang w:val="en-GB"/>
        </w:rPr>
        <w:t xml:space="preserve">). The analysis conducted in this research additionally supports how difficult and complex migration policy in the European Union is. With the formulated expectations, the aim was to shed light on the core state power dynamics embedded in this policy area and to subsequently see where Frontex can be positioned within it. This can </w:t>
      </w:r>
      <w:r w:rsidR="00217B57" w:rsidRPr="00317CB4">
        <w:rPr>
          <w:lang w:val="en-GB"/>
        </w:rPr>
        <w:t xml:space="preserve">also </w:t>
      </w:r>
      <w:r w:rsidRPr="00317CB4">
        <w:rPr>
          <w:lang w:val="en-GB"/>
        </w:rPr>
        <w:t xml:space="preserve">be seen in the analysis, which showed that even though the details of the regulation indicate that the member states maintain the hold on core state powers, and therefore are the main principal of Frontex, the need for Frontex to safeguard its reputation plays an </w:t>
      </w:r>
      <w:r w:rsidR="008B5972" w:rsidRPr="00317CB4">
        <w:rPr>
          <w:lang w:val="en-GB"/>
        </w:rPr>
        <w:t xml:space="preserve">important </w:t>
      </w:r>
      <w:r w:rsidRPr="00317CB4">
        <w:rPr>
          <w:lang w:val="en-GB"/>
        </w:rPr>
        <w:t xml:space="preserve">underlying role in </w:t>
      </w:r>
      <w:r w:rsidR="00B94246" w:rsidRPr="00317CB4">
        <w:rPr>
          <w:lang w:val="en-GB"/>
        </w:rPr>
        <w:t>whose</w:t>
      </w:r>
      <w:r w:rsidRPr="00317CB4">
        <w:rPr>
          <w:lang w:val="en-GB"/>
        </w:rPr>
        <w:t xml:space="preserve"> demands Frontex adheres to. </w:t>
      </w:r>
    </w:p>
    <w:p w14:paraId="41012CBC" w14:textId="05DB4B86" w:rsidR="000C70E3" w:rsidRPr="00317CB4" w:rsidRDefault="004A2CBF" w:rsidP="000C70E3">
      <w:pPr>
        <w:spacing w:line="360" w:lineRule="auto"/>
        <w:ind w:firstLine="720"/>
        <w:rPr>
          <w:lang w:val="en-GB"/>
        </w:rPr>
      </w:pPr>
      <w:r w:rsidRPr="00317CB4">
        <w:rPr>
          <w:lang w:val="en-GB"/>
        </w:rPr>
        <w:t>This was well illustrated in the pushback allegations and the shifting positions throughout. In that situation, Frontex initially actively supported Italy and Greece in the management of their external borders in the Mediterranean</w:t>
      </w:r>
      <w:r w:rsidR="001C0915" w:rsidRPr="00317CB4">
        <w:rPr>
          <w:lang w:val="en-GB"/>
        </w:rPr>
        <w:t xml:space="preserve"> through Rapid Border Intervention Missions</w:t>
      </w:r>
      <w:r w:rsidRPr="00317CB4">
        <w:rPr>
          <w:lang w:val="en-GB"/>
        </w:rPr>
        <w:t xml:space="preserve">, and </w:t>
      </w:r>
      <w:r w:rsidR="000B51A1" w:rsidRPr="00317CB4">
        <w:rPr>
          <w:lang w:val="en-GB"/>
        </w:rPr>
        <w:t xml:space="preserve">it </w:t>
      </w:r>
      <w:r w:rsidRPr="00317CB4">
        <w:rPr>
          <w:lang w:val="en-GB"/>
        </w:rPr>
        <w:t>sided with both the member states and the Commission in denying that in this process pushbacks occurred. However, as the OLAF report was published, it became more important for Frontex to safeguard and redeem its own reputation rather than continue to support the member states. By admitting that they participated in one pushback, the agency not only attempted to reduce the loss in reputation it had suffered but also chose to adhere to demands from only a few member states</w:t>
      </w:r>
      <w:r w:rsidR="00FD2CEC" w:rsidRPr="00317CB4">
        <w:rPr>
          <w:lang w:val="en-GB"/>
        </w:rPr>
        <w:t xml:space="preserve"> that were supported by the Commission</w:t>
      </w:r>
      <w:r w:rsidRPr="00317CB4">
        <w:rPr>
          <w:lang w:val="en-GB"/>
        </w:rPr>
        <w:t xml:space="preserve">, but these were not Italy or Greece, </w:t>
      </w:r>
      <w:r w:rsidR="00C33278" w:rsidRPr="00317CB4">
        <w:rPr>
          <w:lang w:val="en-GB"/>
        </w:rPr>
        <w:t xml:space="preserve">meaning that </w:t>
      </w:r>
      <w:r w:rsidRPr="00317CB4">
        <w:rPr>
          <w:lang w:val="en-GB"/>
        </w:rPr>
        <w:t>Frontex stopped supporting external border countries. Hence, to ensure that its own reputational losses can be minimised, Frontex agreed with member states</w:t>
      </w:r>
      <w:r w:rsidR="00E15CD9" w:rsidRPr="00317CB4">
        <w:rPr>
          <w:lang w:val="en-GB"/>
        </w:rPr>
        <w:t xml:space="preserve"> and institutions, i.e. the actors</w:t>
      </w:r>
      <w:r w:rsidRPr="00317CB4">
        <w:rPr>
          <w:lang w:val="en-GB"/>
        </w:rPr>
        <w:t xml:space="preserve"> that could have rejected its ability to take action on national territor</w:t>
      </w:r>
      <w:r w:rsidR="00E15CD9" w:rsidRPr="00317CB4">
        <w:rPr>
          <w:lang w:val="en-GB"/>
        </w:rPr>
        <w:t>ies</w:t>
      </w:r>
      <w:r w:rsidRPr="00317CB4">
        <w:rPr>
          <w:lang w:val="en-GB"/>
        </w:rPr>
        <w:t xml:space="preserve"> along an external border</w:t>
      </w:r>
      <w:r w:rsidR="00E15CD9" w:rsidRPr="00317CB4">
        <w:rPr>
          <w:lang w:val="en-GB"/>
        </w:rPr>
        <w:t xml:space="preserve"> altogether</w:t>
      </w:r>
      <w:r w:rsidRPr="00317CB4">
        <w:rPr>
          <w:lang w:val="en-GB"/>
        </w:rPr>
        <w:t xml:space="preserve">. </w:t>
      </w:r>
    </w:p>
    <w:p w14:paraId="12DF2319" w14:textId="24BAA8B9" w:rsidR="001D297E" w:rsidRPr="00317CB4" w:rsidRDefault="003D10D8" w:rsidP="00E02EA3">
      <w:pPr>
        <w:spacing w:line="360" w:lineRule="auto"/>
        <w:ind w:firstLine="709"/>
        <w:rPr>
          <w:lang w:val="en-GB"/>
        </w:rPr>
      </w:pPr>
      <w:r>
        <w:rPr>
          <w:lang w:val="en-GB"/>
        </w:rPr>
        <w:t>In response to the research question</w:t>
      </w:r>
      <w:r w:rsidR="00685359" w:rsidRPr="00317CB4">
        <w:rPr>
          <w:lang w:val="en-GB"/>
        </w:rPr>
        <w:t xml:space="preserve"> </w:t>
      </w:r>
      <w:r w:rsidR="005148F5">
        <w:rPr>
          <w:lang w:val="en-GB"/>
        </w:rPr>
        <w:t xml:space="preserve">that was initially asked, it </w:t>
      </w:r>
      <w:r w:rsidR="00685359" w:rsidRPr="00317CB4">
        <w:rPr>
          <w:lang w:val="en-GB"/>
        </w:rPr>
        <w:t xml:space="preserve">can be concluded that even though core state powers can be direction-indicating, Frontex remains fairly independent thereof and can position itself </w:t>
      </w:r>
      <w:r w:rsidR="00697D52" w:rsidRPr="00317CB4">
        <w:rPr>
          <w:lang w:val="en-GB"/>
        </w:rPr>
        <w:t xml:space="preserve">with </w:t>
      </w:r>
      <w:r w:rsidR="00787F57" w:rsidRPr="00317CB4">
        <w:rPr>
          <w:lang w:val="en-GB"/>
        </w:rPr>
        <w:t>either</w:t>
      </w:r>
      <w:r w:rsidR="00787F57" w:rsidRPr="00317CB4">
        <w:rPr>
          <w:lang w:val="en-GB"/>
        </w:rPr>
        <w:t xml:space="preserve"> </w:t>
      </w:r>
      <w:r w:rsidR="00697D52" w:rsidRPr="00317CB4">
        <w:rPr>
          <w:lang w:val="en-GB"/>
        </w:rPr>
        <w:t xml:space="preserve">audience members in the interest of safeguarding its own reputation. </w:t>
      </w:r>
      <w:r w:rsidR="00681F81" w:rsidRPr="00317CB4">
        <w:rPr>
          <w:lang w:val="en-GB"/>
        </w:rPr>
        <w:t xml:space="preserve">It is therefore a good illustration of a most likely case. It was expected that the indicators formulated through the expectations would confirm that </w:t>
      </w:r>
      <w:r w:rsidR="005703D0" w:rsidRPr="00317CB4">
        <w:rPr>
          <w:lang w:val="en-GB"/>
        </w:rPr>
        <w:t>Frontex would be subordinate to one audience member</w:t>
      </w:r>
      <w:r w:rsidR="00061CC4" w:rsidRPr="00317CB4">
        <w:rPr>
          <w:lang w:val="en-GB"/>
        </w:rPr>
        <w:t>, as well as point out which one</w:t>
      </w:r>
      <w:r w:rsidR="005703D0" w:rsidRPr="00317CB4">
        <w:rPr>
          <w:lang w:val="en-GB"/>
        </w:rPr>
        <w:t xml:space="preserve">, and that would in turn provide insights into the EU’s core state power dynamics. Yet, </w:t>
      </w:r>
      <w:r w:rsidR="00FA2A0C" w:rsidRPr="00317CB4">
        <w:rPr>
          <w:lang w:val="en-GB"/>
        </w:rPr>
        <w:t xml:space="preserve">no such confirmation can definitely be made, as each situation is independently approached by Frontex. This </w:t>
      </w:r>
      <w:r w:rsidR="00924F08" w:rsidRPr="00317CB4">
        <w:rPr>
          <w:lang w:val="en-GB"/>
        </w:rPr>
        <w:t xml:space="preserve">shows that the agencification of EU agencies has, at least in this case, resulted in </w:t>
      </w:r>
      <w:r w:rsidR="003E4A5A" w:rsidRPr="00317CB4">
        <w:rPr>
          <w:lang w:val="en-GB"/>
        </w:rPr>
        <w:t>more</w:t>
      </w:r>
      <w:r w:rsidR="00924F08" w:rsidRPr="00317CB4">
        <w:rPr>
          <w:lang w:val="en-GB"/>
        </w:rPr>
        <w:t xml:space="preserve"> independence of</w:t>
      </w:r>
      <w:r w:rsidR="003E4A5A" w:rsidRPr="00317CB4">
        <w:rPr>
          <w:lang w:val="en-GB"/>
        </w:rPr>
        <w:t xml:space="preserve"> an agency than both institutions and member states may prefer. </w:t>
      </w:r>
      <w:r w:rsidR="00217B57" w:rsidRPr="00317CB4">
        <w:rPr>
          <w:lang w:val="en-GB"/>
        </w:rPr>
        <w:t xml:space="preserve">It also echoes the notion that agencies are </w:t>
      </w:r>
      <w:r w:rsidR="00EF1723" w:rsidRPr="00317CB4">
        <w:rPr>
          <w:lang w:val="en-GB"/>
        </w:rPr>
        <w:t xml:space="preserve">politically conscious entities that are aware of the surrounding dynamics </w:t>
      </w:r>
      <w:r w:rsidR="00C33278" w:rsidRPr="00317CB4">
        <w:rPr>
          <w:lang w:val="en-GB"/>
        </w:rPr>
        <w:t xml:space="preserve">and manage their reputation accordingly </w:t>
      </w:r>
      <w:r w:rsidR="00EF1723" w:rsidRPr="00317CB4">
        <w:rPr>
          <w:lang w:val="en-GB"/>
        </w:rPr>
        <w:t>(Gilad &amp; Yogev, 2012; Maor, 2011; Rimkutė, 2018)</w:t>
      </w:r>
      <w:r w:rsidR="00B10B57" w:rsidRPr="00317CB4">
        <w:rPr>
          <w:lang w:val="en-GB"/>
        </w:rPr>
        <w:t xml:space="preserve">. </w:t>
      </w:r>
    </w:p>
    <w:p w14:paraId="74F729DE" w14:textId="77777777" w:rsidR="001D297E" w:rsidRPr="00317CB4" w:rsidRDefault="001D297E" w:rsidP="001D297E">
      <w:pPr>
        <w:pStyle w:val="ListParagraph"/>
        <w:numPr>
          <w:ilvl w:val="1"/>
          <w:numId w:val="53"/>
        </w:numPr>
        <w:spacing w:line="360" w:lineRule="auto"/>
        <w:rPr>
          <w:b/>
          <w:bCs/>
          <w:color w:val="2F5496" w:themeColor="accent1" w:themeShade="BF"/>
          <w:lang w:val="en-GB"/>
        </w:rPr>
      </w:pPr>
      <w:r w:rsidRPr="00317CB4">
        <w:rPr>
          <w:b/>
          <w:bCs/>
          <w:color w:val="2F5496" w:themeColor="accent1" w:themeShade="BF"/>
          <w:lang w:val="en-GB"/>
        </w:rPr>
        <w:lastRenderedPageBreak/>
        <w:t xml:space="preserve">Transferability of this research </w:t>
      </w:r>
    </w:p>
    <w:p w14:paraId="4B918E01" w14:textId="2B05F0E8" w:rsidR="0074014A" w:rsidRPr="00317CB4" w:rsidRDefault="006F3C22" w:rsidP="0074014A">
      <w:pPr>
        <w:spacing w:line="360" w:lineRule="auto"/>
        <w:rPr>
          <w:lang w:val="en-GB"/>
        </w:rPr>
      </w:pPr>
      <w:r w:rsidRPr="00317CB4">
        <w:rPr>
          <w:lang w:val="en-GB"/>
        </w:rPr>
        <w:t xml:space="preserve">This research set out to see whether, from the conclusion reached about Frontex’ position in the core state power dynamics inherent to the European Union, an inference can potentially be made about other agencies in this dynamic. </w:t>
      </w:r>
      <w:r w:rsidR="00D818E7" w:rsidRPr="00317CB4">
        <w:rPr>
          <w:lang w:val="en-GB"/>
        </w:rPr>
        <w:t xml:space="preserve">There are, however, </w:t>
      </w:r>
      <w:r w:rsidR="00E67068" w:rsidRPr="00317CB4">
        <w:rPr>
          <w:lang w:val="en-GB"/>
        </w:rPr>
        <w:t>only few</w:t>
      </w:r>
      <w:r w:rsidR="00687608" w:rsidRPr="00317CB4">
        <w:rPr>
          <w:lang w:val="en-GB"/>
        </w:rPr>
        <w:t xml:space="preserve"> other agencies that are so embedded in core state powers as Frontex is. </w:t>
      </w:r>
      <w:r w:rsidR="002E2126" w:rsidRPr="00317CB4">
        <w:rPr>
          <w:lang w:val="en-GB"/>
        </w:rPr>
        <w:t xml:space="preserve">The EMSA </w:t>
      </w:r>
      <w:r w:rsidR="0053253E" w:rsidRPr="00317CB4">
        <w:rPr>
          <w:lang w:val="en-GB"/>
        </w:rPr>
        <w:t xml:space="preserve">has, </w:t>
      </w:r>
      <w:r w:rsidR="006F3D98" w:rsidRPr="00317CB4">
        <w:rPr>
          <w:lang w:val="en-GB"/>
        </w:rPr>
        <w:t>sin</w:t>
      </w:r>
      <w:r w:rsidR="006E50EF">
        <w:rPr>
          <w:lang w:val="en-GB"/>
        </w:rPr>
        <w:t>c</w:t>
      </w:r>
      <w:r w:rsidR="006F3D98" w:rsidRPr="00317CB4">
        <w:rPr>
          <w:lang w:val="en-GB"/>
        </w:rPr>
        <w:t>e the migration crisis began,</w:t>
      </w:r>
      <w:r w:rsidR="0053253E" w:rsidRPr="00317CB4">
        <w:rPr>
          <w:lang w:val="en-GB"/>
        </w:rPr>
        <w:t xml:space="preserve"> been pulled closer towards Frontex to work in tandem with them in the Mediterranean</w:t>
      </w:r>
      <w:r w:rsidR="003E2659" w:rsidRPr="00317CB4">
        <w:rPr>
          <w:lang w:val="en-GB"/>
        </w:rPr>
        <w:t xml:space="preserve"> (Carpenter, 2015)</w:t>
      </w:r>
      <w:r w:rsidR="000810D1" w:rsidRPr="00317CB4">
        <w:rPr>
          <w:lang w:val="en-GB"/>
        </w:rPr>
        <w:t xml:space="preserve">, whereas Europol has increased cooperation </w:t>
      </w:r>
      <w:r w:rsidR="00C95B78" w:rsidRPr="00317CB4">
        <w:rPr>
          <w:lang w:val="en-GB"/>
        </w:rPr>
        <w:t xml:space="preserve">with Frontex to a slightly lesser extent (Kalkman, </w:t>
      </w:r>
      <w:r w:rsidR="006F3D98" w:rsidRPr="00317CB4">
        <w:rPr>
          <w:lang w:val="en-GB"/>
        </w:rPr>
        <w:t>2020)</w:t>
      </w:r>
      <w:r w:rsidR="00536DEE" w:rsidRPr="00317CB4">
        <w:rPr>
          <w:lang w:val="en-GB"/>
        </w:rPr>
        <w:t xml:space="preserve">. Other examples that were previously mentioned (CEPOL, EBA, </w:t>
      </w:r>
      <w:r w:rsidR="00877DC6" w:rsidRPr="00317CB4">
        <w:rPr>
          <w:lang w:val="en-GB"/>
        </w:rPr>
        <w:t xml:space="preserve">Eurojust) merely graze core state power dynamics, thus it is not entirely possible to transfer the results from this analysis to them. </w:t>
      </w:r>
      <w:r w:rsidR="00787F57" w:rsidRPr="00317CB4">
        <w:rPr>
          <w:lang w:val="en-GB"/>
        </w:rPr>
        <w:t xml:space="preserve">Transferability is therefore limited. The implication is, however, that core state powers in e.g. tax related issues remain in the hands of the member states. </w:t>
      </w:r>
    </w:p>
    <w:p w14:paraId="2A018DE3" w14:textId="6A501BDC" w:rsidR="0074014A" w:rsidRPr="00317CB4" w:rsidRDefault="0074014A" w:rsidP="0074014A">
      <w:pPr>
        <w:pStyle w:val="ListParagraph"/>
        <w:numPr>
          <w:ilvl w:val="1"/>
          <w:numId w:val="53"/>
        </w:numPr>
        <w:spacing w:line="360" w:lineRule="auto"/>
        <w:rPr>
          <w:b/>
          <w:bCs/>
          <w:color w:val="2F5496" w:themeColor="accent1" w:themeShade="BF"/>
          <w:lang w:val="en-GB"/>
        </w:rPr>
      </w:pPr>
      <w:r w:rsidRPr="00317CB4">
        <w:rPr>
          <w:b/>
          <w:bCs/>
          <w:color w:val="2F5496" w:themeColor="accent1" w:themeShade="BF"/>
          <w:lang w:val="en-GB"/>
        </w:rPr>
        <w:t xml:space="preserve">Limitations </w:t>
      </w:r>
    </w:p>
    <w:p w14:paraId="36465CE9" w14:textId="07E4D471" w:rsidR="002513C3" w:rsidRPr="00317CB4" w:rsidRDefault="002513C3" w:rsidP="002513C3">
      <w:pPr>
        <w:spacing w:line="360" w:lineRule="auto"/>
        <w:rPr>
          <w:lang w:val="en-GB"/>
        </w:rPr>
      </w:pPr>
      <w:r w:rsidRPr="00317CB4">
        <w:rPr>
          <w:lang w:val="en-GB"/>
        </w:rPr>
        <w:t>One limitation to the information that was available to use for the analysis applies to the initially planned interviews not taking place. Even though the confirmation was present, no date to conduct the interviews could be agreed upo</w:t>
      </w:r>
      <w:r w:rsidR="002F0A71" w:rsidRPr="00317CB4">
        <w:rPr>
          <w:lang w:val="en-GB"/>
        </w:rPr>
        <w:t>n</w:t>
      </w:r>
      <w:r w:rsidRPr="00317CB4">
        <w:rPr>
          <w:lang w:val="en-GB"/>
        </w:rPr>
        <w:t xml:space="preserve">. The information that could have been provided by them to this research would doubtless have been valuable due to the direct involvement </w:t>
      </w:r>
      <w:r w:rsidR="00A86637" w:rsidRPr="00317CB4">
        <w:rPr>
          <w:lang w:val="en-GB"/>
        </w:rPr>
        <w:t xml:space="preserve">of the intended interviewees </w:t>
      </w:r>
      <w:r w:rsidRPr="00317CB4">
        <w:rPr>
          <w:lang w:val="en-GB"/>
        </w:rPr>
        <w:t xml:space="preserve">with Frontex. Information gathered through interviews </w:t>
      </w:r>
      <w:r w:rsidR="00780D9F" w:rsidRPr="00317CB4">
        <w:rPr>
          <w:lang w:val="en-GB"/>
        </w:rPr>
        <w:t xml:space="preserve">with involved Frontex officials </w:t>
      </w:r>
      <w:r w:rsidRPr="00317CB4">
        <w:rPr>
          <w:lang w:val="en-GB"/>
        </w:rPr>
        <w:t>would have been equally valuable could they have been arranged. The information from the questionnaire was supportive for the analysis, though the mentioned bias does apply because of which the answers are considered with a grain of salt</w:t>
      </w:r>
      <w:r w:rsidR="00D40C18" w:rsidRPr="00317CB4">
        <w:rPr>
          <w:lang w:val="en-GB"/>
        </w:rPr>
        <w:t xml:space="preserve"> (Kumar, 2011)</w:t>
      </w:r>
      <w:r w:rsidRPr="00317CB4">
        <w:rPr>
          <w:lang w:val="en-GB"/>
        </w:rPr>
        <w:t xml:space="preserve">. </w:t>
      </w:r>
      <w:r w:rsidR="008B713F" w:rsidRPr="00317CB4">
        <w:rPr>
          <w:lang w:val="en-GB"/>
        </w:rPr>
        <w:t>Methodological</w:t>
      </w:r>
      <w:r w:rsidR="0065567B" w:rsidRPr="00317CB4">
        <w:rPr>
          <w:lang w:val="en-GB"/>
        </w:rPr>
        <w:t xml:space="preserve"> limitations also had to be navigated</w:t>
      </w:r>
      <w:r w:rsidR="008B713F" w:rsidRPr="00317CB4">
        <w:rPr>
          <w:lang w:val="en-GB"/>
        </w:rPr>
        <w:t xml:space="preserve"> in the process of operationalising reputation. It is frequently discussed in the literature that </w:t>
      </w:r>
      <w:r w:rsidR="0010410A" w:rsidRPr="00317CB4">
        <w:rPr>
          <w:lang w:val="en-GB"/>
        </w:rPr>
        <w:t xml:space="preserve">reputation is an evasive concept (Overman et al., 2019), so it may be that with a different operationalisation, a different interpretation of the information </w:t>
      </w:r>
      <w:r w:rsidR="00186B96" w:rsidRPr="00317CB4">
        <w:rPr>
          <w:lang w:val="en-GB"/>
        </w:rPr>
        <w:t xml:space="preserve">could </w:t>
      </w:r>
      <w:r w:rsidR="0010410A" w:rsidRPr="00317CB4">
        <w:rPr>
          <w:lang w:val="en-GB"/>
        </w:rPr>
        <w:t xml:space="preserve">have been achieved. </w:t>
      </w:r>
    </w:p>
    <w:p w14:paraId="3EAB9CFD" w14:textId="252B314F" w:rsidR="00AA4D56" w:rsidRPr="00317CB4" w:rsidRDefault="00AA4D56" w:rsidP="002513C3">
      <w:pPr>
        <w:spacing w:line="360" w:lineRule="auto"/>
        <w:rPr>
          <w:lang w:val="en-GB"/>
        </w:rPr>
      </w:pPr>
      <w:r w:rsidRPr="00317CB4">
        <w:rPr>
          <w:lang w:val="en-GB"/>
        </w:rPr>
        <w:tab/>
      </w:r>
      <w:r w:rsidR="007B6FA1" w:rsidRPr="00317CB4">
        <w:rPr>
          <w:lang w:val="en-GB"/>
        </w:rPr>
        <w:t xml:space="preserve">Further limitations were imposed through the recent movements within this policy area. With the deal that was concluded in the European Council, but also the </w:t>
      </w:r>
      <w:r w:rsidR="002E680F" w:rsidRPr="00317CB4">
        <w:rPr>
          <w:lang w:val="en-GB"/>
        </w:rPr>
        <w:t xml:space="preserve">disaster in which at least 79 migrants drowned </w:t>
      </w:r>
      <w:r w:rsidR="003F0132" w:rsidRPr="00317CB4">
        <w:rPr>
          <w:lang w:val="en-GB"/>
        </w:rPr>
        <w:t xml:space="preserve">in Greek waters in the Mediterranean (Stamouli, 2023), discussions about which path to take in </w:t>
      </w:r>
      <w:r w:rsidR="00501370" w:rsidRPr="00317CB4">
        <w:rPr>
          <w:lang w:val="en-GB"/>
        </w:rPr>
        <w:t>migration &amp; asylum policy continue on various political levels. This includes Frontex as well</w:t>
      </w:r>
      <w:r w:rsidR="003A5915" w:rsidRPr="00317CB4">
        <w:rPr>
          <w:lang w:val="en-GB"/>
        </w:rPr>
        <w:t xml:space="preserve">, as the rescuing of </w:t>
      </w:r>
      <w:r w:rsidR="00397CFA" w:rsidRPr="00317CB4">
        <w:rPr>
          <w:lang w:val="en-GB"/>
        </w:rPr>
        <w:t>migrants along the external border directly touches upon the agency’s mandate</w:t>
      </w:r>
      <w:r w:rsidR="00BA114F" w:rsidRPr="00317CB4">
        <w:rPr>
          <w:lang w:val="en-GB"/>
        </w:rPr>
        <w:t xml:space="preserve"> (Regulation (EU) 2019/1896, </w:t>
      </w:r>
      <w:r w:rsidR="0030320D" w:rsidRPr="00317CB4">
        <w:rPr>
          <w:lang w:val="en-GB"/>
        </w:rPr>
        <w:t xml:space="preserve">Chapter 1, Article 3(b)). </w:t>
      </w:r>
      <w:r w:rsidR="005736DE" w:rsidRPr="00317CB4">
        <w:rPr>
          <w:lang w:val="en-GB"/>
        </w:rPr>
        <w:t xml:space="preserve">The specific demands to Frontex can therefore still be subjected to change. </w:t>
      </w:r>
      <w:r w:rsidR="00BD14C2" w:rsidRPr="00317CB4">
        <w:rPr>
          <w:lang w:val="en-GB"/>
        </w:rPr>
        <w:t>Lastly, not all demands that were ever made to Frontex could be analysed</w:t>
      </w:r>
      <w:r w:rsidR="002234C4" w:rsidRPr="00317CB4">
        <w:rPr>
          <w:lang w:val="en-GB"/>
        </w:rPr>
        <w:t xml:space="preserve">. A different selection may provide different insights into the position Frontex holds in the EU’s core state power dynamics. </w:t>
      </w:r>
    </w:p>
    <w:p w14:paraId="5701DF57" w14:textId="77777777" w:rsidR="00766DC8" w:rsidRPr="00317CB4" w:rsidRDefault="00766DC8" w:rsidP="002513C3">
      <w:pPr>
        <w:spacing w:line="360" w:lineRule="auto"/>
        <w:rPr>
          <w:lang w:val="en-GB"/>
        </w:rPr>
      </w:pPr>
    </w:p>
    <w:p w14:paraId="5F77A7E5" w14:textId="77777777" w:rsidR="00766DC8" w:rsidRPr="00317CB4" w:rsidRDefault="00766DC8" w:rsidP="002513C3">
      <w:pPr>
        <w:spacing w:line="360" w:lineRule="auto"/>
        <w:rPr>
          <w:lang w:val="en-GB"/>
        </w:rPr>
      </w:pPr>
    </w:p>
    <w:p w14:paraId="461139C7" w14:textId="67C304E7" w:rsidR="00060679" w:rsidRPr="00317CB4" w:rsidRDefault="00060679" w:rsidP="0074014A">
      <w:pPr>
        <w:pStyle w:val="ListParagraph"/>
        <w:numPr>
          <w:ilvl w:val="1"/>
          <w:numId w:val="53"/>
        </w:numPr>
        <w:spacing w:line="360" w:lineRule="auto"/>
        <w:rPr>
          <w:b/>
          <w:bCs/>
          <w:color w:val="2F5496" w:themeColor="accent1" w:themeShade="BF"/>
          <w:lang w:val="en-GB"/>
        </w:rPr>
      </w:pPr>
      <w:r w:rsidRPr="00317CB4">
        <w:rPr>
          <w:b/>
          <w:bCs/>
          <w:color w:val="2F5496" w:themeColor="accent1" w:themeShade="BF"/>
          <w:lang w:val="en-GB"/>
        </w:rPr>
        <w:lastRenderedPageBreak/>
        <w:t xml:space="preserve">Future research  </w:t>
      </w:r>
    </w:p>
    <w:p w14:paraId="48E292F5" w14:textId="7520CCFD" w:rsidR="00060679" w:rsidRPr="00317CB4" w:rsidRDefault="00060679" w:rsidP="002513C3">
      <w:pPr>
        <w:spacing w:line="360" w:lineRule="auto"/>
        <w:rPr>
          <w:lang w:val="en-GB"/>
        </w:rPr>
      </w:pPr>
      <w:r w:rsidRPr="00317CB4">
        <w:rPr>
          <w:lang w:val="en-GB"/>
        </w:rPr>
        <w:t>European migration &amp; asylum policy remains a fluid field in which agreement is difficult. As such, it will be interesting to see how the</w:t>
      </w:r>
      <w:r w:rsidR="005D66E1" w:rsidRPr="00317CB4">
        <w:rPr>
          <w:lang w:val="en-GB"/>
        </w:rPr>
        <w:t xml:space="preserve"> agreement for a common approach to this policy will indeed be put into practice. From there, the debate introduced here can be continued and the demands to Frontex can be analysed</w:t>
      </w:r>
      <w:r w:rsidR="005A5CD1" w:rsidRPr="00317CB4">
        <w:rPr>
          <w:lang w:val="en-GB"/>
        </w:rPr>
        <w:t xml:space="preserve"> further as well</w:t>
      </w:r>
      <w:r w:rsidR="005D66E1" w:rsidRPr="00317CB4">
        <w:rPr>
          <w:lang w:val="en-GB"/>
        </w:rPr>
        <w:t xml:space="preserve">. The same is the case for discussion around the fence along the external borders and the implementation of aerial surveillance technologies. </w:t>
      </w:r>
      <w:r w:rsidR="00B64658" w:rsidRPr="00317CB4">
        <w:rPr>
          <w:lang w:val="en-GB"/>
        </w:rPr>
        <w:t>Especially with the Commission’s focus on research and development, and specifically the focus on the use of drones</w:t>
      </w:r>
      <w:r w:rsidR="00BE5D74" w:rsidRPr="00317CB4">
        <w:rPr>
          <w:lang w:val="en-GB"/>
        </w:rPr>
        <w:t xml:space="preserve"> for various purposes, this is still a new field in migration policy but also in </w:t>
      </w:r>
      <w:r w:rsidR="00E67AA3" w:rsidRPr="00317CB4">
        <w:rPr>
          <w:lang w:val="en-GB"/>
        </w:rPr>
        <w:t xml:space="preserve">defence policy in which the ethics of the use of drones </w:t>
      </w:r>
      <w:r w:rsidR="00A0741C" w:rsidRPr="00317CB4">
        <w:rPr>
          <w:lang w:val="en-GB"/>
        </w:rPr>
        <w:t xml:space="preserve">in general </w:t>
      </w:r>
      <w:r w:rsidR="00E67AA3" w:rsidRPr="00317CB4">
        <w:rPr>
          <w:lang w:val="en-GB"/>
        </w:rPr>
        <w:t xml:space="preserve">is only one of the things that requires consideration </w:t>
      </w:r>
      <w:r w:rsidR="00023001" w:rsidRPr="00317CB4">
        <w:rPr>
          <w:lang w:val="en-GB"/>
        </w:rPr>
        <w:t xml:space="preserve">(Walzer, 2016). </w:t>
      </w:r>
    </w:p>
    <w:p w14:paraId="69347003" w14:textId="16B48E62" w:rsidR="005A5CD1" w:rsidRPr="00317CB4" w:rsidRDefault="005A5CD1" w:rsidP="002513C3">
      <w:pPr>
        <w:spacing w:line="360" w:lineRule="auto"/>
        <w:rPr>
          <w:lang w:val="en-GB"/>
        </w:rPr>
      </w:pPr>
      <w:r w:rsidRPr="00317CB4">
        <w:rPr>
          <w:lang w:val="en-GB"/>
        </w:rPr>
        <w:tab/>
        <w:t xml:space="preserve">Another approach to analyse the demands to Frontex in this policy field can be taken from the position of the European Parliament. </w:t>
      </w:r>
      <w:r w:rsidR="00F05DB9" w:rsidRPr="00317CB4">
        <w:rPr>
          <w:lang w:val="en-GB"/>
        </w:rPr>
        <w:t>The Parliament mentioned that it would prefer to eliminate the reason for the irregular migration at the source</w:t>
      </w:r>
      <w:r w:rsidR="00653BF4" w:rsidRPr="00317CB4">
        <w:rPr>
          <w:lang w:val="en-GB"/>
        </w:rPr>
        <w:t xml:space="preserve"> (Latek, 2017)</w:t>
      </w:r>
      <w:r w:rsidR="00F05DB9" w:rsidRPr="00317CB4">
        <w:rPr>
          <w:lang w:val="en-GB"/>
        </w:rPr>
        <w:t>. This would require further research, but also resources, to be directed at analysing the reasons for migration flows, and t</w:t>
      </w:r>
      <w:r w:rsidR="00742903" w:rsidRPr="00317CB4">
        <w:rPr>
          <w:lang w:val="en-GB"/>
        </w:rPr>
        <w:t>heir solutions</w:t>
      </w:r>
      <w:r w:rsidR="00653BF4" w:rsidRPr="00317CB4">
        <w:rPr>
          <w:lang w:val="en-GB"/>
        </w:rPr>
        <w:t xml:space="preserve">, i.e. touch upon the field of conflict resolution. </w:t>
      </w:r>
      <w:r w:rsidR="00242208" w:rsidRPr="00317CB4">
        <w:rPr>
          <w:lang w:val="en-GB"/>
        </w:rPr>
        <w:t>The suggested solution from the European Parliament therefore also shows that migration &amp; asylum policy cannot be regarded as just a</w:t>
      </w:r>
      <w:r w:rsidR="00FC67E2" w:rsidRPr="00317CB4">
        <w:rPr>
          <w:lang w:val="en-GB"/>
        </w:rPr>
        <w:t>n isolated European problem</w:t>
      </w:r>
      <w:r w:rsidR="006C7C65" w:rsidRPr="00317CB4">
        <w:rPr>
          <w:lang w:val="en-GB"/>
        </w:rPr>
        <w:t xml:space="preserve"> with Frontex functioning as the bulwark</w:t>
      </w:r>
      <w:r w:rsidR="00FC67E2" w:rsidRPr="00317CB4">
        <w:rPr>
          <w:lang w:val="en-GB"/>
        </w:rPr>
        <w:t xml:space="preserve">, but is quite contrary a global struggle in which all positions need to converge to achieve a sustainable solution. </w:t>
      </w:r>
      <w:r w:rsidR="00A86637" w:rsidRPr="00317CB4">
        <w:rPr>
          <w:lang w:val="en-GB"/>
        </w:rPr>
        <w:t xml:space="preserve">However, the role of Frontex in this global </w:t>
      </w:r>
      <w:r w:rsidR="00D43BF5" w:rsidRPr="00317CB4">
        <w:rPr>
          <w:lang w:val="en-GB"/>
        </w:rPr>
        <w:t xml:space="preserve">dynamic can be interesting to analyse. </w:t>
      </w:r>
    </w:p>
    <w:p w14:paraId="74BEBED3" w14:textId="216643E4" w:rsidR="000D6A69" w:rsidRPr="00317CB4" w:rsidRDefault="000D6A69" w:rsidP="002513C3">
      <w:pPr>
        <w:spacing w:line="360" w:lineRule="auto"/>
        <w:rPr>
          <w:lang w:val="en-GB"/>
        </w:rPr>
      </w:pPr>
      <w:r w:rsidRPr="00317CB4">
        <w:rPr>
          <w:lang w:val="en-GB"/>
        </w:rPr>
        <w:tab/>
        <w:t xml:space="preserve">The final suggestion for future research is to take the theoretical guidance provided by </w:t>
      </w:r>
      <w:r w:rsidR="00D65502" w:rsidRPr="00317CB4">
        <w:rPr>
          <w:lang w:val="en-GB"/>
        </w:rPr>
        <w:t xml:space="preserve">Rimkutė (2020). In his work on </w:t>
      </w:r>
      <w:r w:rsidR="00C52868" w:rsidRPr="00317CB4">
        <w:rPr>
          <w:lang w:val="en-GB"/>
        </w:rPr>
        <w:t xml:space="preserve">regulatory agencies’ responses when faced with controversies, agencies are </w:t>
      </w:r>
      <w:r w:rsidR="00A46D9B" w:rsidRPr="00317CB4">
        <w:rPr>
          <w:lang w:val="en-GB"/>
        </w:rPr>
        <w:t>theorised to either choose strategic silence or regulatory talks</w:t>
      </w:r>
      <w:r w:rsidR="002210ED" w:rsidRPr="00317CB4">
        <w:rPr>
          <w:lang w:val="en-GB"/>
        </w:rPr>
        <w:t xml:space="preserve"> to manage their reputation</w:t>
      </w:r>
      <w:r w:rsidR="00A46D9B" w:rsidRPr="00317CB4">
        <w:rPr>
          <w:lang w:val="en-GB"/>
        </w:rPr>
        <w:t xml:space="preserve">. This research can be transferred to </w:t>
      </w:r>
      <w:r w:rsidR="00B07E63" w:rsidRPr="00317CB4">
        <w:rPr>
          <w:lang w:val="en-GB"/>
        </w:rPr>
        <w:t>Frontex</w:t>
      </w:r>
      <w:r w:rsidR="00014E72" w:rsidRPr="00317CB4">
        <w:rPr>
          <w:lang w:val="en-GB"/>
        </w:rPr>
        <w:t xml:space="preserve"> to determine how </w:t>
      </w:r>
      <w:r w:rsidR="00CA3326" w:rsidRPr="00317CB4">
        <w:rPr>
          <w:lang w:val="en-GB"/>
        </w:rPr>
        <w:t>the precarious accusations of pushbacks were navigated in more detail</w:t>
      </w:r>
      <w:r w:rsidR="002210ED" w:rsidRPr="00317CB4">
        <w:rPr>
          <w:lang w:val="en-GB"/>
        </w:rPr>
        <w:t xml:space="preserve">, and how the recovery of reputation was approached. </w:t>
      </w:r>
      <w:r w:rsidR="009A4671" w:rsidRPr="00317CB4">
        <w:rPr>
          <w:lang w:val="en-GB"/>
        </w:rPr>
        <w:t xml:space="preserve">This can further </w:t>
      </w:r>
      <w:r w:rsidR="00B21D6F" w:rsidRPr="00317CB4">
        <w:rPr>
          <w:lang w:val="en-GB"/>
        </w:rPr>
        <w:t xml:space="preserve">provide a guide to understand how this EU agency in particular works and provide necessary explanations for actions that were met with </w:t>
      </w:r>
      <w:r w:rsidR="00EF523F" w:rsidRPr="00317CB4">
        <w:rPr>
          <w:lang w:val="en-GB"/>
        </w:rPr>
        <w:t xml:space="preserve">plenty of criticism. </w:t>
      </w:r>
    </w:p>
    <w:p w14:paraId="67553074" w14:textId="4A30AF80" w:rsidR="00A07DDA" w:rsidRPr="00317CB4" w:rsidRDefault="00A07DDA" w:rsidP="002513C3">
      <w:pPr>
        <w:spacing w:line="360" w:lineRule="auto"/>
        <w:rPr>
          <w:lang w:val="en-GB"/>
        </w:rPr>
      </w:pPr>
      <w:r w:rsidRPr="00317CB4">
        <w:rPr>
          <w:lang w:val="en-GB"/>
        </w:rPr>
        <w:tab/>
      </w:r>
    </w:p>
    <w:p w14:paraId="68C366BB" w14:textId="77777777" w:rsidR="00F14BA2" w:rsidRPr="00317CB4" w:rsidRDefault="00F14BA2" w:rsidP="002513C3">
      <w:pPr>
        <w:spacing w:line="360" w:lineRule="auto"/>
        <w:rPr>
          <w:lang w:val="en-GB"/>
        </w:rPr>
      </w:pPr>
    </w:p>
    <w:p w14:paraId="2840F1D1" w14:textId="77777777" w:rsidR="00F14BA2" w:rsidRPr="00317CB4" w:rsidRDefault="00F14BA2" w:rsidP="002513C3">
      <w:pPr>
        <w:spacing w:line="360" w:lineRule="auto"/>
        <w:rPr>
          <w:lang w:val="en-GB"/>
        </w:rPr>
      </w:pPr>
    </w:p>
    <w:p w14:paraId="649627F8" w14:textId="77777777" w:rsidR="00F14BA2" w:rsidRPr="00317CB4" w:rsidRDefault="00F14BA2" w:rsidP="002513C3">
      <w:pPr>
        <w:spacing w:line="360" w:lineRule="auto"/>
        <w:rPr>
          <w:lang w:val="en-GB"/>
        </w:rPr>
      </w:pPr>
    </w:p>
    <w:p w14:paraId="57D928D9" w14:textId="77777777" w:rsidR="00F14BA2" w:rsidRPr="00317CB4" w:rsidRDefault="00F14BA2" w:rsidP="002513C3">
      <w:pPr>
        <w:spacing w:line="360" w:lineRule="auto"/>
        <w:rPr>
          <w:lang w:val="en-GB"/>
        </w:rPr>
      </w:pPr>
    </w:p>
    <w:p w14:paraId="221ABC21" w14:textId="77777777" w:rsidR="00F14BA2" w:rsidRPr="00317CB4" w:rsidRDefault="00F14BA2" w:rsidP="002513C3">
      <w:pPr>
        <w:spacing w:line="360" w:lineRule="auto"/>
        <w:rPr>
          <w:lang w:val="en-GB"/>
        </w:rPr>
      </w:pPr>
    </w:p>
    <w:p w14:paraId="38AF5AFC" w14:textId="3A423C5B" w:rsidR="00B733C5" w:rsidRPr="00317CB4" w:rsidRDefault="00B733C5" w:rsidP="002513C3">
      <w:pPr>
        <w:spacing w:line="360" w:lineRule="auto"/>
        <w:rPr>
          <w:lang w:val="en-GB"/>
        </w:rPr>
      </w:pPr>
      <w:r w:rsidRPr="00317CB4">
        <w:rPr>
          <w:lang w:val="en-GB"/>
        </w:rPr>
        <w:tab/>
      </w:r>
    </w:p>
    <w:sdt>
      <w:sdtPr>
        <w:rPr>
          <w:rFonts w:ascii="Times New Roman" w:eastAsiaTheme="minorHAnsi" w:hAnsi="Times New Roman" w:cs="Times New Roman"/>
          <w:color w:val="auto"/>
          <w:sz w:val="22"/>
          <w:szCs w:val="22"/>
          <w:lang w:eastAsia="en-US"/>
        </w:rPr>
        <w:id w:val="1764643657"/>
        <w:docPartObj>
          <w:docPartGallery w:val="Bibliographies"/>
          <w:docPartUnique/>
        </w:docPartObj>
      </w:sdtPr>
      <w:sdtContent>
        <w:p w14:paraId="78176668" w14:textId="2C26C324" w:rsidR="00CE647B" w:rsidRPr="00317CB4" w:rsidRDefault="0012561E" w:rsidP="00BC5AD6">
          <w:pPr>
            <w:pStyle w:val="Heading1"/>
            <w:spacing w:line="360" w:lineRule="auto"/>
            <w:jc w:val="both"/>
            <w:rPr>
              <w:rFonts w:ascii="Times New Roman" w:hAnsi="Times New Roman" w:cs="Times New Roman"/>
              <w:b/>
              <w:bCs/>
            </w:rPr>
          </w:pPr>
          <w:r w:rsidRPr="00317CB4">
            <w:rPr>
              <w:rFonts w:ascii="Times New Roman" w:hAnsi="Times New Roman" w:cs="Times New Roman"/>
              <w:b/>
              <w:bCs/>
            </w:rPr>
            <w:t>References</w:t>
          </w:r>
        </w:p>
        <w:sdt>
          <w:sdtPr>
            <w:rPr>
              <w:lang w:val="en-GB"/>
            </w:rPr>
            <w:id w:val="111145805"/>
            <w:bibliography/>
          </w:sdtPr>
          <w:sdtContent>
            <w:p w14:paraId="5BA6ECCB" w14:textId="77777777" w:rsidR="00D43BF5" w:rsidRPr="00317CB4" w:rsidRDefault="00CE647B" w:rsidP="00D43BF5">
              <w:pPr>
                <w:pStyle w:val="Bibliography"/>
                <w:ind w:left="720" w:hanging="720"/>
                <w:rPr>
                  <w:sz w:val="24"/>
                  <w:szCs w:val="24"/>
                  <w:lang w:val="en-GB"/>
                </w:rPr>
              </w:pPr>
              <w:r w:rsidRPr="00317CB4">
                <w:rPr>
                  <w:lang w:val="en-GB"/>
                </w:rPr>
                <w:fldChar w:fldCharType="begin"/>
              </w:r>
              <w:r w:rsidRPr="00317CB4">
                <w:rPr>
                  <w:lang w:val="en-GB"/>
                </w:rPr>
                <w:instrText>BIBLIOGRAPHY</w:instrText>
              </w:r>
              <w:r w:rsidRPr="00317CB4">
                <w:rPr>
                  <w:lang w:val="en-GB"/>
                </w:rPr>
                <w:fldChar w:fldCharType="separate"/>
              </w:r>
              <w:r w:rsidR="00D43BF5" w:rsidRPr="00317CB4">
                <w:rPr>
                  <w:lang w:val="en-GB"/>
                </w:rPr>
                <w:t xml:space="preserve">Auswärtiges Amt. (2023). </w:t>
              </w:r>
              <w:r w:rsidR="00D43BF5" w:rsidRPr="00317CB4">
                <w:rPr>
                  <w:i/>
                  <w:iCs/>
                  <w:lang w:val="en-GB"/>
                </w:rPr>
                <w:t xml:space="preserve">FAQ - What countries are Schengen states? </w:t>
              </w:r>
              <w:r w:rsidR="00D43BF5" w:rsidRPr="00317CB4">
                <w:rPr>
                  <w:lang w:val="en-GB"/>
                </w:rPr>
                <w:t>. Retrieved from Auswärtiges Amt: https://www.auswaertiges-amt.de/en/visa-service/buergerservice/faq/17-schengenstaaten/606722#:~:text=Germany%2C%20Austria%2C%20Belgium%2C%20Croatia,the%20Schengen%20Agreement%20and%20are</w:t>
              </w:r>
            </w:p>
            <w:p w14:paraId="2DD71B23" w14:textId="77777777" w:rsidR="00D43BF5" w:rsidRPr="00317CB4" w:rsidRDefault="00D43BF5" w:rsidP="00D43BF5">
              <w:pPr>
                <w:pStyle w:val="Bibliography"/>
                <w:ind w:left="720" w:hanging="720"/>
                <w:rPr>
                  <w:lang w:val="en-GB"/>
                </w:rPr>
              </w:pPr>
              <w:r w:rsidRPr="00317CB4">
                <w:rPr>
                  <w:lang w:val="en-GB"/>
                </w:rPr>
                <w:t xml:space="preserve">Barigazzi, J. (2015, December 17). </w:t>
              </w:r>
              <w:r w:rsidRPr="00317CB4">
                <w:rPr>
                  <w:i/>
                  <w:iCs/>
                  <w:lang w:val="en-GB"/>
                </w:rPr>
                <w:t>EU border control chief: Sovereignty not at risk from new patrol force</w:t>
              </w:r>
              <w:r w:rsidRPr="00317CB4">
                <w:rPr>
                  <w:lang w:val="en-GB"/>
                </w:rPr>
                <w:t>. Retrieved from Politico: https://www.politico.eu/article/frontex-chief-sovereignty-not-a-risk-with-new-eu-border-force-border-control-european-commission/</w:t>
              </w:r>
            </w:p>
            <w:p w14:paraId="3038DD11" w14:textId="77777777" w:rsidR="00D43BF5" w:rsidRPr="00317CB4" w:rsidRDefault="00D43BF5" w:rsidP="00D43BF5">
              <w:pPr>
                <w:pStyle w:val="Bibliography"/>
                <w:ind w:left="720" w:hanging="720"/>
                <w:rPr>
                  <w:lang w:val="en-GB"/>
                </w:rPr>
              </w:pPr>
              <w:r w:rsidRPr="00317CB4">
                <w:rPr>
                  <w:lang w:val="en-GB"/>
                </w:rPr>
                <w:t xml:space="preserve">Barigazzi, J. (2021, January 27). </w:t>
              </w:r>
              <w:r w:rsidRPr="00317CB4">
                <w:rPr>
                  <w:i/>
                  <w:iCs/>
                  <w:lang w:val="en-GB"/>
                </w:rPr>
                <w:t>EU border agency suspends operations in Hungary</w:t>
              </w:r>
              <w:r w:rsidRPr="00317CB4">
                <w:rPr>
                  <w:lang w:val="en-GB"/>
                </w:rPr>
                <w:t>. Retrieved from Politico: https://www.politico.eu/article/eu-border-agency-frontex-suspends-operations-in-hungary-migration/</w:t>
              </w:r>
            </w:p>
            <w:p w14:paraId="1085965E" w14:textId="77777777" w:rsidR="00D43BF5" w:rsidRPr="00317CB4" w:rsidRDefault="00D43BF5" w:rsidP="00D43BF5">
              <w:pPr>
                <w:pStyle w:val="Bibliography"/>
                <w:ind w:left="720" w:hanging="720"/>
                <w:rPr>
                  <w:lang w:val="en-GB"/>
                </w:rPr>
              </w:pPr>
              <w:r w:rsidRPr="00317CB4">
                <w:rPr>
                  <w:lang w:val="en-GB"/>
                </w:rPr>
                <w:t xml:space="preserve">Barigazzi, J., &amp; Lynch, S. (2022, April). </w:t>
              </w:r>
              <w:r w:rsidRPr="00317CB4">
                <w:rPr>
                  <w:i/>
                  <w:iCs/>
                  <w:lang w:val="en-GB"/>
                </w:rPr>
                <w:t>EU border agency chief resigns after critical watchdog probe</w:t>
              </w:r>
              <w:r w:rsidRPr="00317CB4">
                <w:rPr>
                  <w:lang w:val="en-GB"/>
                </w:rPr>
                <w:t>. Retrieved from Politico: https://www.politico.eu/article/eu-border-agency-fabrice-leggeri-resigns-watchdog-probe-findings-released-misconduct/?utm_source=email&amp;utm_medium=alert&amp;utm_campaign=EU%20border%20agency%20chief%20resigns%20after%20watchdog%20probe%20findings%20released&amp;ut</w:t>
              </w:r>
            </w:p>
            <w:p w14:paraId="6FE648AC" w14:textId="77777777" w:rsidR="00D43BF5" w:rsidRPr="00317CB4" w:rsidRDefault="00D43BF5" w:rsidP="00D43BF5">
              <w:pPr>
                <w:pStyle w:val="Bibliography"/>
                <w:ind w:left="720" w:hanging="720"/>
                <w:rPr>
                  <w:lang w:val="en-GB"/>
                </w:rPr>
              </w:pPr>
              <w:r w:rsidRPr="00317CB4">
                <w:rPr>
                  <w:lang w:val="en-GB"/>
                </w:rPr>
                <w:t xml:space="preserve">Bartlett, L., &amp; Vavrus, F. (2017). Comparative case studies: an innovated approach. </w:t>
              </w:r>
              <w:r w:rsidRPr="00317CB4">
                <w:rPr>
                  <w:i/>
                  <w:iCs/>
                  <w:lang w:val="en-GB"/>
                </w:rPr>
                <w:t>Nordic Journal of Comparative and International Education, 1(1)</w:t>
              </w:r>
              <w:r w:rsidRPr="00317CB4">
                <w:rPr>
                  <w:lang w:val="en-GB"/>
                </w:rPr>
                <w:t>, 5-17.</w:t>
              </w:r>
            </w:p>
            <w:p w14:paraId="707ED4FC" w14:textId="77777777" w:rsidR="00D43BF5" w:rsidRPr="00317CB4" w:rsidRDefault="00D43BF5" w:rsidP="00D43BF5">
              <w:pPr>
                <w:pStyle w:val="Bibliography"/>
                <w:ind w:left="720" w:hanging="720"/>
                <w:rPr>
                  <w:lang w:val="en-GB"/>
                </w:rPr>
              </w:pPr>
              <w:r w:rsidRPr="00317CB4">
                <w:rPr>
                  <w:lang w:val="en-GB"/>
                </w:rPr>
                <w:t xml:space="preserve">Blamont, M., &amp; Labbé, C. (2016, July 12). </w:t>
              </w:r>
              <w:r w:rsidRPr="00317CB4">
                <w:rPr>
                  <w:i/>
                  <w:iCs/>
                  <w:lang w:val="en-GB"/>
                </w:rPr>
                <w:t>Migrant flows to EU eased after Turkey deal, 'front line' moved to Italy</w:t>
              </w:r>
              <w:r w:rsidRPr="00317CB4">
                <w:rPr>
                  <w:lang w:val="en-GB"/>
                </w:rPr>
                <w:t>. Retrieved from Reuters: https://www.reuters.com/article/uk-europe-migrants-frontex-idUKKCN0ZS108</w:t>
              </w:r>
            </w:p>
            <w:p w14:paraId="4CBDB3F8" w14:textId="77777777" w:rsidR="00D43BF5" w:rsidRPr="00317CB4" w:rsidRDefault="00D43BF5" w:rsidP="00D43BF5">
              <w:pPr>
                <w:pStyle w:val="Bibliography"/>
                <w:ind w:left="720" w:hanging="720"/>
                <w:rPr>
                  <w:lang w:val="en-GB"/>
                </w:rPr>
              </w:pPr>
              <w:r w:rsidRPr="00317CB4">
                <w:rPr>
                  <w:lang w:val="en-GB"/>
                </w:rPr>
                <w:t xml:space="preserve">Błaszczak, M. (2022, November 14). </w:t>
              </w:r>
              <w:r w:rsidRPr="00317CB4">
                <w:rPr>
                  <w:i/>
                  <w:iCs/>
                  <w:lang w:val="en-GB"/>
                </w:rPr>
                <w:t>EU calls for 'firm' Belarus border control by Poland</w:t>
              </w:r>
              <w:r w:rsidRPr="00317CB4">
                <w:rPr>
                  <w:lang w:val="en-GB"/>
                </w:rPr>
                <w:t>. Retrieved from euobserver: https://euobserver.com/world/156420</w:t>
              </w:r>
            </w:p>
            <w:p w14:paraId="24AE04A4" w14:textId="77777777" w:rsidR="00D43BF5" w:rsidRPr="00317CB4" w:rsidRDefault="00D43BF5" w:rsidP="00D43BF5">
              <w:pPr>
                <w:pStyle w:val="Bibliography"/>
                <w:ind w:left="720" w:hanging="720"/>
                <w:rPr>
                  <w:lang w:val="en-GB"/>
                </w:rPr>
              </w:pPr>
              <w:r w:rsidRPr="00317CB4">
                <w:rPr>
                  <w:lang w:val="en-GB"/>
                </w:rPr>
                <w:t xml:space="preserve">Born, C. (2022, Febuary 03). </w:t>
              </w:r>
              <w:r w:rsidRPr="00317CB4">
                <w:rPr>
                  <w:i/>
                  <w:iCs/>
                  <w:lang w:val="en-GB"/>
                </w:rPr>
                <w:t>Abschottung Europas - Grenzzäune auf EU-Kosten</w:t>
              </w:r>
              <w:r w:rsidRPr="00317CB4">
                <w:rPr>
                  <w:lang w:val="en-GB"/>
                </w:rPr>
                <w:t>. Retrieved from Deutschlandfunk: https://www.deutschlandfunk.de/grenzen-in-europa-100.html</w:t>
              </w:r>
            </w:p>
            <w:p w14:paraId="42F4CF5C" w14:textId="77777777" w:rsidR="00D43BF5" w:rsidRPr="00317CB4" w:rsidRDefault="00D43BF5" w:rsidP="00D43BF5">
              <w:pPr>
                <w:pStyle w:val="Bibliography"/>
                <w:ind w:left="720" w:hanging="720"/>
                <w:rPr>
                  <w:lang w:val="en-GB"/>
                </w:rPr>
              </w:pPr>
              <w:r w:rsidRPr="00317CB4">
                <w:rPr>
                  <w:lang w:val="en-GB"/>
                </w:rPr>
                <w:t xml:space="preserve">Bossong, R. (2019). The Expansion of Frontex. </w:t>
              </w:r>
              <w:r w:rsidRPr="00317CB4">
                <w:rPr>
                  <w:i/>
                  <w:iCs/>
                  <w:lang w:val="en-GB"/>
                </w:rPr>
                <w:t>Stiftung Wissenschaft und Politik</w:t>
              </w:r>
              <w:r w:rsidRPr="00317CB4">
                <w:rPr>
                  <w:lang w:val="en-GB"/>
                </w:rPr>
                <w:t>, 1-8.</w:t>
              </w:r>
            </w:p>
            <w:p w14:paraId="44C3D6B6" w14:textId="77777777" w:rsidR="00D43BF5" w:rsidRPr="00317CB4" w:rsidRDefault="00D43BF5" w:rsidP="00D43BF5">
              <w:pPr>
                <w:pStyle w:val="Bibliography"/>
                <w:ind w:left="720" w:hanging="720"/>
                <w:rPr>
                  <w:lang w:val="en-GB"/>
                </w:rPr>
              </w:pPr>
              <w:r w:rsidRPr="00317CB4">
                <w:rPr>
                  <w:lang w:val="en-GB"/>
                </w:rPr>
                <w:t xml:space="preserve">Brack, N., &amp; Startin, N. (2015). Introduction: Euroscepticism from the margins to the maintstream. </w:t>
              </w:r>
              <w:r w:rsidRPr="00317CB4">
                <w:rPr>
                  <w:i/>
                  <w:iCs/>
                  <w:lang w:val="en-GB"/>
                </w:rPr>
                <w:t>International Political Science Review, 36(3)</w:t>
              </w:r>
              <w:r w:rsidRPr="00317CB4">
                <w:rPr>
                  <w:lang w:val="en-GB"/>
                </w:rPr>
                <w:t>, 239-249.</w:t>
              </w:r>
            </w:p>
            <w:p w14:paraId="2810D93D" w14:textId="77777777" w:rsidR="00D43BF5" w:rsidRPr="00317CB4" w:rsidRDefault="00D43BF5" w:rsidP="00D43BF5">
              <w:pPr>
                <w:pStyle w:val="Bibliography"/>
                <w:ind w:left="720" w:hanging="720"/>
                <w:rPr>
                  <w:lang w:val="en-GB"/>
                </w:rPr>
              </w:pPr>
              <w:r w:rsidRPr="00317CB4">
                <w:rPr>
                  <w:lang w:val="en-GB"/>
                </w:rPr>
                <w:t xml:space="preserve">Bremer, B., Genschel, P., &amp; Jachtenfuchs, M. (2020). Juncker’s Curse? Identity, Interest, and Public Support for the Integration of Core State Powers. </w:t>
              </w:r>
              <w:r w:rsidRPr="00317CB4">
                <w:rPr>
                  <w:i/>
                  <w:iCs/>
                  <w:lang w:val="en-GB"/>
                </w:rPr>
                <w:t>Journal of Common Market Studies, 58(1)</w:t>
              </w:r>
              <w:r w:rsidRPr="00317CB4">
                <w:rPr>
                  <w:lang w:val="en-GB"/>
                </w:rPr>
                <w:t>, 56-75.</w:t>
              </w:r>
            </w:p>
            <w:p w14:paraId="296AB9D3" w14:textId="77777777" w:rsidR="00D43BF5" w:rsidRPr="00317CB4" w:rsidRDefault="00D43BF5" w:rsidP="00D43BF5">
              <w:pPr>
                <w:pStyle w:val="Bibliography"/>
                <w:ind w:left="720" w:hanging="720"/>
                <w:rPr>
                  <w:lang w:val="en-GB"/>
                </w:rPr>
              </w:pPr>
              <w:r w:rsidRPr="00317CB4">
                <w:rPr>
                  <w:lang w:val="en-GB"/>
                </w:rPr>
                <w:t xml:space="preserve">Busuioc, E. M. (2016). Friend or Foe? Inter-agency cooperation, organizational reputation, and turf. </w:t>
              </w:r>
              <w:r w:rsidRPr="00317CB4">
                <w:rPr>
                  <w:i/>
                  <w:iCs/>
                  <w:lang w:val="en-GB"/>
                </w:rPr>
                <w:t>Public Administration, 94(1)</w:t>
              </w:r>
              <w:r w:rsidRPr="00317CB4">
                <w:rPr>
                  <w:lang w:val="en-GB"/>
                </w:rPr>
                <w:t>, 40-56.</w:t>
              </w:r>
            </w:p>
            <w:p w14:paraId="7E67A41F" w14:textId="77777777" w:rsidR="00D43BF5" w:rsidRPr="00317CB4" w:rsidRDefault="00D43BF5" w:rsidP="00D43BF5">
              <w:pPr>
                <w:pStyle w:val="Bibliography"/>
                <w:ind w:left="720" w:hanging="720"/>
                <w:rPr>
                  <w:lang w:val="en-GB"/>
                </w:rPr>
              </w:pPr>
              <w:r w:rsidRPr="00317CB4">
                <w:rPr>
                  <w:lang w:val="en-GB"/>
                </w:rPr>
                <w:t xml:space="preserve">Busuioc, M., &amp; Rimkutė, D. (2020). Meeting expectations in the EU regulatory state? Regulatory communications amid conflicting institutional demands. </w:t>
              </w:r>
              <w:r w:rsidRPr="00317CB4">
                <w:rPr>
                  <w:i/>
                  <w:iCs/>
                  <w:lang w:val="en-GB"/>
                </w:rPr>
                <w:t>Journal of European Public Politics, 27(4)</w:t>
              </w:r>
              <w:r w:rsidRPr="00317CB4">
                <w:rPr>
                  <w:lang w:val="en-GB"/>
                </w:rPr>
                <w:t>, 547-568.</w:t>
              </w:r>
            </w:p>
            <w:p w14:paraId="69103C9C" w14:textId="77777777" w:rsidR="00D43BF5" w:rsidRPr="00317CB4" w:rsidRDefault="00D43BF5" w:rsidP="00D43BF5">
              <w:pPr>
                <w:pStyle w:val="Bibliography"/>
                <w:ind w:left="720" w:hanging="720"/>
                <w:rPr>
                  <w:lang w:val="en-GB"/>
                </w:rPr>
              </w:pPr>
              <w:r w:rsidRPr="00317CB4">
                <w:rPr>
                  <w:lang w:val="en-GB"/>
                </w:rPr>
                <w:t xml:space="preserve">Caligiuri, A. (2022). Migration routes through the Adriatic Sea and the Aegean Sea: Comparing two experiences. </w:t>
              </w:r>
              <w:r w:rsidRPr="00317CB4">
                <w:rPr>
                  <w:i/>
                  <w:iCs/>
                  <w:lang w:val="en-GB"/>
                </w:rPr>
                <w:t>Editoriale Scientifica</w:t>
              </w:r>
              <w:r w:rsidRPr="00317CB4">
                <w:rPr>
                  <w:lang w:val="en-GB"/>
                </w:rPr>
                <w:t>, 107-122.</w:t>
              </w:r>
            </w:p>
            <w:p w14:paraId="2EF2168C" w14:textId="77777777" w:rsidR="00D43BF5" w:rsidRPr="00317CB4" w:rsidRDefault="00D43BF5" w:rsidP="00D43BF5">
              <w:pPr>
                <w:pStyle w:val="Bibliography"/>
                <w:ind w:left="720" w:hanging="720"/>
                <w:rPr>
                  <w:lang w:val="en-GB"/>
                </w:rPr>
              </w:pPr>
              <w:r w:rsidRPr="00317CB4">
                <w:rPr>
                  <w:lang w:val="en-GB"/>
                </w:rPr>
                <w:t xml:space="preserve">Carpenter, A. (2015). European Maritime Safety Agency CleanSeaNet Activities in the North Sea. In A. Carpenter, </w:t>
              </w:r>
              <w:r w:rsidRPr="00317CB4">
                <w:rPr>
                  <w:i/>
                  <w:iCs/>
                  <w:lang w:val="en-GB"/>
                </w:rPr>
                <w:t>Oil Pollution in the North Sea. The Handbook of Environmental Chemistry, 41</w:t>
              </w:r>
              <w:r w:rsidRPr="00317CB4">
                <w:rPr>
                  <w:lang w:val="en-GB"/>
                </w:rPr>
                <w:t xml:space="preserve"> (pp. 33-47). Springer.</w:t>
              </w:r>
            </w:p>
            <w:p w14:paraId="1857C597" w14:textId="77777777" w:rsidR="00D43BF5" w:rsidRPr="00317CB4" w:rsidRDefault="00D43BF5" w:rsidP="00D43BF5">
              <w:pPr>
                <w:pStyle w:val="Bibliography"/>
                <w:ind w:left="720" w:hanging="720"/>
                <w:rPr>
                  <w:lang w:val="en-GB"/>
                </w:rPr>
              </w:pPr>
              <w:r w:rsidRPr="00317CB4">
                <w:rPr>
                  <w:lang w:val="en-GB"/>
                </w:rPr>
                <w:lastRenderedPageBreak/>
                <w:t xml:space="preserve">Carpenter, D. (2010). </w:t>
              </w:r>
              <w:r w:rsidRPr="00317CB4">
                <w:rPr>
                  <w:i/>
                  <w:iCs/>
                  <w:lang w:val="en-GB"/>
                </w:rPr>
                <w:t>Reputation and power: Organisational image and pharmaceutical regulation at the FDA.</w:t>
              </w:r>
              <w:r w:rsidRPr="00317CB4">
                <w:rPr>
                  <w:lang w:val="en-GB"/>
                </w:rPr>
                <w:t xml:space="preserve"> Princeton, NJ: Princeton University Press.</w:t>
              </w:r>
            </w:p>
            <w:p w14:paraId="7A43E554" w14:textId="77777777" w:rsidR="00D43BF5" w:rsidRPr="00317CB4" w:rsidRDefault="00D43BF5" w:rsidP="00D43BF5">
              <w:pPr>
                <w:pStyle w:val="Bibliography"/>
                <w:ind w:left="720" w:hanging="720"/>
                <w:rPr>
                  <w:lang w:val="en-GB"/>
                </w:rPr>
              </w:pPr>
              <w:r w:rsidRPr="00317CB4">
                <w:rPr>
                  <w:lang w:val="en-GB"/>
                </w:rPr>
                <w:t xml:space="preserve">Chadwick, V. (2016, May 13). </w:t>
              </w:r>
              <w:r w:rsidRPr="00317CB4">
                <w:rPr>
                  <w:i/>
                  <w:iCs/>
                  <w:lang w:val="en-GB"/>
                </w:rPr>
                <w:t>‘Dramatic’ drop in migrant arrivals on Greek islands</w:t>
              </w:r>
              <w:r w:rsidRPr="00317CB4">
                <w:rPr>
                  <w:lang w:val="en-GB"/>
                </w:rPr>
                <w:t>. Retrieved from Politico: https://www.politico.eu/article/dramatic-drop-in-migrant-refugees-arrivals-on-greek-islands/</w:t>
              </w:r>
            </w:p>
            <w:p w14:paraId="19C1BF8E" w14:textId="77777777" w:rsidR="00D43BF5" w:rsidRPr="00317CB4" w:rsidRDefault="00D43BF5" w:rsidP="00D43BF5">
              <w:pPr>
                <w:pStyle w:val="Bibliography"/>
                <w:ind w:left="720" w:hanging="720"/>
                <w:rPr>
                  <w:lang w:val="en-GB"/>
                </w:rPr>
              </w:pPr>
              <w:r w:rsidRPr="00317CB4">
                <w:rPr>
                  <w:lang w:val="en-GB"/>
                </w:rPr>
                <w:t xml:space="preserve">Christensen, J. G., &amp; Nielsen, V. L. (2010). Administrative capacity, structural choice and the creation of EU agencies. </w:t>
              </w:r>
              <w:r w:rsidRPr="00317CB4">
                <w:rPr>
                  <w:i/>
                  <w:iCs/>
                  <w:lang w:val="en-GB"/>
                </w:rPr>
                <w:t>Journal of European Public Policy, 17(2)</w:t>
              </w:r>
              <w:r w:rsidRPr="00317CB4">
                <w:rPr>
                  <w:lang w:val="en-GB"/>
                </w:rPr>
                <w:t>, 176-204.</w:t>
              </w:r>
            </w:p>
            <w:p w14:paraId="38DE5DC3" w14:textId="77777777" w:rsidR="00D43BF5" w:rsidRPr="00317CB4" w:rsidRDefault="00D43BF5" w:rsidP="00D43BF5">
              <w:pPr>
                <w:pStyle w:val="Bibliography"/>
                <w:ind w:left="720" w:hanging="720"/>
                <w:rPr>
                  <w:lang w:val="en-GB"/>
                </w:rPr>
              </w:pPr>
              <w:r w:rsidRPr="00317CB4">
                <w:rPr>
                  <w:lang w:val="en-GB"/>
                </w:rPr>
                <w:t xml:space="preserve">Collett, E., &amp; Fratzke, S. (2018, June). </w:t>
              </w:r>
              <w:r w:rsidRPr="00317CB4">
                <w:rPr>
                  <w:i/>
                  <w:iCs/>
                  <w:lang w:val="en-GB"/>
                </w:rPr>
                <w:t>Europe Pushes to Outsource Asylum, Again</w:t>
              </w:r>
              <w:r w:rsidRPr="00317CB4">
                <w:rPr>
                  <w:lang w:val="en-GB"/>
                </w:rPr>
                <w:t>. Retrieved from Migration Policy Institute: https://www.migrationpolicy.org/news/europe-pushes-outsource-asylum-again</w:t>
              </w:r>
            </w:p>
            <w:p w14:paraId="45BFDE00" w14:textId="77777777" w:rsidR="00D43BF5" w:rsidRPr="00317CB4" w:rsidRDefault="00D43BF5" w:rsidP="00D43BF5">
              <w:pPr>
                <w:pStyle w:val="Bibliography"/>
                <w:ind w:left="720" w:hanging="720"/>
                <w:rPr>
                  <w:lang w:val="en-GB"/>
                </w:rPr>
              </w:pPr>
              <w:r w:rsidRPr="00317CB4">
                <w:rPr>
                  <w:lang w:val="en-GB"/>
                </w:rPr>
                <w:t xml:space="preserve">Corall, A. (2023, January 19). </w:t>
              </w:r>
              <w:r w:rsidRPr="00317CB4">
                <w:rPr>
                  <w:i/>
                  <w:iCs/>
                  <w:lang w:val="en-GB"/>
                </w:rPr>
                <w:t>Frontex-Chef verspricht Ende von Pushbacks</w:t>
              </w:r>
              <w:r w:rsidRPr="00317CB4">
                <w:rPr>
                  <w:lang w:val="en-GB"/>
                </w:rPr>
                <w:t>. Retrieved from Tagesschau: https://www.tagesschau.de/ausland/europa/frontex-bruessel-101.html</w:t>
              </w:r>
            </w:p>
            <w:p w14:paraId="6CB48FDF" w14:textId="77777777" w:rsidR="00D43BF5" w:rsidRPr="00317CB4" w:rsidRDefault="00D43BF5" w:rsidP="00D43BF5">
              <w:pPr>
                <w:pStyle w:val="Bibliography"/>
                <w:ind w:left="720" w:hanging="720"/>
                <w:rPr>
                  <w:lang w:val="en-GB"/>
                </w:rPr>
              </w:pPr>
              <w:r w:rsidRPr="00317CB4">
                <w:rPr>
                  <w:lang w:val="en-GB"/>
                </w:rPr>
                <w:t>Council Regulation (EC) No 2007/2004 of 26 October 2004 establishing a European Agency for the Management of Operational Cooperation at the External Borders of the Member States of the European Union (October 26, 2004).</w:t>
              </w:r>
            </w:p>
            <w:p w14:paraId="66005119" w14:textId="77777777" w:rsidR="00D43BF5" w:rsidRPr="00317CB4" w:rsidRDefault="00D43BF5" w:rsidP="00D43BF5">
              <w:pPr>
                <w:pStyle w:val="Bibliography"/>
                <w:ind w:left="720" w:hanging="720"/>
                <w:rPr>
                  <w:lang w:val="en-GB"/>
                </w:rPr>
              </w:pPr>
              <w:r w:rsidRPr="00317CB4">
                <w:rPr>
                  <w:lang w:val="en-GB"/>
                </w:rPr>
                <w:t xml:space="preserve">Csernatoni, R. (2018). Constructing the EU’s high-tech borders: FRONTEX and dual-use drones for border management. </w:t>
              </w:r>
              <w:r w:rsidRPr="00317CB4">
                <w:rPr>
                  <w:i/>
                  <w:iCs/>
                  <w:lang w:val="en-GB"/>
                </w:rPr>
                <w:t>European Security, 27(2)</w:t>
              </w:r>
              <w:r w:rsidRPr="00317CB4">
                <w:rPr>
                  <w:lang w:val="en-GB"/>
                </w:rPr>
                <w:t>, 175-200.</w:t>
              </w:r>
            </w:p>
            <w:p w14:paraId="35342C49" w14:textId="77777777" w:rsidR="00D43BF5" w:rsidRPr="00317CB4" w:rsidRDefault="00D43BF5" w:rsidP="00D43BF5">
              <w:pPr>
                <w:pStyle w:val="Bibliography"/>
                <w:ind w:left="720" w:hanging="720"/>
                <w:rPr>
                  <w:lang w:val="en-GB"/>
                </w:rPr>
              </w:pPr>
              <w:r w:rsidRPr="00317CB4">
                <w:rPr>
                  <w:lang w:val="en-GB"/>
                </w:rPr>
                <w:t xml:space="preserve">De la Baume, M. (2015, December 15). </w:t>
              </w:r>
              <w:r w:rsidRPr="00317CB4">
                <w:rPr>
                  <w:i/>
                  <w:iCs/>
                  <w:lang w:val="en-GB"/>
                </w:rPr>
                <w:t>Countries balk at EU border force proposal</w:t>
              </w:r>
              <w:r w:rsidRPr="00317CB4">
                <w:rPr>
                  <w:lang w:val="en-GB"/>
                </w:rPr>
                <w:t>. Retrieved from Politico: https://www.politico.eu/article/countries-balk-at-eu-border-force-proposal-migration-security-frontex/</w:t>
              </w:r>
            </w:p>
            <w:p w14:paraId="2D93BE31" w14:textId="77777777" w:rsidR="00D43BF5" w:rsidRPr="00317CB4" w:rsidRDefault="00D43BF5" w:rsidP="00D43BF5">
              <w:pPr>
                <w:pStyle w:val="Bibliography"/>
                <w:ind w:left="720" w:hanging="720"/>
                <w:rPr>
                  <w:lang w:val="en-GB"/>
                </w:rPr>
              </w:pPr>
              <w:r w:rsidRPr="00317CB4">
                <w:rPr>
                  <w:lang w:val="en-GB"/>
                </w:rPr>
                <w:t xml:space="preserve">Deleixhe, M., &amp; Duez, D. (2019). The new European border and coast guard agency: pooling sovreignty or giving it up? </w:t>
              </w:r>
              <w:r w:rsidRPr="00317CB4">
                <w:rPr>
                  <w:i/>
                  <w:iCs/>
                  <w:lang w:val="en-GB"/>
                </w:rPr>
                <w:t>Journal of European Integration, 41(7)</w:t>
              </w:r>
              <w:r w:rsidRPr="00317CB4">
                <w:rPr>
                  <w:lang w:val="en-GB"/>
                </w:rPr>
                <w:t>, 921-936.</w:t>
              </w:r>
            </w:p>
            <w:p w14:paraId="17F43731" w14:textId="77777777" w:rsidR="00D43BF5" w:rsidRPr="00317CB4" w:rsidRDefault="00D43BF5" w:rsidP="00D43BF5">
              <w:pPr>
                <w:pStyle w:val="Bibliography"/>
                <w:ind w:left="720" w:hanging="720"/>
                <w:rPr>
                  <w:lang w:val="en-GB"/>
                </w:rPr>
              </w:pPr>
              <w:r w:rsidRPr="00317CB4">
                <w:rPr>
                  <w:lang w:val="en-GB"/>
                </w:rPr>
                <w:t xml:space="preserve">Deutsche Welle. (2022, July 28). </w:t>
              </w:r>
              <w:r w:rsidRPr="00317CB4">
                <w:rPr>
                  <w:i/>
                  <w:iCs/>
                  <w:lang w:val="en-GB"/>
                </w:rPr>
                <w:t>Baerbock seeks probe into potential pushbacks</w:t>
              </w:r>
              <w:r w:rsidRPr="00317CB4">
                <w:rPr>
                  <w:lang w:val="en-GB"/>
                </w:rPr>
                <w:t>. Retrieved from Deutsche Welle: https://www.dw.com/en/greece-baerbock-calls-for-investigation-into-pushbacks-at-eu-borders/a-62631281</w:t>
              </w:r>
            </w:p>
            <w:p w14:paraId="0EF62107" w14:textId="77777777" w:rsidR="00D43BF5" w:rsidRPr="00317CB4" w:rsidRDefault="00D43BF5" w:rsidP="00D43BF5">
              <w:pPr>
                <w:pStyle w:val="Bibliography"/>
                <w:ind w:left="720" w:hanging="720"/>
                <w:rPr>
                  <w:lang w:val="en-GB"/>
                </w:rPr>
              </w:pPr>
              <w:r w:rsidRPr="00317CB4">
                <w:rPr>
                  <w:lang w:val="en-GB"/>
                </w:rPr>
                <w:t xml:space="preserve">EUGS. (2016). </w:t>
              </w:r>
              <w:r w:rsidRPr="00317CB4">
                <w:rPr>
                  <w:i/>
                  <w:iCs/>
                  <w:lang w:val="en-GB"/>
                </w:rPr>
                <w:t>A global strategy for the European Union’s foreign and security policy: “shared vision, common action: a stronger Europe.”</w:t>
              </w:r>
              <w:r w:rsidRPr="00317CB4">
                <w:rPr>
                  <w:lang w:val="en-GB"/>
                </w:rPr>
                <w:t>. Retrieved from European external action service (EEAS): https://www.eeas.europa.eu/sites/default/files/eugs_review_web_0.pdf</w:t>
              </w:r>
            </w:p>
            <w:p w14:paraId="135DD54C" w14:textId="77777777" w:rsidR="00D43BF5" w:rsidRPr="00317CB4" w:rsidRDefault="00D43BF5" w:rsidP="00D43BF5">
              <w:pPr>
                <w:pStyle w:val="Bibliography"/>
                <w:ind w:left="720" w:hanging="720"/>
                <w:rPr>
                  <w:lang w:val="en-GB"/>
                </w:rPr>
              </w:pPr>
              <w:r w:rsidRPr="00317CB4">
                <w:rPr>
                  <w:lang w:val="en-GB"/>
                </w:rPr>
                <w:t xml:space="preserve">European Commission. (2016). </w:t>
              </w:r>
              <w:r w:rsidRPr="00317CB4">
                <w:rPr>
                  <w:i/>
                  <w:iCs/>
                  <w:lang w:val="en-GB"/>
                </w:rPr>
                <w:t>Securing Europe’s external borders</w:t>
              </w:r>
              <w:r w:rsidRPr="00317CB4">
                <w:rPr>
                  <w:lang w:val="en-GB"/>
                </w:rPr>
                <w:t>. Retrieved from European Commission: https://ec.europa.eu/commission/presscorner/detail/en/IP_16_3281</w:t>
              </w:r>
            </w:p>
            <w:p w14:paraId="11CC9097" w14:textId="77777777" w:rsidR="00D43BF5" w:rsidRPr="00317CB4" w:rsidRDefault="00D43BF5" w:rsidP="00D43BF5">
              <w:pPr>
                <w:pStyle w:val="Bibliography"/>
                <w:ind w:left="720" w:hanging="720"/>
                <w:rPr>
                  <w:lang w:val="en-GB"/>
                </w:rPr>
              </w:pPr>
              <w:r w:rsidRPr="00317CB4">
                <w:rPr>
                  <w:lang w:val="en-GB"/>
                </w:rPr>
                <w:t xml:space="preserve">European Council. (2016, March 17-18). </w:t>
              </w:r>
              <w:r w:rsidRPr="00317CB4">
                <w:rPr>
                  <w:i/>
                  <w:iCs/>
                  <w:lang w:val="en-GB"/>
                </w:rPr>
                <w:t>European Council, 17-18 March 2016</w:t>
              </w:r>
              <w:r w:rsidRPr="00317CB4">
                <w:rPr>
                  <w:lang w:val="en-GB"/>
                </w:rPr>
                <w:t>. Retrieved from European Council - Council of the European Union: https://www.consilium.europa.eu/en/meetings/european-council/2016/03/17-18/</w:t>
              </w:r>
            </w:p>
            <w:p w14:paraId="6FD3AB5F" w14:textId="77777777" w:rsidR="00D43BF5" w:rsidRPr="00317CB4" w:rsidRDefault="00D43BF5" w:rsidP="00D43BF5">
              <w:pPr>
                <w:pStyle w:val="Bibliography"/>
                <w:ind w:left="720" w:hanging="720"/>
                <w:rPr>
                  <w:lang w:val="en-GB"/>
                </w:rPr>
              </w:pPr>
              <w:r w:rsidRPr="00317CB4">
                <w:rPr>
                  <w:lang w:val="en-GB"/>
                </w:rPr>
                <w:t xml:space="preserve">European Council. (2016a, March 18). </w:t>
              </w:r>
              <w:r w:rsidRPr="00317CB4">
                <w:rPr>
                  <w:i/>
                  <w:iCs/>
                  <w:lang w:val="en-GB"/>
                </w:rPr>
                <w:t>EU-Turkey statement, 18 March 2016</w:t>
              </w:r>
              <w:r w:rsidRPr="00317CB4">
                <w:rPr>
                  <w:lang w:val="en-GB"/>
                </w:rPr>
                <w:t>. Retrieved from European Council - Council of the European Union: https://www.consilium.europa.eu/en/press/press-releases/2016/03/18/eu-turkey-statement/</w:t>
              </w:r>
            </w:p>
            <w:p w14:paraId="26625665" w14:textId="77777777" w:rsidR="00D43BF5" w:rsidRPr="00317CB4" w:rsidRDefault="00D43BF5" w:rsidP="00D43BF5">
              <w:pPr>
                <w:pStyle w:val="Bibliography"/>
                <w:ind w:left="720" w:hanging="720"/>
                <w:rPr>
                  <w:lang w:val="en-GB"/>
                </w:rPr>
              </w:pPr>
              <w:r w:rsidRPr="00317CB4">
                <w:rPr>
                  <w:lang w:val="en-GB"/>
                </w:rPr>
                <w:t xml:space="preserve">European Council. (2018, December 06). </w:t>
              </w:r>
              <w:r w:rsidRPr="00317CB4">
                <w:rPr>
                  <w:i/>
                  <w:iCs/>
                  <w:lang w:val="en-GB"/>
                </w:rPr>
                <w:t>European Border and Coast Guard: Council reaches partial agreement on returns and cooperation with third countries</w:t>
              </w:r>
              <w:r w:rsidRPr="00317CB4">
                <w:rPr>
                  <w:lang w:val="en-GB"/>
                </w:rPr>
                <w:t>. Retrieved from European Council - Council of the European Union: https://www.consilium.europa.eu/en/press/press-releases/2018/12/06/european-border-and-coast-guard-council-reaches-partial-agreement-on-returns-and-cooperation-with-third-countries/</w:t>
              </w:r>
            </w:p>
            <w:p w14:paraId="25993656" w14:textId="77777777" w:rsidR="00D43BF5" w:rsidRPr="00317CB4" w:rsidRDefault="00D43BF5" w:rsidP="00D43BF5">
              <w:pPr>
                <w:pStyle w:val="Bibliography"/>
                <w:ind w:left="720" w:hanging="720"/>
                <w:rPr>
                  <w:lang w:val="en-GB"/>
                </w:rPr>
              </w:pPr>
              <w:r w:rsidRPr="00317CB4">
                <w:rPr>
                  <w:lang w:val="en-GB"/>
                </w:rPr>
                <w:lastRenderedPageBreak/>
                <w:t xml:space="preserve">European Union. (2021). </w:t>
              </w:r>
              <w:r w:rsidRPr="00317CB4">
                <w:rPr>
                  <w:i/>
                  <w:iCs/>
                  <w:lang w:val="en-GB"/>
                </w:rPr>
                <w:t>Decentralised Agency - European Border and Coast Guard Agency (Frontex)</w:t>
              </w:r>
              <w:r w:rsidRPr="00317CB4">
                <w:rPr>
                  <w:lang w:val="en-GB"/>
                </w:rPr>
                <w:t>. Retrieved from European Union: https://european-union.europa.eu/institutions-law-budget/institutions-and-bodies/institutions-and-bodies-profiles/frontex_en</w:t>
              </w:r>
            </w:p>
            <w:p w14:paraId="01C64C53" w14:textId="77777777" w:rsidR="00D43BF5" w:rsidRPr="00317CB4" w:rsidRDefault="00D43BF5" w:rsidP="00D43BF5">
              <w:pPr>
                <w:pStyle w:val="Bibliography"/>
                <w:ind w:left="720" w:hanging="720"/>
                <w:rPr>
                  <w:lang w:val="en-GB"/>
                </w:rPr>
              </w:pPr>
              <w:r w:rsidRPr="00317CB4">
                <w:rPr>
                  <w:lang w:val="en-GB"/>
                </w:rPr>
                <w:t xml:space="preserve">European Union. (2022). </w:t>
              </w:r>
              <w:r w:rsidRPr="00317CB4">
                <w:rPr>
                  <w:i/>
                  <w:iCs/>
                  <w:lang w:val="en-GB"/>
                </w:rPr>
                <w:t xml:space="preserve">Types of institutions and bodies </w:t>
              </w:r>
              <w:r w:rsidRPr="00317CB4">
                <w:rPr>
                  <w:lang w:val="en-GB"/>
                </w:rPr>
                <w:t>. Retrieved from European Union: https://european-union.europa.eu/institutions-law-budget/institutions-and-bodies/types-institutions-and-bodies_en</w:t>
              </w:r>
            </w:p>
            <w:p w14:paraId="2F6ABFC7" w14:textId="77777777" w:rsidR="00D43BF5" w:rsidRPr="00317CB4" w:rsidRDefault="00D43BF5" w:rsidP="00D43BF5">
              <w:pPr>
                <w:pStyle w:val="Bibliography"/>
                <w:ind w:left="720" w:hanging="720"/>
                <w:rPr>
                  <w:lang w:val="en-GB"/>
                </w:rPr>
              </w:pPr>
              <w:r w:rsidRPr="00317CB4">
                <w:rPr>
                  <w:lang w:val="en-GB"/>
                </w:rPr>
                <w:t xml:space="preserve">Fernandez-Rojo, D. (2020). Regulation 2019/1896 on the European Border and Coast Guard (FRONTEX): The Supranational Administration of the External Borders? In D. Fernandez-Rojo, </w:t>
              </w:r>
              <w:r w:rsidRPr="00317CB4">
                <w:rPr>
                  <w:i/>
                  <w:iCs/>
                  <w:lang w:val="en-GB"/>
                </w:rPr>
                <w:t>The External Dimension of EU Migration and Asylum Policies: Human Rights, Development and Neighbourhood Policies in the Mediterranean Area</w:t>
              </w:r>
              <w:r w:rsidRPr="00317CB4">
                <w:rPr>
                  <w:lang w:val="en-GB"/>
                </w:rPr>
                <w:t xml:space="preserve"> (pp. 289-317). Nomos.</w:t>
              </w:r>
            </w:p>
            <w:p w14:paraId="2D4C14E8" w14:textId="77777777" w:rsidR="00D43BF5" w:rsidRPr="00317CB4" w:rsidRDefault="00D43BF5" w:rsidP="00D43BF5">
              <w:pPr>
                <w:pStyle w:val="Bibliography"/>
                <w:ind w:left="720" w:hanging="720"/>
                <w:rPr>
                  <w:lang w:val="en-GB"/>
                </w:rPr>
              </w:pPr>
              <w:r w:rsidRPr="00317CB4">
                <w:rPr>
                  <w:lang w:val="en-GB"/>
                </w:rPr>
                <w:t xml:space="preserve">Fjørtoft, T. N. (2022). More power, more control: The legitimzing role of expertise in Frontex after the refugee crisis. </w:t>
              </w:r>
              <w:r w:rsidRPr="00317CB4">
                <w:rPr>
                  <w:i/>
                  <w:iCs/>
                  <w:lang w:val="en-GB"/>
                </w:rPr>
                <w:t>Regulation &amp; Governance 16</w:t>
              </w:r>
              <w:r w:rsidRPr="00317CB4">
                <w:rPr>
                  <w:lang w:val="en-GB"/>
                </w:rPr>
                <w:t>, 557-571.</w:t>
              </w:r>
            </w:p>
            <w:p w14:paraId="5ACACA11" w14:textId="77777777" w:rsidR="00D43BF5" w:rsidRPr="00317CB4" w:rsidRDefault="00D43BF5" w:rsidP="00D43BF5">
              <w:pPr>
                <w:pStyle w:val="Bibliography"/>
                <w:ind w:left="720" w:hanging="720"/>
                <w:rPr>
                  <w:lang w:val="en-GB"/>
                </w:rPr>
              </w:pPr>
              <w:r w:rsidRPr="00317CB4">
                <w:rPr>
                  <w:lang w:val="en-GB"/>
                </w:rPr>
                <w:t xml:space="preserve">Freudlsperger, C., &amp; Jachtenfuchs, M. (2021). A member state like any other? Germany and the European integration of core state powers. </w:t>
              </w:r>
              <w:r w:rsidRPr="00317CB4">
                <w:rPr>
                  <w:i/>
                  <w:iCs/>
                  <w:lang w:val="en-GB"/>
                </w:rPr>
                <w:t>Journal of European Integration, 43(2)</w:t>
              </w:r>
              <w:r w:rsidRPr="00317CB4">
                <w:rPr>
                  <w:lang w:val="en-GB"/>
                </w:rPr>
                <w:t>, 117-135.</w:t>
              </w:r>
            </w:p>
            <w:p w14:paraId="30B6DA73" w14:textId="77777777" w:rsidR="00D43BF5" w:rsidRPr="00317CB4" w:rsidRDefault="00D43BF5" w:rsidP="00D43BF5">
              <w:pPr>
                <w:pStyle w:val="Bibliography"/>
                <w:ind w:left="720" w:hanging="720"/>
                <w:rPr>
                  <w:lang w:val="en-GB"/>
                </w:rPr>
              </w:pPr>
              <w:r w:rsidRPr="00317CB4">
                <w:rPr>
                  <w:lang w:val="en-GB"/>
                </w:rPr>
                <w:t xml:space="preserve">Frontex. (2022). </w:t>
              </w:r>
              <w:r w:rsidRPr="00317CB4">
                <w:rPr>
                  <w:i/>
                  <w:iCs/>
                  <w:lang w:val="en-GB"/>
                </w:rPr>
                <w:t>EU Partners</w:t>
              </w:r>
              <w:r w:rsidRPr="00317CB4">
                <w:rPr>
                  <w:lang w:val="en-GB"/>
                </w:rPr>
                <w:t>. Retrieved from Frontex : https://frontex.europa.eu/we-build/eu-partners/european-commission/#:~:text=Frontex%20falls%20within%20the%20responsibility,Affairs%20and%20Citizenship%2C%20Ylva%20Johansson.</w:t>
              </w:r>
            </w:p>
            <w:p w14:paraId="71E7334F" w14:textId="77777777" w:rsidR="00D43BF5" w:rsidRPr="00317CB4" w:rsidRDefault="00D43BF5" w:rsidP="00D43BF5">
              <w:pPr>
                <w:pStyle w:val="Bibliography"/>
                <w:ind w:left="720" w:hanging="720"/>
                <w:rPr>
                  <w:lang w:val="en-GB"/>
                </w:rPr>
              </w:pPr>
              <w:r w:rsidRPr="00317CB4">
                <w:rPr>
                  <w:lang w:val="en-GB"/>
                </w:rPr>
                <w:t xml:space="preserve">Frontex. (2023). </w:t>
              </w:r>
              <w:r w:rsidRPr="00317CB4">
                <w:rPr>
                  <w:i/>
                  <w:iCs/>
                  <w:lang w:val="en-GB"/>
                </w:rPr>
                <w:t>Contact</w:t>
              </w:r>
              <w:r w:rsidRPr="00317CB4">
                <w:rPr>
                  <w:lang w:val="en-GB"/>
                </w:rPr>
                <w:t>. Retrieved from Frontex: https://frontex.europa.eu/media-centre/contact/</w:t>
              </w:r>
            </w:p>
            <w:p w14:paraId="4DA84D1E" w14:textId="77777777" w:rsidR="00D43BF5" w:rsidRPr="00317CB4" w:rsidRDefault="00D43BF5" w:rsidP="00D43BF5">
              <w:pPr>
                <w:pStyle w:val="Bibliography"/>
                <w:ind w:left="720" w:hanging="720"/>
                <w:rPr>
                  <w:lang w:val="en-GB"/>
                </w:rPr>
              </w:pPr>
              <w:r w:rsidRPr="00317CB4">
                <w:rPr>
                  <w:lang w:val="en-GB"/>
                </w:rPr>
                <w:t xml:space="preserve">Frontex. (2023). </w:t>
              </w:r>
              <w:r w:rsidRPr="00317CB4">
                <w:rPr>
                  <w:i/>
                  <w:iCs/>
                  <w:lang w:val="en-GB"/>
                </w:rPr>
                <w:t>Research and Innovation</w:t>
              </w:r>
              <w:r w:rsidRPr="00317CB4">
                <w:rPr>
                  <w:lang w:val="en-GB"/>
                </w:rPr>
                <w:t>. Retrieved from Frontex : https://frontex.europa.eu/innovation/research-and-innovation/research-and-innovation-at-frontex/</w:t>
              </w:r>
            </w:p>
            <w:p w14:paraId="4CA355A2" w14:textId="77777777" w:rsidR="00D43BF5" w:rsidRPr="00317CB4" w:rsidRDefault="00D43BF5" w:rsidP="00D43BF5">
              <w:pPr>
                <w:pStyle w:val="Bibliography"/>
                <w:ind w:left="720" w:hanging="720"/>
                <w:rPr>
                  <w:lang w:val="en-GB"/>
                </w:rPr>
              </w:pPr>
              <w:r w:rsidRPr="00317CB4">
                <w:rPr>
                  <w:lang w:val="en-GB"/>
                </w:rPr>
                <w:t xml:space="preserve">Fusiek, D. A. (2021). </w:t>
              </w:r>
              <w:r w:rsidRPr="00317CB4">
                <w:rPr>
                  <w:i/>
                  <w:iCs/>
                  <w:lang w:val="en-GB"/>
                </w:rPr>
                <w:t>The European Council and Turkey: Searching for a positive agenda</w:t>
              </w:r>
              <w:r w:rsidRPr="00317CB4">
                <w:rPr>
                  <w:lang w:val="en-GB"/>
                </w:rPr>
                <w:t>. Retrieved from Research Gate: https://www.researchgate.net/figure/Variation-in-the-number-of-irregular-arrivals-in-the-EU-2014-2020_fig2_354632958</w:t>
              </w:r>
            </w:p>
            <w:p w14:paraId="31190A9C" w14:textId="77777777" w:rsidR="00D43BF5" w:rsidRPr="00317CB4" w:rsidRDefault="00D43BF5" w:rsidP="00D43BF5">
              <w:pPr>
                <w:pStyle w:val="Bibliography"/>
                <w:ind w:left="720" w:hanging="720"/>
                <w:rPr>
                  <w:lang w:val="en-GB"/>
                </w:rPr>
              </w:pPr>
              <w:r w:rsidRPr="00317CB4">
                <w:rPr>
                  <w:lang w:val="en-GB"/>
                </w:rPr>
                <w:t xml:space="preserve">Gall, L. (2022, December 08). </w:t>
              </w:r>
              <w:r w:rsidRPr="00317CB4">
                <w:rPr>
                  <w:i/>
                  <w:iCs/>
                  <w:lang w:val="en-GB"/>
                </w:rPr>
                <w:t>EU Should Stop Illegal Migrant Pushbacks at its Borders</w:t>
              </w:r>
              <w:r w:rsidRPr="00317CB4">
                <w:rPr>
                  <w:lang w:val="en-GB"/>
                </w:rPr>
                <w:t>. Retrieved from Human RIghts Watch: https://www.hrw.org/news/2022/12/08/eu-should-stop-illegal-migrant-pushbacks-its-borders</w:t>
              </w:r>
            </w:p>
            <w:p w14:paraId="28B8C596" w14:textId="77777777" w:rsidR="00D43BF5" w:rsidRPr="00317CB4" w:rsidRDefault="00D43BF5" w:rsidP="00D43BF5">
              <w:pPr>
                <w:pStyle w:val="Bibliography"/>
                <w:ind w:left="720" w:hanging="720"/>
                <w:rPr>
                  <w:lang w:val="en-GB"/>
                </w:rPr>
              </w:pPr>
              <w:r w:rsidRPr="00317CB4">
                <w:rPr>
                  <w:lang w:val="en-GB"/>
                </w:rPr>
                <w:t>Genschel, P., &amp; Jachtenfuchs, M. (2015). Research Agenda: The European integration of core state powers.</w:t>
              </w:r>
            </w:p>
            <w:p w14:paraId="5380C6D6" w14:textId="77777777" w:rsidR="00D43BF5" w:rsidRPr="00317CB4" w:rsidRDefault="00D43BF5" w:rsidP="00D43BF5">
              <w:pPr>
                <w:pStyle w:val="Bibliography"/>
                <w:ind w:left="720" w:hanging="720"/>
                <w:rPr>
                  <w:lang w:val="en-GB"/>
                </w:rPr>
              </w:pPr>
              <w:r w:rsidRPr="00317CB4">
                <w:rPr>
                  <w:lang w:val="en-GB"/>
                </w:rPr>
                <w:t xml:space="preserve">Genschel, P., &amp; Jachtenfuchs, M. (2016). More integration, less federation: the European integration of core state powers. </w:t>
              </w:r>
              <w:r w:rsidRPr="00317CB4">
                <w:rPr>
                  <w:i/>
                  <w:iCs/>
                  <w:lang w:val="en-GB"/>
                </w:rPr>
                <w:t>Journal of European Public Policy, 23(1)</w:t>
              </w:r>
              <w:r w:rsidRPr="00317CB4">
                <w:rPr>
                  <w:lang w:val="en-GB"/>
                </w:rPr>
                <w:t>, 42-59.</w:t>
              </w:r>
            </w:p>
            <w:p w14:paraId="0E58D431" w14:textId="77777777" w:rsidR="00D43BF5" w:rsidRPr="00317CB4" w:rsidRDefault="00D43BF5" w:rsidP="00D43BF5">
              <w:pPr>
                <w:pStyle w:val="Bibliography"/>
                <w:ind w:left="720" w:hanging="720"/>
                <w:rPr>
                  <w:lang w:val="en-GB"/>
                </w:rPr>
              </w:pPr>
              <w:r w:rsidRPr="00317CB4">
                <w:rPr>
                  <w:lang w:val="en-GB"/>
                </w:rPr>
                <w:t xml:space="preserve">Genschel, P., &amp; Jachtenfuchs, M. (2018). From Market Integration to Core State Powers: The Eurozone Crisis, the Redugee Crisis and Integration Theory. </w:t>
              </w:r>
              <w:r w:rsidRPr="00317CB4">
                <w:rPr>
                  <w:i/>
                  <w:iCs/>
                  <w:lang w:val="en-GB"/>
                </w:rPr>
                <w:t>Journal of Common Market Studies, 56(1)</w:t>
              </w:r>
              <w:r w:rsidRPr="00317CB4">
                <w:rPr>
                  <w:lang w:val="en-GB"/>
                </w:rPr>
                <w:t>, 178-196.</w:t>
              </w:r>
            </w:p>
            <w:p w14:paraId="00D1041E" w14:textId="77777777" w:rsidR="00D43BF5" w:rsidRPr="00317CB4" w:rsidRDefault="00D43BF5" w:rsidP="00D43BF5">
              <w:pPr>
                <w:pStyle w:val="Bibliography"/>
                <w:ind w:left="720" w:hanging="720"/>
                <w:rPr>
                  <w:lang w:val="en-GB"/>
                </w:rPr>
              </w:pPr>
              <w:r w:rsidRPr="00317CB4">
                <w:rPr>
                  <w:lang w:val="en-GB"/>
                </w:rPr>
                <w:t xml:space="preserve">Genschel, P., Jachtenfuchs, M., &amp; Migliorati, M. (2023). Differentiated integration as symbolic politics? Constitutional differentiation and policy reintegration in core state powers. </w:t>
              </w:r>
              <w:r w:rsidRPr="00317CB4">
                <w:rPr>
                  <w:i/>
                  <w:iCs/>
                  <w:lang w:val="en-GB"/>
                </w:rPr>
                <w:t>European Union Politics, 24(1)</w:t>
              </w:r>
              <w:r w:rsidRPr="00317CB4">
                <w:rPr>
                  <w:lang w:val="en-GB"/>
                </w:rPr>
                <w:t>, 81-101.</w:t>
              </w:r>
            </w:p>
            <w:p w14:paraId="6D979BBB" w14:textId="77777777" w:rsidR="00D43BF5" w:rsidRPr="00317CB4" w:rsidRDefault="00D43BF5" w:rsidP="00D43BF5">
              <w:pPr>
                <w:pStyle w:val="Bibliography"/>
                <w:ind w:left="720" w:hanging="720"/>
                <w:rPr>
                  <w:lang w:val="en-GB"/>
                </w:rPr>
              </w:pPr>
              <w:r w:rsidRPr="00317CB4">
                <w:rPr>
                  <w:lang w:val="en-GB"/>
                </w:rPr>
                <w:t xml:space="preserve">Gerring, J. (2004). What is a case study and what is it good for? . </w:t>
              </w:r>
              <w:r w:rsidRPr="00317CB4">
                <w:rPr>
                  <w:i/>
                  <w:iCs/>
                  <w:lang w:val="en-GB"/>
                </w:rPr>
                <w:t>The American Political Science Review, 98(2)</w:t>
              </w:r>
              <w:r w:rsidRPr="00317CB4">
                <w:rPr>
                  <w:lang w:val="en-GB"/>
                </w:rPr>
                <w:t>, 341-354.</w:t>
              </w:r>
            </w:p>
            <w:p w14:paraId="6C3E54E9" w14:textId="77777777" w:rsidR="00D43BF5" w:rsidRPr="00317CB4" w:rsidRDefault="00D43BF5" w:rsidP="00D43BF5">
              <w:pPr>
                <w:pStyle w:val="Bibliography"/>
                <w:ind w:left="720" w:hanging="720"/>
                <w:rPr>
                  <w:lang w:val="en-GB"/>
                </w:rPr>
              </w:pPr>
              <w:r w:rsidRPr="00317CB4">
                <w:rPr>
                  <w:lang w:val="en-GB"/>
                </w:rPr>
                <w:lastRenderedPageBreak/>
                <w:t xml:space="preserve">Gilad, S., &amp; Yogev, T. (2012). How reputation regulates regulators: Illustrations from the regulation of retail finance. In T. G. Pollock &amp; M. L. Barnett (Eds.), </w:t>
              </w:r>
              <w:r w:rsidRPr="00317CB4">
                <w:rPr>
                  <w:i/>
                  <w:iCs/>
                  <w:lang w:val="en-GB"/>
                </w:rPr>
                <w:t>The Oxford handbook of corporate reputation</w:t>
              </w:r>
              <w:r w:rsidRPr="00317CB4">
                <w:rPr>
                  <w:lang w:val="en-GB"/>
                </w:rPr>
                <w:t xml:space="preserve"> (pp. 321-340). Oxford: Oxford University Press.</w:t>
              </w:r>
            </w:p>
            <w:p w14:paraId="2E4C5D51" w14:textId="77777777" w:rsidR="00D43BF5" w:rsidRPr="00317CB4" w:rsidRDefault="00D43BF5" w:rsidP="00D43BF5">
              <w:pPr>
                <w:pStyle w:val="Bibliography"/>
                <w:ind w:left="720" w:hanging="720"/>
                <w:rPr>
                  <w:lang w:val="en-GB"/>
                </w:rPr>
              </w:pPr>
              <w:r w:rsidRPr="00317CB4">
                <w:rPr>
                  <w:lang w:val="en-GB"/>
                </w:rPr>
                <w:t xml:space="preserve">Goldstein, K. (2002). Getting in the Door: Sampling and Completing Elite Interviews. </w:t>
              </w:r>
              <w:r w:rsidRPr="00317CB4">
                <w:rPr>
                  <w:i/>
                  <w:iCs/>
                  <w:lang w:val="en-GB"/>
                </w:rPr>
                <w:t>Political Science &amp; Politics, 35(4)</w:t>
              </w:r>
              <w:r w:rsidRPr="00317CB4">
                <w:rPr>
                  <w:lang w:val="en-GB"/>
                </w:rPr>
                <w:t>, 669-672.</w:t>
              </w:r>
            </w:p>
            <w:p w14:paraId="42A4AAD7" w14:textId="77777777" w:rsidR="00D43BF5" w:rsidRPr="00317CB4" w:rsidRDefault="00D43BF5" w:rsidP="00D43BF5">
              <w:pPr>
                <w:pStyle w:val="Bibliography"/>
                <w:ind w:left="720" w:hanging="720"/>
                <w:rPr>
                  <w:lang w:val="en-GB"/>
                </w:rPr>
              </w:pPr>
              <w:r w:rsidRPr="00317CB4">
                <w:rPr>
                  <w:lang w:val="en-GB"/>
                </w:rPr>
                <w:t xml:space="preserve">Goodrick, D. (2014). </w:t>
              </w:r>
              <w:r w:rsidRPr="00317CB4">
                <w:rPr>
                  <w:i/>
                  <w:iCs/>
                  <w:lang w:val="en-GB"/>
                </w:rPr>
                <w:t>Comparative Case Studies.</w:t>
              </w:r>
              <w:r w:rsidRPr="00317CB4">
                <w:rPr>
                  <w:lang w:val="en-GB"/>
                </w:rPr>
                <w:t xml:space="preserve"> Florence : United Nations Children's Fund.</w:t>
              </w:r>
            </w:p>
            <w:p w14:paraId="423ADFB5" w14:textId="77777777" w:rsidR="00D43BF5" w:rsidRPr="00317CB4" w:rsidRDefault="00D43BF5" w:rsidP="00D43BF5">
              <w:pPr>
                <w:pStyle w:val="Bibliography"/>
                <w:ind w:left="720" w:hanging="720"/>
                <w:rPr>
                  <w:lang w:val="en-GB"/>
                </w:rPr>
              </w:pPr>
              <w:r w:rsidRPr="00317CB4">
                <w:rPr>
                  <w:lang w:val="en-GB"/>
                </w:rPr>
                <w:t xml:space="preserve">Harvey, W. S. (2010). Methodological Approaches for Interviewing Elites. </w:t>
              </w:r>
              <w:r w:rsidRPr="00317CB4">
                <w:rPr>
                  <w:i/>
                  <w:iCs/>
                  <w:lang w:val="en-GB"/>
                </w:rPr>
                <w:t>Geography Compass, 4(3)</w:t>
              </w:r>
              <w:r w:rsidRPr="00317CB4">
                <w:rPr>
                  <w:lang w:val="en-GB"/>
                </w:rPr>
                <w:t>, 193-205.</w:t>
              </w:r>
            </w:p>
            <w:p w14:paraId="67A50848" w14:textId="77777777" w:rsidR="00D43BF5" w:rsidRPr="00317CB4" w:rsidRDefault="00D43BF5" w:rsidP="00D43BF5">
              <w:pPr>
                <w:pStyle w:val="Bibliography"/>
                <w:ind w:left="720" w:hanging="720"/>
                <w:rPr>
                  <w:lang w:val="en-GB"/>
                </w:rPr>
              </w:pPr>
              <w:r w:rsidRPr="00317CB4">
                <w:rPr>
                  <w:lang w:val="en-GB"/>
                </w:rPr>
                <w:t xml:space="preserve">Hassel, A., &amp; Wagner, B. (2016). The EU's 'migration crisis': challenge, threat or opportunity? In B. N. Vanhercke, </w:t>
              </w:r>
              <w:r w:rsidRPr="00317CB4">
                <w:rPr>
                  <w:i/>
                  <w:iCs/>
                  <w:lang w:val="en-GB"/>
                </w:rPr>
                <w:t>Social policy in the European Union: state of play 2016</w:t>
              </w:r>
              <w:r w:rsidRPr="00317CB4">
                <w:rPr>
                  <w:lang w:val="en-GB"/>
                </w:rPr>
                <w:t xml:space="preserve"> (pp. 61-92). Brussels: European Trade Union Institute (ETUI) and European Social Observatory (OSE).</w:t>
              </w:r>
            </w:p>
            <w:p w14:paraId="413B90B7" w14:textId="77777777" w:rsidR="00D43BF5" w:rsidRPr="00317CB4" w:rsidRDefault="00D43BF5" w:rsidP="00D43BF5">
              <w:pPr>
                <w:pStyle w:val="Bibliography"/>
                <w:ind w:left="720" w:hanging="720"/>
                <w:rPr>
                  <w:lang w:val="en-GB"/>
                </w:rPr>
              </w:pPr>
              <w:r w:rsidRPr="00317CB4">
                <w:rPr>
                  <w:lang w:val="en-GB"/>
                </w:rPr>
                <w:t xml:space="preserve">Jumbert, M. G. (2016). Creating the EU drone control, sorting, and search and rescue at sea. In K. B. Sandvik, &amp; M. G. Jumbert, </w:t>
              </w:r>
              <w:r w:rsidRPr="00317CB4">
                <w:rPr>
                  <w:i/>
                  <w:iCs/>
                  <w:lang w:val="en-GB"/>
                </w:rPr>
                <w:t>The good drone emerging technologies, ethics and international affairs</w:t>
              </w:r>
              <w:r w:rsidRPr="00317CB4">
                <w:rPr>
                  <w:lang w:val="en-GB"/>
                </w:rPr>
                <w:t xml:space="preserve"> (pp. 89-109). London: Routledge.</w:t>
              </w:r>
            </w:p>
            <w:p w14:paraId="252B9F2A" w14:textId="77777777" w:rsidR="00D43BF5" w:rsidRPr="00317CB4" w:rsidRDefault="00D43BF5" w:rsidP="00D43BF5">
              <w:pPr>
                <w:pStyle w:val="Bibliography"/>
                <w:ind w:left="720" w:hanging="720"/>
                <w:rPr>
                  <w:lang w:val="en-GB"/>
                </w:rPr>
              </w:pPr>
              <w:r w:rsidRPr="00317CB4">
                <w:rPr>
                  <w:lang w:val="en-GB"/>
                </w:rPr>
                <w:t xml:space="preserve">Kaarbo, J., &amp; Beasley, R. (1999). A practical guide to the comparative case study method in political psychology . </w:t>
              </w:r>
              <w:r w:rsidRPr="00317CB4">
                <w:rPr>
                  <w:i/>
                  <w:iCs/>
                  <w:lang w:val="en-GB"/>
                </w:rPr>
                <w:t>Political Psychology, 20(2)</w:t>
              </w:r>
              <w:r w:rsidRPr="00317CB4">
                <w:rPr>
                  <w:lang w:val="en-GB"/>
                </w:rPr>
                <w:t>, 369-391.</w:t>
              </w:r>
            </w:p>
            <w:p w14:paraId="1585CA34" w14:textId="77777777" w:rsidR="00D43BF5" w:rsidRPr="00317CB4" w:rsidRDefault="00D43BF5" w:rsidP="00D43BF5">
              <w:pPr>
                <w:pStyle w:val="Bibliography"/>
                <w:ind w:left="720" w:hanging="720"/>
                <w:rPr>
                  <w:lang w:val="en-GB"/>
                </w:rPr>
              </w:pPr>
              <w:r w:rsidRPr="00317CB4">
                <w:rPr>
                  <w:lang w:val="en-GB"/>
                </w:rPr>
                <w:t xml:space="preserve">Kalkman, J. P. (2020). Frontex: A Literature Review. </w:t>
              </w:r>
              <w:r w:rsidRPr="00317CB4">
                <w:rPr>
                  <w:i/>
                  <w:iCs/>
                  <w:lang w:val="en-GB"/>
                </w:rPr>
                <w:t>International Migration, 59(1)</w:t>
              </w:r>
              <w:r w:rsidRPr="00317CB4">
                <w:rPr>
                  <w:lang w:val="en-GB"/>
                </w:rPr>
                <w:t>, 165-181.</w:t>
              </w:r>
            </w:p>
            <w:p w14:paraId="48AAEC5B" w14:textId="77777777" w:rsidR="00D43BF5" w:rsidRPr="00317CB4" w:rsidRDefault="00D43BF5" w:rsidP="00D43BF5">
              <w:pPr>
                <w:pStyle w:val="Bibliography"/>
                <w:ind w:left="720" w:hanging="720"/>
                <w:rPr>
                  <w:lang w:val="en-GB"/>
                </w:rPr>
              </w:pPr>
              <w:r w:rsidRPr="00317CB4">
                <w:rPr>
                  <w:lang w:val="en-GB"/>
                </w:rPr>
                <w:t xml:space="preserve">Kamphorst, J. (2020, October 23). </w:t>
              </w:r>
              <w:r w:rsidRPr="00317CB4">
                <w:rPr>
                  <w:i/>
                  <w:iCs/>
                  <w:lang w:val="en-GB"/>
                </w:rPr>
                <w:t>EU-grensbewakers van Frontex stuurden op zee illegaal migranten terug</w:t>
              </w:r>
              <w:r w:rsidRPr="00317CB4">
                <w:rPr>
                  <w:lang w:val="en-GB"/>
                </w:rPr>
                <w:t>. Retrieved from Trouw: https://www.trouw.nl/buitenland/eu-grensbewakers-van-frontex-stuurden-op-zee-illegaal-migranten-terug~bc2ad92d/?referrer=https%3A%2F%2Fen.wikipedia.org%2F</w:t>
              </w:r>
            </w:p>
            <w:p w14:paraId="603A3320" w14:textId="77777777" w:rsidR="00D43BF5" w:rsidRPr="00317CB4" w:rsidRDefault="00D43BF5" w:rsidP="00D43BF5">
              <w:pPr>
                <w:pStyle w:val="Bibliography"/>
                <w:ind w:left="720" w:hanging="720"/>
                <w:rPr>
                  <w:lang w:val="en-GB"/>
                </w:rPr>
              </w:pPr>
              <w:r w:rsidRPr="00317CB4">
                <w:rPr>
                  <w:lang w:val="en-GB"/>
                </w:rPr>
                <w:t xml:space="preserve">Kleinnijenhuis, J., van Atteveldt, W., &amp; Dekkers, V. (2018). Partial priming: how issue news shapes issue saliency, which shapes turnout but not the vote. </w:t>
              </w:r>
              <w:r w:rsidRPr="00317CB4">
                <w:rPr>
                  <w:i/>
                  <w:iCs/>
                  <w:lang w:val="en-GB"/>
                </w:rPr>
                <w:t>Acta Polit, 53</w:t>
              </w:r>
              <w:r w:rsidRPr="00317CB4">
                <w:rPr>
                  <w:lang w:val="en-GB"/>
                </w:rPr>
                <w:t>, 569-589.</w:t>
              </w:r>
            </w:p>
            <w:p w14:paraId="33C84B30" w14:textId="77777777" w:rsidR="00D43BF5" w:rsidRPr="00317CB4" w:rsidRDefault="00D43BF5" w:rsidP="00D43BF5">
              <w:pPr>
                <w:pStyle w:val="Bibliography"/>
                <w:ind w:left="720" w:hanging="720"/>
                <w:rPr>
                  <w:lang w:val="en-GB"/>
                </w:rPr>
              </w:pPr>
              <w:r w:rsidRPr="00317CB4">
                <w:rPr>
                  <w:lang w:val="en-GB"/>
                </w:rPr>
                <w:t xml:space="preserve">Koop, C. (2011). Explaining the Accountability of Independent Agencies: The Importance of Political Salience. </w:t>
              </w:r>
              <w:r w:rsidRPr="00317CB4">
                <w:rPr>
                  <w:i/>
                  <w:iCs/>
                  <w:lang w:val="en-GB"/>
                </w:rPr>
                <w:t>Journal of Public Policy, 31(2)</w:t>
              </w:r>
              <w:r w:rsidRPr="00317CB4">
                <w:rPr>
                  <w:lang w:val="en-GB"/>
                </w:rPr>
                <w:t>, 209-234.</w:t>
              </w:r>
            </w:p>
            <w:p w14:paraId="25F92DE1" w14:textId="77777777" w:rsidR="00D43BF5" w:rsidRPr="00317CB4" w:rsidRDefault="00D43BF5" w:rsidP="00D43BF5">
              <w:pPr>
                <w:pStyle w:val="Bibliography"/>
                <w:ind w:left="720" w:hanging="720"/>
                <w:rPr>
                  <w:lang w:val="en-GB"/>
                </w:rPr>
              </w:pPr>
              <w:r w:rsidRPr="00317CB4">
                <w:rPr>
                  <w:lang w:val="en-GB"/>
                </w:rPr>
                <w:t xml:space="preserve">Kumar, R. (2011). </w:t>
              </w:r>
              <w:r w:rsidRPr="00317CB4">
                <w:rPr>
                  <w:i/>
                  <w:iCs/>
                  <w:lang w:val="en-GB"/>
                </w:rPr>
                <w:t>Research Methodology. A step-by-step guide for beginners .</w:t>
              </w:r>
              <w:r w:rsidRPr="00317CB4">
                <w:rPr>
                  <w:lang w:val="en-GB"/>
                </w:rPr>
                <w:t xml:space="preserve"> London: Sage.</w:t>
              </w:r>
            </w:p>
            <w:p w14:paraId="6361E87A" w14:textId="77777777" w:rsidR="00D43BF5" w:rsidRPr="00317CB4" w:rsidRDefault="00D43BF5" w:rsidP="00D43BF5">
              <w:pPr>
                <w:pStyle w:val="Bibliography"/>
                <w:ind w:left="720" w:hanging="720"/>
                <w:rPr>
                  <w:lang w:val="en-GB"/>
                </w:rPr>
              </w:pPr>
              <w:r w:rsidRPr="00317CB4">
                <w:rPr>
                  <w:lang w:val="en-GB"/>
                </w:rPr>
                <w:t xml:space="preserve">Lancaster, K. (2016). Confidentiality, anonymity and power relations in elite interviewing: conducting qualitative policy research in a politicised domain. </w:t>
              </w:r>
              <w:r w:rsidRPr="00317CB4">
                <w:rPr>
                  <w:i/>
                  <w:iCs/>
                  <w:lang w:val="en-GB"/>
                </w:rPr>
                <w:t>International Journal of Social Research Methodology, 20(1)</w:t>
              </w:r>
              <w:r w:rsidRPr="00317CB4">
                <w:rPr>
                  <w:lang w:val="en-GB"/>
                </w:rPr>
                <w:t>, 93-103.</w:t>
              </w:r>
            </w:p>
            <w:p w14:paraId="3E20850F" w14:textId="77777777" w:rsidR="00D43BF5" w:rsidRPr="00317CB4" w:rsidRDefault="00D43BF5" w:rsidP="00D43BF5">
              <w:pPr>
                <w:pStyle w:val="Bibliography"/>
                <w:ind w:left="720" w:hanging="720"/>
                <w:rPr>
                  <w:lang w:val="en-GB"/>
                </w:rPr>
              </w:pPr>
              <w:r w:rsidRPr="00317CB4">
                <w:rPr>
                  <w:lang w:val="en-GB"/>
                </w:rPr>
                <w:t xml:space="preserve">Latek, M. (2017). </w:t>
              </w:r>
              <w:r w:rsidRPr="00317CB4">
                <w:rPr>
                  <w:i/>
                  <w:iCs/>
                  <w:lang w:val="en-GB"/>
                </w:rPr>
                <w:t>Reintegration of returning migrants.</w:t>
              </w:r>
              <w:r w:rsidRPr="00317CB4">
                <w:rPr>
                  <w:lang w:val="en-GB"/>
                </w:rPr>
                <w:t xml:space="preserve"> Retrieved from European Parliamentary Research Service: https://www.europarl.europa.eu/RegData/etudes/BRIE/2017/608779/EPRS_BRI(2017)608779_EN.pdf</w:t>
              </w:r>
            </w:p>
            <w:p w14:paraId="009D6A25" w14:textId="77777777" w:rsidR="00D43BF5" w:rsidRPr="00317CB4" w:rsidRDefault="00D43BF5" w:rsidP="00D43BF5">
              <w:pPr>
                <w:pStyle w:val="Bibliography"/>
                <w:ind w:left="720" w:hanging="720"/>
                <w:rPr>
                  <w:lang w:val="en-GB"/>
                </w:rPr>
              </w:pPr>
              <w:r w:rsidRPr="00317CB4">
                <w:rPr>
                  <w:lang w:val="en-GB"/>
                </w:rPr>
                <w:t xml:space="preserve">Leonard, S. (2009). The Creation of FRONTEX and the Politics of Institutionalisation in the EU External Borders Policy. </w:t>
              </w:r>
              <w:r w:rsidRPr="00317CB4">
                <w:rPr>
                  <w:i/>
                  <w:iCs/>
                  <w:lang w:val="en-GB"/>
                </w:rPr>
                <w:t>Journal of Contemporary European Research, 5(3)</w:t>
              </w:r>
              <w:r w:rsidRPr="00317CB4">
                <w:rPr>
                  <w:lang w:val="en-GB"/>
                </w:rPr>
                <w:t>, 371-388.</w:t>
              </w:r>
            </w:p>
            <w:p w14:paraId="31FDAAD1" w14:textId="77777777" w:rsidR="00D43BF5" w:rsidRPr="00317CB4" w:rsidRDefault="00D43BF5" w:rsidP="00D43BF5">
              <w:pPr>
                <w:pStyle w:val="Bibliography"/>
                <w:ind w:left="720" w:hanging="720"/>
                <w:rPr>
                  <w:lang w:val="en-GB"/>
                </w:rPr>
              </w:pPr>
              <w:r w:rsidRPr="00317CB4">
                <w:rPr>
                  <w:lang w:val="en-GB"/>
                </w:rPr>
                <w:t xml:space="preserve">Levy, J. (2008). Case Studies: Types, Designs, and Logics of Inference. </w:t>
              </w:r>
              <w:r w:rsidRPr="00317CB4">
                <w:rPr>
                  <w:i/>
                  <w:iCs/>
                  <w:lang w:val="en-GB"/>
                </w:rPr>
                <w:t>Conflict Management and Peace Science, 25</w:t>
              </w:r>
              <w:r w:rsidRPr="00317CB4">
                <w:rPr>
                  <w:lang w:val="en-GB"/>
                </w:rPr>
                <w:t>, 1-18.</w:t>
              </w:r>
            </w:p>
            <w:p w14:paraId="6B8ECF31" w14:textId="77777777" w:rsidR="00D43BF5" w:rsidRPr="00317CB4" w:rsidRDefault="00D43BF5" w:rsidP="00D43BF5">
              <w:pPr>
                <w:pStyle w:val="Bibliography"/>
                <w:ind w:left="720" w:hanging="720"/>
                <w:rPr>
                  <w:lang w:val="en-GB"/>
                </w:rPr>
              </w:pPr>
              <w:r w:rsidRPr="00317CB4">
                <w:rPr>
                  <w:lang w:val="en-GB"/>
                </w:rPr>
                <w:t xml:space="preserve">Loukinas, P. (2022). Drones for Border Surveillance: Multipurpose Use, Uncertainty and Challenges at EU Borders. </w:t>
              </w:r>
              <w:r w:rsidRPr="00317CB4">
                <w:rPr>
                  <w:i/>
                  <w:iCs/>
                  <w:lang w:val="en-GB"/>
                </w:rPr>
                <w:t>Geopolitics, 27(1)</w:t>
              </w:r>
              <w:r w:rsidRPr="00317CB4">
                <w:rPr>
                  <w:lang w:val="en-GB"/>
                </w:rPr>
                <w:t>, 89-112.</w:t>
              </w:r>
            </w:p>
            <w:p w14:paraId="60AF8A24" w14:textId="77777777" w:rsidR="00D43BF5" w:rsidRPr="00317CB4" w:rsidRDefault="00D43BF5" w:rsidP="00D43BF5">
              <w:pPr>
                <w:pStyle w:val="Bibliography"/>
                <w:ind w:left="720" w:hanging="720"/>
                <w:rPr>
                  <w:lang w:val="en-GB"/>
                </w:rPr>
              </w:pPr>
              <w:r w:rsidRPr="00317CB4">
                <w:rPr>
                  <w:lang w:val="en-GB"/>
                </w:rPr>
                <w:t xml:space="preserve">Maor, M. (2011). Organisational reputations and the observability of public warnings in 10 pharmaceutical markets. </w:t>
              </w:r>
              <w:r w:rsidRPr="00317CB4">
                <w:rPr>
                  <w:i/>
                  <w:iCs/>
                  <w:lang w:val="en-GB"/>
                </w:rPr>
                <w:t>Governance, 24</w:t>
              </w:r>
              <w:r w:rsidRPr="00317CB4">
                <w:rPr>
                  <w:lang w:val="en-GB"/>
                </w:rPr>
                <w:t>, 557-582.</w:t>
              </w:r>
            </w:p>
            <w:p w14:paraId="4953688F" w14:textId="77777777" w:rsidR="00D43BF5" w:rsidRPr="00317CB4" w:rsidRDefault="00D43BF5" w:rsidP="00D43BF5">
              <w:pPr>
                <w:pStyle w:val="Bibliography"/>
                <w:ind w:left="720" w:hanging="720"/>
                <w:rPr>
                  <w:lang w:val="en-GB"/>
                </w:rPr>
              </w:pPr>
              <w:r w:rsidRPr="00317CB4">
                <w:rPr>
                  <w:lang w:val="en-GB"/>
                </w:rPr>
                <w:lastRenderedPageBreak/>
                <w:t xml:space="preserve">Maor, M., Gilad, S., &amp; Bloom, P. B.-N. (2012). Organisational reputation, regulatory talk, and strategic silence. </w:t>
              </w:r>
              <w:r w:rsidRPr="00317CB4">
                <w:rPr>
                  <w:i/>
                  <w:iCs/>
                  <w:lang w:val="en-GB"/>
                </w:rPr>
                <w:t>Journal of Public Administration Research and Theory, 23(3)</w:t>
              </w:r>
              <w:r w:rsidRPr="00317CB4">
                <w:rPr>
                  <w:lang w:val="en-GB"/>
                </w:rPr>
                <w:t>, 581-608.</w:t>
              </w:r>
            </w:p>
            <w:p w14:paraId="1FDF1BDB" w14:textId="77777777" w:rsidR="00D43BF5" w:rsidRPr="00317CB4" w:rsidRDefault="00D43BF5" w:rsidP="00D43BF5">
              <w:pPr>
                <w:pStyle w:val="Bibliography"/>
                <w:ind w:left="720" w:hanging="720"/>
                <w:rPr>
                  <w:lang w:val="en-GB"/>
                </w:rPr>
              </w:pPr>
              <w:r w:rsidRPr="00317CB4">
                <w:rPr>
                  <w:lang w:val="en-GB"/>
                </w:rPr>
                <w:t xml:space="preserve">Marin, L., &amp; Krajčíková, K. (2016). Deploying drones in policing southern European borders: constraints and challenges for data protection and human rights. In A. Završnik, </w:t>
              </w:r>
              <w:r w:rsidRPr="00317CB4">
                <w:rPr>
                  <w:i/>
                  <w:iCs/>
                  <w:lang w:val="en-GB"/>
                </w:rPr>
                <w:t>Drones and unmanned aerial systems</w:t>
              </w:r>
              <w:r w:rsidRPr="00317CB4">
                <w:rPr>
                  <w:lang w:val="en-GB"/>
                </w:rPr>
                <w:t xml:space="preserve"> (pp. 101-127). Springer International Publishing.</w:t>
              </w:r>
            </w:p>
            <w:p w14:paraId="4D3C553C" w14:textId="77777777" w:rsidR="00D43BF5" w:rsidRPr="00317CB4" w:rsidRDefault="00D43BF5" w:rsidP="00D43BF5">
              <w:pPr>
                <w:pStyle w:val="Bibliography"/>
                <w:ind w:left="720" w:hanging="720"/>
                <w:rPr>
                  <w:lang w:val="en-GB"/>
                </w:rPr>
              </w:pPr>
              <w:r w:rsidRPr="00317CB4">
                <w:rPr>
                  <w:lang w:val="en-GB"/>
                </w:rPr>
                <w:t xml:space="preserve">Martin, M., Ayuso, S., &amp; Clemente, Y. (2023, April 09). </w:t>
              </w:r>
              <w:r w:rsidRPr="00317CB4">
                <w:rPr>
                  <w:i/>
                  <w:iCs/>
                  <w:lang w:val="en-GB"/>
                </w:rPr>
                <w:t>The fences dividing Europe: how the EU uses walls to contain irregular migration</w:t>
              </w:r>
              <w:r w:rsidRPr="00317CB4">
                <w:rPr>
                  <w:lang w:val="en-GB"/>
                </w:rPr>
                <w:t>. Retrieved from El Pais: https://english.elpais.com/international/2023-04-08/the-fences-dividing-europe-how-the-eu-uses-walls-to-contain-irregular-migration.html</w:t>
              </w:r>
            </w:p>
            <w:p w14:paraId="1E9EACE0" w14:textId="77777777" w:rsidR="00D43BF5" w:rsidRPr="00317CB4" w:rsidRDefault="00D43BF5" w:rsidP="00D43BF5">
              <w:pPr>
                <w:pStyle w:val="Bibliography"/>
                <w:ind w:left="720" w:hanging="720"/>
                <w:rPr>
                  <w:lang w:val="en-GB"/>
                </w:rPr>
              </w:pPr>
              <w:r w:rsidRPr="00317CB4">
                <w:rPr>
                  <w:lang w:val="en-GB"/>
                </w:rPr>
                <w:t xml:space="preserve">Martins, B. O., &amp; Küsters, C. (2019). Hidden Security: EU Public Research Funds and the Development of European Drones. </w:t>
              </w:r>
              <w:r w:rsidRPr="00317CB4">
                <w:rPr>
                  <w:i/>
                  <w:iCs/>
                  <w:lang w:val="en-GB"/>
                </w:rPr>
                <w:t>Journal of COmmon Market Studies, 57(2)</w:t>
              </w:r>
              <w:r w:rsidRPr="00317CB4">
                <w:rPr>
                  <w:lang w:val="en-GB"/>
                </w:rPr>
                <w:t>, 278-297.</w:t>
              </w:r>
            </w:p>
            <w:p w14:paraId="485ACB31" w14:textId="77777777" w:rsidR="00D43BF5" w:rsidRPr="00317CB4" w:rsidRDefault="00D43BF5" w:rsidP="00D43BF5">
              <w:pPr>
                <w:pStyle w:val="Bibliography"/>
                <w:ind w:left="720" w:hanging="720"/>
                <w:rPr>
                  <w:lang w:val="en-GB"/>
                </w:rPr>
              </w:pPr>
              <w:r w:rsidRPr="00317CB4">
                <w:rPr>
                  <w:lang w:val="en-GB"/>
                </w:rPr>
                <w:t xml:space="preserve">Mazzeo, A. (2020, November 24). </w:t>
              </w:r>
              <w:r w:rsidRPr="00317CB4">
                <w:rPr>
                  <w:i/>
                  <w:iCs/>
                  <w:lang w:val="en-GB"/>
                </w:rPr>
                <w:t>Border surveillance, drones and militarization of the Mediterranean</w:t>
              </w:r>
              <w:r w:rsidRPr="00317CB4">
                <w:rPr>
                  <w:lang w:val="en-GB"/>
                </w:rPr>
                <w:t>. Retrieved from ADIF: https://www.a-dif.org/2020/11/24/sorveglianza-alle-frontiere-droni-e-militarizzazione-del-mediterraneo/</w:t>
              </w:r>
            </w:p>
            <w:p w14:paraId="5E31EB05" w14:textId="77777777" w:rsidR="00D43BF5" w:rsidRPr="00317CB4" w:rsidRDefault="00D43BF5" w:rsidP="00D43BF5">
              <w:pPr>
                <w:pStyle w:val="Bibliography"/>
                <w:ind w:left="720" w:hanging="720"/>
                <w:rPr>
                  <w:lang w:val="en-GB"/>
                </w:rPr>
              </w:pPr>
              <w:r w:rsidRPr="00317CB4">
                <w:rPr>
                  <w:lang w:val="en-GB"/>
                </w:rPr>
                <w:t xml:space="preserve">McNabb, D. (2015). </w:t>
              </w:r>
              <w:r w:rsidRPr="00317CB4">
                <w:rPr>
                  <w:i/>
                  <w:iCs/>
                  <w:lang w:val="en-GB"/>
                </w:rPr>
                <w:t>Research Methods for Political Science: quantitative and qualitative approaches, 2nd ed. .</w:t>
              </w:r>
              <w:r w:rsidRPr="00317CB4">
                <w:rPr>
                  <w:lang w:val="en-GB"/>
                </w:rPr>
                <w:t xml:space="preserve"> London &amp; New York: Routledge .</w:t>
              </w:r>
            </w:p>
            <w:p w14:paraId="3C11FEF3" w14:textId="77777777" w:rsidR="00D43BF5" w:rsidRPr="00317CB4" w:rsidRDefault="00D43BF5" w:rsidP="00D43BF5">
              <w:pPr>
                <w:pStyle w:val="Bibliography"/>
                <w:ind w:left="720" w:hanging="720"/>
                <w:rPr>
                  <w:lang w:val="en-GB"/>
                </w:rPr>
              </w:pPr>
              <w:r w:rsidRPr="00317CB4">
                <w:rPr>
                  <w:lang w:val="en-GB"/>
                </w:rPr>
                <w:t xml:space="preserve">Meijers, M. J., Schneider, C. J., &amp; Zhelyazkova, A. (2019). Dimensions of input responsiveness in the EU: actors, publics, venues. </w:t>
              </w:r>
              <w:r w:rsidRPr="00317CB4">
                <w:rPr>
                  <w:i/>
                  <w:iCs/>
                  <w:lang w:val="en-GB"/>
                </w:rPr>
                <w:t>Journal of European Public Policy, 26(11)</w:t>
              </w:r>
              <w:r w:rsidRPr="00317CB4">
                <w:rPr>
                  <w:lang w:val="en-GB"/>
                </w:rPr>
                <w:t>, 1724-1736.</w:t>
              </w:r>
            </w:p>
            <w:p w14:paraId="196E8BD8" w14:textId="77777777" w:rsidR="00D43BF5" w:rsidRPr="00317CB4" w:rsidRDefault="00D43BF5" w:rsidP="00D43BF5">
              <w:pPr>
                <w:pStyle w:val="Bibliography"/>
                <w:ind w:left="720" w:hanging="720"/>
                <w:rPr>
                  <w:lang w:val="en-GB"/>
                </w:rPr>
              </w:pPr>
              <w:r w:rsidRPr="00317CB4">
                <w:rPr>
                  <w:lang w:val="en-GB"/>
                </w:rPr>
                <w:t xml:space="preserve">Meissner, V. (2017). </w:t>
              </w:r>
              <w:r w:rsidRPr="00317CB4">
                <w:rPr>
                  <w:i/>
                  <w:iCs/>
                  <w:lang w:val="en-GB"/>
                </w:rPr>
                <w:t>European Union Migration Agencies at the Crossroads: Significant Empowerment after the Schengen Crisis?</w:t>
              </w:r>
              <w:r w:rsidRPr="00317CB4">
                <w:rPr>
                  <w:lang w:val="en-GB"/>
                </w:rPr>
                <w:t xml:space="preserve"> München: TUM School of Governance der Technischen Universität München.</w:t>
              </w:r>
            </w:p>
            <w:p w14:paraId="40F78F99" w14:textId="77777777" w:rsidR="00D43BF5" w:rsidRPr="00317CB4" w:rsidRDefault="00D43BF5" w:rsidP="00D43BF5">
              <w:pPr>
                <w:pStyle w:val="Bibliography"/>
                <w:ind w:left="720" w:hanging="720"/>
                <w:rPr>
                  <w:lang w:val="en-GB"/>
                </w:rPr>
              </w:pPr>
              <w:r w:rsidRPr="00317CB4">
                <w:rPr>
                  <w:lang w:val="en-GB"/>
                </w:rPr>
                <w:t xml:space="preserve">Monroy, M. (2016, June 10). </w:t>
              </w:r>
              <w:r w:rsidRPr="00317CB4">
                <w:rPr>
                  <w:i/>
                  <w:iCs/>
                  <w:lang w:val="en-GB"/>
                </w:rPr>
                <w:t>New FRONTEX agency: satellite reconnaissance and drones over the Mediterranean</w:t>
              </w:r>
              <w:r w:rsidRPr="00317CB4">
                <w:rPr>
                  <w:lang w:val="en-GB"/>
                </w:rPr>
                <w:t>. Retrieved from Die Link: https://andrej-hunko.de/7-beitrag/3154-new-frontex-agency-satellite-reconnaissance-and-drones-over-the-mediterranean</w:t>
              </w:r>
            </w:p>
            <w:p w14:paraId="744CA7E9" w14:textId="77777777" w:rsidR="00D43BF5" w:rsidRPr="00317CB4" w:rsidRDefault="00D43BF5" w:rsidP="00D43BF5">
              <w:pPr>
                <w:pStyle w:val="Bibliography"/>
                <w:ind w:left="720" w:hanging="720"/>
                <w:rPr>
                  <w:lang w:val="en-GB"/>
                </w:rPr>
              </w:pPr>
              <w:r w:rsidRPr="00317CB4">
                <w:rPr>
                  <w:lang w:val="en-GB"/>
                </w:rPr>
                <w:t xml:space="preserve">n.a. (2021, October 30). The EU's borders - Wire transfer. </w:t>
              </w:r>
              <w:r w:rsidRPr="00317CB4">
                <w:rPr>
                  <w:i/>
                  <w:iCs/>
                  <w:lang w:val="en-GB"/>
                </w:rPr>
                <w:t>The Economist</w:t>
              </w:r>
              <w:r w:rsidRPr="00317CB4">
                <w:rPr>
                  <w:lang w:val="en-GB"/>
                </w:rPr>
                <w:t>, p. 30.</w:t>
              </w:r>
            </w:p>
            <w:p w14:paraId="3BD292DA" w14:textId="77777777" w:rsidR="00D43BF5" w:rsidRPr="00317CB4" w:rsidRDefault="00D43BF5" w:rsidP="00D43BF5">
              <w:pPr>
                <w:pStyle w:val="Bibliography"/>
                <w:ind w:left="720" w:hanging="720"/>
                <w:rPr>
                  <w:lang w:val="en-GB"/>
                </w:rPr>
              </w:pPr>
              <w:r w:rsidRPr="00317CB4">
                <w:rPr>
                  <w:lang w:val="en-GB"/>
                </w:rPr>
                <w:t xml:space="preserve">n.a. (2022, June 12). </w:t>
              </w:r>
              <w:r w:rsidRPr="00317CB4">
                <w:rPr>
                  <w:i/>
                  <w:iCs/>
                  <w:lang w:val="en-GB"/>
                </w:rPr>
                <w:t>Polen will Grenzzaun zu Belarus Ende Juni fertigstellen</w:t>
              </w:r>
              <w:r w:rsidRPr="00317CB4">
                <w:rPr>
                  <w:lang w:val="en-GB"/>
                </w:rPr>
                <w:t>. Retrieved from Zeit Online: https://www.zeit.de/politik/ausland/2022-06/eu-aussengrenze-polen-belarus-grenzzaun</w:t>
              </w:r>
            </w:p>
            <w:p w14:paraId="18587CC1" w14:textId="77777777" w:rsidR="00D43BF5" w:rsidRPr="00317CB4" w:rsidRDefault="00D43BF5" w:rsidP="00D43BF5">
              <w:pPr>
                <w:pStyle w:val="Bibliography"/>
                <w:ind w:left="720" w:hanging="720"/>
                <w:rPr>
                  <w:lang w:val="en-GB"/>
                </w:rPr>
              </w:pPr>
              <w:r w:rsidRPr="00317CB4">
                <w:rPr>
                  <w:lang w:val="en-GB"/>
                </w:rPr>
                <w:t xml:space="preserve">Natali, D. (2016). Taking the bull by the horns: Differentiation within the EU to save it. </w:t>
              </w:r>
              <w:r w:rsidRPr="00317CB4">
                <w:rPr>
                  <w:i/>
                  <w:iCs/>
                  <w:lang w:val="en-GB"/>
                </w:rPr>
                <w:t>Social policy in the European Union: State of play</w:t>
              </w:r>
              <w:r w:rsidRPr="00317CB4">
                <w:rPr>
                  <w:lang w:val="en-GB"/>
                </w:rPr>
                <w:t>, 189-210.</w:t>
              </w:r>
            </w:p>
            <w:p w14:paraId="15B6BD80" w14:textId="77777777" w:rsidR="00D43BF5" w:rsidRPr="00317CB4" w:rsidRDefault="00D43BF5" w:rsidP="00D43BF5">
              <w:pPr>
                <w:pStyle w:val="Bibliography"/>
                <w:ind w:left="720" w:hanging="720"/>
                <w:rPr>
                  <w:lang w:val="en-GB"/>
                </w:rPr>
              </w:pPr>
              <w:r w:rsidRPr="00317CB4">
                <w:rPr>
                  <w:lang w:val="en-GB"/>
                </w:rPr>
                <w:t xml:space="preserve">Natow, R. S. (2020). The use of triangulation in qualitative studies employing elite interviews. </w:t>
              </w:r>
              <w:r w:rsidRPr="00317CB4">
                <w:rPr>
                  <w:i/>
                  <w:iCs/>
                  <w:lang w:val="en-GB"/>
                </w:rPr>
                <w:t>Qualitative Research, 20(2)</w:t>
              </w:r>
              <w:r w:rsidRPr="00317CB4">
                <w:rPr>
                  <w:lang w:val="en-GB"/>
                </w:rPr>
                <w:t>, 160-173.</w:t>
              </w:r>
            </w:p>
            <w:p w14:paraId="1E90929F" w14:textId="77777777" w:rsidR="00D43BF5" w:rsidRPr="00317CB4" w:rsidRDefault="00D43BF5" w:rsidP="00D43BF5">
              <w:pPr>
                <w:pStyle w:val="Bibliography"/>
                <w:ind w:left="720" w:hanging="720"/>
                <w:rPr>
                  <w:lang w:val="en-GB"/>
                </w:rPr>
              </w:pPr>
              <w:r w:rsidRPr="00317CB4">
                <w:rPr>
                  <w:lang w:val="en-GB"/>
                </w:rPr>
                <w:t xml:space="preserve">Niemann, A., &amp; Zaun, N. (2018). EU Refugee policies and politics in times of crisis: theoretical and empirical perspectives. </w:t>
              </w:r>
              <w:r w:rsidRPr="00317CB4">
                <w:rPr>
                  <w:i/>
                  <w:iCs/>
                  <w:lang w:val="en-GB"/>
                </w:rPr>
                <w:t>Journal of Common Market Studies 56(1)</w:t>
              </w:r>
              <w:r w:rsidRPr="00317CB4">
                <w:rPr>
                  <w:lang w:val="en-GB"/>
                </w:rPr>
                <w:t>, 3-22.</w:t>
              </w:r>
            </w:p>
            <w:p w14:paraId="2B559D4D" w14:textId="77777777" w:rsidR="00D43BF5" w:rsidRPr="00317CB4" w:rsidRDefault="00D43BF5" w:rsidP="00D43BF5">
              <w:pPr>
                <w:pStyle w:val="Bibliography"/>
                <w:ind w:left="720" w:hanging="720"/>
                <w:rPr>
                  <w:lang w:val="en-GB"/>
                </w:rPr>
              </w:pPr>
              <w:r w:rsidRPr="00317CB4">
                <w:rPr>
                  <w:lang w:val="en-GB"/>
                </w:rPr>
                <w:t xml:space="preserve">Nugent, N. (2017). </w:t>
              </w:r>
              <w:r w:rsidRPr="00317CB4">
                <w:rPr>
                  <w:i/>
                  <w:iCs/>
                  <w:lang w:val="en-GB"/>
                </w:rPr>
                <w:t>The government and politics of the European Union .</w:t>
              </w:r>
              <w:r w:rsidRPr="00317CB4">
                <w:rPr>
                  <w:lang w:val="en-GB"/>
                </w:rPr>
                <w:t xml:space="preserve"> London: Palgrave Macmillan .</w:t>
              </w:r>
            </w:p>
            <w:p w14:paraId="0E806E04" w14:textId="77777777" w:rsidR="00D43BF5" w:rsidRPr="00317CB4" w:rsidRDefault="00D43BF5" w:rsidP="00D43BF5">
              <w:pPr>
                <w:pStyle w:val="Bibliography"/>
                <w:ind w:left="720" w:hanging="720"/>
                <w:rPr>
                  <w:lang w:val="en-GB"/>
                </w:rPr>
              </w:pPr>
              <w:r w:rsidRPr="00317CB4">
                <w:rPr>
                  <w:lang w:val="en-GB"/>
                </w:rPr>
                <w:t xml:space="preserve">Overman, S., Busuioc, M., &amp; Wood, M. (2019). A Multidimensional Reputation Barometer for Public Agencies: A Validated Instrument. </w:t>
              </w:r>
              <w:r w:rsidRPr="00317CB4">
                <w:rPr>
                  <w:i/>
                  <w:iCs/>
                  <w:lang w:val="en-GB"/>
                </w:rPr>
                <w:t>Public Administration Review, 80(3)</w:t>
              </w:r>
              <w:r w:rsidRPr="00317CB4">
                <w:rPr>
                  <w:lang w:val="en-GB"/>
                </w:rPr>
                <w:t>, 415-425.</w:t>
              </w:r>
            </w:p>
            <w:p w14:paraId="7009372A" w14:textId="77777777" w:rsidR="00D43BF5" w:rsidRPr="00317CB4" w:rsidRDefault="00D43BF5" w:rsidP="00D43BF5">
              <w:pPr>
                <w:pStyle w:val="Bibliography"/>
                <w:ind w:left="720" w:hanging="720"/>
                <w:rPr>
                  <w:lang w:val="en-GB"/>
                </w:rPr>
              </w:pPr>
              <w:r w:rsidRPr="00317CB4">
                <w:rPr>
                  <w:lang w:val="en-GB"/>
                </w:rPr>
                <w:t xml:space="preserve">Perkowski, N. (2019). 'There are voices in every direction': Organizational decoupling in Frontex. </w:t>
              </w:r>
              <w:r w:rsidRPr="00317CB4">
                <w:rPr>
                  <w:i/>
                  <w:iCs/>
                  <w:lang w:val="en-GB"/>
                </w:rPr>
                <w:t>Journal of Common Market Studies 57(5)</w:t>
              </w:r>
              <w:r w:rsidRPr="00317CB4">
                <w:rPr>
                  <w:lang w:val="en-GB"/>
                </w:rPr>
                <w:t>, 1182-1199.</w:t>
              </w:r>
            </w:p>
            <w:p w14:paraId="2C962A70" w14:textId="77777777" w:rsidR="00D43BF5" w:rsidRPr="00317CB4" w:rsidRDefault="00D43BF5" w:rsidP="00D43BF5">
              <w:pPr>
                <w:pStyle w:val="Bibliography"/>
                <w:ind w:left="720" w:hanging="720"/>
                <w:rPr>
                  <w:lang w:val="en-GB"/>
                </w:rPr>
              </w:pPr>
              <w:r w:rsidRPr="00317CB4">
                <w:rPr>
                  <w:lang w:val="en-GB"/>
                </w:rPr>
                <w:lastRenderedPageBreak/>
                <w:t xml:space="preserve">PolitPro. (2023). </w:t>
              </w:r>
              <w:r w:rsidRPr="00317CB4">
                <w:rPr>
                  <w:i/>
                  <w:iCs/>
                  <w:lang w:val="en-GB"/>
                </w:rPr>
                <w:t>Strongest parties in European election trends</w:t>
              </w:r>
              <w:r w:rsidRPr="00317CB4">
                <w:rPr>
                  <w:lang w:val="en-GB"/>
                </w:rPr>
                <w:t>. Retrieved from PolitPro: https://politpro.eu/en</w:t>
              </w:r>
            </w:p>
            <w:p w14:paraId="17E6DEFC" w14:textId="77777777" w:rsidR="00D43BF5" w:rsidRPr="00317CB4" w:rsidRDefault="00D43BF5" w:rsidP="00D43BF5">
              <w:pPr>
                <w:pStyle w:val="Bibliography"/>
                <w:ind w:left="720" w:hanging="720"/>
                <w:rPr>
                  <w:lang w:val="en-GB"/>
                </w:rPr>
              </w:pPr>
              <w:r w:rsidRPr="00317CB4">
                <w:rPr>
                  <w:lang w:val="en-GB"/>
                </w:rPr>
                <w:t xml:space="preserve">Postings, R. (2023, March 29). </w:t>
              </w:r>
              <w:r w:rsidRPr="00317CB4">
                <w:rPr>
                  <w:i/>
                  <w:iCs/>
                  <w:lang w:val="en-GB"/>
                </w:rPr>
                <w:t>Fences, Stronger Borders and Pushbacks: The Current State of the EU Migration Debate</w:t>
              </w:r>
              <w:r w:rsidRPr="00317CB4">
                <w:rPr>
                  <w:lang w:val="en-GB"/>
                </w:rPr>
                <w:t>. Retrieved from Impakter: https://impakter.com/fences-stronger-borders-and-pushbacks-current-state-of-eu-migration-debate/</w:t>
              </w:r>
            </w:p>
            <w:p w14:paraId="0F052A4A" w14:textId="77777777" w:rsidR="00D43BF5" w:rsidRPr="00317CB4" w:rsidRDefault="00D43BF5" w:rsidP="00D43BF5">
              <w:pPr>
                <w:pStyle w:val="Bibliography"/>
                <w:ind w:left="720" w:hanging="720"/>
                <w:rPr>
                  <w:lang w:val="en-GB"/>
                </w:rPr>
              </w:pPr>
              <w:r w:rsidRPr="00317CB4">
                <w:rPr>
                  <w:lang w:val="en-GB"/>
                </w:rPr>
                <w:t xml:space="preserve">Rigby, J., &amp; Crisp, J. (2023). </w:t>
              </w:r>
              <w:r w:rsidRPr="00317CB4">
                <w:rPr>
                  <w:i/>
                  <w:iCs/>
                  <w:lang w:val="en-GB"/>
                </w:rPr>
                <w:t>Fortress Europe</w:t>
              </w:r>
              <w:r w:rsidRPr="00317CB4">
                <w:rPr>
                  <w:lang w:val="en-GB"/>
                </w:rPr>
                <w:t>. Retrieved from The Telegraph: https://www.telegraph.co.uk/global-health/fortress-europe-borders-wall-fence-controls-eu-countries-migrants-crisis/</w:t>
              </w:r>
            </w:p>
            <w:p w14:paraId="543409F6" w14:textId="77777777" w:rsidR="00D43BF5" w:rsidRPr="00317CB4" w:rsidRDefault="00D43BF5" w:rsidP="00D43BF5">
              <w:pPr>
                <w:pStyle w:val="Bibliography"/>
                <w:ind w:left="720" w:hanging="720"/>
                <w:rPr>
                  <w:lang w:val="en-GB"/>
                </w:rPr>
              </w:pPr>
              <w:r w:rsidRPr="00317CB4">
                <w:rPr>
                  <w:lang w:val="en-GB"/>
                </w:rPr>
                <w:t xml:space="preserve">Rimkutė, D. (2018). Organisational reputation and risk regulation: The effect of reputational threats on agency scientific outputs. </w:t>
              </w:r>
              <w:r w:rsidRPr="00317CB4">
                <w:rPr>
                  <w:i/>
                  <w:iCs/>
                  <w:lang w:val="en-GB"/>
                </w:rPr>
                <w:t>Public Administrations, 96</w:t>
              </w:r>
              <w:r w:rsidRPr="00317CB4">
                <w:rPr>
                  <w:lang w:val="en-GB"/>
                </w:rPr>
                <w:t>, 70-83.</w:t>
              </w:r>
            </w:p>
            <w:p w14:paraId="6B6EFB3B" w14:textId="77777777" w:rsidR="00D43BF5" w:rsidRPr="00317CB4" w:rsidRDefault="00D43BF5" w:rsidP="00D43BF5">
              <w:pPr>
                <w:pStyle w:val="Bibliography"/>
                <w:ind w:left="720" w:hanging="720"/>
                <w:rPr>
                  <w:lang w:val="en-GB"/>
                </w:rPr>
              </w:pPr>
              <w:r w:rsidRPr="00317CB4">
                <w:rPr>
                  <w:lang w:val="en-GB"/>
                </w:rPr>
                <w:t xml:space="preserve">Rimkutė, D. (2019). Building organisational reputation in the European regulatory state: An analysis of EU agencies' communications. </w:t>
              </w:r>
              <w:r w:rsidRPr="00317CB4">
                <w:rPr>
                  <w:i/>
                  <w:iCs/>
                  <w:lang w:val="en-GB"/>
                </w:rPr>
                <w:t>Governance, 33</w:t>
              </w:r>
              <w:r w:rsidRPr="00317CB4">
                <w:rPr>
                  <w:lang w:val="en-GB"/>
                </w:rPr>
                <w:t>, 385-406.</w:t>
              </w:r>
            </w:p>
            <w:p w14:paraId="1BA8F09C" w14:textId="77777777" w:rsidR="00D43BF5" w:rsidRPr="00317CB4" w:rsidRDefault="00D43BF5" w:rsidP="00D43BF5">
              <w:pPr>
                <w:pStyle w:val="Bibliography"/>
                <w:ind w:left="720" w:hanging="720"/>
                <w:rPr>
                  <w:lang w:val="en-GB"/>
                </w:rPr>
              </w:pPr>
              <w:r w:rsidRPr="00317CB4">
                <w:rPr>
                  <w:lang w:val="en-GB"/>
                </w:rPr>
                <w:t xml:space="preserve">Rimkutė, D. (2020). Strategic silence or regulatory talk? Regulatory agency responses to public allegations amidst the glyphosate controversy. </w:t>
              </w:r>
              <w:r w:rsidRPr="00317CB4">
                <w:rPr>
                  <w:i/>
                  <w:iCs/>
                  <w:lang w:val="en-GB"/>
                </w:rPr>
                <w:t>Journal of European Public Policy, 27(11)</w:t>
              </w:r>
              <w:r w:rsidRPr="00317CB4">
                <w:rPr>
                  <w:lang w:val="en-GB"/>
                </w:rPr>
                <w:t>, 1636-1656.</w:t>
              </w:r>
            </w:p>
            <w:p w14:paraId="3B2352FC" w14:textId="77777777" w:rsidR="00D43BF5" w:rsidRPr="00317CB4" w:rsidRDefault="00D43BF5" w:rsidP="00D43BF5">
              <w:pPr>
                <w:pStyle w:val="Bibliography"/>
                <w:ind w:left="720" w:hanging="720"/>
                <w:rPr>
                  <w:lang w:val="en-GB"/>
                </w:rPr>
              </w:pPr>
              <w:r w:rsidRPr="00317CB4">
                <w:rPr>
                  <w:lang w:val="en-GB"/>
                </w:rPr>
                <w:t xml:space="preserve">Schimmelfennig, F., Leuffen, D., &amp; Rittberger, B. (2015). The European Union as a system of differentiated integration: interdependence, politicization and differentiation. </w:t>
              </w:r>
              <w:r w:rsidRPr="00317CB4">
                <w:rPr>
                  <w:i/>
                  <w:iCs/>
                  <w:lang w:val="en-GB"/>
                </w:rPr>
                <w:t>Journal of European Public Policy, 22(6)</w:t>
              </w:r>
              <w:r w:rsidRPr="00317CB4">
                <w:rPr>
                  <w:lang w:val="en-GB"/>
                </w:rPr>
                <w:t>, 764-782.</w:t>
              </w:r>
            </w:p>
            <w:p w14:paraId="55335DDE" w14:textId="77777777" w:rsidR="00D43BF5" w:rsidRPr="00317CB4" w:rsidRDefault="00D43BF5" w:rsidP="00D43BF5">
              <w:pPr>
                <w:pStyle w:val="Bibliography"/>
                <w:ind w:left="720" w:hanging="720"/>
                <w:rPr>
                  <w:lang w:val="en-GB"/>
                </w:rPr>
              </w:pPr>
              <w:r w:rsidRPr="00317CB4">
                <w:rPr>
                  <w:lang w:val="en-GB"/>
                </w:rPr>
                <w:t xml:space="preserve">Scholten, M. (2017). Mind the trend! Enforcement of EU law has been moving to 'Brussels'. </w:t>
              </w:r>
              <w:r w:rsidRPr="00317CB4">
                <w:rPr>
                  <w:i/>
                  <w:iCs/>
                  <w:lang w:val="en-GB"/>
                </w:rPr>
                <w:t>Journal of European Public Policy, 24(9)</w:t>
              </w:r>
              <w:r w:rsidRPr="00317CB4">
                <w:rPr>
                  <w:lang w:val="en-GB"/>
                </w:rPr>
                <w:t>, 1348-1366.</w:t>
              </w:r>
            </w:p>
            <w:p w14:paraId="2EA50310" w14:textId="77777777" w:rsidR="00D43BF5" w:rsidRPr="00317CB4" w:rsidRDefault="00D43BF5" w:rsidP="00D43BF5">
              <w:pPr>
                <w:pStyle w:val="Bibliography"/>
                <w:ind w:left="720" w:hanging="720"/>
                <w:rPr>
                  <w:lang w:val="en-GB"/>
                </w:rPr>
              </w:pPr>
              <w:r w:rsidRPr="00317CB4">
                <w:rPr>
                  <w:lang w:val="en-GB"/>
                </w:rPr>
                <w:t xml:space="preserve">Scholten, M., &amp; van Rijsbergen, M. (2014). The Limits of Agencification in the European Union. </w:t>
              </w:r>
              <w:r w:rsidRPr="00317CB4">
                <w:rPr>
                  <w:i/>
                  <w:iCs/>
                  <w:lang w:val="en-GB"/>
                </w:rPr>
                <w:t>German Law Journal, 15(7)</w:t>
              </w:r>
              <w:r w:rsidRPr="00317CB4">
                <w:rPr>
                  <w:lang w:val="en-GB"/>
                </w:rPr>
                <w:t>, 1223-1255.</w:t>
              </w:r>
            </w:p>
            <w:p w14:paraId="0B73487E" w14:textId="77777777" w:rsidR="00D43BF5" w:rsidRPr="00317CB4" w:rsidRDefault="00D43BF5" w:rsidP="00D43BF5">
              <w:pPr>
                <w:pStyle w:val="Bibliography"/>
                <w:ind w:left="720" w:hanging="720"/>
                <w:rPr>
                  <w:lang w:val="en-GB"/>
                </w:rPr>
              </w:pPr>
              <w:r w:rsidRPr="00317CB4">
                <w:rPr>
                  <w:lang w:val="en-GB"/>
                </w:rPr>
                <w:t xml:space="preserve">Schout, A., &amp; Pereyra, F. (2011). The institutionalization of EU agencies: Agencies as 'mini commissions'. </w:t>
              </w:r>
              <w:r w:rsidRPr="00317CB4">
                <w:rPr>
                  <w:i/>
                  <w:iCs/>
                  <w:lang w:val="en-GB"/>
                </w:rPr>
                <w:t>Public Administration 89(2)</w:t>
              </w:r>
              <w:r w:rsidRPr="00317CB4">
                <w:rPr>
                  <w:lang w:val="en-GB"/>
                </w:rPr>
                <w:t>, 418-432.</w:t>
              </w:r>
            </w:p>
            <w:p w14:paraId="60B0CEC8" w14:textId="77777777" w:rsidR="00D43BF5" w:rsidRPr="00317CB4" w:rsidRDefault="00D43BF5" w:rsidP="00D43BF5">
              <w:pPr>
                <w:pStyle w:val="Bibliography"/>
                <w:ind w:left="720" w:hanging="720"/>
                <w:rPr>
                  <w:lang w:val="en-GB"/>
                </w:rPr>
              </w:pPr>
              <w:r w:rsidRPr="00317CB4">
                <w:rPr>
                  <w:lang w:val="en-GB"/>
                </w:rPr>
                <w:t xml:space="preserve">Seawright, J., &amp; Gerring, J. (2008). Case selection techniques in case study research . </w:t>
              </w:r>
              <w:r w:rsidRPr="00317CB4">
                <w:rPr>
                  <w:i/>
                  <w:iCs/>
                  <w:lang w:val="en-GB"/>
                </w:rPr>
                <w:t>Political Research Quarterly, 61(2)</w:t>
              </w:r>
              <w:r w:rsidRPr="00317CB4">
                <w:rPr>
                  <w:lang w:val="en-GB"/>
                </w:rPr>
                <w:t>, 394-308.</w:t>
              </w:r>
            </w:p>
            <w:p w14:paraId="79F9B3A8" w14:textId="77777777" w:rsidR="00D43BF5" w:rsidRPr="00317CB4" w:rsidRDefault="00D43BF5" w:rsidP="00D43BF5">
              <w:pPr>
                <w:pStyle w:val="Bibliography"/>
                <w:ind w:left="720" w:hanging="720"/>
                <w:rPr>
                  <w:lang w:val="en-GB"/>
                </w:rPr>
              </w:pPr>
              <w:r w:rsidRPr="00317CB4">
                <w:rPr>
                  <w:lang w:val="en-GB"/>
                </w:rPr>
                <w:t xml:space="preserve">Slominski, P., &amp; Trauner, F. (2018). How do Member States Return Unwanted Migrants? The Strategic (non-)use of 'Europe' during the Migration Crisis. </w:t>
              </w:r>
              <w:r w:rsidRPr="00317CB4">
                <w:rPr>
                  <w:i/>
                  <w:iCs/>
                  <w:lang w:val="en-GB"/>
                </w:rPr>
                <w:t>Journal of Common Market Studies, 56(1)</w:t>
              </w:r>
              <w:r w:rsidRPr="00317CB4">
                <w:rPr>
                  <w:lang w:val="en-GB"/>
                </w:rPr>
                <w:t>, 101-118.</w:t>
              </w:r>
            </w:p>
            <w:p w14:paraId="7B6E2E89" w14:textId="77777777" w:rsidR="00D43BF5" w:rsidRPr="00317CB4" w:rsidRDefault="00D43BF5" w:rsidP="00D43BF5">
              <w:pPr>
                <w:pStyle w:val="Bibliography"/>
                <w:ind w:left="720" w:hanging="720"/>
                <w:rPr>
                  <w:lang w:val="en-GB"/>
                </w:rPr>
              </w:pPr>
              <w:r w:rsidRPr="00317CB4">
                <w:rPr>
                  <w:lang w:val="en-GB"/>
                </w:rPr>
                <w:t xml:space="preserve">Sorgi, G., &amp; Barigazzi, J. (2023, June 08). </w:t>
              </w:r>
              <w:r w:rsidRPr="00317CB4">
                <w:rPr>
                  <w:i/>
                  <w:iCs/>
                  <w:lang w:val="en-GB"/>
                </w:rPr>
                <w:t>EU countries agree to major migration deal</w:t>
              </w:r>
              <w:r w:rsidRPr="00317CB4">
                <w:rPr>
                  <w:lang w:val="en-GB"/>
                </w:rPr>
                <w:t>. Retrieved from Politico: https://www.politico.eu/article/italy-giorgia-meloni-assylum-seekers-eu-holds-migration-deal-hostage/</w:t>
              </w:r>
            </w:p>
            <w:p w14:paraId="4CFC3D5F" w14:textId="77777777" w:rsidR="00D43BF5" w:rsidRPr="00317CB4" w:rsidRDefault="00D43BF5" w:rsidP="00D43BF5">
              <w:pPr>
                <w:pStyle w:val="Bibliography"/>
                <w:ind w:left="720" w:hanging="720"/>
                <w:rPr>
                  <w:lang w:val="en-GB"/>
                </w:rPr>
              </w:pPr>
              <w:r w:rsidRPr="00317CB4">
                <w:rPr>
                  <w:lang w:val="en-GB"/>
                </w:rPr>
                <w:t xml:space="preserve">Sorgi, G., &amp; Barigazzi, J. (2023a, June 10). </w:t>
              </w:r>
              <w:r w:rsidRPr="00317CB4">
                <w:rPr>
                  <w:i/>
                  <w:iCs/>
                  <w:lang w:val="en-GB"/>
                </w:rPr>
                <w:t>What’s actually in the EU’s migration deal?</w:t>
              </w:r>
              <w:r w:rsidRPr="00317CB4">
                <w:rPr>
                  <w:lang w:val="en-GB"/>
                </w:rPr>
                <w:t xml:space="preserve"> Retrieved from Politico: https://www.politico.eu/article/eu-migration-deal-asylum-seekers-relocation/</w:t>
              </w:r>
            </w:p>
            <w:p w14:paraId="03CB4C3E" w14:textId="77777777" w:rsidR="00D43BF5" w:rsidRPr="00317CB4" w:rsidRDefault="00D43BF5" w:rsidP="00D43BF5">
              <w:pPr>
                <w:pStyle w:val="Bibliography"/>
                <w:ind w:left="720" w:hanging="720"/>
                <w:rPr>
                  <w:lang w:val="en-GB"/>
                </w:rPr>
              </w:pPr>
              <w:r w:rsidRPr="00317CB4">
                <w:rPr>
                  <w:lang w:val="en-GB"/>
                </w:rPr>
                <w:t xml:space="preserve">Stamouli, N. (2023, June 14). </w:t>
              </w:r>
              <w:r w:rsidRPr="00317CB4">
                <w:rPr>
                  <w:i/>
                  <w:iCs/>
                  <w:lang w:val="en-GB"/>
                </w:rPr>
                <w:t>Greek parties halt election campaign after dozens of migrants drown</w:t>
              </w:r>
              <w:r w:rsidRPr="00317CB4">
                <w:rPr>
                  <w:lang w:val="en-GB"/>
                </w:rPr>
                <w:t>. Retrieved from Politico : https://www.politico.eu/article/greek-parties-halt-election-campaign-after-dozens-of-migrants-drown/</w:t>
              </w:r>
            </w:p>
            <w:p w14:paraId="29389B20" w14:textId="77777777" w:rsidR="00D43BF5" w:rsidRPr="00317CB4" w:rsidRDefault="00D43BF5" w:rsidP="00D43BF5">
              <w:pPr>
                <w:pStyle w:val="Bibliography"/>
                <w:ind w:left="720" w:hanging="720"/>
                <w:rPr>
                  <w:lang w:val="en-GB"/>
                </w:rPr>
              </w:pPr>
              <w:r w:rsidRPr="00317CB4">
                <w:rPr>
                  <w:lang w:val="en-GB"/>
                </w:rPr>
                <w:t xml:space="preserve">Steunenberg, B. (2019). Different shades of responsiveness: from adoption to implementation. </w:t>
              </w:r>
              <w:r w:rsidRPr="00317CB4">
                <w:rPr>
                  <w:i/>
                  <w:iCs/>
                  <w:lang w:val="en-GB"/>
                </w:rPr>
                <w:t>Journal of European Public Policy, 26(11)</w:t>
              </w:r>
              <w:r w:rsidRPr="00317CB4">
                <w:rPr>
                  <w:lang w:val="en-GB"/>
                </w:rPr>
                <w:t>, 1749-1760.</w:t>
              </w:r>
            </w:p>
            <w:p w14:paraId="7BA3E1BB" w14:textId="77777777" w:rsidR="00D43BF5" w:rsidRPr="00317CB4" w:rsidRDefault="00D43BF5" w:rsidP="00D43BF5">
              <w:pPr>
                <w:pStyle w:val="Bibliography"/>
                <w:ind w:left="720" w:hanging="720"/>
                <w:rPr>
                  <w:lang w:val="en-GB"/>
                </w:rPr>
              </w:pPr>
              <w:r w:rsidRPr="00317CB4">
                <w:rPr>
                  <w:lang w:val="en-GB"/>
                </w:rPr>
                <w:t xml:space="preserve">Stevis-Gridneff, M. (2020, November 26). E.U. Border Agency Accused of Covering Up Migrant Pushback in Greece. </w:t>
              </w:r>
              <w:r w:rsidRPr="00317CB4">
                <w:rPr>
                  <w:i/>
                  <w:iCs/>
                  <w:lang w:val="en-GB"/>
                </w:rPr>
                <w:t>The New York Times</w:t>
              </w:r>
              <w:r w:rsidRPr="00317CB4">
                <w:rPr>
                  <w:lang w:val="en-GB"/>
                </w:rPr>
                <w:t>.</w:t>
              </w:r>
            </w:p>
            <w:p w14:paraId="5917AB3C" w14:textId="77777777" w:rsidR="00D43BF5" w:rsidRPr="00317CB4" w:rsidRDefault="00D43BF5" w:rsidP="00D43BF5">
              <w:pPr>
                <w:pStyle w:val="Bibliography"/>
                <w:ind w:left="720" w:hanging="720"/>
                <w:rPr>
                  <w:lang w:val="en-GB"/>
                </w:rPr>
              </w:pPr>
              <w:r w:rsidRPr="00317CB4">
                <w:rPr>
                  <w:lang w:val="en-GB"/>
                </w:rPr>
                <w:lastRenderedPageBreak/>
                <w:t xml:space="preserve">Terry, K. (2021, April 08). </w:t>
              </w:r>
              <w:r w:rsidRPr="00317CB4">
                <w:rPr>
                  <w:i/>
                  <w:iCs/>
                  <w:lang w:val="en-GB"/>
                </w:rPr>
                <w:t>The EU-Turkey Deal, Five Years On: A Frayed and Controversial but Enduring Blueprint</w:t>
              </w:r>
              <w:r w:rsidRPr="00317CB4">
                <w:rPr>
                  <w:lang w:val="en-GB"/>
                </w:rPr>
                <w:t>. Retrieved from Migration Policy Institute : https://www.migrationpolicy.org/article/eu-turkey-deal-five-years-on</w:t>
              </w:r>
            </w:p>
            <w:p w14:paraId="7C10F0A3" w14:textId="77777777" w:rsidR="00D43BF5" w:rsidRPr="00317CB4" w:rsidRDefault="00D43BF5" w:rsidP="00D43BF5">
              <w:pPr>
                <w:pStyle w:val="Bibliography"/>
                <w:ind w:left="720" w:hanging="720"/>
                <w:rPr>
                  <w:lang w:val="en-GB"/>
                </w:rPr>
              </w:pPr>
              <w:r w:rsidRPr="00317CB4">
                <w:rPr>
                  <w:lang w:val="en-GB"/>
                </w:rPr>
                <w:t xml:space="preserve">Thielemann, E. (2018). Why refugee burden-sharing initiatives fail: public goods, free-riding and symbolic solidarity in the EU . </w:t>
              </w:r>
              <w:r w:rsidRPr="00317CB4">
                <w:rPr>
                  <w:i/>
                  <w:iCs/>
                  <w:lang w:val="en-GB"/>
                </w:rPr>
                <w:t>Journal of Common Market Studies, 56(1)</w:t>
              </w:r>
              <w:r w:rsidRPr="00317CB4">
                <w:rPr>
                  <w:lang w:val="en-GB"/>
                </w:rPr>
                <w:t>, 63-82.</w:t>
              </w:r>
            </w:p>
            <w:p w14:paraId="30ECA73C" w14:textId="77777777" w:rsidR="00D43BF5" w:rsidRPr="00317CB4" w:rsidRDefault="00D43BF5" w:rsidP="00D43BF5">
              <w:pPr>
                <w:pStyle w:val="Bibliography"/>
                <w:ind w:left="720" w:hanging="720"/>
                <w:rPr>
                  <w:lang w:val="en-GB"/>
                </w:rPr>
              </w:pPr>
              <w:r w:rsidRPr="00317CB4">
                <w:rPr>
                  <w:lang w:val="en-GB"/>
                </w:rPr>
                <w:t xml:space="preserve">van der Veer, R. (2020). Walking the tightrope: Politicisation and the European Commission's enforcement of the SGP. In R. van der Veer, </w:t>
              </w:r>
              <w:r w:rsidRPr="00317CB4">
                <w:rPr>
                  <w:i/>
                  <w:iCs/>
                  <w:lang w:val="en-GB"/>
                </w:rPr>
                <w:t>Enforcing the Unenforceable: Politicisation and the European Commission in the economic governance of the European Union</w:t>
              </w:r>
              <w:r w:rsidRPr="00317CB4">
                <w:rPr>
                  <w:lang w:val="en-GB"/>
                </w:rPr>
                <w:t xml:space="preserve"> (pp. 107-130). Rotterdam: Erasmus University Rotterdam.</w:t>
              </w:r>
            </w:p>
            <w:p w14:paraId="01D872C1" w14:textId="77777777" w:rsidR="00D43BF5" w:rsidRPr="00317CB4" w:rsidRDefault="00D43BF5" w:rsidP="00D43BF5">
              <w:pPr>
                <w:pStyle w:val="Bibliography"/>
                <w:ind w:left="720" w:hanging="720"/>
                <w:rPr>
                  <w:lang w:val="en-GB"/>
                </w:rPr>
              </w:pPr>
              <w:r w:rsidRPr="00317CB4">
                <w:rPr>
                  <w:lang w:val="en-GB"/>
                </w:rPr>
                <w:t xml:space="preserve">van der Veer, R. A., &amp; Haverland, M. (2018). Bread and butter or bread and circuses? Politicisation and the European Commission in the European Semester. </w:t>
              </w:r>
              <w:r w:rsidRPr="00317CB4">
                <w:rPr>
                  <w:i/>
                  <w:iCs/>
                  <w:lang w:val="en-GB"/>
                </w:rPr>
                <w:t>European Union Politics, 19 (3)</w:t>
              </w:r>
              <w:r w:rsidRPr="00317CB4">
                <w:rPr>
                  <w:lang w:val="en-GB"/>
                </w:rPr>
                <w:t>, 524-545.</w:t>
              </w:r>
            </w:p>
            <w:p w14:paraId="67B7144D" w14:textId="77777777" w:rsidR="00D43BF5" w:rsidRPr="00317CB4" w:rsidRDefault="00D43BF5" w:rsidP="00D43BF5">
              <w:pPr>
                <w:pStyle w:val="Bibliography"/>
                <w:ind w:left="720" w:hanging="720"/>
                <w:rPr>
                  <w:lang w:val="en-GB"/>
                </w:rPr>
              </w:pPr>
              <w:r w:rsidRPr="00317CB4">
                <w:rPr>
                  <w:lang w:val="en-GB"/>
                </w:rPr>
                <w:t xml:space="preserve">von der Burchard, H. (2021, February 25). </w:t>
              </w:r>
              <w:r w:rsidRPr="00317CB4">
                <w:rPr>
                  <w:i/>
                  <w:iCs/>
                  <w:lang w:val="en-GB"/>
                </w:rPr>
                <w:t>EU Commission VP Schinas defends border agency Frontex</w:t>
              </w:r>
              <w:r w:rsidRPr="00317CB4">
                <w:rPr>
                  <w:lang w:val="en-GB"/>
                </w:rPr>
                <w:t>. Retrieved from Politico: https://www.politico.eu/article/european-commission-vice-president-margaritis-schinas-defends-frontex-migration-asylum-strategy/</w:t>
              </w:r>
            </w:p>
            <w:p w14:paraId="7592C508" w14:textId="77777777" w:rsidR="00D43BF5" w:rsidRPr="00317CB4" w:rsidRDefault="00D43BF5" w:rsidP="00D43BF5">
              <w:pPr>
                <w:pStyle w:val="Bibliography"/>
                <w:ind w:left="720" w:hanging="720"/>
                <w:rPr>
                  <w:lang w:val="en-GB"/>
                </w:rPr>
              </w:pPr>
              <w:r w:rsidRPr="00317CB4">
                <w:rPr>
                  <w:lang w:val="en-GB"/>
                </w:rPr>
                <w:t xml:space="preserve">von der Burchard, H. (2021a, July 14). </w:t>
              </w:r>
              <w:r w:rsidRPr="00317CB4">
                <w:rPr>
                  <w:i/>
                  <w:iCs/>
                  <w:lang w:val="en-GB"/>
                </w:rPr>
                <w:t>Frontex neglected evidence of potential migrant pushbacks, says Parliament report</w:t>
              </w:r>
              <w:r w:rsidRPr="00317CB4">
                <w:rPr>
                  <w:lang w:val="en-GB"/>
                </w:rPr>
                <w:t>. Retrieved from Politico: https://www.politico.eu/article/europe-migration-frontex-pushbacks-illegal-parliament-report/</w:t>
              </w:r>
            </w:p>
            <w:p w14:paraId="1A9DCCCE" w14:textId="77777777" w:rsidR="00D43BF5" w:rsidRPr="00317CB4" w:rsidRDefault="00D43BF5" w:rsidP="00D43BF5">
              <w:pPr>
                <w:pStyle w:val="Bibliography"/>
                <w:ind w:left="720" w:hanging="720"/>
                <w:rPr>
                  <w:lang w:val="en-GB"/>
                </w:rPr>
              </w:pPr>
              <w:r w:rsidRPr="00317CB4">
                <w:rPr>
                  <w:lang w:val="en-GB"/>
                </w:rPr>
                <w:t xml:space="preserve">Walzer, M. (2016). Just &amp; Unjust Targeted Killing &amp; Drone Warfare. </w:t>
              </w:r>
              <w:r w:rsidRPr="00317CB4">
                <w:rPr>
                  <w:i/>
                  <w:iCs/>
                  <w:lang w:val="en-GB"/>
                </w:rPr>
                <w:t>Daedalus 145(4)</w:t>
              </w:r>
              <w:r w:rsidRPr="00317CB4">
                <w:rPr>
                  <w:lang w:val="en-GB"/>
                </w:rPr>
                <w:t>, 12-24.</w:t>
              </w:r>
            </w:p>
            <w:p w14:paraId="32C6A8EB" w14:textId="77777777" w:rsidR="00D43BF5" w:rsidRPr="00317CB4" w:rsidRDefault="00D43BF5" w:rsidP="00D43BF5">
              <w:pPr>
                <w:pStyle w:val="Bibliography"/>
                <w:ind w:left="720" w:hanging="720"/>
                <w:rPr>
                  <w:lang w:val="en-GB"/>
                </w:rPr>
              </w:pPr>
              <w:r w:rsidRPr="00317CB4">
                <w:rPr>
                  <w:lang w:val="en-GB"/>
                </w:rPr>
                <w:t xml:space="preserve">Waters, N., Freudenthal, E., &amp; Williams, L. (2020, October 23). </w:t>
              </w:r>
              <w:r w:rsidRPr="00317CB4">
                <w:rPr>
                  <w:i/>
                  <w:iCs/>
                  <w:lang w:val="en-GB"/>
                </w:rPr>
                <w:t>Frontex at Fault: European Border Force Complicit in ‘Illegal’ Pushbacks</w:t>
              </w:r>
              <w:r w:rsidRPr="00317CB4">
                <w:rPr>
                  <w:lang w:val="en-GB"/>
                </w:rPr>
                <w:t>. Retrieved from Bellingcat: https://www.bellingcat.com/news/2020/10/23/frontex-at-fault-european-border-force-complicit-in-illegal-pushbacks/</w:t>
              </w:r>
            </w:p>
            <w:p w14:paraId="0A4B0E0D" w14:textId="77777777" w:rsidR="00D43BF5" w:rsidRPr="00317CB4" w:rsidRDefault="00D43BF5" w:rsidP="00D43BF5">
              <w:pPr>
                <w:pStyle w:val="Bibliography"/>
                <w:ind w:left="720" w:hanging="720"/>
                <w:rPr>
                  <w:lang w:val="en-GB"/>
                </w:rPr>
              </w:pPr>
              <w:r w:rsidRPr="00317CB4">
                <w:rPr>
                  <w:lang w:val="en-GB"/>
                </w:rPr>
                <w:t xml:space="preserve">Winzen, T., &amp; Schimmelfennig, F. (2015). </w:t>
              </w:r>
              <w:r w:rsidRPr="00317CB4">
                <w:rPr>
                  <w:i/>
                  <w:iCs/>
                  <w:lang w:val="en-GB"/>
                </w:rPr>
                <w:t>The Choice for Differentiated Europe: Why European Member States Opt out of Integration.</w:t>
              </w:r>
              <w:r w:rsidRPr="00317CB4">
                <w:rPr>
                  <w:lang w:val="en-GB"/>
                </w:rPr>
                <w:t xml:space="preserve"> Zurich: Center for Comparative and International Studies.</w:t>
              </w:r>
            </w:p>
            <w:p w14:paraId="7C66B18E" w14:textId="77777777" w:rsidR="00D43BF5" w:rsidRPr="00317CB4" w:rsidRDefault="00D43BF5" w:rsidP="00D43BF5">
              <w:pPr>
                <w:pStyle w:val="Bibliography"/>
                <w:ind w:left="720" w:hanging="720"/>
                <w:rPr>
                  <w:lang w:val="en-GB"/>
                </w:rPr>
              </w:pPr>
              <w:r w:rsidRPr="00317CB4">
                <w:rPr>
                  <w:lang w:val="en-GB"/>
                </w:rPr>
                <w:t xml:space="preserve">Wisker, G. (2009). </w:t>
              </w:r>
              <w:r w:rsidRPr="00317CB4">
                <w:rPr>
                  <w:i/>
                  <w:iCs/>
                  <w:lang w:val="en-GB"/>
                </w:rPr>
                <w:t>The Undergraduate Research Handbook.</w:t>
              </w:r>
              <w:r w:rsidRPr="00317CB4">
                <w:rPr>
                  <w:lang w:val="en-GB"/>
                </w:rPr>
                <w:t xml:space="preserve"> London: Palgrave Macmillan.</w:t>
              </w:r>
            </w:p>
            <w:p w14:paraId="0AB69491" w14:textId="77777777" w:rsidR="00D43BF5" w:rsidRPr="00317CB4" w:rsidRDefault="00D43BF5" w:rsidP="00D43BF5">
              <w:pPr>
                <w:pStyle w:val="Bibliography"/>
                <w:ind w:left="720" w:hanging="720"/>
                <w:rPr>
                  <w:lang w:val="en-GB"/>
                </w:rPr>
              </w:pPr>
              <w:r w:rsidRPr="00317CB4">
                <w:rPr>
                  <w:lang w:val="en-GB"/>
                </w:rPr>
                <w:t xml:space="preserve">Yeo, A., Legard, R., Keegan, J., Ward, K., McNaughton Nicholls, C., &amp; Lewis, J. (2004). In-depth interviews. In J. Ritchie, J. Lewis, C. McNaughton Nicholls, &amp; R. Ormston, </w:t>
              </w:r>
              <w:r w:rsidRPr="00317CB4">
                <w:rPr>
                  <w:i/>
                  <w:iCs/>
                  <w:lang w:val="en-GB"/>
                </w:rPr>
                <w:t>Qualitative Research Practice: A Guide for Social Science Students and Researchers</w:t>
              </w:r>
              <w:r w:rsidRPr="00317CB4">
                <w:rPr>
                  <w:lang w:val="en-GB"/>
                </w:rPr>
                <w:t xml:space="preserve"> (pp. 177-210). London: Sage.</w:t>
              </w:r>
            </w:p>
            <w:p w14:paraId="196E3B72" w14:textId="77777777" w:rsidR="00D43BF5" w:rsidRPr="00317CB4" w:rsidRDefault="00D43BF5" w:rsidP="00D43BF5">
              <w:pPr>
                <w:pStyle w:val="Bibliography"/>
                <w:ind w:left="720" w:hanging="720"/>
                <w:rPr>
                  <w:lang w:val="en-GB"/>
                </w:rPr>
              </w:pPr>
              <w:r w:rsidRPr="00317CB4">
                <w:rPr>
                  <w:lang w:val="en-GB"/>
                </w:rPr>
                <w:t xml:space="preserve">Zhelyazkova, A., Bølstad, J., &amp; Meijers, M. J. (2019). Understanding responsiveness in European Union politics: introducing the debate. </w:t>
              </w:r>
              <w:r w:rsidRPr="00317CB4">
                <w:rPr>
                  <w:i/>
                  <w:iCs/>
                  <w:lang w:val="en-GB"/>
                </w:rPr>
                <w:t>Journal of European Public Policy, 26(11)</w:t>
              </w:r>
              <w:r w:rsidRPr="00317CB4">
                <w:rPr>
                  <w:lang w:val="en-GB"/>
                </w:rPr>
                <w:t>, 1715-1723.</w:t>
              </w:r>
            </w:p>
            <w:p w14:paraId="1BDA8C91" w14:textId="01DDE105" w:rsidR="00590376" w:rsidRPr="00317CB4" w:rsidRDefault="00CE647B" w:rsidP="00D43BF5">
              <w:pPr>
                <w:spacing w:line="360" w:lineRule="auto"/>
                <w:rPr>
                  <w:lang w:val="en-GB"/>
                </w:rPr>
              </w:pPr>
              <w:r w:rsidRPr="00317CB4">
                <w:rPr>
                  <w:b/>
                  <w:bCs/>
                  <w:lang w:val="en-GB"/>
                </w:rPr>
                <w:fldChar w:fldCharType="end"/>
              </w:r>
            </w:p>
          </w:sdtContent>
        </w:sdt>
      </w:sdtContent>
    </w:sdt>
    <w:p w14:paraId="125B9407" w14:textId="77777777" w:rsidR="001C78FB" w:rsidRPr="00317CB4" w:rsidRDefault="001C78FB" w:rsidP="005A2BCB">
      <w:pPr>
        <w:spacing w:line="360" w:lineRule="auto"/>
        <w:rPr>
          <w:lang w:val="en-GB"/>
        </w:rPr>
        <w:sectPr w:rsidR="001C78FB" w:rsidRPr="00317CB4" w:rsidSect="007030CC">
          <w:footerReference w:type="default" r:id="rId12"/>
          <w:pgSz w:w="11906" w:h="16838"/>
          <w:pgMar w:top="1440" w:right="1440" w:bottom="1440" w:left="1440" w:header="708" w:footer="708" w:gutter="0"/>
          <w:pgNumType w:start="1"/>
          <w:cols w:space="708"/>
          <w:docGrid w:linePitch="360"/>
        </w:sectPr>
      </w:pPr>
    </w:p>
    <w:p w14:paraId="61365604" w14:textId="4FF042A8" w:rsidR="005E525A" w:rsidRPr="00317CB4" w:rsidRDefault="005E525A" w:rsidP="00023E50">
      <w:pPr>
        <w:spacing w:line="360" w:lineRule="auto"/>
        <w:rPr>
          <w:b/>
          <w:bCs/>
          <w:color w:val="2F5496" w:themeColor="accent1" w:themeShade="BF"/>
          <w:lang w:val="en-GB"/>
        </w:rPr>
      </w:pPr>
      <w:r w:rsidRPr="00317CB4">
        <w:rPr>
          <w:b/>
          <w:bCs/>
          <w:color w:val="2F5496" w:themeColor="accent1" w:themeShade="BF"/>
          <w:sz w:val="32"/>
          <w:szCs w:val="32"/>
          <w:lang w:val="en-GB"/>
        </w:rPr>
        <w:lastRenderedPageBreak/>
        <w:t xml:space="preserve">Appendices </w:t>
      </w:r>
    </w:p>
    <w:p w14:paraId="3641A69A" w14:textId="77777777" w:rsidR="007B5373" w:rsidRPr="00317CB4" w:rsidRDefault="007B5373" w:rsidP="00023E50">
      <w:pPr>
        <w:spacing w:line="360" w:lineRule="auto"/>
        <w:rPr>
          <w:b/>
          <w:bCs/>
          <w:color w:val="2F5496" w:themeColor="accent1" w:themeShade="BF"/>
          <w:lang w:val="en-GB"/>
        </w:rPr>
      </w:pPr>
    </w:p>
    <w:p w14:paraId="4FD84DC7" w14:textId="538645F3" w:rsidR="00023E50" w:rsidRPr="00317CB4" w:rsidRDefault="00023E50" w:rsidP="00023E50">
      <w:pPr>
        <w:spacing w:line="360" w:lineRule="auto"/>
        <w:rPr>
          <w:b/>
          <w:bCs/>
          <w:lang w:val="en-GB"/>
        </w:rPr>
      </w:pPr>
      <w:r w:rsidRPr="00317CB4">
        <w:rPr>
          <w:b/>
          <w:bCs/>
          <w:lang w:val="en-GB"/>
        </w:rPr>
        <w:t xml:space="preserve">Appendix 1: Questionnaire answered by Frontex </w:t>
      </w:r>
    </w:p>
    <w:p w14:paraId="382C9F70" w14:textId="77777777" w:rsidR="00023E50" w:rsidRPr="00317CB4" w:rsidRDefault="00023E50" w:rsidP="00023E50">
      <w:pPr>
        <w:spacing w:line="360" w:lineRule="auto"/>
        <w:rPr>
          <w:lang w:val="en-GB"/>
        </w:rPr>
      </w:pPr>
    </w:p>
    <w:p w14:paraId="22ED64DB" w14:textId="77777777" w:rsidR="00023E50" w:rsidRPr="00317CB4" w:rsidRDefault="00023E50" w:rsidP="00023E50">
      <w:pPr>
        <w:spacing w:line="360" w:lineRule="auto"/>
        <w:rPr>
          <w:lang w:val="en-GB"/>
        </w:rPr>
      </w:pPr>
      <w:r w:rsidRPr="00317CB4">
        <w:rPr>
          <w:i/>
          <w:iCs/>
          <w:lang w:val="en-GB"/>
        </w:rPr>
        <w:t xml:space="preserve">General remark </w:t>
      </w:r>
    </w:p>
    <w:p w14:paraId="0842DEE2" w14:textId="77777777" w:rsidR="00023E50" w:rsidRPr="00317CB4" w:rsidRDefault="00023E50" w:rsidP="00023E50">
      <w:pPr>
        <w:spacing w:line="360" w:lineRule="auto"/>
        <w:rPr>
          <w:lang w:val="en-GB"/>
        </w:rPr>
      </w:pPr>
      <w:r w:rsidRPr="00317CB4">
        <w:rPr>
          <w:i/>
          <w:iCs/>
          <w:lang w:val="en-GB"/>
        </w:rPr>
        <w:t xml:space="preserve">Please note that Frontex cannot answer the questions about its perception by the third party. We do not evaluate individual opinions on the activities that the agency is legally mandated with. </w:t>
      </w:r>
    </w:p>
    <w:p w14:paraId="086D35DC" w14:textId="77777777" w:rsidR="00023E50" w:rsidRPr="00317CB4" w:rsidRDefault="00023E50" w:rsidP="00023E50">
      <w:pPr>
        <w:spacing w:line="360" w:lineRule="auto"/>
        <w:rPr>
          <w:lang w:val="en-GB"/>
        </w:rPr>
      </w:pPr>
      <w:r w:rsidRPr="00317CB4">
        <w:rPr>
          <w:i/>
          <w:iCs/>
          <w:lang w:val="en-GB"/>
        </w:rPr>
        <w:t xml:space="preserve">We warmly invite you to trace back our news and press releases from the period of interest to get a bigger picture of our communication and the actual migratory statistics and analytics. </w:t>
      </w:r>
    </w:p>
    <w:p w14:paraId="60B7DD69" w14:textId="77777777" w:rsidR="00023E50" w:rsidRPr="00317CB4" w:rsidRDefault="00023E50" w:rsidP="00023E50">
      <w:pPr>
        <w:spacing w:line="360" w:lineRule="auto"/>
        <w:rPr>
          <w:i/>
          <w:iCs/>
          <w:lang w:val="en-GB"/>
        </w:rPr>
      </w:pPr>
      <w:r w:rsidRPr="00317CB4">
        <w:rPr>
          <w:i/>
          <w:iCs/>
          <w:lang w:val="en-GB"/>
        </w:rPr>
        <w:t xml:space="preserve">Thank you. </w:t>
      </w:r>
    </w:p>
    <w:p w14:paraId="08B5F098" w14:textId="77777777" w:rsidR="00023E50" w:rsidRPr="00317CB4" w:rsidRDefault="00023E50" w:rsidP="00023E50">
      <w:pPr>
        <w:spacing w:line="360" w:lineRule="auto"/>
        <w:rPr>
          <w:lang w:val="en-GB"/>
        </w:rPr>
      </w:pPr>
    </w:p>
    <w:p w14:paraId="46DBBCD4"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What kind of reputation do you think Frontex has with its audience members? </w:t>
      </w:r>
    </w:p>
    <w:p w14:paraId="76E7E109" w14:textId="77777777" w:rsidR="00023E50" w:rsidRPr="00317CB4" w:rsidRDefault="00023E50" w:rsidP="00023E50">
      <w:pPr>
        <w:spacing w:line="360" w:lineRule="auto"/>
        <w:rPr>
          <w:i/>
          <w:iCs/>
          <w:lang w:val="en-GB"/>
        </w:rPr>
      </w:pPr>
      <w:r w:rsidRPr="00317CB4">
        <w:rPr>
          <w:i/>
          <w:iCs/>
          <w:lang w:val="en-GB"/>
        </w:rPr>
        <w:t xml:space="preserve">Frontex supports EU and Schengen countries in all aspects related to border management, from support on the ground and fighting cross-border crime, aerial surveillance and collecting information, to help with return procedures, identifying new technologies and many others. Our mission is to provide high-level quality coast and border management services based on objective quality standards and not opinions. Therefore, we can only evaluate our activity based on the mandate and objective criteria for the expected deliverables. </w:t>
      </w:r>
    </w:p>
    <w:p w14:paraId="38B1162C" w14:textId="77777777" w:rsidR="00023E50" w:rsidRPr="00317CB4" w:rsidRDefault="00023E50" w:rsidP="00023E50">
      <w:pPr>
        <w:spacing w:line="360" w:lineRule="auto"/>
        <w:rPr>
          <w:lang w:val="en-GB"/>
        </w:rPr>
      </w:pPr>
    </w:p>
    <w:p w14:paraId="7CAC7238"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Is there a preference to work with one of the audience members over the other when both of them are requesting Frontex to take action along the external border? Why? </w:t>
      </w:r>
    </w:p>
    <w:p w14:paraId="7EA6BF2F" w14:textId="77777777" w:rsidR="00023E50" w:rsidRPr="00317CB4" w:rsidRDefault="00023E50" w:rsidP="00023E50">
      <w:pPr>
        <w:spacing w:line="360" w:lineRule="auto"/>
        <w:rPr>
          <w:lang w:val="en-GB"/>
        </w:rPr>
      </w:pPr>
      <w:r w:rsidRPr="00317CB4">
        <w:rPr>
          <w:i/>
          <w:iCs/>
          <w:lang w:val="en-GB"/>
        </w:rPr>
        <w:t xml:space="preserve">Frontex’s mandate is laid down in its legal basis. Upon request from a Member State and/or its own risk and security analysis, Frontex selects the best-tailored border solutions and offers its services where they are needed and requested. There is no preference for one audience member over the other, but there are legal conditions that determine what and where Frontex may do. For instance, Frontex responds to requests from Member States or Frontex can only gain executive powers to operate on a third-country territory, when both parties have signed a status agreement (cf. Article 73 of the Regulation 2019/1896), etc. </w:t>
      </w:r>
    </w:p>
    <w:p w14:paraId="5E015D31"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Which member of the audience do you think can have more of an influence on Frontex’ course of action along the external border? Why? </w:t>
      </w:r>
    </w:p>
    <w:p w14:paraId="75610906" w14:textId="77777777" w:rsidR="00023E50" w:rsidRPr="00317CB4" w:rsidRDefault="00023E50" w:rsidP="00023E50">
      <w:pPr>
        <w:spacing w:line="360" w:lineRule="auto"/>
        <w:rPr>
          <w:i/>
          <w:iCs/>
          <w:lang w:val="en-GB"/>
        </w:rPr>
      </w:pPr>
      <w:r w:rsidRPr="00317CB4">
        <w:rPr>
          <w:i/>
          <w:iCs/>
          <w:lang w:val="en-GB"/>
        </w:rPr>
        <w:lastRenderedPageBreak/>
        <w:t xml:space="preserve">The agency’s standing corps officers always act within the national hierarchical structure and answer to the locally designated chief of operation. Border management is a teamwork and Frontex’s role is to support and, where possible, to enhance the capacity of the national services in the region or border area of deployment. Frontex may, for instance, deploy document experts at the crossing points, where there is a seasonal migratory pressure and lack of experts, or provide highly specialised monitoring equipment for the coastal areas identified as the most popular migratory routes. However, as stated above and valid throughout the entire text, the initiative to request Frontex’s support and presence belongs to the Member States. </w:t>
      </w:r>
    </w:p>
    <w:p w14:paraId="26A41E6C"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Do you think that Frontex is infringing on the sovereignty of the member states when it is on a mission along an external border? </w:t>
      </w:r>
    </w:p>
    <w:p w14:paraId="012FD6CD" w14:textId="77777777" w:rsidR="00023E50" w:rsidRPr="00317CB4" w:rsidRDefault="00023E50" w:rsidP="00023E50">
      <w:pPr>
        <w:spacing w:line="360" w:lineRule="auto"/>
        <w:rPr>
          <w:i/>
          <w:iCs/>
          <w:lang w:val="en-GB"/>
        </w:rPr>
      </w:pPr>
      <w:r w:rsidRPr="00317CB4">
        <w:rPr>
          <w:i/>
          <w:iCs/>
          <w:lang w:val="en-GB"/>
        </w:rPr>
        <w:t xml:space="preserve">Frontex’s presence is regulated by its legal basis and no action or operation can be taken outside this scope. </w:t>
      </w:r>
    </w:p>
    <w:p w14:paraId="2350277A" w14:textId="77777777" w:rsidR="00023E50" w:rsidRPr="00317CB4" w:rsidRDefault="00023E50" w:rsidP="00023E50">
      <w:pPr>
        <w:spacing w:line="360" w:lineRule="auto"/>
        <w:rPr>
          <w:lang w:val="en-GB"/>
        </w:rPr>
      </w:pPr>
    </w:p>
    <w:p w14:paraId="55074538"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Do you think that the reputation of Frontex changed in comparison between now and during the migration crisis? Why / why not? Is there a specific reason? </w:t>
      </w:r>
    </w:p>
    <w:p w14:paraId="12F748C8" w14:textId="77777777" w:rsidR="00023E50" w:rsidRPr="00317CB4" w:rsidRDefault="00023E50" w:rsidP="00023E50">
      <w:pPr>
        <w:spacing w:line="360" w:lineRule="auto"/>
        <w:rPr>
          <w:lang w:val="en-GB"/>
        </w:rPr>
      </w:pPr>
      <w:bookmarkStart w:id="5" w:name="_Hlk138169068"/>
      <w:r w:rsidRPr="00317CB4">
        <w:rPr>
          <w:i/>
          <w:iCs/>
          <w:lang w:val="en-GB"/>
        </w:rPr>
        <w:t xml:space="preserve">Frontex is the largest and the fastest growing EU agency. One of the reasons behind the expansion of its competences is the recognition on the European level of the need to have an independent EU body to monitor and coordinate situation at the EU’s external borders. </w:t>
      </w:r>
      <w:bookmarkEnd w:id="5"/>
      <w:r w:rsidRPr="00317CB4">
        <w:rPr>
          <w:i/>
          <w:iCs/>
          <w:lang w:val="en-GB"/>
        </w:rPr>
        <w:t xml:space="preserve">Frontex’s role has been recognised, its budget increased, and its role reinforced. </w:t>
      </w:r>
    </w:p>
    <w:p w14:paraId="33AFCAC4" w14:textId="77777777" w:rsidR="00023E50" w:rsidRPr="00317CB4" w:rsidRDefault="00023E50" w:rsidP="00023E50">
      <w:pPr>
        <w:spacing w:line="360" w:lineRule="auto"/>
        <w:rPr>
          <w:lang w:val="en-GB"/>
        </w:rPr>
      </w:pPr>
      <w:r w:rsidRPr="00317CB4">
        <w:rPr>
          <w:i/>
          <w:iCs/>
          <w:lang w:val="en-GB"/>
        </w:rPr>
        <w:t xml:space="preserve">With the standing corps, the European Union’s first uniformed law enforcement service, Frontex has transformed into an operational arm of the EU. Moreover, starting in 2024, nationals of more than 60 visa-free countries will need to get a travel authorisation before coming to Europe for a brief stay. Frontex plays an essential role in the implementation of ETIAS, the European Travel Information and Authorisation System, that will carry out pre-travel screening of visa-free travellers to determine whether they pose a security, illegal immigration, or public health risk. </w:t>
      </w:r>
    </w:p>
    <w:p w14:paraId="7A029E30" w14:textId="77777777" w:rsidR="00023E50" w:rsidRPr="00317CB4" w:rsidRDefault="00023E50" w:rsidP="00023E50">
      <w:pPr>
        <w:spacing w:line="360" w:lineRule="auto"/>
        <w:rPr>
          <w:i/>
          <w:iCs/>
          <w:lang w:val="en-GB"/>
        </w:rPr>
      </w:pPr>
      <w:r w:rsidRPr="00317CB4">
        <w:rPr>
          <w:i/>
          <w:iCs/>
          <w:lang w:val="en-GB"/>
        </w:rPr>
        <w:t xml:space="preserve">It is a clear confirmation of the political recognition of Frontex’s presence and role in border management. </w:t>
      </w:r>
    </w:p>
    <w:p w14:paraId="517B813C" w14:textId="77777777" w:rsidR="00023E50" w:rsidRPr="00317CB4" w:rsidRDefault="00023E50" w:rsidP="00023E50">
      <w:pPr>
        <w:spacing w:line="360" w:lineRule="auto"/>
        <w:rPr>
          <w:lang w:val="en-GB"/>
        </w:rPr>
      </w:pPr>
    </w:p>
    <w:p w14:paraId="0A19C6EC"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In 2016, some of the member states wanted Frontex to reduce the influx of irregular migration through return operations. Such operations were successfully introduced and led to a noticeable reduction in irregular arrivals. After the demands for these operations were implemented in 2016, do you think that the perception of Frontex changed to how it was before the operations? </w:t>
      </w:r>
    </w:p>
    <w:p w14:paraId="19F10355" w14:textId="77777777" w:rsidR="00023E50" w:rsidRPr="00317CB4" w:rsidRDefault="00023E50" w:rsidP="00023E50">
      <w:pPr>
        <w:pStyle w:val="ListParagraph"/>
        <w:numPr>
          <w:ilvl w:val="0"/>
          <w:numId w:val="5"/>
        </w:numPr>
        <w:spacing w:line="360" w:lineRule="auto"/>
        <w:rPr>
          <w:lang w:val="en-GB"/>
        </w:rPr>
      </w:pPr>
      <w:r w:rsidRPr="00317CB4">
        <w:rPr>
          <w:lang w:val="en-GB"/>
        </w:rPr>
        <w:lastRenderedPageBreak/>
        <w:t xml:space="preserve">Referring again to the example of the reduction of irregular migrants through return operations in 2016: do you think that the way Frontex managed to reduce the numbers was approved/disapproved by the audience members? Please elaborate on the reason(s) that makes you express this answer. </w:t>
      </w:r>
    </w:p>
    <w:p w14:paraId="4E19A52D" w14:textId="77777777" w:rsidR="00023E50" w:rsidRPr="00317CB4" w:rsidRDefault="00023E50" w:rsidP="00023E50">
      <w:pPr>
        <w:spacing w:line="360" w:lineRule="auto"/>
        <w:rPr>
          <w:lang w:val="en-GB"/>
        </w:rPr>
      </w:pPr>
    </w:p>
    <w:p w14:paraId="48E28C42" w14:textId="77777777" w:rsidR="00023E50" w:rsidRPr="00317CB4" w:rsidRDefault="00023E50" w:rsidP="00023E50">
      <w:pPr>
        <w:spacing w:line="360" w:lineRule="auto"/>
        <w:rPr>
          <w:i/>
          <w:iCs/>
          <w:lang w:val="en-GB"/>
        </w:rPr>
      </w:pPr>
      <w:r w:rsidRPr="00317CB4">
        <w:rPr>
          <w:i/>
          <w:iCs/>
          <w:lang w:val="en-GB"/>
        </w:rPr>
        <w:t xml:space="preserve">Returns are always individual cases; it is therefore clear that the return operations will have more individual impact and perception. As you may know, return operations may be forced or voluntary (cf. Return operations (europa.eu)), which also affects the perception. It has to be underlined, however, that the return decision is an exclusive competence of the Member States. Frontex’s role is to provide a legally defined service in the existing legal framework and with full respect of human and fundamental rights (cf. Fundamental Rights at Frontex (europa.eu)). </w:t>
      </w:r>
    </w:p>
    <w:p w14:paraId="362BA2CF" w14:textId="77777777" w:rsidR="00023E50" w:rsidRPr="00317CB4" w:rsidRDefault="00023E50" w:rsidP="00023E50">
      <w:pPr>
        <w:spacing w:line="360" w:lineRule="auto"/>
        <w:rPr>
          <w:lang w:val="en-GB"/>
        </w:rPr>
      </w:pPr>
    </w:p>
    <w:p w14:paraId="4311A914"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Frontex works closely together with the Commission (DG Home) and the member states via the Research and Innovation Unit as well. Together, new border security technologies, research, and innovation are developed. When an audience member expresses a preferred approach for Frontex to take for this area, how likely do you think is Frontex to adhere to that specific preference? Which audience member’s demands are more likely to be adhered to? Please elaborate on the reason(s) that makes you express this answer. </w:t>
      </w:r>
    </w:p>
    <w:p w14:paraId="179041DB" w14:textId="77777777" w:rsidR="00023E50" w:rsidRPr="00317CB4" w:rsidRDefault="00023E50" w:rsidP="00023E50">
      <w:pPr>
        <w:spacing w:line="360" w:lineRule="auto"/>
        <w:rPr>
          <w:lang w:val="en-GB"/>
        </w:rPr>
      </w:pPr>
      <w:r w:rsidRPr="00317CB4">
        <w:rPr>
          <w:i/>
          <w:iCs/>
          <w:lang w:val="en-GB"/>
        </w:rPr>
        <w:t xml:space="preserve">Frontex is an independent EU agency with independent research and innovation competences. Our Research and Innovation (europa.eu) team follows all developments in the area of border management to respond to the practical needs. With the standing corps officers in the field and the monitoring and risk analysis centres, our agency has its own independent source of information about the needed border security technologies. At the same time, Frontex operates in the existing framework. If the national or EU legislator introduces a new basis and/or objectives for biometrics, ID security features or border monitoring, Frontex is there to contribute to the debate and to the research itself. </w:t>
      </w:r>
    </w:p>
    <w:p w14:paraId="143B1D04" w14:textId="77777777" w:rsidR="00023E50" w:rsidRPr="00317CB4" w:rsidRDefault="00023E50" w:rsidP="00023E50">
      <w:pPr>
        <w:spacing w:line="360" w:lineRule="auto"/>
        <w:rPr>
          <w:i/>
          <w:iCs/>
          <w:lang w:val="en-GB"/>
        </w:rPr>
      </w:pPr>
      <w:r w:rsidRPr="00317CB4">
        <w:rPr>
          <w:i/>
          <w:iCs/>
          <w:lang w:val="en-GB"/>
        </w:rPr>
        <w:t xml:space="preserve">Frontex is also an industry contact point and can be contacted by industry members with new ideas for border management services or technical solutions. By organising Frontex Industry Days, we also build up a community of institutions, experts and industry representatives that remains in the know about the available or developing technologies. </w:t>
      </w:r>
    </w:p>
    <w:p w14:paraId="3AD4ED9B" w14:textId="77777777" w:rsidR="00023E50" w:rsidRPr="00317CB4" w:rsidRDefault="00023E50" w:rsidP="00023E50">
      <w:pPr>
        <w:spacing w:line="360" w:lineRule="auto"/>
        <w:rPr>
          <w:lang w:val="en-GB"/>
        </w:rPr>
      </w:pPr>
    </w:p>
    <w:p w14:paraId="15AC3445"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In your opinion, are there demands from a specific audience member that are responded to more quickly than the other? Yes / No </w:t>
      </w:r>
    </w:p>
    <w:p w14:paraId="0A5DF032" w14:textId="77777777" w:rsidR="00023E50" w:rsidRPr="00317CB4" w:rsidRDefault="00023E50" w:rsidP="00023E50">
      <w:pPr>
        <w:pStyle w:val="ListParagraph"/>
        <w:numPr>
          <w:ilvl w:val="0"/>
          <w:numId w:val="7"/>
        </w:numPr>
        <w:spacing w:line="360" w:lineRule="auto"/>
        <w:rPr>
          <w:lang w:val="en-GB"/>
        </w:rPr>
      </w:pPr>
      <w:r w:rsidRPr="00317CB4">
        <w:rPr>
          <w:lang w:val="en-GB"/>
        </w:rPr>
        <w:lastRenderedPageBreak/>
        <w:t xml:space="preserve">Do you think that there is a reason as to why some demands are preferred for a quick response? </w:t>
      </w:r>
    </w:p>
    <w:p w14:paraId="50D45952" w14:textId="77777777" w:rsidR="00023E50" w:rsidRPr="00317CB4" w:rsidRDefault="00023E50" w:rsidP="00023E50">
      <w:pPr>
        <w:spacing w:line="360" w:lineRule="auto"/>
        <w:rPr>
          <w:lang w:val="en-GB"/>
        </w:rPr>
      </w:pPr>
      <w:r w:rsidRPr="00317CB4">
        <w:rPr>
          <w:i/>
          <w:iCs/>
          <w:lang w:val="en-GB"/>
        </w:rPr>
        <w:t xml:space="preserve">Please see our legal basis for the areas of responsibility and accountability (more: Accountability (europa.eu)), as well as Frontex-led operations which are focal to Frontex’s missions (Operations (europa.eu)). In some cases, Frontex is bound by deadlines (cf. accountability), in other cases, Frontex’s lead in operations may require prioritising the response, e.g., save and rescue. </w:t>
      </w:r>
    </w:p>
    <w:p w14:paraId="7D73909A"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This question relates back to questions 6 &amp; 7: In your opinion, were the demands to reduce irregular migration responded to quickly back in 2016? Yes / No </w:t>
      </w:r>
    </w:p>
    <w:p w14:paraId="557F60C6" w14:textId="77777777" w:rsidR="00023E50" w:rsidRPr="00317CB4" w:rsidRDefault="00023E50" w:rsidP="00023E50">
      <w:pPr>
        <w:pStyle w:val="ListParagraph"/>
        <w:numPr>
          <w:ilvl w:val="0"/>
          <w:numId w:val="7"/>
        </w:numPr>
        <w:spacing w:line="360" w:lineRule="auto"/>
        <w:rPr>
          <w:lang w:val="en-GB"/>
        </w:rPr>
      </w:pPr>
      <w:r w:rsidRPr="00317CB4">
        <w:rPr>
          <w:lang w:val="en-GB"/>
        </w:rPr>
        <w:t xml:space="preserve">Do you think that there is a reason as to why sometimes demands are responded to more or less quickly? </w:t>
      </w:r>
    </w:p>
    <w:p w14:paraId="12B07D73" w14:textId="77777777" w:rsidR="00023E50" w:rsidRPr="00317CB4" w:rsidRDefault="00023E50" w:rsidP="00023E50">
      <w:pPr>
        <w:spacing w:line="360" w:lineRule="auto"/>
        <w:rPr>
          <w:i/>
          <w:iCs/>
          <w:lang w:val="en-GB"/>
        </w:rPr>
      </w:pPr>
      <w:r w:rsidRPr="00317CB4">
        <w:rPr>
          <w:i/>
          <w:iCs/>
          <w:lang w:val="en-GB"/>
        </w:rPr>
        <w:t xml:space="preserve">Please see our general remark at the beginning. </w:t>
      </w:r>
    </w:p>
    <w:p w14:paraId="17C95F60" w14:textId="77777777" w:rsidR="00023E50" w:rsidRPr="00317CB4" w:rsidRDefault="00023E50" w:rsidP="00023E50">
      <w:pPr>
        <w:spacing w:line="360" w:lineRule="auto"/>
        <w:rPr>
          <w:lang w:val="en-GB"/>
        </w:rPr>
      </w:pPr>
    </w:p>
    <w:p w14:paraId="235C9B00"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This question relates back to question 8: In your opinion, do you think that the demands for e.g. a specific research approach to improve the innovations that promote improved border protection are responded too quickly? Yes / No </w:t>
      </w:r>
    </w:p>
    <w:p w14:paraId="32B32086" w14:textId="77777777" w:rsidR="00023E50" w:rsidRPr="00317CB4" w:rsidRDefault="00023E50" w:rsidP="00023E50">
      <w:pPr>
        <w:pStyle w:val="ListParagraph"/>
        <w:numPr>
          <w:ilvl w:val="0"/>
          <w:numId w:val="7"/>
        </w:numPr>
        <w:spacing w:line="360" w:lineRule="auto"/>
        <w:rPr>
          <w:lang w:val="en-GB"/>
        </w:rPr>
      </w:pPr>
      <w:r w:rsidRPr="00317CB4">
        <w:rPr>
          <w:lang w:val="en-GB"/>
        </w:rPr>
        <w:t xml:space="preserve">Do you think that there is a reason as to why sometimes demands are responded to more or less quickly? </w:t>
      </w:r>
    </w:p>
    <w:p w14:paraId="1CF38023" w14:textId="77777777" w:rsidR="00023E50" w:rsidRPr="00317CB4" w:rsidRDefault="00023E50" w:rsidP="00023E50">
      <w:pPr>
        <w:spacing w:line="360" w:lineRule="auto"/>
        <w:rPr>
          <w:i/>
          <w:iCs/>
          <w:lang w:val="en-GB"/>
        </w:rPr>
      </w:pPr>
      <w:r w:rsidRPr="00317CB4">
        <w:rPr>
          <w:i/>
          <w:iCs/>
          <w:lang w:val="en-GB"/>
        </w:rPr>
        <w:t xml:space="preserve">Research is characterised by different stages of development: from the identification of needs through prototypes to the outcome. Some research may bring solutions sooner if the technology is already advanced and/or available on the market. In innovative cases, the replies will require more time. Frontex has identified the objectives for the most needed technological solutions and/or equipment and follows the priorities from that research plan. Please read more on our Research and Innovation page: Introduction (europa.eu) </w:t>
      </w:r>
    </w:p>
    <w:p w14:paraId="44876ED2" w14:textId="77777777" w:rsidR="00023E50" w:rsidRPr="00317CB4" w:rsidRDefault="00023E50" w:rsidP="00023E50">
      <w:pPr>
        <w:spacing w:line="360" w:lineRule="auto"/>
        <w:rPr>
          <w:lang w:val="en-GB"/>
        </w:rPr>
      </w:pPr>
    </w:p>
    <w:p w14:paraId="1AB3394B"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This question relates back to questions 6, 7 &amp; 10: If e.g. the request for reduced irregular migration is taking long to be followed up with, or lead to noticeable results, do you think that an audience member perceives Frontex to be less able to fulfil the mandate? </w:t>
      </w:r>
    </w:p>
    <w:p w14:paraId="68A9C544" w14:textId="77777777" w:rsidR="00023E50" w:rsidRPr="00317CB4" w:rsidRDefault="00023E50" w:rsidP="00023E50">
      <w:pPr>
        <w:spacing w:line="360" w:lineRule="auto"/>
        <w:rPr>
          <w:lang w:val="en-GB"/>
        </w:rPr>
      </w:pPr>
      <w:r w:rsidRPr="00317CB4">
        <w:rPr>
          <w:i/>
          <w:iCs/>
          <w:lang w:val="en-GB"/>
        </w:rPr>
        <w:t xml:space="preserve">Frontex assists Member States in border management and tackling cross-border crime. The agency does not replace national authorities which remain responsible for managing their section(s) of the EU’s external border. Please note that Frontex is not in charge of migration policy. </w:t>
      </w:r>
    </w:p>
    <w:p w14:paraId="5401A56F" w14:textId="77777777" w:rsidR="00023E50" w:rsidRPr="00317CB4" w:rsidRDefault="00023E50" w:rsidP="00023E50">
      <w:pPr>
        <w:spacing w:line="360" w:lineRule="auto"/>
        <w:rPr>
          <w:lang w:val="en-GB"/>
        </w:rPr>
      </w:pPr>
      <w:r w:rsidRPr="00317CB4">
        <w:rPr>
          <w:i/>
          <w:iCs/>
          <w:lang w:val="en-GB"/>
        </w:rPr>
        <w:t xml:space="preserve">Frontex operations are multipurpose and helping Member States manage irregular arrivals is only one of them. Each operation is carefully planned and has a clear timeline. In case of emergencies at the </w:t>
      </w:r>
      <w:r w:rsidRPr="00317CB4">
        <w:rPr>
          <w:i/>
          <w:iCs/>
          <w:lang w:val="en-GB"/>
        </w:rPr>
        <w:lastRenderedPageBreak/>
        <w:t xml:space="preserve">external border, Frontex can also activate a rapid border intervention – in such a case, officers and equipment can be mobilised within days. See more here </w:t>
      </w:r>
      <w:r w:rsidRPr="00317CB4">
        <w:rPr>
          <w:lang w:val="en-GB"/>
        </w:rPr>
        <w:t xml:space="preserve">Operations (europa.eu) </w:t>
      </w:r>
    </w:p>
    <w:p w14:paraId="5E346418" w14:textId="77777777" w:rsidR="00023E50" w:rsidRPr="00317CB4" w:rsidRDefault="00023E50" w:rsidP="00023E50">
      <w:pPr>
        <w:spacing w:line="360" w:lineRule="auto"/>
        <w:rPr>
          <w:lang w:val="en-GB"/>
        </w:rPr>
      </w:pPr>
      <w:r w:rsidRPr="00317CB4">
        <w:rPr>
          <w:i/>
          <w:iCs/>
          <w:lang w:val="en-GB"/>
        </w:rPr>
        <w:t xml:space="preserve">There are many push and pull factors associated with irregular migration. It has many roots, such as geopolitical situation in countries where it originates, wars or local conflicts, economic pressures, etc. </w:t>
      </w:r>
    </w:p>
    <w:p w14:paraId="1AF0E595" w14:textId="77777777" w:rsidR="00023E50" w:rsidRPr="00317CB4" w:rsidRDefault="00023E50" w:rsidP="00023E50">
      <w:pPr>
        <w:spacing w:line="360" w:lineRule="auto"/>
        <w:rPr>
          <w:lang w:val="en-GB"/>
        </w:rPr>
      </w:pPr>
      <w:r w:rsidRPr="00317CB4">
        <w:rPr>
          <w:i/>
          <w:iCs/>
          <w:lang w:val="en-GB"/>
        </w:rPr>
        <w:t xml:space="preserve">Border management has many components and tackling irregular migration is only one of them. According to the European integrated border management strategy, these are: </w:t>
      </w:r>
    </w:p>
    <w:p w14:paraId="26A43815" w14:textId="77777777" w:rsidR="00023E50" w:rsidRPr="00317CB4" w:rsidRDefault="00023E50" w:rsidP="00023E50">
      <w:pPr>
        <w:spacing w:line="360" w:lineRule="auto"/>
        <w:rPr>
          <w:lang w:val="en-GB"/>
        </w:rPr>
      </w:pPr>
      <w:r w:rsidRPr="00317CB4">
        <w:rPr>
          <w:i/>
          <w:iCs/>
          <w:lang w:val="en-GB"/>
        </w:rPr>
        <w:t xml:space="preserve">a) border control, b) a common EU system for returns, c) cooperation with third countries, d) inter-agency cooperation, e) use of state-of-the-art technology including large-scale information systems, f) respect, protection and promotion of fundamental rights, g) a coherent and comprehensive quality control mechanism, and h) EU funding instruments. In its annexes, the Communication provides policy priorities and strategic guidelines for the European integrated border management (EIBM) components, and information on the implementation of the multiannual policy cycle on EIBM. </w:t>
      </w:r>
    </w:p>
    <w:p w14:paraId="050844E4" w14:textId="77777777" w:rsidR="00023E50" w:rsidRPr="00317CB4" w:rsidRDefault="00023E50" w:rsidP="00023E50">
      <w:pPr>
        <w:spacing w:line="360" w:lineRule="auto"/>
        <w:rPr>
          <w:lang w:val="en-GB"/>
        </w:rPr>
      </w:pPr>
      <w:r w:rsidRPr="00317CB4">
        <w:rPr>
          <w:i/>
          <w:iCs/>
          <w:lang w:val="en-GB"/>
        </w:rPr>
        <w:t xml:space="preserve">You can read more here </w:t>
      </w:r>
      <w:r w:rsidRPr="00317CB4">
        <w:rPr>
          <w:lang w:val="en-GB"/>
        </w:rPr>
        <w:t xml:space="preserve">Effective management of external borders (europa.eu) </w:t>
      </w:r>
    </w:p>
    <w:p w14:paraId="29478857" w14:textId="77777777" w:rsidR="00023E50" w:rsidRPr="00317CB4" w:rsidRDefault="00023E50" w:rsidP="00023E50">
      <w:pPr>
        <w:spacing w:line="360" w:lineRule="auto"/>
        <w:rPr>
          <w:lang w:val="en-GB"/>
        </w:rPr>
      </w:pPr>
      <w:r w:rsidRPr="00317CB4">
        <w:rPr>
          <w:i/>
          <w:iCs/>
          <w:lang w:val="en-GB"/>
        </w:rPr>
        <w:t xml:space="preserve">Frontex also plays a role in monitoring the situation at the external borders. </w:t>
      </w:r>
    </w:p>
    <w:p w14:paraId="38463D35" w14:textId="77777777" w:rsidR="00023E50" w:rsidRPr="00317CB4" w:rsidRDefault="00023E50" w:rsidP="00023E50">
      <w:pPr>
        <w:spacing w:line="360" w:lineRule="auto"/>
        <w:rPr>
          <w:lang w:val="en-GB"/>
        </w:rPr>
      </w:pPr>
      <w:r w:rsidRPr="00317CB4">
        <w:rPr>
          <w:i/>
          <w:iCs/>
          <w:lang w:val="en-GB"/>
        </w:rPr>
        <w:t xml:space="preserve">Please have a look at our statistics on irregular migration on our website in the form of a map and spreadsheet to trace back the migratory trends: </w:t>
      </w:r>
    </w:p>
    <w:p w14:paraId="79A6FEA8" w14:textId="77777777" w:rsidR="00023E50" w:rsidRPr="00317CB4" w:rsidRDefault="00023E50" w:rsidP="00023E50">
      <w:pPr>
        <w:pStyle w:val="ListParagraph"/>
        <w:numPr>
          <w:ilvl w:val="0"/>
          <w:numId w:val="8"/>
        </w:numPr>
        <w:spacing w:line="360" w:lineRule="auto"/>
        <w:rPr>
          <w:lang w:val="en-GB"/>
        </w:rPr>
      </w:pPr>
      <w:r w:rsidRPr="00317CB4">
        <w:rPr>
          <w:i/>
          <w:iCs/>
          <w:lang w:val="en-GB"/>
        </w:rPr>
        <w:t xml:space="preserve">https://frontex.europa.eu/what-we-do/monitoring-and-risk-analysis/migratory-map/ </w:t>
      </w:r>
    </w:p>
    <w:p w14:paraId="16845C29" w14:textId="77777777" w:rsidR="00023E50" w:rsidRPr="00317CB4" w:rsidRDefault="00023E50" w:rsidP="00023E50">
      <w:pPr>
        <w:pStyle w:val="ListParagraph"/>
        <w:numPr>
          <w:ilvl w:val="0"/>
          <w:numId w:val="8"/>
        </w:numPr>
        <w:spacing w:line="360" w:lineRule="auto"/>
        <w:rPr>
          <w:lang w:val="en-GB"/>
        </w:rPr>
      </w:pPr>
      <w:r w:rsidRPr="00317CB4">
        <w:rPr>
          <w:i/>
          <w:iCs/>
          <w:lang w:val="en-GB"/>
        </w:rPr>
        <w:t xml:space="preserve">https://frontex.europa.eu/assets/Migratory_routes/2023/Monthly_detections_of_IBC_2023_01_05.xlsx </w:t>
      </w:r>
    </w:p>
    <w:p w14:paraId="6ED03E60" w14:textId="77777777" w:rsidR="00023E50" w:rsidRPr="00317CB4" w:rsidRDefault="00023E50" w:rsidP="00023E50">
      <w:pPr>
        <w:spacing w:line="360" w:lineRule="auto"/>
        <w:rPr>
          <w:i/>
          <w:iCs/>
          <w:lang w:val="en-GB"/>
        </w:rPr>
      </w:pPr>
      <w:r w:rsidRPr="00317CB4">
        <w:rPr>
          <w:i/>
          <w:iCs/>
          <w:lang w:val="en-GB"/>
        </w:rPr>
        <w:t xml:space="preserve">We also publish monthly press releases with statistics from the previous month. You can find them in the “News” tab. </w:t>
      </w:r>
    </w:p>
    <w:p w14:paraId="45F5CC88" w14:textId="77777777" w:rsidR="00023E50" w:rsidRPr="00317CB4" w:rsidRDefault="00023E50" w:rsidP="00023E50">
      <w:pPr>
        <w:spacing w:line="360" w:lineRule="auto"/>
        <w:rPr>
          <w:lang w:val="en-GB"/>
        </w:rPr>
      </w:pPr>
    </w:p>
    <w:p w14:paraId="01B4475D" w14:textId="77777777" w:rsidR="00023E50" w:rsidRPr="00317CB4" w:rsidRDefault="00023E50" w:rsidP="00023E50">
      <w:pPr>
        <w:pStyle w:val="ListParagraph"/>
        <w:numPr>
          <w:ilvl w:val="0"/>
          <w:numId w:val="5"/>
        </w:numPr>
        <w:spacing w:line="360" w:lineRule="auto"/>
        <w:rPr>
          <w:lang w:val="en-GB"/>
        </w:rPr>
      </w:pPr>
      <w:r w:rsidRPr="00317CB4">
        <w:rPr>
          <w:lang w:val="en-GB"/>
        </w:rPr>
        <w:t xml:space="preserve"> If demands come from the Commission vs if demands come from the member state(s), do you think that they are given a different level of priority? To what kind of demands could this apply? Please elaborate </w:t>
      </w:r>
    </w:p>
    <w:p w14:paraId="7C2278F9" w14:textId="77777777" w:rsidR="00023E50" w:rsidRPr="00317CB4" w:rsidRDefault="00023E50" w:rsidP="00023E50">
      <w:pPr>
        <w:spacing w:line="360" w:lineRule="auto"/>
        <w:rPr>
          <w:lang w:val="en-GB"/>
        </w:rPr>
      </w:pPr>
      <w:r w:rsidRPr="00317CB4">
        <w:rPr>
          <w:i/>
          <w:iCs/>
          <w:lang w:val="en-GB"/>
        </w:rPr>
        <w:t xml:space="preserve">Frontex is an independent agency with a mandate defined in its legal basis (please see above). It is accountable for its activity to the partners identified therein and responds to requests from the Member States upon its own evaluation of the situation (awareness, risk analysis etc.). The requests coming from the institutions and from the Member States are treated in the same way and they usually have different objectives so there is no question of prioritising one over the other. </w:t>
      </w:r>
    </w:p>
    <w:p w14:paraId="714F9EA3" w14:textId="77777777" w:rsidR="007B5373" w:rsidRPr="00317CB4" w:rsidRDefault="007B5373" w:rsidP="00B80D40">
      <w:pPr>
        <w:spacing w:line="360" w:lineRule="auto"/>
        <w:rPr>
          <w:b/>
          <w:bCs/>
          <w:lang w:val="en-GB"/>
        </w:rPr>
      </w:pPr>
    </w:p>
    <w:p w14:paraId="0CED4DA4" w14:textId="077A13A0" w:rsidR="00B80D40" w:rsidRPr="00317CB4" w:rsidRDefault="00B80D40" w:rsidP="00B80D40">
      <w:pPr>
        <w:spacing w:line="360" w:lineRule="auto"/>
        <w:rPr>
          <w:b/>
          <w:bCs/>
          <w:lang w:val="en-GB"/>
        </w:rPr>
      </w:pPr>
      <w:r w:rsidRPr="00317CB4">
        <w:rPr>
          <w:b/>
          <w:bCs/>
          <w:lang w:val="en-GB"/>
        </w:rPr>
        <w:lastRenderedPageBreak/>
        <w:t xml:space="preserve">Appendix 2: Intended use of interviews </w:t>
      </w:r>
    </w:p>
    <w:p w14:paraId="06C83AE3" w14:textId="77777777" w:rsidR="00B80D40" w:rsidRPr="00317CB4" w:rsidRDefault="00B80D40" w:rsidP="00B80D40">
      <w:pPr>
        <w:spacing w:line="360" w:lineRule="auto"/>
        <w:rPr>
          <w:lang w:val="en-GB"/>
        </w:rPr>
      </w:pPr>
      <w:r w:rsidRPr="00317CB4">
        <w:rPr>
          <w:lang w:val="en-GB"/>
        </w:rPr>
        <w:t xml:space="preserve">In a way, it is possible to see interviews as a conversation with a purpose – the purpose being the extraction of information and knowledge from the interviewee through an interaction (Yeo et al., 2014). Accessing elites for interviews has been increasingly used in recent years as the conviction grew that they provide a more efficient way to gather qualitative data and subsequently gain a new perspective to understand research (Harvey, 2010). This interest is substantiated by the general perception that elites are closer to positions of power or influence, or possess particularly useful professional expertise. The insights they are granted based on their occupation may allow them to share some inside details with the researcher that cannot be extracted from secondary sources (Lancaster, 2017; Natow, 2020). Most of the times though, it is context specific whether or not someone qualifies as a member of the elite. If a person works for the government, but did not for the timeframe that is relevant for the research, then they do not qualify as a relevant member of the elite, even though they work in the government, a place that is arguably a country’s power seat (Goldstein, 2002; Harvey, 2010). </w:t>
      </w:r>
    </w:p>
    <w:p w14:paraId="4A87D3AE" w14:textId="77777777" w:rsidR="00B80D40" w:rsidRPr="00317CB4" w:rsidRDefault="00B80D40" w:rsidP="00B80D40">
      <w:pPr>
        <w:spacing w:line="360" w:lineRule="auto"/>
        <w:rPr>
          <w:lang w:val="en-GB"/>
        </w:rPr>
      </w:pPr>
      <w:r w:rsidRPr="00317CB4">
        <w:rPr>
          <w:lang w:val="en-GB"/>
        </w:rPr>
        <w:tab/>
        <w:t xml:space="preserve">It is therefore necessary to specify who qualifies as the elite-to-be-interviewed in each individual research. As the unit of analysis for this research is Frontex, the elite in question is represented by officials working in areas related to the handling of the migration crisis, i.e. not every person employed by the agency. Furthermore, due to the specified comparative framework of the case study, it would be preferable if the Frontex employees were already employed in the 2015-2106 period. This way, they can provide the necessary insights for a more detailed comparison of how Frontex acts and how the relationship to the member states and EU Commission potentially changed. Additional insights are gathered from members of the European Parliament. They also represent members of Frontex’ audience, and can thereby substantiate and expand on the statements from the Commission. This can validate how Frontex manages its reputation vis-à-vis its audience members and provide an alternative explanation to those extracted from the secondary sources and Frontex itself. It would have been most ideal to gather data from interviews with members of the Commission as well because they constitute Frontex’ supranational audience member, however, no contact could be established. The same is the case for members of delegations from individual member states. </w:t>
      </w:r>
    </w:p>
    <w:p w14:paraId="57D0A369" w14:textId="77777777" w:rsidR="00B80D40" w:rsidRPr="00317CB4" w:rsidRDefault="00B80D40" w:rsidP="00B80D40">
      <w:pPr>
        <w:spacing w:line="360" w:lineRule="auto"/>
        <w:rPr>
          <w:b/>
          <w:bCs/>
          <w:lang w:val="en-GB"/>
        </w:rPr>
      </w:pPr>
      <w:r w:rsidRPr="00317CB4">
        <w:rPr>
          <w:lang w:val="en-GB"/>
        </w:rPr>
        <w:tab/>
        <w:t>The interviews are conducted in a semi-structured way with open-ended questions with an MEP</w:t>
      </w:r>
      <w:r w:rsidRPr="00317CB4">
        <w:rPr>
          <w:i/>
          <w:iCs/>
          <w:lang w:val="en-GB"/>
        </w:rPr>
        <w:t xml:space="preserve"> </w:t>
      </w:r>
      <w:r w:rsidRPr="00317CB4">
        <w:rPr>
          <w:lang w:val="en-GB"/>
        </w:rPr>
        <w:t>and an APA. This allows for pre-formulated questions to be included, but some deviation from them can be permitted. That way, there will be a similar structure to all interviews, but depending on the individual answers provided, follow-up questions can be permitted to gather more details on specific points as they come up in the conversation. Additionally, the answers will be more elaborate which requires thorough coding to ensure that all answers are processed correctly (Wisker, 2009).</w:t>
      </w:r>
    </w:p>
    <w:p w14:paraId="034AE605" w14:textId="77777777" w:rsidR="00B80D40" w:rsidRPr="00317CB4" w:rsidRDefault="00B80D40" w:rsidP="005A2BCB">
      <w:pPr>
        <w:spacing w:line="360" w:lineRule="auto"/>
        <w:rPr>
          <w:b/>
          <w:bCs/>
          <w:lang w:val="en-GB"/>
        </w:rPr>
        <w:sectPr w:rsidR="00B80D40" w:rsidRPr="00317CB4" w:rsidSect="00023E50">
          <w:pgSz w:w="11906" w:h="16838"/>
          <w:pgMar w:top="1440" w:right="1440" w:bottom="1440" w:left="1440" w:header="708" w:footer="708" w:gutter="0"/>
          <w:cols w:space="708"/>
          <w:docGrid w:linePitch="360"/>
        </w:sectPr>
      </w:pPr>
    </w:p>
    <w:p w14:paraId="6529810B" w14:textId="0ABD86DB" w:rsidR="005F23CE" w:rsidRPr="00317CB4" w:rsidRDefault="00FF781D" w:rsidP="005A2BCB">
      <w:pPr>
        <w:spacing w:line="360" w:lineRule="auto"/>
        <w:rPr>
          <w:b/>
          <w:bCs/>
          <w:lang w:val="en-GB"/>
        </w:rPr>
      </w:pPr>
      <w:r w:rsidRPr="00317CB4">
        <w:rPr>
          <w:b/>
          <w:bCs/>
          <w:lang w:val="en-GB"/>
        </w:rPr>
        <w:lastRenderedPageBreak/>
        <w:t xml:space="preserve">Appendix </w:t>
      </w:r>
      <w:r w:rsidR="00BC5D15" w:rsidRPr="00317CB4">
        <w:rPr>
          <w:b/>
          <w:bCs/>
          <w:lang w:val="en-GB"/>
        </w:rPr>
        <w:t>3</w:t>
      </w:r>
      <w:r w:rsidRPr="00317CB4">
        <w:rPr>
          <w:b/>
          <w:bCs/>
          <w:lang w:val="en-GB"/>
        </w:rPr>
        <w:t xml:space="preserve">: </w:t>
      </w:r>
      <w:bookmarkStart w:id="6" w:name="_Hlk137818765"/>
      <w:r w:rsidR="005A294B" w:rsidRPr="00317CB4">
        <w:rPr>
          <w:b/>
          <w:bCs/>
          <w:lang w:val="en-GB"/>
        </w:rPr>
        <w:t>Numbers of i</w:t>
      </w:r>
      <w:r w:rsidR="005F23CE" w:rsidRPr="00317CB4">
        <w:rPr>
          <w:b/>
          <w:bCs/>
          <w:lang w:val="en-GB"/>
        </w:rPr>
        <w:t xml:space="preserve">rregular migrants from Syria via various routes, July 2015 – December 2016 </w:t>
      </w:r>
      <w:bookmarkEnd w:id="6"/>
    </w:p>
    <w:tbl>
      <w:tblPr>
        <w:tblW w:w="5000" w:type="pct"/>
        <w:tblLook w:val="04A0" w:firstRow="1" w:lastRow="0" w:firstColumn="1" w:lastColumn="0" w:noHBand="0" w:noVBand="1"/>
      </w:tblPr>
      <w:tblGrid>
        <w:gridCol w:w="3339"/>
        <w:gridCol w:w="2347"/>
        <w:gridCol w:w="1628"/>
        <w:gridCol w:w="1041"/>
        <w:gridCol w:w="1158"/>
        <w:gridCol w:w="1061"/>
        <w:gridCol w:w="1111"/>
        <w:gridCol w:w="1165"/>
        <w:gridCol w:w="1098"/>
      </w:tblGrid>
      <w:tr w:rsidR="005F23CE" w:rsidRPr="00317CB4" w14:paraId="19730385" w14:textId="77777777" w:rsidTr="00D53490">
        <w:trPr>
          <w:trHeight w:val="312"/>
        </w:trPr>
        <w:tc>
          <w:tcPr>
            <w:tcW w:w="1334"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739658B1" w14:textId="77777777" w:rsidR="005F23CE" w:rsidRPr="00317CB4" w:rsidRDefault="005F23CE" w:rsidP="00D53490">
            <w:pPr>
              <w:spacing w:after="0" w:line="240" w:lineRule="auto"/>
              <w:jc w:val="lef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Route</w:t>
            </w:r>
          </w:p>
        </w:tc>
        <w:tc>
          <w:tcPr>
            <w:tcW w:w="57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9D586AB" w14:textId="77777777" w:rsidR="005F23CE" w:rsidRPr="00317CB4" w:rsidRDefault="005F23CE" w:rsidP="00D53490">
            <w:pPr>
              <w:spacing w:after="0" w:line="240" w:lineRule="auto"/>
              <w:jc w:val="lef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Border type or inland</w:t>
            </w:r>
          </w:p>
        </w:tc>
        <w:tc>
          <w:tcPr>
            <w:tcW w:w="72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3F9C3E70" w14:textId="77777777" w:rsidR="005F23CE" w:rsidRPr="00317CB4" w:rsidRDefault="005F23CE" w:rsidP="00D53490">
            <w:pPr>
              <w:spacing w:after="0" w:line="240" w:lineRule="auto"/>
              <w:jc w:val="lef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Nationality</w:t>
            </w:r>
          </w:p>
        </w:tc>
        <w:tc>
          <w:tcPr>
            <w:tcW w:w="373"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814333D"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JUL2015</w:t>
            </w:r>
          </w:p>
        </w:tc>
        <w:tc>
          <w:tcPr>
            <w:tcW w:w="414"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9FEA238"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AUG2015</w:t>
            </w:r>
          </w:p>
        </w:tc>
        <w:tc>
          <w:tcPr>
            <w:tcW w:w="38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8A2303C"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SEP2015</w:t>
            </w:r>
          </w:p>
        </w:tc>
        <w:tc>
          <w:tcPr>
            <w:tcW w:w="398"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31214B3C"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OCT2015</w:t>
            </w:r>
          </w:p>
        </w:tc>
        <w:tc>
          <w:tcPr>
            <w:tcW w:w="417"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55003AD"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NOV2015</w:t>
            </w:r>
          </w:p>
        </w:tc>
        <w:tc>
          <w:tcPr>
            <w:tcW w:w="393"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49A9FD9B"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DEC2015</w:t>
            </w:r>
          </w:p>
        </w:tc>
      </w:tr>
      <w:tr w:rsidR="005F23CE" w:rsidRPr="00317CB4" w14:paraId="04352927" w14:textId="77777777" w:rsidTr="00D53490">
        <w:trPr>
          <w:trHeight w:val="312"/>
        </w:trPr>
        <w:tc>
          <w:tcPr>
            <w:tcW w:w="1334" w:type="pct"/>
            <w:tcBorders>
              <w:top w:val="nil"/>
              <w:left w:val="single" w:sz="4" w:space="0" w:color="auto"/>
              <w:bottom w:val="nil"/>
              <w:right w:val="single" w:sz="4" w:space="0" w:color="auto"/>
            </w:tcBorders>
            <w:shd w:val="clear" w:color="000000" w:fill="FAFAFA"/>
            <w:noWrap/>
            <w:vAlign w:val="bottom"/>
            <w:hideMark/>
          </w:tcPr>
          <w:p w14:paraId="6C5AC17B"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Western Balkan Route</w:t>
            </w:r>
          </w:p>
        </w:tc>
        <w:tc>
          <w:tcPr>
            <w:tcW w:w="570" w:type="pct"/>
            <w:tcBorders>
              <w:top w:val="nil"/>
              <w:left w:val="nil"/>
              <w:bottom w:val="nil"/>
              <w:right w:val="single" w:sz="4" w:space="0" w:color="auto"/>
            </w:tcBorders>
            <w:shd w:val="clear" w:color="000000" w:fill="FAFAFA"/>
            <w:noWrap/>
            <w:vAlign w:val="bottom"/>
            <w:hideMark/>
          </w:tcPr>
          <w:p w14:paraId="70BD866A"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Land</w:t>
            </w:r>
          </w:p>
        </w:tc>
        <w:tc>
          <w:tcPr>
            <w:tcW w:w="720" w:type="pct"/>
            <w:tcBorders>
              <w:top w:val="nil"/>
              <w:left w:val="nil"/>
              <w:bottom w:val="nil"/>
              <w:right w:val="single" w:sz="4" w:space="0" w:color="auto"/>
            </w:tcBorders>
            <w:shd w:val="clear" w:color="000000" w:fill="FAFAFA"/>
            <w:noWrap/>
            <w:vAlign w:val="bottom"/>
            <w:hideMark/>
          </w:tcPr>
          <w:p w14:paraId="31DA7EBB"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nil"/>
              <w:right w:val="single" w:sz="4" w:space="0" w:color="auto"/>
            </w:tcBorders>
            <w:shd w:val="clear" w:color="000000" w:fill="FAFAFA"/>
            <w:noWrap/>
            <w:vAlign w:val="bottom"/>
            <w:hideMark/>
          </w:tcPr>
          <w:p w14:paraId="263C86E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15835</w:t>
            </w:r>
          </w:p>
        </w:tc>
        <w:tc>
          <w:tcPr>
            <w:tcW w:w="414" w:type="pct"/>
            <w:tcBorders>
              <w:top w:val="nil"/>
              <w:left w:val="nil"/>
              <w:bottom w:val="nil"/>
              <w:right w:val="single" w:sz="4" w:space="0" w:color="auto"/>
            </w:tcBorders>
            <w:shd w:val="clear" w:color="000000" w:fill="FAFAFA"/>
            <w:noWrap/>
            <w:vAlign w:val="bottom"/>
            <w:hideMark/>
          </w:tcPr>
          <w:p w14:paraId="7B1023E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27818</w:t>
            </w:r>
          </w:p>
        </w:tc>
        <w:tc>
          <w:tcPr>
            <w:tcW w:w="380" w:type="pct"/>
            <w:tcBorders>
              <w:top w:val="nil"/>
              <w:left w:val="nil"/>
              <w:bottom w:val="nil"/>
              <w:right w:val="single" w:sz="4" w:space="0" w:color="auto"/>
            </w:tcBorders>
            <w:shd w:val="clear" w:color="000000" w:fill="FAFAFA"/>
            <w:noWrap/>
            <w:vAlign w:val="bottom"/>
            <w:hideMark/>
          </w:tcPr>
          <w:p w14:paraId="353D786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32773</w:t>
            </w:r>
          </w:p>
        </w:tc>
        <w:tc>
          <w:tcPr>
            <w:tcW w:w="398" w:type="pct"/>
            <w:tcBorders>
              <w:top w:val="nil"/>
              <w:left w:val="nil"/>
              <w:bottom w:val="nil"/>
              <w:right w:val="single" w:sz="4" w:space="0" w:color="auto"/>
            </w:tcBorders>
            <w:shd w:val="clear" w:color="000000" w:fill="FAFAFA"/>
            <w:noWrap/>
            <w:vAlign w:val="bottom"/>
            <w:hideMark/>
          </w:tcPr>
          <w:p w14:paraId="1240150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651</w:t>
            </w:r>
          </w:p>
        </w:tc>
        <w:tc>
          <w:tcPr>
            <w:tcW w:w="417" w:type="pct"/>
            <w:tcBorders>
              <w:top w:val="nil"/>
              <w:left w:val="nil"/>
              <w:bottom w:val="nil"/>
              <w:right w:val="single" w:sz="4" w:space="0" w:color="auto"/>
            </w:tcBorders>
            <w:shd w:val="clear" w:color="000000" w:fill="FAFAFA"/>
            <w:noWrap/>
            <w:vAlign w:val="bottom"/>
            <w:hideMark/>
          </w:tcPr>
          <w:p w14:paraId="3F72933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16</w:t>
            </w:r>
          </w:p>
        </w:tc>
        <w:tc>
          <w:tcPr>
            <w:tcW w:w="393" w:type="pct"/>
            <w:tcBorders>
              <w:top w:val="nil"/>
              <w:left w:val="nil"/>
              <w:bottom w:val="nil"/>
              <w:right w:val="single" w:sz="4" w:space="0" w:color="auto"/>
            </w:tcBorders>
            <w:shd w:val="clear" w:color="000000" w:fill="FAFAFA"/>
            <w:noWrap/>
            <w:vAlign w:val="bottom"/>
            <w:hideMark/>
          </w:tcPr>
          <w:p w14:paraId="298591C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10</w:t>
            </w:r>
          </w:p>
        </w:tc>
      </w:tr>
      <w:tr w:rsidR="005F23CE" w:rsidRPr="00317CB4" w14:paraId="2B0155AF" w14:textId="77777777" w:rsidTr="00D53490">
        <w:trPr>
          <w:trHeight w:val="312"/>
        </w:trPr>
        <w:tc>
          <w:tcPr>
            <w:tcW w:w="1334" w:type="pct"/>
            <w:tcBorders>
              <w:top w:val="nil"/>
              <w:left w:val="single" w:sz="4" w:space="0" w:color="auto"/>
              <w:bottom w:val="nil"/>
              <w:right w:val="single" w:sz="4" w:space="0" w:color="auto"/>
            </w:tcBorders>
            <w:shd w:val="clear" w:color="000000" w:fill="FFFFFF"/>
            <w:noWrap/>
            <w:vAlign w:val="bottom"/>
            <w:hideMark/>
          </w:tcPr>
          <w:p w14:paraId="06786BB4"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Central Mediterranean Route</w:t>
            </w:r>
          </w:p>
        </w:tc>
        <w:tc>
          <w:tcPr>
            <w:tcW w:w="570" w:type="pct"/>
            <w:tcBorders>
              <w:top w:val="nil"/>
              <w:left w:val="nil"/>
              <w:bottom w:val="nil"/>
              <w:right w:val="single" w:sz="4" w:space="0" w:color="auto"/>
            </w:tcBorders>
            <w:shd w:val="clear" w:color="000000" w:fill="FFFFFF"/>
            <w:noWrap/>
            <w:vAlign w:val="bottom"/>
            <w:hideMark/>
          </w:tcPr>
          <w:p w14:paraId="54C88426"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Sea</w:t>
            </w:r>
          </w:p>
        </w:tc>
        <w:tc>
          <w:tcPr>
            <w:tcW w:w="720" w:type="pct"/>
            <w:tcBorders>
              <w:top w:val="nil"/>
              <w:left w:val="nil"/>
              <w:bottom w:val="nil"/>
              <w:right w:val="single" w:sz="4" w:space="0" w:color="auto"/>
            </w:tcBorders>
            <w:shd w:val="clear" w:color="000000" w:fill="FFFFFF"/>
            <w:noWrap/>
            <w:vAlign w:val="bottom"/>
            <w:hideMark/>
          </w:tcPr>
          <w:p w14:paraId="2B8282A4"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nil"/>
              <w:right w:val="single" w:sz="4" w:space="0" w:color="auto"/>
            </w:tcBorders>
            <w:shd w:val="clear" w:color="000000" w:fill="FFFFFF"/>
            <w:noWrap/>
            <w:vAlign w:val="bottom"/>
            <w:hideMark/>
          </w:tcPr>
          <w:p w14:paraId="48DAA97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1159</w:t>
            </w:r>
          </w:p>
        </w:tc>
        <w:tc>
          <w:tcPr>
            <w:tcW w:w="414" w:type="pct"/>
            <w:tcBorders>
              <w:top w:val="nil"/>
              <w:left w:val="nil"/>
              <w:bottom w:val="nil"/>
              <w:right w:val="single" w:sz="4" w:space="0" w:color="auto"/>
            </w:tcBorders>
            <w:shd w:val="clear" w:color="000000" w:fill="FFFFFF"/>
            <w:noWrap/>
            <w:vAlign w:val="bottom"/>
            <w:hideMark/>
          </w:tcPr>
          <w:p w14:paraId="07A3220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1215</w:t>
            </w:r>
          </w:p>
        </w:tc>
        <w:tc>
          <w:tcPr>
            <w:tcW w:w="380" w:type="pct"/>
            <w:tcBorders>
              <w:top w:val="nil"/>
              <w:left w:val="nil"/>
              <w:bottom w:val="nil"/>
              <w:right w:val="single" w:sz="4" w:space="0" w:color="auto"/>
            </w:tcBorders>
            <w:shd w:val="clear" w:color="000000" w:fill="FFFFFF"/>
            <w:noWrap/>
            <w:vAlign w:val="bottom"/>
            <w:hideMark/>
          </w:tcPr>
          <w:p w14:paraId="185E29F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362</w:t>
            </w:r>
          </w:p>
        </w:tc>
        <w:tc>
          <w:tcPr>
            <w:tcW w:w="398" w:type="pct"/>
            <w:tcBorders>
              <w:top w:val="nil"/>
              <w:left w:val="nil"/>
              <w:bottom w:val="nil"/>
              <w:right w:val="single" w:sz="4" w:space="0" w:color="auto"/>
            </w:tcBorders>
            <w:shd w:val="clear" w:color="000000" w:fill="FFFFFF"/>
            <w:noWrap/>
            <w:vAlign w:val="bottom"/>
            <w:hideMark/>
          </w:tcPr>
          <w:p w14:paraId="6F7B8E2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160</w:t>
            </w:r>
          </w:p>
        </w:tc>
        <w:tc>
          <w:tcPr>
            <w:tcW w:w="417" w:type="pct"/>
            <w:tcBorders>
              <w:top w:val="nil"/>
              <w:left w:val="nil"/>
              <w:bottom w:val="nil"/>
              <w:right w:val="single" w:sz="4" w:space="0" w:color="auto"/>
            </w:tcBorders>
            <w:shd w:val="clear" w:color="000000" w:fill="FFFFFF"/>
            <w:noWrap/>
            <w:vAlign w:val="bottom"/>
            <w:hideMark/>
          </w:tcPr>
          <w:p w14:paraId="7209C10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155</w:t>
            </w:r>
          </w:p>
        </w:tc>
        <w:tc>
          <w:tcPr>
            <w:tcW w:w="393" w:type="pct"/>
            <w:tcBorders>
              <w:top w:val="nil"/>
              <w:left w:val="nil"/>
              <w:bottom w:val="nil"/>
              <w:right w:val="single" w:sz="4" w:space="0" w:color="auto"/>
            </w:tcBorders>
            <w:shd w:val="clear" w:color="000000" w:fill="FFFFFF"/>
            <w:noWrap/>
            <w:vAlign w:val="bottom"/>
            <w:hideMark/>
          </w:tcPr>
          <w:p w14:paraId="7B3E95A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61</w:t>
            </w:r>
          </w:p>
        </w:tc>
      </w:tr>
      <w:tr w:rsidR="005F23CE" w:rsidRPr="00317CB4" w14:paraId="0AF7C7CC" w14:textId="77777777" w:rsidTr="00D53490">
        <w:trPr>
          <w:trHeight w:val="312"/>
        </w:trPr>
        <w:tc>
          <w:tcPr>
            <w:tcW w:w="1334" w:type="pct"/>
            <w:tcBorders>
              <w:top w:val="nil"/>
              <w:left w:val="single" w:sz="4" w:space="0" w:color="auto"/>
              <w:bottom w:val="nil"/>
              <w:right w:val="single" w:sz="4" w:space="0" w:color="auto"/>
            </w:tcBorders>
            <w:shd w:val="clear" w:color="000000" w:fill="FAFAFA"/>
            <w:noWrap/>
            <w:vAlign w:val="bottom"/>
            <w:hideMark/>
          </w:tcPr>
          <w:p w14:paraId="6D40DED5"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Eastern Mediterranean Route</w:t>
            </w:r>
          </w:p>
        </w:tc>
        <w:tc>
          <w:tcPr>
            <w:tcW w:w="570" w:type="pct"/>
            <w:tcBorders>
              <w:top w:val="nil"/>
              <w:left w:val="nil"/>
              <w:bottom w:val="nil"/>
              <w:right w:val="single" w:sz="4" w:space="0" w:color="auto"/>
            </w:tcBorders>
            <w:shd w:val="clear" w:color="000000" w:fill="FAFAFA"/>
            <w:noWrap/>
            <w:vAlign w:val="bottom"/>
            <w:hideMark/>
          </w:tcPr>
          <w:p w14:paraId="6CB17D6C"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Land</w:t>
            </w:r>
          </w:p>
        </w:tc>
        <w:tc>
          <w:tcPr>
            <w:tcW w:w="720" w:type="pct"/>
            <w:tcBorders>
              <w:top w:val="nil"/>
              <w:left w:val="nil"/>
              <w:bottom w:val="nil"/>
              <w:right w:val="single" w:sz="4" w:space="0" w:color="auto"/>
            </w:tcBorders>
            <w:shd w:val="clear" w:color="000000" w:fill="FAFAFA"/>
            <w:noWrap/>
            <w:vAlign w:val="bottom"/>
            <w:hideMark/>
          </w:tcPr>
          <w:p w14:paraId="702595BD"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nil"/>
              <w:right w:val="single" w:sz="4" w:space="0" w:color="auto"/>
            </w:tcBorders>
            <w:shd w:val="clear" w:color="000000" w:fill="FAFAFA"/>
            <w:noWrap/>
            <w:vAlign w:val="bottom"/>
            <w:hideMark/>
          </w:tcPr>
          <w:p w14:paraId="6CEE571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555</w:t>
            </w:r>
          </w:p>
        </w:tc>
        <w:tc>
          <w:tcPr>
            <w:tcW w:w="414" w:type="pct"/>
            <w:tcBorders>
              <w:top w:val="nil"/>
              <w:left w:val="nil"/>
              <w:bottom w:val="nil"/>
              <w:right w:val="single" w:sz="4" w:space="0" w:color="auto"/>
            </w:tcBorders>
            <w:shd w:val="clear" w:color="000000" w:fill="FAFAFA"/>
            <w:noWrap/>
            <w:vAlign w:val="bottom"/>
            <w:hideMark/>
          </w:tcPr>
          <w:p w14:paraId="0E8FE8B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1470</w:t>
            </w:r>
          </w:p>
        </w:tc>
        <w:tc>
          <w:tcPr>
            <w:tcW w:w="380" w:type="pct"/>
            <w:tcBorders>
              <w:top w:val="nil"/>
              <w:left w:val="nil"/>
              <w:bottom w:val="nil"/>
              <w:right w:val="single" w:sz="4" w:space="0" w:color="auto"/>
            </w:tcBorders>
            <w:shd w:val="clear" w:color="000000" w:fill="FAFAFA"/>
            <w:noWrap/>
            <w:vAlign w:val="bottom"/>
            <w:hideMark/>
          </w:tcPr>
          <w:p w14:paraId="41DEB85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1090</w:t>
            </w:r>
          </w:p>
        </w:tc>
        <w:tc>
          <w:tcPr>
            <w:tcW w:w="398" w:type="pct"/>
            <w:tcBorders>
              <w:top w:val="nil"/>
              <w:left w:val="nil"/>
              <w:bottom w:val="nil"/>
              <w:right w:val="single" w:sz="4" w:space="0" w:color="auto"/>
            </w:tcBorders>
            <w:shd w:val="clear" w:color="000000" w:fill="FAFAFA"/>
            <w:noWrap/>
            <w:vAlign w:val="bottom"/>
            <w:hideMark/>
          </w:tcPr>
          <w:p w14:paraId="185222D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862</w:t>
            </w:r>
          </w:p>
        </w:tc>
        <w:tc>
          <w:tcPr>
            <w:tcW w:w="417" w:type="pct"/>
            <w:tcBorders>
              <w:top w:val="nil"/>
              <w:left w:val="nil"/>
              <w:bottom w:val="nil"/>
              <w:right w:val="single" w:sz="4" w:space="0" w:color="auto"/>
            </w:tcBorders>
            <w:shd w:val="clear" w:color="000000" w:fill="FAFAFA"/>
            <w:noWrap/>
            <w:vAlign w:val="bottom"/>
            <w:hideMark/>
          </w:tcPr>
          <w:p w14:paraId="220E7D8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652</w:t>
            </w:r>
          </w:p>
        </w:tc>
        <w:tc>
          <w:tcPr>
            <w:tcW w:w="393" w:type="pct"/>
            <w:tcBorders>
              <w:top w:val="nil"/>
              <w:left w:val="nil"/>
              <w:bottom w:val="nil"/>
              <w:right w:val="single" w:sz="4" w:space="0" w:color="auto"/>
            </w:tcBorders>
            <w:shd w:val="clear" w:color="000000" w:fill="FAFAFA"/>
            <w:noWrap/>
            <w:vAlign w:val="bottom"/>
            <w:hideMark/>
          </w:tcPr>
          <w:p w14:paraId="20F2501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534</w:t>
            </w:r>
          </w:p>
        </w:tc>
      </w:tr>
      <w:tr w:rsidR="005F23CE" w:rsidRPr="00317CB4" w14:paraId="0852D62B" w14:textId="77777777" w:rsidTr="00D53490">
        <w:trPr>
          <w:trHeight w:val="312"/>
        </w:trPr>
        <w:tc>
          <w:tcPr>
            <w:tcW w:w="1334" w:type="pct"/>
            <w:tcBorders>
              <w:top w:val="nil"/>
              <w:left w:val="single" w:sz="4" w:space="0" w:color="auto"/>
              <w:bottom w:val="nil"/>
              <w:right w:val="single" w:sz="4" w:space="0" w:color="auto"/>
            </w:tcBorders>
            <w:shd w:val="clear" w:color="000000" w:fill="FAFAFA"/>
            <w:noWrap/>
            <w:vAlign w:val="bottom"/>
            <w:hideMark/>
          </w:tcPr>
          <w:p w14:paraId="5EB8821F"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Western African Route</w:t>
            </w:r>
          </w:p>
        </w:tc>
        <w:tc>
          <w:tcPr>
            <w:tcW w:w="570" w:type="pct"/>
            <w:tcBorders>
              <w:top w:val="nil"/>
              <w:left w:val="nil"/>
              <w:bottom w:val="nil"/>
              <w:right w:val="single" w:sz="4" w:space="0" w:color="auto"/>
            </w:tcBorders>
            <w:shd w:val="clear" w:color="000000" w:fill="FAFAFA"/>
            <w:noWrap/>
            <w:vAlign w:val="bottom"/>
            <w:hideMark/>
          </w:tcPr>
          <w:p w14:paraId="6764D51F"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Sea</w:t>
            </w:r>
          </w:p>
        </w:tc>
        <w:tc>
          <w:tcPr>
            <w:tcW w:w="720" w:type="pct"/>
            <w:tcBorders>
              <w:top w:val="nil"/>
              <w:left w:val="nil"/>
              <w:bottom w:val="nil"/>
              <w:right w:val="single" w:sz="4" w:space="0" w:color="auto"/>
            </w:tcBorders>
            <w:shd w:val="clear" w:color="000000" w:fill="FAFAFA"/>
            <w:noWrap/>
            <w:vAlign w:val="bottom"/>
            <w:hideMark/>
          </w:tcPr>
          <w:p w14:paraId="2250FBC0"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nil"/>
              <w:right w:val="single" w:sz="4" w:space="0" w:color="auto"/>
            </w:tcBorders>
            <w:shd w:val="clear" w:color="000000" w:fill="FAFAFA"/>
            <w:noWrap/>
            <w:vAlign w:val="bottom"/>
            <w:hideMark/>
          </w:tcPr>
          <w:p w14:paraId="17D6C76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4" w:type="pct"/>
            <w:tcBorders>
              <w:top w:val="nil"/>
              <w:left w:val="nil"/>
              <w:bottom w:val="nil"/>
              <w:right w:val="single" w:sz="4" w:space="0" w:color="auto"/>
            </w:tcBorders>
            <w:shd w:val="clear" w:color="000000" w:fill="FAFAFA"/>
            <w:noWrap/>
            <w:vAlign w:val="bottom"/>
            <w:hideMark/>
          </w:tcPr>
          <w:p w14:paraId="25AC54F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80" w:type="pct"/>
            <w:tcBorders>
              <w:top w:val="nil"/>
              <w:left w:val="nil"/>
              <w:bottom w:val="nil"/>
              <w:right w:val="single" w:sz="4" w:space="0" w:color="auto"/>
            </w:tcBorders>
            <w:shd w:val="clear" w:color="000000" w:fill="FAFAFA"/>
            <w:noWrap/>
            <w:vAlign w:val="bottom"/>
            <w:hideMark/>
          </w:tcPr>
          <w:p w14:paraId="5F4386E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8" w:type="pct"/>
            <w:tcBorders>
              <w:top w:val="nil"/>
              <w:left w:val="nil"/>
              <w:bottom w:val="nil"/>
              <w:right w:val="single" w:sz="4" w:space="0" w:color="auto"/>
            </w:tcBorders>
            <w:shd w:val="clear" w:color="000000" w:fill="FAFAFA"/>
            <w:noWrap/>
            <w:vAlign w:val="bottom"/>
            <w:hideMark/>
          </w:tcPr>
          <w:p w14:paraId="3C9C291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w:t>
            </w:r>
          </w:p>
        </w:tc>
        <w:tc>
          <w:tcPr>
            <w:tcW w:w="417" w:type="pct"/>
            <w:tcBorders>
              <w:top w:val="nil"/>
              <w:left w:val="nil"/>
              <w:bottom w:val="nil"/>
              <w:right w:val="single" w:sz="4" w:space="0" w:color="auto"/>
            </w:tcBorders>
            <w:shd w:val="clear" w:color="000000" w:fill="FAFAFA"/>
            <w:noWrap/>
            <w:vAlign w:val="bottom"/>
            <w:hideMark/>
          </w:tcPr>
          <w:p w14:paraId="4DE0F58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3" w:type="pct"/>
            <w:tcBorders>
              <w:top w:val="nil"/>
              <w:left w:val="nil"/>
              <w:bottom w:val="nil"/>
              <w:right w:val="single" w:sz="4" w:space="0" w:color="auto"/>
            </w:tcBorders>
            <w:shd w:val="clear" w:color="000000" w:fill="FAFAFA"/>
            <w:noWrap/>
            <w:vAlign w:val="bottom"/>
            <w:hideMark/>
          </w:tcPr>
          <w:p w14:paraId="4A3903C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r>
      <w:tr w:rsidR="005F23CE" w:rsidRPr="00317CB4" w14:paraId="36A16DA3" w14:textId="77777777" w:rsidTr="00D53490">
        <w:trPr>
          <w:trHeight w:val="312"/>
        </w:trPr>
        <w:tc>
          <w:tcPr>
            <w:tcW w:w="1334" w:type="pct"/>
            <w:tcBorders>
              <w:top w:val="nil"/>
              <w:left w:val="single" w:sz="4" w:space="0" w:color="auto"/>
              <w:bottom w:val="nil"/>
              <w:right w:val="single" w:sz="4" w:space="0" w:color="auto"/>
            </w:tcBorders>
            <w:shd w:val="clear" w:color="000000" w:fill="FFFFFF"/>
            <w:noWrap/>
            <w:vAlign w:val="bottom"/>
            <w:hideMark/>
          </w:tcPr>
          <w:p w14:paraId="6CEEE02C"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Western Mediterranean Route</w:t>
            </w:r>
          </w:p>
        </w:tc>
        <w:tc>
          <w:tcPr>
            <w:tcW w:w="570" w:type="pct"/>
            <w:tcBorders>
              <w:top w:val="nil"/>
              <w:left w:val="nil"/>
              <w:bottom w:val="nil"/>
              <w:right w:val="single" w:sz="4" w:space="0" w:color="auto"/>
            </w:tcBorders>
            <w:shd w:val="clear" w:color="000000" w:fill="FFFFFF"/>
            <w:noWrap/>
            <w:vAlign w:val="bottom"/>
            <w:hideMark/>
          </w:tcPr>
          <w:p w14:paraId="231AECCD"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Sea</w:t>
            </w:r>
          </w:p>
        </w:tc>
        <w:tc>
          <w:tcPr>
            <w:tcW w:w="720" w:type="pct"/>
            <w:tcBorders>
              <w:top w:val="nil"/>
              <w:left w:val="nil"/>
              <w:bottom w:val="nil"/>
              <w:right w:val="single" w:sz="4" w:space="0" w:color="auto"/>
            </w:tcBorders>
            <w:shd w:val="clear" w:color="000000" w:fill="FFFFFF"/>
            <w:noWrap/>
            <w:vAlign w:val="bottom"/>
            <w:hideMark/>
          </w:tcPr>
          <w:p w14:paraId="5AFB2ED7"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nil"/>
              <w:right w:val="single" w:sz="4" w:space="0" w:color="auto"/>
            </w:tcBorders>
            <w:shd w:val="clear" w:color="000000" w:fill="FFFFFF"/>
            <w:noWrap/>
            <w:vAlign w:val="bottom"/>
            <w:hideMark/>
          </w:tcPr>
          <w:p w14:paraId="7140DB0C"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c>
          <w:tcPr>
            <w:tcW w:w="414" w:type="pct"/>
            <w:tcBorders>
              <w:top w:val="nil"/>
              <w:left w:val="nil"/>
              <w:bottom w:val="nil"/>
              <w:right w:val="single" w:sz="4" w:space="0" w:color="auto"/>
            </w:tcBorders>
            <w:shd w:val="clear" w:color="000000" w:fill="FFFFFF"/>
            <w:noWrap/>
            <w:vAlign w:val="bottom"/>
            <w:hideMark/>
          </w:tcPr>
          <w:p w14:paraId="60205F9B"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80" w:type="pct"/>
            <w:tcBorders>
              <w:top w:val="nil"/>
              <w:left w:val="nil"/>
              <w:bottom w:val="nil"/>
              <w:right w:val="single" w:sz="4" w:space="0" w:color="auto"/>
            </w:tcBorders>
            <w:shd w:val="clear" w:color="000000" w:fill="FFFFFF"/>
            <w:noWrap/>
            <w:vAlign w:val="bottom"/>
            <w:hideMark/>
          </w:tcPr>
          <w:p w14:paraId="5500AE1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8" w:type="pct"/>
            <w:tcBorders>
              <w:top w:val="nil"/>
              <w:left w:val="nil"/>
              <w:bottom w:val="nil"/>
              <w:right w:val="single" w:sz="4" w:space="0" w:color="auto"/>
            </w:tcBorders>
            <w:shd w:val="clear" w:color="000000" w:fill="FFFFFF"/>
            <w:noWrap/>
            <w:vAlign w:val="bottom"/>
            <w:hideMark/>
          </w:tcPr>
          <w:p w14:paraId="1622F6E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7" w:type="pct"/>
            <w:tcBorders>
              <w:top w:val="nil"/>
              <w:left w:val="nil"/>
              <w:bottom w:val="nil"/>
              <w:right w:val="single" w:sz="4" w:space="0" w:color="auto"/>
            </w:tcBorders>
            <w:shd w:val="clear" w:color="000000" w:fill="FFFFFF"/>
            <w:noWrap/>
            <w:vAlign w:val="bottom"/>
            <w:hideMark/>
          </w:tcPr>
          <w:p w14:paraId="5666DA4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3" w:type="pct"/>
            <w:tcBorders>
              <w:top w:val="nil"/>
              <w:left w:val="nil"/>
              <w:bottom w:val="nil"/>
              <w:right w:val="single" w:sz="4" w:space="0" w:color="auto"/>
            </w:tcBorders>
            <w:shd w:val="clear" w:color="000000" w:fill="FFFFFF"/>
            <w:noWrap/>
            <w:vAlign w:val="bottom"/>
            <w:hideMark/>
          </w:tcPr>
          <w:p w14:paraId="42CFBD6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r>
      <w:tr w:rsidR="005F23CE" w:rsidRPr="00317CB4" w14:paraId="7A2EE908" w14:textId="77777777" w:rsidTr="00D53490">
        <w:trPr>
          <w:trHeight w:val="312"/>
        </w:trPr>
        <w:tc>
          <w:tcPr>
            <w:tcW w:w="1334" w:type="pct"/>
            <w:tcBorders>
              <w:top w:val="nil"/>
              <w:left w:val="single" w:sz="4" w:space="0" w:color="auto"/>
              <w:bottom w:val="single" w:sz="4" w:space="0" w:color="auto"/>
              <w:right w:val="single" w:sz="4" w:space="0" w:color="auto"/>
            </w:tcBorders>
            <w:shd w:val="clear" w:color="000000" w:fill="FFFFFF"/>
            <w:noWrap/>
            <w:vAlign w:val="bottom"/>
            <w:hideMark/>
          </w:tcPr>
          <w:p w14:paraId="69F7C48E"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Eastern Borders Route</w:t>
            </w:r>
          </w:p>
        </w:tc>
        <w:tc>
          <w:tcPr>
            <w:tcW w:w="570" w:type="pct"/>
            <w:tcBorders>
              <w:top w:val="nil"/>
              <w:left w:val="nil"/>
              <w:bottom w:val="single" w:sz="4" w:space="0" w:color="auto"/>
              <w:right w:val="single" w:sz="4" w:space="0" w:color="auto"/>
            </w:tcBorders>
            <w:shd w:val="clear" w:color="000000" w:fill="FFFFFF"/>
            <w:noWrap/>
            <w:vAlign w:val="bottom"/>
            <w:hideMark/>
          </w:tcPr>
          <w:p w14:paraId="613C5A38"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Land</w:t>
            </w:r>
          </w:p>
        </w:tc>
        <w:tc>
          <w:tcPr>
            <w:tcW w:w="720" w:type="pct"/>
            <w:tcBorders>
              <w:top w:val="nil"/>
              <w:left w:val="nil"/>
              <w:bottom w:val="single" w:sz="4" w:space="0" w:color="auto"/>
              <w:right w:val="single" w:sz="4" w:space="0" w:color="auto"/>
            </w:tcBorders>
            <w:shd w:val="clear" w:color="000000" w:fill="FFFFFF"/>
            <w:noWrap/>
            <w:vAlign w:val="bottom"/>
            <w:hideMark/>
          </w:tcPr>
          <w:p w14:paraId="635DFFFE" w14:textId="77777777" w:rsidR="005F23CE" w:rsidRPr="00317CB4" w:rsidRDefault="005F23CE" w:rsidP="00D53490">
            <w:pPr>
              <w:spacing w:after="0" w:line="240" w:lineRule="auto"/>
              <w:jc w:val="lef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Syria</w:t>
            </w:r>
          </w:p>
        </w:tc>
        <w:tc>
          <w:tcPr>
            <w:tcW w:w="373" w:type="pct"/>
            <w:tcBorders>
              <w:top w:val="nil"/>
              <w:left w:val="nil"/>
              <w:bottom w:val="single" w:sz="4" w:space="0" w:color="auto"/>
              <w:right w:val="single" w:sz="4" w:space="0" w:color="auto"/>
            </w:tcBorders>
            <w:shd w:val="clear" w:color="000000" w:fill="FFFFFF"/>
            <w:noWrap/>
            <w:vAlign w:val="bottom"/>
            <w:hideMark/>
          </w:tcPr>
          <w:p w14:paraId="2832917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16</w:t>
            </w:r>
          </w:p>
        </w:tc>
        <w:tc>
          <w:tcPr>
            <w:tcW w:w="414" w:type="pct"/>
            <w:tcBorders>
              <w:top w:val="nil"/>
              <w:left w:val="nil"/>
              <w:bottom w:val="single" w:sz="4" w:space="0" w:color="auto"/>
              <w:right w:val="single" w:sz="4" w:space="0" w:color="auto"/>
            </w:tcBorders>
            <w:shd w:val="clear" w:color="000000" w:fill="FFFFFF"/>
            <w:noWrap/>
            <w:vAlign w:val="bottom"/>
            <w:hideMark/>
          </w:tcPr>
          <w:p w14:paraId="37031BB5"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25</w:t>
            </w:r>
          </w:p>
        </w:tc>
        <w:tc>
          <w:tcPr>
            <w:tcW w:w="380" w:type="pct"/>
            <w:tcBorders>
              <w:top w:val="nil"/>
              <w:left w:val="nil"/>
              <w:bottom w:val="single" w:sz="4" w:space="0" w:color="auto"/>
              <w:right w:val="single" w:sz="4" w:space="0" w:color="auto"/>
            </w:tcBorders>
            <w:shd w:val="clear" w:color="000000" w:fill="FFFFFF"/>
            <w:noWrap/>
            <w:vAlign w:val="bottom"/>
            <w:hideMark/>
          </w:tcPr>
          <w:p w14:paraId="0D4ABF4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23</w:t>
            </w:r>
          </w:p>
        </w:tc>
        <w:tc>
          <w:tcPr>
            <w:tcW w:w="398" w:type="pct"/>
            <w:tcBorders>
              <w:top w:val="nil"/>
              <w:left w:val="nil"/>
              <w:bottom w:val="single" w:sz="4" w:space="0" w:color="auto"/>
              <w:right w:val="single" w:sz="4" w:space="0" w:color="auto"/>
            </w:tcBorders>
            <w:shd w:val="clear" w:color="000000" w:fill="FFFFFF"/>
            <w:noWrap/>
            <w:vAlign w:val="bottom"/>
            <w:hideMark/>
          </w:tcPr>
          <w:p w14:paraId="0799D0E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w:t>
            </w:r>
          </w:p>
        </w:tc>
        <w:tc>
          <w:tcPr>
            <w:tcW w:w="417" w:type="pct"/>
            <w:tcBorders>
              <w:top w:val="nil"/>
              <w:left w:val="nil"/>
              <w:bottom w:val="single" w:sz="4" w:space="0" w:color="auto"/>
              <w:right w:val="single" w:sz="4" w:space="0" w:color="auto"/>
            </w:tcBorders>
            <w:shd w:val="clear" w:color="000000" w:fill="FFFFFF"/>
            <w:noWrap/>
            <w:vAlign w:val="bottom"/>
            <w:hideMark/>
          </w:tcPr>
          <w:p w14:paraId="32F0F9C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22</w:t>
            </w:r>
          </w:p>
        </w:tc>
        <w:tc>
          <w:tcPr>
            <w:tcW w:w="393" w:type="pct"/>
            <w:tcBorders>
              <w:top w:val="nil"/>
              <w:left w:val="nil"/>
              <w:bottom w:val="single" w:sz="4" w:space="0" w:color="auto"/>
              <w:right w:val="single" w:sz="4" w:space="0" w:color="auto"/>
            </w:tcBorders>
            <w:shd w:val="clear" w:color="000000" w:fill="FFFFFF"/>
            <w:noWrap/>
            <w:vAlign w:val="bottom"/>
            <w:hideMark/>
          </w:tcPr>
          <w:p w14:paraId="61AB0D6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r>
    </w:tbl>
    <w:p w14:paraId="74AEE152" w14:textId="77777777" w:rsidR="005F23CE" w:rsidRPr="00317CB4" w:rsidRDefault="005F23CE" w:rsidP="005F23CE">
      <w:pPr>
        <w:spacing w:line="360" w:lineRule="auto"/>
        <w:rPr>
          <w:lang w:val="en-GB"/>
        </w:rPr>
      </w:pPr>
    </w:p>
    <w:tbl>
      <w:tblPr>
        <w:tblW w:w="5000" w:type="pct"/>
        <w:tblLook w:val="04A0" w:firstRow="1" w:lastRow="0" w:firstColumn="1" w:lastColumn="0" w:noHBand="0" w:noVBand="1"/>
      </w:tblPr>
      <w:tblGrid>
        <w:gridCol w:w="1134"/>
        <w:gridCol w:w="1111"/>
        <w:gridCol w:w="1245"/>
        <w:gridCol w:w="1161"/>
        <w:gridCol w:w="1233"/>
        <w:gridCol w:w="1144"/>
        <w:gridCol w:w="1085"/>
        <w:gridCol w:w="1208"/>
        <w:gridCol w:w="1107"/>
        <w:gridCol w:w="1160"/>
        <w:gridCol w:w="1216"/>
        <w:gridCol w:w="1144"/>
      </w:tblGrid>
      <w:tr w:rsidR="005F23CE" w:rsidRPr="00317CB4" w14:paraId="17FA90E5" w14:textId="77777777" w:rsidTr="00D53490">
        <w:trPr>
          <w:trHeight w:val="352"/>
        </w:trPr>
        <w:tc>
          <w:tcPr>
            <w:tcW w:w="40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74070C15"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JAN2016</w:t>
            </w:r>
          </w:p>
        </w:tc>
        <w:tc>
          <w:tcPr>
            <w:tcW w:w="398"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4D67873A"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FEB2016</w:t>
            </w:r>
          </w:p>
        </w:tc>
        <w:tc>
          <w:tcPr>
            <w:tcW w:w="44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17BB90D1"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MAR2016</w:t>
            </w:r>
          </w:p>
        </w:tc>
        <w:tc>
          <w:tcPr>
            <w:tcW w:w="41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11AF661D"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APR2016</w:t>
            </w:r>
          </w:p>
        </w:tc>
        <w:tc>
          <w:tcPr>
            <w:tcW w:w="442"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10ED2541"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MAY2016</w:t>
            </w:r>
          </w:p>
        </w:tc>
        <w:tc>
          <w:tcPr>
            <w:tcW w:w="41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74BAE35C"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JUN2016</w:t>
            </w:r>
          </w:p>
        </w:tc>
        <w:tc>
          <w:tcPr>
            <w:tcW w:w="389"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40B13BD4"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JUL2016</w:t>
            </w:r>
          </w:p>
        </w:tc>
        <w:tc>
          <w:tcPr>
            <w:tcW w:w="433"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A511425"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AUG2016</w:t>
            </w:r>
          </w:p>
        </w:tc>
        <w:tc>
          <w:tcPr>
            <w:tcW w:w="397"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437ED15E"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SEP2016</w:t>
            </w:r>
          </w:p>
        </w:tc>
        <w:tc>
          <w:tcPr>
            <w:tcW w:w="41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7332DBA3"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OCT2016</w:t>
            </w:r>
          </w:p>
        </w:tc>
        <w:tc>
          <w:tcPr>
            <w:tcW w:w="436"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0120E9EA"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NOV2016</w:t>
            </w:r>
          </w:p>
        </w:tc>
        <w:tc>
          <w:tcPr>
            <w:tcW w:w="410" w:type="pct"/>
            <w:tcBorders>
              <w:top w:val="single" w:sz="4" w:space="0" w:color="auto"/>
              <w:left w:val="single" w:sz="4" w:space="0" w:color="auto"/>
              <w:bottom w:val="single" w:sz="4" w:space="0" w:color="auto"/>
              <w:right w:val="single" w:sz="4" w:space="0" w:color="auto"/>
            </w:tcBorders>
            <w:shd w:val="clear" w:color="000000" w:fill="EEEEEE"/>
            <w:noWrap/>
            <w:vAlign w:val="bottom"/>
            <w:hideMark/>
          </w:tcPr>
          <w:p w14:paraId="66BA667C" w14:textId="77777777" w:rsidR="005F23CE" w:rsidRPr="00317CB4" w:rsidRDefault="005F23CE" w:rsidP="00D53490">
            <w:pPr>
              <w:spacing w:after="0" w:line="240" w:lineRule="auto"/>
              <w:jc w:val="right"/>
              <w:rPr>
                <w:rFonts w:ascii="Calibri" w:eastAsia="Times New Roman" w:hAnsi="Calibri" w:cs="Calibri"/>
                <w:b/>
                <w:bCs/>
                <w:color w:val="111111"/>
                <w:sz w:val="24"/>
                <w:szCs w:val="24"/>
                <w:lang w:val="en-GB" w:eastAsia="en-GB"/>
              </w:rPr>
            </w:pPr>
            <w:r w:rsidRPr="00317CB4">
              <w:rPr>
                <w:rFonts w:ascii="Calibri" w:eastAsia="Times New Roman" w:hAnsi="Calibri" w:cs="Calibri"/>
                <w:b/>
                <w:bCs/>
                <w:color w:val="111111"/>
                <w:sz w:val="24"/>
                <w:szCs w:val="24"/>
                <w:lang w:val="en-GB" w:eastAsia="en-GB"/>
              </w:rPr>
              <w:t>DEC2016</w:t>
            </w:r>
          </w:p>
        </w:tc>
      </w:tr>
      <w:tr w:rsidR="005F23CE" w:rsidRPr="00317CB4" w14:paraId="45B8FA1A" w14:textId="77777777" w:rsidTr="00D53490">
        <w:trPr>
          <w:trHeight w:val="352"/>
        </w:trPr>
        <w:tc>
          <w:tcPr>
            <w:tcW w:w="406" w:type="pct"/>
            <w:tcBorders>
              <w:top w:val="nil"/>
              <w:left w:val="single" w:sz="4" w:space="0" w:color="auto"/>
              <w:bottom w:val="nil"/>
              <w:right w:val="single" w:sz="4" w:space="0" w:color="auto"/>
            </w:tcBorders>
            <w:shd w:val="clear" w:color="000000" w:fill="FAFAFA"/>
            <w:noWrap/>
            <w:vAlign w:val="bottom"/>
            <w:hideMark/>
          </w:tcPr>
          <w:p w14:paraId="02956B1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40</w:t>
            </w:r>
          </w:p>
        </w:tc>
        <w:tc>
          <w:tcPr>
            <w:tcW w:w="398" w:type="pct"/>
            <w:tcBorders>
              <w:top w:val="nil"/>
              <w:left w:val="nil"/>
              <w:bottom w:val="nil"/>
              <w:right w:val="single" w:sz="4" w:space="0" w:color="auto"/>
            </w:tcBorders>
            <w:shd w:val="clear" w:color="000000" w:fill="FAFAFA"/>
            <w:noWrap/>
            <w:vAlign w:val="bottom"/>
            <w:hideMark/>
          </w:tcPr>
          <w:p w14:paraId="39396F2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110</w:t>
            </w:r>
          </w:p>
        </w:tc>
        <w:tc>
          <w:tcPr>
            <w:tcW w:w="446" w:type="pct"/>
            <w:tcBorders>
              <w:top w:val="nil"/>
              <w:left w:val="nil"/>
              <w:bottom w:val="nil"/>
              <w:right w:val="single" w:sz="4" w:space="0" w:color="auto"/>
            </w:tcBorders>
            <w:shd w:val="clear" w:color="000000" w:fill="FAFAFA"/>
            <w:noWrap/>
            <w:vAlign w:val="bottom"/>
            <w:hideMark/>
          </w:tcPr>
          <w:p w14:paraId="6B68F37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266</w:t>
            </w:r>
          </w:p>
        </w:tc>
        <w:tc>
          <w:tcPr>
            <w:tcW w:w="416" w:type="pct"/>
            <w:tcBorders>
              <w:top w:val="nil"/>
              <w:left w:val="nil"/>
              <w:bottom w:val="nil"/>
              <w:right w:val="single" w:sz="4" w:space="0" w:color="auto"/>
            </w:tcBorders>
            <w:shd w:val="clear" w:color="000000" w:fill="FAFAFA"/>
            <w:noWrap/>
            <w:vAlign w:val="bottom"/>
            <w:hideMark/>
          </w:tcPr>
          <w:p w14:paraId="34503E9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311</w:t>
            </w:r>
          </w:p>
        </w:tc>
        <w:tc>
          <w:tcPr>
            <w:tcW w:w="442" w:type="pct"/>
            <w:tcBorders>
              <w:top w:val="nil"/>
              <w:left w:val="nil"/>
              <w:bottom w:val="nil"/>
              <w:right w:val="single" w:sz="4" w:space="0" w:color="auto"/>
            </w:tcBorders>
            <w:shd w:val="clear" w:color="000000" w:fill="FAFAFA"/>
            <w:noWrap/>
            <w:vAlign w:val="bottom"/>
            <w:hideMark/>
          </w:tcPr>
          <w:p w14:paraId="057D3F15"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356</w:t>
            </w:r>
          </w:p>
        </w:tc>
        <w:tc>
          <w:tcPr>
            <w:tcW w:w="410" w:type="pct"/>
            <w:tcBorders>
              <w:top w:val="nil"/>
              <w:left w:val="nil"/>
              <w:bottom w:val="nil"/>
              <w:right w:val="single" w:sz="4" w:space="0" w:color="auto"/>
            </w:tcBorders>
            <w:shd w:val="clear" w:color="000000" w:fill="FAFAFA"/>
            <w:noWrap/>
            <w:vAlign w:val="bottom"/>
            <w:hideMark/>
          </w:tcPr>
          <w:p w14:paraId="30E9CC8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580</w:t>
            </w:r>
          </w:p>
        </w:tc>
        <w:tc>
          <w:tcPr>
            <w:tcW w:w="389" w:type="pct"/>
            <w:tcBorders>
              <w:top w:val="nil"/>
              <w:left w:val="nil"/>
              <w:bottom w:val="nil"/>
              <w:right w:val="single" w:sz="4" w:space="0" w:color="auto"/>
            </w:tcBorders>
            <w:shd w:val="clear" w:color="000000" w:fill="FAFAFA"/>
            <w:noWrap/>
            <w:vAlign w:val="bottom"/>
            <w:hideMark/>
          </w:tcPr>
          <w:p w14:paraId="1457AD2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386</w:t>
            </w:r>
          </w:p>
        </w:tc>
        <w:tc>
          <w:tcPr>
            <w:tcW w:w="433" w:type="pct"/>
            <w:tcBorders>
              <w:top w:val="nil"/>
              <w:left w:val="nil"/>
              <w:bottom w:val="nil"/>
              <w:right w:val="single" w:sz="4" w:space="0" w:color="auto"/>
            </w:tcBorders>
            <w:shd w:val="clear" w:color="000000" w:fill="FAFAFA"/>
            <w:noWrap/>
            <w:vAlign w:val="bottom"/>
            <w:hideMark/>
          </w:tcPr>
          <w:p w14:paraId="029AC32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208</w:t>
            </w:r>
          </w:p>
        </w:tc>
        <w:tc>
          <w:tcPr>
            <w:tcW w:w="397" w:type="pct"/>
            <w:tcBorders>
              <w:top w:val="nil"/>
              <w:left w:val="nil"/>
              <w:bottom w:val="nil"/>
              <w:right w:val="single" w:sz="4" w:space="0" w:color="auto"/>
            </w:tcBorders>
            <w:shd w:val="clear" w:color="000000" w:fill="FAFAFA"/>
            <w:noWrap/>
            <w:vAlign w:val="bottom"/>
            <w:hideMark/>
          </w:tcPr>
          <w:p w14:paraId="063C9C8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85</w:t>
            </w:r>
          </w:p>
        </w:tc>
        <w:tc>
          <w:tcPr>
            <w:tcW w:w="416" w:type="pct"/>
            <w:tcBorders>
              <w:top w:val="nil"/>
              <w:left w:val="nil"/>
              <w:bottom w:val="nil"/>
              <w:right w:val="single" w:sz="4" w:space="0" w:color="auto"/>
            </w:tcBorders>
            <w:shd w:val="clear" w:color="000000" w:fill="FAFAFA"/>
            <w:noWrap/>
            <w:vAlign w:val="bottom"/>
            <w:hideMark/>
          </w:tcPr>
          <w:p w14:paraId="5E4DFB8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158</w:t>
            </w:r>
          </w:p>
        </w:tc>
        <w:tc>
          <w:tcPr>
            <w:tcW w:w="436" w:type="pct"/>
            <w:tcBorders>
              <w:top w:val="nil"/>
              <w:left w:val="nil"/>
              <w:bottom w:val="nil"/>
              <w:right w:val="single" w:sz="4" w:space="0" w:color="auto"/>
            </w:tcBorders>
            <w:shd w:val="clear" w:color="000000" w:fill="FAFAFA"/>
            <w:noWrap/>
            <w:vAlign w:val="bottom"/>
            <w:hideMark/>
          </w:tcPr>
          <w:p w14:paraId="70B8418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72</w:t>
            </w:r>
          </w:p>
        </w:tc>
        <w:tc>
          <w:tcPr>
            <w:tcW w:w="410" w:type="pct"/>
            <w:tcBorders>
              <w:top w:val="nil"/>
              <w:left w:val="nil"/>
              <w:bottom w:val="nil"/>
              <w:right w:val="single" w:sz="4" w:space="0" w:color="auto"/>
            </w:tcBorders>
            <w:shd w:val="clear" w:color="000000" w:fill="FAFAFA"/>
            <w:noWrap/>
            <w:vAlign w:val="bottom"/>
            <w:hideMark/>
          </w:tcPr>
          <w:p w14:paraId="67B5D4F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133</w:t>
            </w:r>
          </w:p>
        </w:tc>
      </w:tr>
      <w:tr w:rsidR="005F23CE" w:rsidRPr="00317CB4" w14:paraId="68180B54" w14:textId="77777777" w:rsidTr="00D53490">
        <w:trPr>
          <w:trHeight w:val="352"/>
        </w:trPr>
        <w:tc>
          <w:tcPr>
            <w:tcW w:w="406" w:type="pct"/>
            <w:tcBorders>
              <w:top w:val="nil"/>
              <w:left w:val="single" w:sz="4" w:space="0" w:color="auto"/>
              <w:bottom w:val="nil"/>
              <w:right w:val="single" w:sz="4" w:space="0" w:color="auto"/>
            </w:tcBorders>
            <w:shd w:val="clear" w:color="000000" w:fill="FFFFFF"/>
            <w:noWrap/>
            <w:vAlign w:val="bottom"/>
            <w:hideMark/>
          </w:tcPr>
          <w:p w14:paraId="645F8B8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w:t>
            </w:r>
          </w:p>
        </w:tc>
        <w:tc>
          <w:tcPr>
            <w:tcW w:w="398" w:type="pct"/>
            <w:tcBorders>
              <w:top w:val="nil"/>
              <w:left w:val="nil"/>
              <w:bottom w:val="nil"/>
              <w:right w:val="single" w:sz="4" w:space="0" w:color="auto"/>
            </w:tcBorders>
            <w:shd w:val="clear" w:color="000000" w:fill="FFFFFF"/>
            <w:noWrap/>
            <w:vAlign w:val="bottom"/>
            <w:hideMark/>
          </w:tcPr>
          <w:p w14:paraId="4078192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46" w:type="pct"/>
            <w:tcBorders>
              <w:top w:val="nil"/>
              <w:left w:val="nil"/>
              <w:bottom w:val="nil"/>
              <w:right w:val="single" w:sz="4" w:space="0" w:color="auto"/>
            </w:tcBorders>
            <w:shd w:val="clear" w:color="000000" w:fill="FFFFFF"/>
            <w:noWrap/>
            <w:vAlign w:val="bottom"/>
            <w:hideMark/>
          </w:tcPr>
          <w:p w14:paraId="5A69AA9C"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10</w:t>
            </w:r>
          </w:p>
        </w:tc>
        <w:tc>
          <w:tcPr>
            <w:tcW w:w="416" w:type="pct"/>
            <w:tcBorders>
              <w:top w:val="nil"/>
              <w:left w:val="nil"/>
              <w:bottom w:val="nil"/>
              <w:right w:val="single" w:sz="4" w:space="0" w:color="auto"/>
            </w:tcBorders>
            <w:shd w:val="clear" w:color="000000" w:fill="FFFFFF"/>
            <w:noWrap/>
            <w:vAlign w:val="bottom"/>
            <w:hideMark/>
          </w:tcPr>
          <w:p w14:paraId="22C2FA6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10</w:t>
            </w:r>
          </w:p>
        </w:tc>
        <w:tc>
          <w:tcPr>
            <w:tcW w:w="442" w:type="pct"/>
            <w:tcBorders>
              <w:top w:val="nil"/>
              <w:left w:val="nil"/>
              <w:bottom w:val="nil"/>
              <w:right w:val="single" w:sz="4" w:space="0" w:color="auto"/>
            </w:tcBorders>
            <w:shd w:val="clear" w:color="000000" w:fill="FFFFFF"/>
            <w:noWrap/>
            <w:vAlign w:val="bottom"/>
            <w:hideMark/>
          </w:tcPr>
          <w:p w14:paraId="2D0D82E2"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113</w:t>
            </w:r>
          </w:p>
        </w:tc>
        <w:tc>
          <w:tcPr>
            <w:tcW w:w="410" w:type="pct"/>
            <w:tcBorders>
              <w:top w:val="nil"/>
              <w:left w:val="nil"/>
              <w:bottom w:val="nil"/>
              <w:right w:val="single" w:sz="4" w:space="0" w:color="auto"/>
            </w:tcBorders>
            <w:shd w:val="clear" w:color="000000" w:fill="FFFFFF"/>
            <w:noWrap/>
            <w:vAlign w:val="bottom"/>
            <w:hideMark/>
          </w:tcPr>
          <w:p w14:paraId="7A62F1C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56</w:t>
            </w:r>
          </w:p>
        </w:tc>
        <w:tc>
          <w:tcPr>
            <w:tcW w:w="389" w:type="pct"/>
            <w:tcBorders>
              <w:top w:val="nil"/>
              <w:left w:val="nil"/>
              <w:bottom w:val="nil"/>
              <w:right w:val="single" w:sz="4" w:space="0" w:color="auto"/>
            </w:tcBorders>
            <w:shd w:val="clear" w:color="000000" w:fill="FFFFFF"/>
            <w:noWrap/>
            <w:vAlign w:val="bottom"/>
            <w:hideMark/>
          </w:tcPr>
          <w:p w14:paraId="40E2BC7B"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130</w:t>
            </w:r>
          </w:p>
        </w:tc>
        <w:tc>
          <w:tcPr>
            <w:tcW w:w="433" w:type="pct"/>
            <w:tcBorders>
              <w:top w:val="nil"/>
              <w:left w:val="nil"/>
              <w:bottom w:val="nil"/>
              <w:right w:val="single" w:sz="4" w:space="0" w:color="auto"/>
            </w:tcBorders>
            <w:shd w:val="clear" w:color="000000" w:fill="FFFFFF"/>
            <w:noWrap/>
            <w:vAlign w:val="bottom"/>
            <w:hideMark/>
          </w:tcPr>
          <w:p w14:paraId="55659C5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249</w:t>
            </w:r>
          </w:p>
        </w:tc>
        <w:tc>
          <w:tcPr>
            <w:tcW w:w="397" w:type="pct"/>
            <w:tcBorders>
              <w:top w:val="nil"/>
              <w:left w:val="nil"/>
              <w:bottom w:val="nil"/>
              <w:right w:val="single" w:sz="4" w:space="0" w:color="auto"/>
            </w:tcBorders>
            <w:shd w:val="clear" w:color="000000" w:fill="FFFFFF"/>
            <w:noWrap/>
            <w:vAlign w:val="bottom"/>
            <w:hideMark/>
          </w:tcPr>
          <w:p w14:paraId="362A9CE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207</w:t>
            </w:r>
          </w:p>
        </w:tc>
        <w:tc>
          <w:tcPr>
            <w:tcW w:w="416" w:type="pct"/>
            <w:tcBorders>
              <w:top w:val="nil"/>
              <w:left w:val="nil"/>
              <w:bottom w:val="nil"/>
              <w:right w:val="single" w:sz="4" w:space="0" w:color="auto"/>
            </w:tcBorders>
            <w:shd w:val="clear" w:color="000000" w:fill="FFFFFF"/>
            <w:noWrap/>
            <w:vAlign w:val="bottom"/>
            <w:hideMark/>
          </w:tcPr>
          <w:p w14:paraId="1BD21CB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169</w:t>
            </w:r>
          </w:p>
        </w:tc>
        <w:tc>
          <w:tcPr>
            <w:tcW w:w="436" w:type="pct"/>
            <w:tcBorders>
              <w:top w:val="nil"/>
              <w:left w:val="nil"/>
              <w:bottom w:val="nil"/>
              <w:right w:val="single" w:sz="4" w:space="0" w:color="auto"/>
            </w:tcBorders>
            <w:shd w:val="clear" w:color="000000" w:fill="FFFFFF"/>
            <w:noWrap/>
            <w:vAlign w:val="bottom"/>
            <w:hideMark/>
          </w:tcPr>
          <w:p w14:paraId="66A4674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174</w:t>
            </w:r>
          </w:p>
        </w:tc>
        <w:tc>
          <w:tcPr>
            <w:tcW w:w="410" w:type="pct"/>
            <w:tcBorders>
              <w:top w:val="nil"/>
              <w:left w:val="nil"/>
              <w:bottom w:val="nil"/>
              <w:right w:val="single" w:sz="4" w:space="0" w:color="auto"/>
            </w:tcBorders>
            <w:shd w:val="clear" w:color="000000" w:fill="FFFFFF"/>
            <w:noWrap/>
            <w:vAlign w:val="bottom"/>
            <w:hideMark/>
          </w:tcPr>
          <w:p w14:paraId="4C1BF87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73</w:t>
            </w:r>
          </w:p>
        </w:tc>
      </w:tr>
      <w:tr w:rsidR="005F23CE" w:rsidRPr="00317CB4" w14:paraId="4B78061B" w14:textId="77777777" w:rsidTr="00D53490">
        <w:trPr>
          <w:trHeight w:val="352"/>
        </w:trPr>
        <w:tc>
          <w:tcPr>
            <w:tcW w:w="406" w:type="pct"/>
            <w:tcBorders>
              <w:top w:val="nil"/>
              <w:left w:val="single" w:sz="4" w:space="0" w:color="auto"/>
              <w:bottom w:val="nil"/>
              <w:right w:val="single" w:sz="4" w:space="0" w:color="auto"/>
            </w:tcBorders>
            <w:shd w:val="clear" w:color="000000" w:fill="FAFAFA"/>
            <w:noWrap/>
            <w:vAlign w:val="bottom"/>
            <w:hideMark/>
          </w:tcPr>
          <w:p w14:paraId="7D77796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593</w:t>
            </w:r>
          </w:p>
        </w:tc>
        <w:tc>
          <w:tcPr>
            <w:tcW w:w="398" w:type="pct"/>
            <w:tcBorders>
              <w:top w:val="nil"/>
              <w:left w:val="nil"/>
              <w:bottom w:val="nil"/>
              <w:right w:val="single" w:sz="4" w:space="0" w:color="auto"/>
            </w:tcBorders>
            <w:shd w:val="clear" w:color="000000" w:fill="FAFAFA"/>
            <w:noWrap/>
            <w:vAlign w:val="bottom"/>
            <w:hideMark/>
          </w:tcPr>
          <w:p w14:paraId="6B78F66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469</w:t>
            </w:r>
          </w:p>
        </w:tc>
        <w:tc>
          <w:tcPr>
            <w:tcW w:w="446" w:type="pct"/>
            <w:tcBorders>
              <w:top w:val="nil"/>
              <w:left w:val="nil"/>
              <w:bottom w:val="nil"/>
              <w:right w:val="single" w:sz="4" w:space="0" w:color="auto"/>
            </w:tcBorders>
            <w:shd w:val="clear" w:color="000000" w:fill="FAFAFA"/>
            <w:noWrap/>
            <w:vAlign w:val="bottom"/>
            <w:hideMark/>
          </w:tcPr>
          <w:p w14:paraId="1A9197A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150</w:t>
            </w:r>
          </w:p>
        </w:tc>
        <w:tc>
          <w:tcPr>
            <w:tcW w:w="416" w:type="pct"/>
            <w:tcBorders>
              <w:top w:val="nil"/>
              <w:left w:val="nil"/>
              <w:bottom w:val="nil"/>
              <w:right w:val="single" w:sz="4" w:space="0" w:color="auto"/>
            </w:tcBorders>
            <w:shd w:val="clear" w:color="000000" w:fill="FAFAFA"/>
            <w:noWrap/>
            <w:vAlign w:val="bottom"/>
            <w:hideMark/>
          </w:tcPr>
          <w:p w14:paraId="5E747B9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272</w:t>
            </w:r>
          </w:p>
        </w:tc>
        <w:tc>
          <w:tcPr>
            <w:tcW w:w="442" w:type="pct"/>
            <w:tcBorders>
              <w:top w:val="nil"/>
              <w:left w:val="nil"/>
              <w:bottom w:val="nil"/>
              <w:right w:val="single" w:sz="4" w:space="0" w:color="auto"/>
            </w:tcBorders>
            <w:shd w:val="clear" w:color="000000" w:fill="FAFAFA"/>
            <w:noWrap/>
            <w:vAlign w:val="bottom"/>
            <w:hideMark/>
          </w:tcPr>
          <w:p w14:paraId="35B7704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127</w:t>
            </w:r>
          </w:p>
        </w:tc>
        <w:tc>
          <w:tcPr>
            <w:tcW w:w="410" w:type="pct"/>
            <w:tcBorders>
              <w:top w:val="nil"/>
              <w:left w:val="nil"/>
              <w:bottom w:val="nil"/>
              <w:right w:val="single" w:sz="4" w:space="0" w:color="auto"/>
            </w:tcBorders>
            <w:shd w:val="clear" w:color="000000" w:fill="FAFAFA"/>
            <w:noWrap/>
            <w:vAlign w:val="bottom"/>
            <w:hideMark/>
          </w:tcPr>
          <w:p w14:paraId="595C4F9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63</w:t>
            </w:r>
          </w:p>
        </w:tc>
        <w:tc>
          <w:tcPr>
            <w:tcW w:w="389" w:type="pct"/>
            <w:tcBorders>
              <w:top w:val="nil"/>
              <w:left w:val="nil"/>
              <w:bottom w:val="nil"/>
              <w:right w:val="single" w:sz="4" w:space="0" w:color="auto"/>
            </w:tcBorders>
            <w:shd w:val="clear" w:color="000000" w:fill="FAFAFA"/>
            <w:noWrap/>
            <w:vAlign w:val="bottom"/>
            <w:hideMark/>
          </w:tcPr>
          <w:p w14:paraId="4566BD0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126</w:t>
            </w:r>
          </w:p>
        </w:tc>
        <w:tc>
          <w:tcPr>
            <w:tcW w:w="433" w:type="pct"/>
            <w:tcBorders>
              <w:top w:val="nil"/>
              <w:left w:val="nil"/>
              <w:bottom w:val="nil"/>
              <w:right w:val="single" w:sz="4" w:space="0" w:color="auto"/>
            </w:tcBorders>
            <w:shd w:val="clear" w:color="000000" w:fill="FAFAFA"/>
            <w:noWrap/>
            <w:vAlign w:val="bottom"/>
            <w:hideMark/>
          </w:tcPr>
          <w:p w14:paraId="116EBFF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160</w:t>
            </w:r>
          </w:p>
        </w:tc>
        <w:tc>
          <w:tcPr>
            <w:tcW w:w="397" w:type="pct"/>
            <w:tcBorders>
              <w:top w:val="nil"/>
              <w:left w:val="nil"/>
              <w:bottom w:val="nil"/>
              <w:right w:val="single" w:sz="4" w:space="0" w:color="auto"/>
            </w:tcBorders>
            <w:shd w:val="clear" w:color="000000" w:fill="FAFAFA"/>
            <w:noWrap/>
            <w:vAlign w:val="bottom"/>
            <w:hideMark/>
          </w:tcPr>
          <w:p w14:paraId="60C6207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283</w:t>
            </w:r>
          </w:p>
        </w:tc>
        <w:tc>
          <w:tcPr>
            <w:tcW w:w="416" w:type="pct"/>
            <w:tcBorders>
              <w:top w:val="nil"/>
              <w:left w:val="nil"/>
              <w:bottom w:val="nil"/>
              <w:right w:val="single" w:sz="4" w:space="0" w:color="auto"/>
            </w:tcBorders>
            <w:shd w:val="clear" w:color="000000" w:fill="FAFAFA"/>
            <w:noWrap/>
            <w:vAlign w:val="bottom"/>
            <w:hideMark/>
          </w:tcPr>
          <w:p w14:paraId="2BD883F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484</w:t>
            </w:r>
          </w:p>
        </w:tc>
        <w:tc>
          <w:tcPr>
            <w:tcW w:w="436" w:type="pct"/>
            <w:tcBorders>
              <w:top w:val="nil"/>
              <w:left w:val="nil"/>
              <w:bottom w:val="nil"/>
              <w:right w:val="single" w:sz="4" w:space="0" w:color="auto"/>
            </w:tcBorders>
            <w:shd w:val="clear" w:color="000000" w:fill="FAFAFA"/>
            <w:noWrap/>
            <w:vAlign w:val="bottom"/>
            <w:hideMark/>
          </w:tcPr>
          <w:p w14:paraId="2C4B9BE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176</w:t>
            </w:r>
          </w:p>
        </w:tc>
        <w:tc>
          <w:tcPr>
            <w:tcW w:w="410" w:type="pct"/>
            <w:tcBorders>
              <w:top w:val="nil"/>
              <w:left w:val="nil"/>
              <w:bottom w:val="nil"/>
              <w:right w:val="single" w:sz="4" w:space="0" w:color="auto"/>
            </w:tcBorders>
            <w:shd w:val="clear" w:color="000000" w:fill="FAFAFA"/>
            <w:noWrap/>
            <w:vAlign w:val="bottom"/>
            <w:hideMark/>
          </w:tcPr>
          <w:p w14:paraId="6BA8F2D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112</w:t>
            </w:r>
          </w:p>
        </w:tc>
      </w:tr>
      <w:tr w:rsidR="005F23CE" w:rsidRPr="00317CB4" w14:paraId="37D7172B" w14:textId="77777777" w:rsidTr="00D53490">
        <w:trPr>
          <w:trHeight w:val="352"/>
        </w:trPr>
        <w:tc>
          <w:tcPr>
            <w:tcW w:w="406" w:type="pct"/>
            <w:tcBorders>
              <w:top w:val="nil"/>
              <w:left w:val="single" w:sz="4" w:space="0" w:color="auto"/>
              <w:bottom w:val="nil"/>
              <w:right w:val="single" w:sz="4" w:space="0" w:color="auto"/>
            </w:tcBorders>
            <w:shd w:val="clear" w:color="000000" w:fill="FAFAFA"/>
            <w:noWrap/>
            <w:vAlign w:val="bottom"/>
            <w:hideMark/>
          </w:tcPr>
          <w:p w14:paraId="568F0D0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8" w:type="pct"/>
            <w:tcBorders>
              <w:top w:val="nil"/>
              <w:left w:val="nil"/>
              <w:bottom w:val="nil"/>
              <w:right w:val="single" w:sz="4" w:space="0" w:color="auto"/>
            </w:tcBorders>
            <w:shd w:val="clear" w:color="000000" w:fill="FAFAFA"/>
            <w:noWrap/>
            <w:vAlign w:val="bottom"/>
            <w:hideMark/>
          </w:tcPr>
          <w:p w14:paraId="48F4A45B"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46" w:type="pct"/>
            <w:tcBorders>
              <w:top w:val="nil"/>
              <w:left w:val="nil"/>
              <w:bottom w:val="nil"/>
              <w:right w:val="single" w:sz="4" w:space="0" w:color="auto"/>
            </w:tcBorders>
            <w:shd w:val="clear" w:color="000000" w:fill="FAFAFA"/>
            <w:noWrap/>
            <w:vAlign w:val="bottom"/>
            <w:hideMark/>
          </w:tcPr>
          <w:p w14:paraId="6C5221D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6" w:type="pct"/>
            <w:tcBorders>
              <w:top w:val="nil"/>
              <w:left w:val="nil"/>
              <w:bottom w:val="nil"/>
              <w:right w:val="single" w:sz="4" w:space="0" w:color="auto"/>
            </w:tcBorders>
            <w:shd w:val="clear" w:color="000000" w:fill="FAFAFA"/>
            <w:noWrap/>
            <w:vAlign w:val="bottom"/>
            <w:hideMark/>
          </w:tcPr>
          <w:p w14:paraId="25E8BC0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42" w:type="pct"/>
            <w:tcBorders>
              <w:top w:val="nil"/>
              <w:left w:val="nil"/>
              <w:bottom w:val="nil"/>
              <w:right w:val="single" w:sz="4" w:space="0" w:color="auto"/>
            </w:tcBorders>
            <w:shd w:val="clear" w:color="000000" w:fill="FAFAFA"/>
            <w:noWrap/>
            <w:vAlign w:val="bottom"/>
            <w:hideMark/>
          </w:tcPr>
          <w:p w14:paraId="6C811AB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0" w:type="pct"/>
            <w:tcBorders>
              <w:top w:val="nil"/>
              <w:left w:val="nil"/>
              <w:bottom w:val="nil"/>
              <w:right w:val="single" w:sz="4" w:space="0" w:color="auto"/>
            </w:tcBorders>
            <w:shd w:val="clear" w:color="000000" w:fill="FAFAFA"/>
            <w:noWrap/>
            <w:vAlign w:val="bottom"/>
            <w:hideMark/>
          </w:tcPr>
          <w:p w14:paraId="2FEC0DEB"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89" w:type="pct"/>
            <w:tcBorders>
              <w:top w:val="nil"/>
              <w:left w:val="nil"/>
              <w:bottom w:val="nil"/>
              <w:right w:val="single" w:sz="4" w:space="0" w:color="auto"/>
            </w:tcBorders>
            <w:shd w:val="clear" w:color="000000" w:fill="FAFAFA"/>
            <w:noWrap/>
            <w:vAlign w:val="bottom"/>
            <w:hideMark/>
          </w:tcPr>
          <w:p w14:paraId="0DDEC60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33" w:type="pct"/>
            <w:tcBorders>
              <w:top w:val="nil"/>
              <w:left w:val="nil"/>
              <w:bottom w:val="nil"/>
              <w:right w:val="single" w:sz="4" w:space="0" w:color="auto"/>
            </w:tcBorders>
            <w:shd w:val="clear" w:color="000000" w:fill="FAFAFA"/>
            <w:noWrap/>
            <w:vAlign w:val="bottom"/>
            <w:hideMark/>
          </w:tcPr>
          <w:p w14:paraId="365F528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97" w:type="pct"/>
            <w:tcBorders>
              <w:top w:val="nil"/>
              <w:left w:val="nil"/>
              <w:bottom w:val="nil"/>
              <w:right w:val="single" w:sz="4" w:space="0" w:color="auto"/>
            </w:tcBorders>
            <w:shd w:val="clear" w:color="000000" w:fill="FAFAFA"/>
            <w:noWrap/>
            <w:vAlign w:val="bottom"/>
            <w:hideMark/>
          </w:tcPr>
          <w:p w14:paraId="01EE056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6" w:type="pct"/>
            <w:tcBorders>
              <w:top w:val="nil"/>
              <w:left w:val="nil"/>
              <w:bottom w:val="nil"/>
              <w:right w:val="single" w:sz="4" w:space="0" w:color="auto"/>
            </w:tcBorders>
            <w:shd w:val="clear" w:color="000000" w:fill="FAFAFA"/>
            <w:noWrap/>
            <w:vAlign w:val="bottom"/>
            <w:hideMark/>
          </w:tcPr>
          <w:p w14:paraId="2351D34D"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36" w:type="pct"/>
            <w:tcBorders>
              <w:top w:val="nil"/>
              <w:left w:val="nil"/>
              <w:bottom w:val="nil"/>
              <w:right w:val="single" w:sz="4" w:space="0" w:color="auto"/>
            </w:tcBorders>
            <w:shd w:val="clear" w:color="000000" w:fill="FAFAFA"/>
            <w:noWrap/>
            <w:vAlign w:val="bottom"/>
            <w:hideMark/>
          </w:tcPr>
          <w:p w14:paraId="1524022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0" w:type="pct"/>
            <w:tcBorders>
              <w:top w:val="nil"/>
              <w:left w:val="nil"/>
              <w:bottom w:val="nil"/>
              <w:right w:val="single" w:sz="4" w:space="0" w:color="auto"/>
            </w:tcBorders>
            <w:shd w:val="clear" w:color="000000" w:fill="FAFAFA"/>
            <w:noWrap/>
            <w:vAlign w:val="bottom"/>
            <w:hideMark/>
          </w:tcPr>
          <w:p w14:paraId="2172453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r>
      <w:tr w:rsidR="005F23CE" w:rsidRPr="00317CB4" w14:paraId="62E72A9A" w14:textId="77777777" w:rsidTr="00D53490">
        <w:trPr>
          <w:trHeight w:val="352"/>
        </w:trPr>
        <w:tc>
          <w:tcPr>
            <w:tcW w:w="406" w:type="pct"/>
            <w:tcBorders>
              <w:top w:val="nil"/>
              <w:left w:val="single" w:sz="4" w:space="0" w:color="auto"/>
              <w:bottom w:val="nil"/>
              <w:right w:val="single" w:sz="4" w:space="0" w:color="auto"/>
            </w:tcBorders>
            <w:shd w:val="clear" w:color="000000" w:fill="FFFFFF"/>
            <w:noWrap/>
            <w:vAlign w:val="bottom"/>
            <w:hideMark/>
          </w:tcPr>
          <w:p w14:paraId="51A0969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w:t>
            </w:r>
          </w:p>
        </w:tc>
        <w:tc>
          <w:tcPr>
            <w:tcW w:w="398" w:type="pct"/>
            <w:tcBorders>
              <w:top w:val="nil"/>
              <w:left w:val="nil"/>
              <w:bottom w:val="nil"/>
              <w:right w:val="single" w:sz="4" w:space="0" w:color="auto"/>
            </w:tcBorders>
            <w:shd w:val="clear" w:color="000000" w:fill="FFFFFF"/>
            <w:noWrap/>
            <w:vAlign w:val="bottom"/>
            <w:hideMark/>
          </w:tcPr>
          <w:p w14:paraId="18BD69F5"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c>
          <w:tcPr>
            <w:tcW w:w="446" w:type="pct"/>
            <w:tcBorders>
              <w:top w:val="nil"/>
              <w:left w:val="nil"/>
              <w:bottom w:val="nil"/>
              <w:right w:val="single" w:sz="4" w:space="0" w:color="auto"/>
            </w:tcBorders>
            <w:shd w:val="clear" w:color="000000" w:fill="FFFFFF"/>
            <w:noWrap/>
            <w:vAlign w:val="bottom"/>
            <w:hideMark/>
          </w:tcPr>
          <w:p w14:paraId="3596ACB4"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w:t>
            </w:r>
          </w:p>
        </w:tc>
        <w:tc>
          <w:tcPr>
            <w:tcW w:w="416" w:type="pct"/>
            <w:tcBorders>
              <w:top w:val="nil"/>
              <w:left w:val="nil"/>
              <w:bottom w:val="nil"/>
              <w:right w:val="single" w:sz="4" w:space="0" w:color="auto"/>
            </w:tcBorders>
            <w:shd w:val="clear" w:color="000000" w:fill="FFFFFF"/>
            <w:noWrap/>
            <w:vAlign w:val="bottom"/>
            <w:hideMark/>
          </w:tcPr>
          <w:p w14:paraId="706C40EA"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42" w:type="pct"/>
            <w:tcBorders>
              <w:top w:val="nil"/>
              <w:left w:val="nil"/>
              <w:bottom w:val="nil"/>
              <w:right w:val="single" w:sz="4" w:space="0" w:color="auto"/>
            </w:tcBorders>
            <w:shd w:val="clear" w:color="000000" w:fill="FFFFFF"/>
            <w:noWrap/>
            <w:vAlign w:val="bottom"/>
            <w:hideMark/>
          </w:tcPr>
          <w:p w14:paraId="040354D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0" w:type="pct"/>
            <w:tcBorders>
              <w:top w:val="nil"/>
              <w:left w:val="nil"/>
              <w:bottom w:val="nil"/>
              <w:right w:val="single" w:sz="4" w:space="0" w:color="auto"/>
            </w:tcBorders>
            <w:shd w:val="clear" w:color="000000" w:fill="FFFFFF"/>
            <w:noWrap/>
            <w:vAlign w:val="bottom"/>
            <w:hideMark/>
          </w:tcPr>
          <w:p w14:paraId="0ED9502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89" w:type="pct"/>
            <w:tcBorders>
              <w:top w:val="nil"/>
              <w:left w:val="nil"/>
              <w:bottom w:val="nil"/>
              <w:right w:val="single" w:sz="4" w:space="0" w:color="auto"/>
            </w:tcBorders>
            <w:shd w:val="clear" w:color="000000" w:fill="FFFFFF"/>
            <w:noWrap/>
            <w:vAlign w:val="bottom"/>
            <w:hideMark/>
          </w:tcPr>
          <w:p w14:paraId="41E4E8E5"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33" w:type="pct"/>
            <w:tcBorders>
              <w:top w:val="nil"/>
              <w:left w:val="nil"/>
              <w:bottom w:val="nil"/>
              <w:right w:val="single" w:sz="4" w:space="0" w:color="auto"/>
            </w:tcBorders>
            <w:shd w:val="clear" w:color="000000" w:fill="FFFFFF"/>
            <w:noWrap/>
            <w:vAlign w:val="bottom"/>
            <w:hideMark/>
          </w:tcPr>
          <w:p w14:paraId="05C77548"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c>
          <w:tcPr>
            <w:tcW w:w="397" w:type="pct"/>
            <w:tcBorders>
              <w:top w:val="nil"/>
              <w:left w:val="nil"/>
              <w:bottom w:val="nil"/>
              <w:right w:val="single" w:sz="4" w:space="0" w:color="auto"/>
            </w:tcBorders>
            <w:shd w:val="clear" w:color="000000" w:fill="FFFFFF"/>
            <w:noWrap/>
            <w:vAlign w:val="bottom"/>
            <w:hideMark/>
          </w:tcPr>
          <w:p w14:paraId="4FEB07B3"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c>
          <w:tcPr>
            <w:tcW w:w="416" w:type="pct"/>
            <w:tcBorders>
              <w:top w:val="nil"/>
              <w:left w:val="nil"/>
              <w:bottom w:val="nil"/>
              <w:right w:val="single" w:sz="4" w:space="0" w:color="auto"/>
            </w:tcBorders>
            <w:shd w:val="clear" w:color="000000" w:fill="FFFFFF"/>
            <w:noWrap/>
            <w:vAlign w:val="bottom"/>
            <w:hideMark/>
          </w:tcPr>
          <w:p w14:paraId="06932EE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36" w:type="pct"/>
            <w:tcBorders>
              <w:top w:val="nil"/>
              <w:left w:val="nil"/>
              <w:bottom w:val="nil"/>
              <w:right w:val="single" w:sz="4" w:space="0" w:color="auto"/>
            </w:tcBorders>
            <w:shd w:val="clear" w:color="000000" w:fill="FFFFFF"/>
            <w:noWrap/>
            <w:vAlign w:val="bottom"/>
            <w:hideMark/>
          </w:tcPr>
          <w:p w14:paraId="577A20D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0" w:type="pct"/>
            <w:tcBorders>
              <w:top w:val="nil"/>
              <w:left w:val="nil"/>
              <w:bottom w:val="nil"/>
              <w:right w:val="single" w:sz="4" w:space="0" w:color="auto"/>
            </w:tcBorders>
            <w:shd w:val="clear" w:color="000000" w:fill="FFFFFF"/>
            <w:noWrap/>
            <w:vAlign w:val="bottom"/>
            <w:hideMark/>
          </w:tcPr>
          <w:p w14:paraId="034AAD4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r>
      <w:tr w:rsidR="005F23CE" w:rsidRPr="00317CB4" w14:paraId="470BCB56" w14:textId="77777777" w:rsidTr="00D53490">
        <w:trPr>
          <w:trHeight w:val="352"/>
        </w:trPr>
        <w:tc>
          <w:tcPr>
            <w:tcW w:w="406" w:type="pct"/>
            <w:tcBorders>
              <w:top w:val="nil"/>
              <w:left w:val="single" w:sz="4" w:space="0" w:color="auto"/>
              <w:bottom w:val="single" w:sz="4" w:space="0" w:color="auto"/>
              <w:right w:val="single" w:sz="4" w:space="0" w:color="auto"/>
            </w:tcBorders>
            <w:shd w:val="clear" w:color="000000" w:fill="FFFFFF"/>
            <w:noWrap/>
            <w:vAlign w:val="bottom"/>
            <w:hideMark/>
          </w:tcPr>
          <w:p w14:paraId="595A48A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2</w:t>
            </w:r>
          </w:p>
        </w:tc>
        <w:tc>
          <w:tcPr>
            <w:tcW w:w="398" w:type="pct"/>
            <w:tcBorders>
              <w:top w:val="nil"/>
              <w:left w:val="nil"/>
              <w:bottom w:val="single" w:sz="4" w:space="0" w:color="auto"/>
              <w:right w:val="single" w:sz="4" w:space="0" w:color="auto"/>
            </w:tcBorders>
            <w:shd w:val="clear" w:color="000000" w:fill="FFFFFF"/>
            <w:noWrap/>
            <w:vAlign w:val="bottom"/>
            <w:hideMark/>
          </w:tcPr>
          <w:p w14:paraId="77A26FC1"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46" w:type="pct"/>
            <w:tcBorders>
              <w:top w:val="nil"/>
              <w:left w:val="nil"/>
              <w:bottom w:val="single" w:sz="4" w:space="0" w:color="auto"/>
              <w:right w:val="single" w:sz="4" w:space="0" w:color="auto"/>
            </w:tcBorders>
            <w:shd w:val="clear" w:color="000000" w:fill="FFFFFF"/>
            <w:noWrap/>
            <w:vAlign w:val="bottom"/>
            <w:hideMark/>
          </w:tcPr>
          <w:p w14:paraId="2DA642B0"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16" w:type="pct"/>
            <w:tcBorders>
              <w:top w:val="nil"/>
              <w:left w:val="nil"/>
              <w:bottom w:val="single" w:sz="4" w:space="0" w:color="auto"/>
              <w:right w:val="single" w:sz="4" w:space="0" w:color="auto"/>
            </w:tcBorders>
            <w:shd w:val="clear" w:color="000000" w:fill="FFFFFF"/>
            <w:noWrap/>
            <w:vAlign w:val="bottom"/>
            <w:hideMark/>
          </w:tcPr>
          <w:p w14:paraId="5E59324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4</w:t>
            </w:r>
          </w:p>
        </w:tc>
        <w:tc>
          <w:tcPr>
            <w:tcW w:w="442" w:type="pct"/>
            <w:tcBorders>
              <w:top w:val="nil"/>
              <w:left w:val="nil"/>
              <w:bottom w:val="single" w:sz="4" w:space="0" w:color="auto"/>
              <w:right w:val="single" w:sz="4" w:space="0" w:color="auto"/>
            </w:tcBorders>
            <w:shd w:val="clear" w:color="000000" w:fill="FFFFFF"/>
            <w:noWrap/>
            <w:vAlign w:val="bottom"/>
            <w:hideMark/>
          </w:tcPr>
          <w:p w14:paraId="1EEAAD8E"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4</w:t>
            </w:r>
          </w:p>
        </w:tc>
        <w:tc>
          <w:tcPr>
            <w:tcW w:w="410" w:type="pct"/>
            <w:tcBorders>
              <w:top w:val="nil"/>
              <w:left w:val="nil"/>
              <w:bottom w:val="single" w:sz="4" w:space="0" w:color="auto"/>
              <w:right w:val="single" w:sz="4" w:space="0" w:color="auto"/>
            </w:tcBorders>
            <w:shd w:val="clear" w:color="000000" w:fill="FFFFFF"/>
            <w:noWrap/>
            <w:vAlign w:val="bottom"/>
            <w:hideMark/>
          </w:tcPr>
          <w:p w14:paraId="2C10D94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389" w:type="pct"/>
            <w:tcBorders>
              <w:top w:val="nil"/>
              <w:left w:val="nil"/>
              <w:bottom w:val="single" w:sz="4" w:space="0" w:color="auto"/>
              <w:right w:val="single" w:sz="4" w:space="0" w:color="auto"/>
            </w:tcBorders>
            <w:shd w:val="clear" w:color="000000" w:fill="FFFFFF"/>
            <w:noWrap/>
            <w:vAlign w:val="bottom"/>
            <w:hideMark/>
          </w:tcPr>
          <w:p w14:paraId="1D6D726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c>
          <w:tcPr>
            <w:tcW w:w="433" w:type="pct"/>
            <w:tcBorders>
              <w:top w:val="nil"/>
              <w:left w:val="nil"/>
              <w:bottom w:val="single" w:sz="4" w:space="0" w:color="auto"/>
              <w:right w:val="single" w:sz="4" w:space="0" w:color="auto"/>
            </w:tcBorders>
            <w:shd w:val="clear" w:color="000000" w:fill="FFFFFF"/>
            <w:noWrap/>
            <w:vAlign w:val="bottom"/>
            <w:hideMark/>
          </w:tcPr>
          <w:p w14:paraId="0ACBD1C9"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7</w:t>
            </w:r>
          </w:p>
        </w:tc>
        <w:tc>
          <w:tcPr>
            <w:tcW w:w="397" w:type="pct"/>
            <w:tcBorders>
              <w:top w:val="nil"/>
              <w:left w:val="nil"/>
              <w:bottom w:val="single" w:sz="4" w:space="0" w:color="auto"/>
              <w:right w:val="single" w:sz="4" w:space="0" w:color="auto"/>
            </w:tcBorders>
            <w:shd w:val="clear" w:color="000000" w:fill="FFFFFF"/>
            <w:noWrap/>
            <w:vAlign w:val="bottom"/>
            <w:hideMark/>
          </w:tcPr>
          <w:p w14:paraId="483BCE1B"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1</w:t>
            </w:r>
          </w:p>
        </w:tc>
        <w:tc>
          <w:tcPr>
            <w:tcW w:w="416" w:type="pct"/>
            <w:tcBorders>
              <w:top w:val="nil"/>
              <w:left w:val="nil"/>
              <w:bottom w:val="single" w:sz="4" w:space="0" w:color="auto"/>
              <w:right w:val="single" w:sz="4" w:space="0" w:color="auto"/>
            </w:tcBorders>
            <w:shd w:val="clear" w:color="000000" w:fill="FFFFFF"/>
            <w:noWrap/>
            <w:vAlign w:val="bottom"/>
            <w:hideMark/>
          </w:tcPr>
          <w:p w14:paraId="395EC397"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8</w:t>
            </w:r>
          </w:p>
        </w:tc>
        <w:tc>
          <w:tcPr>
            <w:tcW w:w="436" w:type="pct"/>
            <w:tcBorders>
              <w:top w:val="nil"/>
              <w:left w:val="nil"/>
              <w:bottom w:val="single" w:sz="4" w:space="0" w:color="auto"/>
              <w:right w:val="single" w:sz="4" w:space="0" w:color="auto"/>
            </w:tcBorders>
            <w:shd w:val="clear" w:color="000000" w:fill="FFFFFF"/>
            <w:noWrap/>
            <w:vAlign w:val="bottom"/>
            <w:hideMark/>
          </w:tcPr>
          <w:p w14:paraId="03825346"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6</w:t>
            </w:r>
          </w:p>
        </w:tc>
        <w:tc>
          <w:tcPr>
            <w:tcW w:w="410" w:type="pct"/>
            <w:tcBorders>
              <w:top w:val="nil"/>
              <w:left w:val="nil"/>
              <w:bottom w:val="single" w:sz="4" w:space="0" w:color="auto"/>
              <w:right w:val="single" w:sz="4" w:space="0" w:color="auto"/>
            </w:tcBorders>
            <w:shd w:val="clear" w:color="000000" w:fill="FFFFFF"/>
            <w:noWrap/>
            <w:vAlign w:val="bottom"/>
            <w:hideMark/>
          </w:tcPr>
          <w:p w14:paraId="39C1489F" w14:textId="77777777" w:rsidR="005F23CE" w:rsidRPr="00317CB4" w:rsidRDefault="005F23CE" w:rsidP="00D53490">
            <w:pPr>
              <w:spacing w:after="0" w:line="240" w:lineRule="auto"/>
              <w:jc w:val="right"/>
              <w:rPr>
                <w:rFonts w:ascii="Calibri" w:eastAsia="Times New Roman" w:hAnsi="Calibri" w:cs="Calibri"/>
                <w:color w:val="111111"/>
                <w:sz w:val="24"/>
                <w:szCs w:val="24"/>
                <w:lang w:val="en-GB" w:eastAsia="en-GB"/>
              </w:rPr>
            </w:pPr>
            <w:r w:rsidRPr="00317CB4">
              <w:rPr>
                <w:rFonts w:ascii="Calibri" w:eastAsia="Times New Roman" w:hAnsi="Calibri" w:cs="Calibri"/>
                <w:color w:val="111111"/>
                <w:sz w:val="24"/>
                <w:szCs w:val="24"/>
                <w:lang w:val="en-GB" w:eastAsia="en-GB"/>
              </w:rPr>
              <w:t>0</w:t>
            </w:r>
          </w:p>
        </w:tc>
      </w:tr>
    </w:tbl>
    <w:p w14:paraId="424F56C9" w14:textId="3660FC9C" w:rsidR="008D0DDD" w:rsidRPr="00317CB4" w:rsidRDefault="008D0DDD" w:rsidP="005A2BCB">
      <w:pPr>
        <w:spacing w:line="360" w:lineRule="auto"/>
        <w:rPr>
          <w:lang w:val="en-GB"/>
        </w:rPr>
        <w:sectPr w:rsidR="008D0DDD" w:rsidRPr="00317CB4" w:rsidSect="001C78FB">
          <w:pgSz w:w="16838" w:h="11906" w:orient="landscape"/>
          <w:pgMar w:top="1440" w:right="1440" w:bottom="1440" w:left="1440" w:header="708" w:footer="708" w:gutter="0"/>
          <w:cols w:space="708"/>
          <w:docGrid w:linePitch="360"/>
        </w:sectPr>
      </w:pPr>
    </w:p>
    <w:p w14:paraId="1482D1BD" w14:textId="61710CFA" w:rsidR="00E03F48" w:rsidRPr="00317CB4" w:rsidRDefault="00C77E1D" w:rsidP="005A2BCB">
      <w:pPr>
        <w:spacing w:line="360" w:lineRule="auto"/>
        <w:rPr>
          <w:b/>
          <w:bCs/>
          <w:lang w:val="en-GB"/>
        </w:rPr>
      </w:pPr>
      <w:r w:rsidRPr="00317CB4">
        <w:rPr>
          <w:b/>
          <w:bCs/>
          <w:lang w:val="en-GB"/>
        </w:rPr>
        <w:lastRenderedPageBreak/>
        <w:t xml:space="preserve">Appendix </w:t>
      </w:r>
      <w:r w:rsidR="00BC5D15" w:rsidRPr="00317CB4">
        <w:rPr>
          <w:b/>
          <w:bCs/>
          <w:lang w:val="en-GB"/>
        </w:rPr>
        <w:t>4</w:t>
      </w:r>
      <w:r w:rsidRPr="00317CB4">
        <w:rPr>
          <w:b/>
          <w:bCs/>
          <w:lang w:val="en-GB"/>
        </w:rPr>
        <w:t xml:space="preserve">: </w:t>
      </w:r>
      <w:r w:rsidR="009B0D9D" w:rsidRPr="00317CB4">
        <w:rPr>
          <w:b/>
          <w:bCs/>
          <w:lang w:val="en-GB"/>
        </w:rPr>
        <w:t xml:space="preserve">Comparison of Regulations </w:t>
      </w:r>
    </w:p>
    <w:p w14:paraId="656CBE08" w14:textId="2653A09D" w:rsidR="00903562" w:rsidRPr="00317CB4" w:rsidRDefault="00E242D9" w:rsidP="008D0DDD">
      <w:pPr>
        <w:spacing w:line="360" w:lineRule="auto"/>
        <w:rPr>
          <w:lang w:val="en-GB"/>
        </w:rPr>
      </w:pPr>
      <w:r w:rsidRPr="00317CB4">
        <w:rPr>
          <w:lang w:val="en-GB"/>
        </w:rPr>
        <w:t>This table is to show examples of some articles in the Frontex Regulations over the years, starting with the original Regulation that created the agency and continuing with two expansions of the mandate. Thus, in the first column, the original article is listed. Columns 2 and 3</w:t>
      </w:r>
      <w:r w:rsidR="00F26F67" w:rsidRPr="00317CB4">
        <w:rPr>
          <w:lang w:val="en-GB"/>
        </w:rPr>
        <w:t xml:space="preserve"> then show </w:t>
      </w:r>
      <w:r w:rsidRPr="00317CB4">
        <w:rPr>
          <w:lang w:val="en-GB"/>
        </w:rPr>
        <w:t xml:space="preserve">the corresponding articles in the new Regulations. To exemplify the extent to which the Regulations have also increased in size, articles that did not exist in the original Regulation but were added later on are also mentioned. </w:t>
      </w:r>
    </w:p>
    <w:tbl>
      <w:tblPr>
        <w:tblStyle w:val="TableGrid"/>
        <w:tblW w:w="0" w:type="auto"/>
        <w:tblLook w:val="04A0" w:firstRow="1" w:lastRow="0" w:firstColumn="1" w:lastColumn="0" w:noHBand="0" w:noVBand="1"/>
      </w:tblPr>
      <w:tblGrid>
        <w:gridCol w:w="3005"/>
        <w:gridCol w:w="3005"/>
        <w:gridCol w:w="3006"/>
      </w:tblGrid>
      <w:tr w:rsidR="00E242D9" w:rsidRPr="00317CB4" w14:paraId="348E43ED" w14:textId="77777777" w:rsidTr="00D53490">
        <w:tc>
          <w:tcPr>
            <w:tcW w:w="3005" w:type="dxa"/>
          </w:tcPr>
          <w:p w14:paraId="03FAC3F8" w14:textId="77777777" w:rsidR="00E242D9" w:rsidRPr="00317CB4" w:rsidRDefault="00E242D9" w:rsidP="00D53490">
            <w:pPr>
              <w:rPr>
                <w:lang w:val="en-GB"/>
              </w:rPr>
            </w:pPr>
            <w:r w:rsidRPr="00317CB4">
              <w:rPr>
                <w:lang w:val="en-GB"/>
              </w:rPr>
              <w:t xml:space="preserve">Original 2004 Regulation </w:t>
            </w:r>
          </w:p>
        </w:tc>
        <w:tc>
          <w:tcPr>
            <w:tcW w:w="3005" w:type="dxa"/>
          </w:tcPr>
          <w:p w14:paraId="463CAECD" w14:textId="77777777" w:rsidR="00E242D9" w:rsidRPr="00317CB4" w:rsidRDefault="00E242D9" w:rsidP="00D53490">
            <w:pPr>
              <w:rPr>
                <w:lang w:val="en-GB"/>
              </w:rPr>
            </w:pPr>
            <w:r w:rsidRPr="00317CB4">
              <w:rPr>
                <w:lang w:val="en-GB"/>
              </w:rPr>
              <w:t xml:space="preserve">2016 Regulation </w:t>
            </w:r>
          </w:p>
        </w:tc>
        <w:tc>
          <w:tcPr>
            <w:tcW w:w="3006" w:type="dxa"/>
          </w:tcPr>
          <w:p w14:paraId="210AC0AC" w14:textId="77777777" w:rsidR="00E242D9" w:rsidRPr="00317CB4" w:rsidRDefault="00E242D9" w:rsidP="00D53490">
            <w:pPr>
              <w:rPr>
                <w:lang w:val="en-GB"/>
              </w:rPr>
            </w:pPr>
            <w:r w:rsidRPr="00317CB4">
              <w:rPr>
                <w:lang w:val="en-GB"/>
              </w:rPr>
              <w:t xml:space="preserve">2019 Regulation </w:t>
            </w:r>
          </w:p>
        </w:tc>
      </w:tr>
      <w:tr w:rsidR="00E242D9" w:rsidRPr="00317CB4" w14:paraId="7169B07A" w14:textId="77777777" w:rsidTr="00DF460F">
        <w:trPr>
          <w:trHeight w:val="533"/>
        </w:trPr>
        <w:tc>
          <w:tcPr>
            <w:tcW w:w="9016" w:type="dxa"/>
            <w:gridSpan w:val="3"/>
          </w:tcPr>
          <w:p w14:paraId="7BDB45D7" w14:textId="77777777" w:rsidR="00BD1DCC" w:rsidRPr="00317CB4" w:rsidRDefault="00BD1DCC" w:rsidP="00D53490">
            <w:pPr>
              <w:jc w:val="center"/>
              <w:rPr>
                <w:b/>
                <w:bCs/>
                <w:lang w:val="en-GB"/>
              </w:rPr>
            </w:pPr>
          </w:p>
          <w:p w14:paraId="3F098BF2" w14:textId="2DE9C299" w:rsidR="00E242D9" w:rsidRPr="00317CB4" w:rsidRDefault="00E242D9" w:rsidP="00D53490">
            <w:pPr>
              <w:jc w:val="center"/>
              <w:rPr>
                <w:b/>
                <w:bCs/>
                <w:lang w:val="en-GB"/>
              </w:rPr>
            </w:pPr>
            <w:r w:rsidRPr="00317CB4">
              <w:rPr>
                <w:b/>
                <w:bCs/>
                <w:lang w:val="en-GB"/>
              </w:rPr>
              <w:t xml:space="preserve">Tasks Of Frontex </w:t>
            </w:r>
          </w:p>
          <w:p w14:paraId="50D0B2D7" w14:textId="127F771F" w:rsidR="00BD1DCC" w:rsidRPr="00317CB4" w:rsidRDefault="00BD1DCC" w:rsidP="00D53490">
            <w:pPr>
              <w:jc w:val="center"/>
              <w:rPr>
                <w:b/>
                <w:bCs/>
                <w:lang w:val="en-GB"/>
              </w:rPr>
            </w:pPr>
          </w:p>
        </w:tc>
      </w:tr>
      <w:tr w:rsidR="00E242D9" w:rsidRPr="00317CB4" w14:paraId="61ADAFA5" w14:textId="77777777" w:rsidTr="00D53490">
        <w:tc>
          <w:tcPr>
            <w:tcW w:w="3005" w:type="dxa"/>
          </w:tcPr>
          <w:p w14:paraId="7EA4385F" w14:textId="77777777" w:rsidR="00E242D9" w:rsidRPr="00317CB4" w:rsidRDefault="00E242D9" w:rsidP="00D53490">
            <w:pPr>
              <w:rPr>
                <w:lang w:val="en-GB"/>
              </w:rPr>
            </w:pPr>
            <w:r w:rsidRPr="00317CB4">
              <w:rPr>
                <w:lang w:val="en-GB"/>
              </w:rPr>
              <w:t>Article 2 a-f</w:t>
            </w:r>
          </w:p>
        </w:tc>
        <w:tc>
          <w:tcPr>
            <w:tcW w:w="3005" w:type="dxa"/>
          </w:tcPr>
          <w:p w14:paraId="7D137EAF" w14:textId="77777777" w:rsidR="00E242D9" w:rsidRPr="00317CB4" w:rsidRDefault="00E242D9" w:rsidP="00D53490">
            <w:pPr>
              <w:rPr>
                <w:lang w:val="en-GB"/>
              </w:rPr>
            </w:pPr>
            <w:r w:rsidRPr="00317CB4">
              <w:rPr>
                <w:lang w:val="en-GB"/>
              </w:rPr>
              <w:t>Article 8 a-u</w:t>
            </w:r>
          </w:p>
        </w:tc>
        <w:tc>
          <w:tcPr>
            <w:tcW w:w="3006" w:type="dxa"/>
          </w:tcPr>
          <w:p w14:paraId="6FEFE83F" w14:textId="77777777" w:rsidR="00E242D9" w:rsidRPr="00317CB4" w:rsidRDefault="00E242D9" w:rsidP="00D53490">
            <w:pPr>
              <w:rPr>
                <w:lang w:val="en-GB"/>
              </w:rPr>
            </w:pPr>
            <w:r w:rsidRPr="00317CB4">
              <w:rPr>
                <w:lang w:val="en-GB"/>
              </w:rPr>
              <w:t>Chapter 2, Section 1, Article 10 a-ag</w:t>
            </w:r>
          </w:p>
        </w:tc>
      </w:tr>
      <w:tr w:rsidR="00E242D9" w:rsidRPr="00317CB4" w14:paraId="5B22FB2F" w14:textId="77777777" w:rsidTr="00D53490">
        <w:tc>
          <w:tcPr>
            <w:tcW w:w="9016" w:type="dxa"/>
            <w:gridSpan w:val="3"/>
          </w:tcPr>
          <w:p w14:paraId="4E62587E" w14:textId="77777777" w:rsidR="00BD1DCC" w:rsidRPr="00317CB4" w:rsidRDefault="00BD1DCC" w:rsidP="00D53490">
            <w:pPr>
              <w:jc w:val="center"/>
              <w:rPr>
                <w:b/>
                <w:bCs/>
                <w:lang w:val="en-GB"/>
              </w:rPr>
            </w:pPr>
          </w:p>
          <w:p w14:paraId="5F384965" w14:textId="568F3147" w:rsidR="00E242D9" w:rsidRPr="00317CB4" w:rsidRDefault="00E242D9" w:rsidP="00D53490">
            <w:pPr>
              <w:jc w:val="center"/>
              <w:rPr>
                <w:b/>
                <w:bCs/>
                <w:lang w:val="en-GB"/>
              </w:rPr>
            </w:pPr>
            <w:r w:rsidRPr="00317CB4">
              <w:rPr>
                <w:b/>
                <w:bCs/>
                <w:lang w:val="en-GB"/>
              </w:rPr>
              <w:t>Support to Member States in circumstances requiring</w:t>
            </w:r>
          </w:p>
          <w:p w14:paraId="0D649C95" w14:textId="77777777" w:rsidR="00E242D9" w:rsidRPr="00317CB4" w:rsidRDefault="00E242D9" w:rsidP="00D53490">
            <w:pPr>
              <w:jc w:val="center"/>
              <w:rPr>
                <w:b/>
                <w:bCs/>
                <w:lang w:val="en-GB"/>
              </w:rPr>
            </w:pPr>
            <w:r w:rsidRPr="00317CB4">
              <w:rPr>
                <w:b/>
                <w:bCs/>
                <w:lang w:val="en-GB"/>
              </w:rPr>
              <w:t>increased technical and operational assistance at external</w:t>
            </w:r>
          </w:p>
          <w:p w14:paraId="04D410A5" w14:textId="77777777" w:rsidR="00E242D9" w:rsidRPr="00317CB4" w:rsidRDefault="00E242D9" w:rsidP="00D53490">
            <w:pPr>
              <w:jc w:val="center"/>
              <w:rPr>
                <w:b/>
                <w:bCs/>
                <w:lang w:val="en-GB"/>
              </w:rPr>
            </w:pPr>
            <w:r w:rsidRPr="00317CB4">
              <w:rPr>
                <w:b/>
                <w:bCs/>
                <w:lang w:val="en-GB"/>
              </w:rPr>
              <w:t>borders (Art. 8)</w:t>
            </w:r>
          </w:p>
          <w:p w14:paraId="67D7C164" w14:textId="6C4A98C8" w:rsidR="00BD1DCC" w:rsidRPr="00317CB4" w:rsidRDefault="00BD1DCC" w:rsidP="00D53490">
            <w:pPr>
              <w:jc w:val="center"/>
              <w:rPr>
                <w:lang w:val="en-GB"/>
              </w:rPr>
            </w:pPr>
          </w:p>
        </w:tc>
      </w:tr>
      <w:tr w:rsidR="00E242D9" w:rsidRPr="00317CB4" w14:paraId="5C429ECD" w14:textId="77777777" w:rsidTr="00D53490">
        <w:tc>
          <w:tcPr>
            <w:tcW w:w="3005" w:type="dxa"/>
          </w:tcPr>
          <w:p w14:paraId="680B1C74" w14:textId="77777777" w:rsidR="00E242D9" w:rsidRPr="00317CB4" w:rsidRDefault="00E242D9" w:rsidP="00D53490">
            <w:pPr>
              <w:rPr>
                <w:lang w:val="en-GB"/>
              </w:rPr>
            </w:pPr>
            <w:r w:rsidRPr="00317CB4">
              <w:rPr>
                <w:lang w:val="en-GB"/>
              </w:rPr>
              <w:t>Article 8.1</w:t>
            </w:r>
          </w:p>
        </w:tc>
        <w:tc>
          <w:tcPr>
            <w:tcW w:w="3005" w:type="dxa"/>
          </w:tcPr>
          <w:p w14:paraId="0D4F7AF1" w14:textId="77777777" w:rsidR="00E242D9" w:rsidRPr="00317CB4" w:rsidRDefault="00E242D9" w:rsidP="00D53490">
            <w:pPr>
              <w:rPr>
                <w:lang w:val="en-GB"/>
              </w:rPr>
            </w:pPr>
            <w:r w:rsidRPr="00317CB4">
              <w:rPr>
                <w:lang w:val="en-GB"/>
              </w:rPr>
              <w:t>Article 14.1 and 14.2 on Actions by the Agency at the external borders</w:t>
            </w:r>
          </w:p>
          <w:p w14:paraId="3D2C1923" w14:textId="77777777" w:rsidR="00E242D9" w:rsidRPr="00317CB4" w:rsidRDefault="00E242D9" w:rsidP="00D53490">
            <w:pPr>
              <w:rPr>
                <w:lang w:val="en-GB"/>
              </w:rPr>
            </w:pPr>
          </w:p>
        </w:tc>
        <w:tc>
          <w:tcPr>
            <w:tcW w:w="3006" w:type="dxa"/>
          </w:tcPr>
          <w:p w14:paraId="5FCD2649" w14:textId="77777777" w:rsidR="00E242D9" w:rsidRPr="00317CB4" w:rsidRDefault="00E242D9" w:rsidP="00D53490">
            <w:pPr>
              <w:rPr>
                <w:lang w:val="en-GB"/>
              </w:rPr>
            </w:pPr>
            <w:r w:rsidRPr="00317CB4">
              <w:rPr>
                <w:lang w:val="en-GB"/>
              </w:rPr>
              <w:t>Section 7, Article 36 (1), (3), (4) and Article 36 (2) points (a) to (e) on Actions by the Agency at the external borders</w:t>
            </w:r>
          </w:p>
        </w:tc>
      </w:tr>
      <w:tr w:rsidR="00E242D9" w:rsidRPr="00317CB4" w14:paraId="74E5ABB4" w14:textId="77777777" w:rsidTr="00D53490">
        <w:tc>
          <w:tcPr>
            <w:tcW w:w="9016" w:type="dxa"/>
            <w:gridSpan w:val="3"/>
          </w:tcPr>
          <w:p w14:paraId="4A160E4B" w14:textId="77777777" w:rsidR="00BD1DCC" w:rsidRPr="00317CB4" w:rsidRDefault="00BD1DCC" w:rsidP="00D53490">
            <w:pPr>
              <w:jc w:val="center"/>
              <w:rPr>
                <w:b/>
                <w:bCs/>
                <w:lang w:val="en-GB"/>
              </w:rPr>
            </w:pPr>
          </w:p>
          <w:p w14:paraId="6E7F3887" w14:textId="77777777" w:rsidR="00E242D9" w:rsidRPr="00317CB4" w:rsidRDefault="00E242D9" w:rsidP="00D53490">
            <w:pPr>
              <w:jc w:val="center"/>
              <w:rPr>
                <w:b/>
                <w:bCs/>
                <w:lang w:val="en-GB"/>
              </w:rPr>
            </w:pPr>
            <w:r w:rsidRPr="00317CB4">
              <w:rPr>
                <w:b/>
                <w:bCs/>
                <w:lang w:val="en-GB"/>
              </w:rPr>
              <w:t>Functions and powers of the Executive Director</w:t>
            </w:r>
          </w:p>
          <w:p w14:paraId="02D307FA" w14:textId="4B2F3E8B" w:rsidR="00BD1DCC" w:rsidRPr="00317CB4" w:rsidRDefault="00BD1DCC" w:rsidP="00D53490">
            <w:pPr>
              <w:jc w:val="center"/>
              <w:rPr>
                <w:lang w:val="en-GB"/>
              </w:rPr>
            </w:pPr>
          </w:p>
        </w:tc>
      </w:tr>
      <w:tr w:rsidR="00E242D9" w:rsidRPr="00317CB4" w14:paraId="479A9CD6" w14:textId="77777777" w:rsidTr="00D53490">
        <w:tc>
          <w:tcPr>
            <w:tcW w:w="3005" w:type="dxa"/>
          </w:tcPr>
          <w:p w14:paraId="29F906D7" w14:textId="77777777" w:rsidR="00E242D9" w:rsidRPr="00317CB4" w:rsidRDefault="00E242D9" w:rsidP="00D53490">
            <w:pPr>
              <w:rPr>
                <w:lang w:val="en-GB"/>
              </w:rPr>
            </w:pPr>
            <w:r w:rsidRPr="00317CB4">
              <w:rPr>
                <w:lang w:val="en-GB"/>
              </w:rPr>
              <w:t xml:space="preserve">Article 25 </w:t>
            </w:r>
          </w:p>
        </w:tc>
        <w:tc>
          <w:tcPr>
            <w:tcW w:w="3005" w:type="dxa"/>
          </w:tcPr>
          <w:p w14:paraId="5188269E" w14:textId="77777777" w:rsidR="00E242D9" w:rsidRPr="00317CB4" w:rsidRDefault="00E242D9" w:rsidP="00D53490">
            <w:pPr>
              <w:rPr>
                <w:lang w:val="en-GB"/>
              </w:rPr>
            </w:pPr>
            <w:r w:rsidRPr="00317CB4">
              <w:rPr>
                <w:lang w:val="en-GB"/>
              </w:rPr>
              <w:t xml:space="preserve">Article 68 </w:t>
            </w:r>
          </w:p>
        </w:tc>
        <w:tc>
          <w:tcPr>
            <w:tcW w:w="3006" w:type="dxa"/>
          </w:tcPr>
          <w:p w14:paraId="6F3E644C" w14:textId="77777777" w:rsidR="00E242D9" w:rsidRPr="00317CB4" w:rsidRDefault="00E242D9" w:rsidP="00D53490">
            <w:pPr>
              <w:rPr>
                <w:lang w:val="en-GB"/>
              </w:rPr>
            </w:pPr>
            <w:r w:rsidRPr="00317CB4">
              <w:rPr>
                <w:lang w:val="en-GB"/>
              </w:rPr>
              <w:t>Article 106</w:t>
            </w:r>
          </w:p>
        </w:tc>
      </w:tr>
      <w:tr w:rsidR="00E242D9" w:rsidRPr="00317CB4" w14:paraId="6931666B" w14:textId="77777777" w:rsidTr="00D53490">
        <w:tc>
          <w:tcPr>
            <w:tcW w:w="9016" w:type="dxa"/>
            <w:gridSpan w:val="3"/>
          </w:tcPr>
          <w:p w14:paraId="5AE94C6C" w14:textId="77777777" w:rsidR="00BD1DCC" w:rsidRPr="00317CB4" w:rsidRDefault="00BD1DCC" w:rsidP="00D53490">
            <w:pPr>
              <w:jc w:val="center"/>
              <w:rPr>
                <w:b/>
                <w:bCs/>
                <w:lang w:val="en-GB"/>
              </w:rPr>
            </w:pPr>
          </w:p>
          <w:p w14:paraId="19B8935B" w14:textId="77777777" w:rsidR="00BD1DCC" w:rsidRPr="00317CB4" w:rsidRDefault="00E242D9" w:rsidP="00D53490">
            <w:pPr>
              <w:jc w:val="center"/>
              <w:rPr>
                <w:b/>
                <w:bCs/>
                <w:lang w:val="en-GB"/>
              </w:rPr>
            </w:pPr>
            <w:r w:rsidRPr="00317CB4">
              <w:rPr>
                <w:b/>
                <w:bCs/>
                <w:lang w:val="en-GB"/>
              </w:rPr>
              <w:t>Cooperation with Union institutions, bodies, offices, agencies, and international organisations</w:t>
            </w:r>
          </w:p>
          <w:p w14:paraId="117FA6DF" w14:textId="4325BC60" w:rsidR="00E242D9" w:rsidRPr="00317CB4" w:rsidRDefault="00E242D9" w:rsidP="00D53490">
            <w:pPr>
              <w:jc w:val="center"/>
              <w:rPr>
                <w:lang w:val="en-GB"/>
              </w:rPr>
            </w:pPr>
            <w:r w:rsidRPr="00317CB4">
              <w:rPr>
                <w:b/>
                <w:bCs/>
                <w:lang w:val="en-GB"/>
              </w:rPr>
              <w:t xml:space="preserve"> </w:t>
            </w:r>
          </w:p>
        </w:tc>
      </w:tr>
      <w:tr w:rsidR="00E242D9" w:rsidRPr="00317CB4" w14:paraId="49DC47AF" w14:textId="77777777" w:rsidTr="00D53490">
        <w:tc>
          <w:tcPr>
            <w:tcW w:w="3005" w:type="dxa"/>
          </w:tcPr>
          <w:p w14:paraId="2732F38F" w14:textId="77777777" w:rsidR="00E242D9" w:rsidRPr="00317CB4" w:rsidRDefault="00E242D9" w:rsidP="00D53490">
            <w:pPr>
              <w:rPr>
                <w:i/>
                <w:iCs/>
                <w:lang w:val="en-GB"/>
              </w:rPr>
            </w:pPr>
            <w:r w:rsidRPr="00317CB4">
              <w:rPr>
                <w:i/>
                <w:iCs/>
                <w:lang w:val="en-GB"/>
              </w:rPr>
              <w:t>This article did not exist in the original Regulation</w:t>
            </w:r>
          </w:p>
        </w:tc>
        <w:tc>
          <w:tcPr>
            <w:tcW w:w="3005" w:type="dxa"/>
          </w:tcPr>
          <w:p w14:paraId="68B682DF" w14:textId="77777777" w:rsidR="00E242D9" w:rsidRPr="00317CB4" w:rsidRDefault="00E242D9" w:rsidP="00D53490">
            <w:pPr>
              <w:rPr>
                <w:lang w:val="en-GB"/>
              </w:rPr>
            </w:pPr>
            <w:r w:rsidRPr="00317CB4">
              <w:rPr>
                <w:lang w:val="en-GB"/>
              </w:rPr>
              <w:t>Article 52</w:t>
            </w:r>
          </w:p>
        </w:tc>
        <w:tc>
          <w:tcPr>
            <w:tcW w:w="3006" w:type="dxa"/>
          </w:tcPr>
          <w:p w14:paraId="3CC7A19E" w14:textId="77777777" w:rsidR="00E242D9" w:rsidRPr="00317CB4" w:rsidRDefault="00E242D9" w:rsidP="00D53490">
            <w:pPr>
              <w:rPr>
                <w:lang w:val="en-GB"/>
              </w:rPr>
            </w:pPr>
            <w:r w:rsidRPr="00317CB4">
              <w:rPr>
                <w:lang w:val="en-GB"/>
              </w:rPr>
              <w:t>Article 68(1), first subparagraph and second subparagraph, points (a) to (g)</w:t>
            </w:r>
          </w:p>
          <w:p w14:paraId="519006DC" w14:textId="77777777" w:rsidR="00E242D9" w:rsidRPr="00317CB4" w:rsidRDefault="00E242D9" w:rsidP="00D53490">
            <w:pPr>
              <w:rPr>
                <w:lang w:val="en-GB"/>
              </w:rPr>
            </w:pPr>
          </w:p>
          <w:p w14:paraId="1D64054F" w14:textId="77777777" w:rsidR="00E242D9" w:rsidRPr="00317CB4" w:rsidRDefault="00E242D9" w:rsidP="00D53490">
            <w:pPr>
              <w:rPr>
                <w:lang w:val="en-GB"/>
              </w:rPr>
            </w:pPr>
            <w:r w:rsidRPr="00317CB4">
              <w:rPr>
                <w:lang w:val="en-GB"/>
              </w:rPr>
              <w:t>Article 68(1), point (i) and (j)</w:t>
            </w:r>
          </w:p>
          <w:p w14:paraId="212C63F2" w14:textId="77777777" w:rsidR="00E242D9" w:rsidRPr="00317CB4" w:rsidRDefault="00E242D9" w:rsidP="00D53490">
            <w:pPr>
              <w:rPr>
                <w:lang w:val="en-GB"/>
              </w:rPr>
            </w:pPr>
          </w:p>
          <w:p w14:paraId="3F02EFE4" w14:textId="77777777" w:rsidR="00E242D9" w:rsidRPr="00317CB4" w:rsidRDefault="00E242D9" w:rsidP="00D53490">
            <w:pPr>
              <w:rPr>
                <w:lang w:val="en-GB"/>
              </w:rPr>
            </w:pPr>
            <w:r w:rsidRPr="00317CB4">
              <w:rPr>
                <w:lang w:val="en-GB"/>
              </w:rPr>
              <w:t>Article 68(1), third subparagraph, points (a) to (d)</w:t>
            </w:r>
          </w:p>
          <w:p w14:paraId="6EB9C169" w14:textId="77777777" w:rsidR="00E242D9" w:rsidRPr="00317CB4" w:rsidRDefault="00E242D9" w:rsidP="00D53490">
            <w:pPr>
              <w:rPr>
                <w:lang w:val="en-GB"/>
              </w:rPr>
            </w:pPr>
          </w:p>
          <w:p w14:paraId="673DD333" w14:textId="77777777" w:rsidR="00E242D9" w:rsidRPr="00317CB4" w:rsidRDefault="00E242D9" w:rsidP="00D53490">
            <w:pPr>
              <w:rPr>
                <w:lang w:val="en-GB"/>
              </w:rPr>
            </w:pPr>
            <w:r w:rsidRPr="00317CB4">
              <w:rPr>
                <w:lang w:val="en-GB"/>
              </w:rPr>
              <w:t>Article 68(2-6)</w:t>
            </w:r>
          </w:p>
        </w:tc>
      </w:tr>
      <w:tr w:rsidR="00E242D9" w:rsidRPr="00317CB4" w14:paraId="0698F172" w14:textId="77777777" w:rsidTr="00D53490">
        <w:tc>
          <w:tcPr>
            <w:tcW w:w="9016" w:type="dxa"/>
            <w:gridSpan w:val="3"/>
          </w:tcPr>
          <w:p w14:paraId="033EBC09" w14:textId="77777777" w:rsidR="00BD1DCC" w:rsidRPr="00317CB4" w:rsidRDefault="00BD1DCC" w:rsidP="00D53490">
            <w:pPr>
              <w:jc w:val="center"/>
              <w:rPr>
                <w:b/>
                <w:bCs/>
                <w:lang w:val="en-GB"/>
              </w:rPr>
            </w:pPr>
          </w:p>
          <w:p w14:paraId="22B6DD97" w14:textId="58F9D3C9" w:rsidR="00E242D9" w:rsidRPr="00317CB4" w:rsidRDefault="00E242D9" w:rsidP="00D53490">
            <w:pPr>
              <w:jc w:val="center"/>
              <w:rPr>
                <w:b/>
                <w:bCs/>
                <w:lang w:val="en-GB"/>
              </w:rPr>
            </w:pPr>
            <w:r w:rsidRPr="00317CB4">
              <w:rPr>
                <w:b/>
                <w:bCs/>
                <w:lang w:val="en-GB"/>
              </w:rPr>
              <w:t>Member States' participation in the standing corps through long-term secondment (Art. 56)</w:t>
            </w:r>
          </w:p>
          <w:p w14:paraId="5C5FBB9A" w14:textId="77777777" w:rsidR="00E242D9" w:rsidRPr="00317CB4" w:rsidRDefault="00E242D9" w:rsidP="00D53490">
            <w:pPr>
              <w:jc w:val="center"/>
              <w:rPr>
                <w:b/>
                <w:bCs/>
                <w:lang w:val="en-GB"/>
              </w:rPr>
            </w:pPr>
            <w:r w:rsidRPr="00317CB4">
              <w:rPr>
                <w:b/>
                <w:bCs/>
                <w:lang w:val="en-GB"/>
              </w:rPr>
              <w:t>Member States' participation in the standing corps through short-term deployments (Art. 57)</w:t>
            </w:r>
          </w:p>
          <w:p w14:paraId="26950380" w14:textId="77777777" w:rsidR="00E242D9" w:rsidRPr="00317CB4" w:rsidRDefault="00E242D9" w:rsidP="00D53490">
            <w:pPr>
              <w:jc w:val="center"/>
              <w:rPr>
                <w:b/>
                <w:bCs/>
                <w:lang w:val="en-GB"/>
              </w:rPr>
            </w:pPr>
            <w:r w:rsidRPr="00317CB4">
              <w:rPr>
                <w:b/>
                <w:bCs/>
                <w:lang w:val="en-GB"/>
              </w:rPr>
              <w:t>Member States' participation in the standing corps through the reserve for rapid reaction (Art. 58)</w:t>
            </w:r>
          </w:p>
          <w:p w14:paraId="5FACE34D" w14:textId="18C05BF8" w:rsidR="00BD1DCC" w:rsidRPr="00317CB4" w:rsidRDefault="00BD1DCC" w:rsidP="00D53490">
            <w:pPr>
              <w:jc w:val="center"/>
              <w:rPr>
                <w:lang w:val="en-GB"/>
              </w:rPr>
            </w:pPr>
          </w:p>
        </w:tc>
      </w:tr>
      <w:tr w:rsidR="00E242D9" w:rsidRPr="00317CB4" w14:paraId="16E6B3F3" w14:textId="77777777" w:rsidTr="00D53490">
        <w:tc>
          <w:tcPr>
            <w:tcW w:w="3005" w:type="dxa"/>
          </w:tcPr>
          <w:p w14:paraId="3473482E" w14:textId="77777777" w:rsidR="00E242D9" w:rsidRPr="00317CB4" w:rsidRDefault="00E242D9" w:rsidP="00D53490">
            <w:pPr>
              <w:rPr>
                <w:i/>
                <w:iCs/>
                <w:lang w:val="en-GB"/>
              </w:rPr>
            </w:pPr>
            <w:r w:rsidRPr="00317CB4">
              <w:rPr>
                <w:i/>
                <w:iCs/>
                <w:lang w:val="en-GB"/>
              </w:rPr>
              <w:t>These articles did not exist in the original Regulation</w:t>
            </w:r>
          </w:p>
        </w:tc>
        <w:tc>
          <w:tcPr>
            <w:tcW w:w="3005" w:type="dxa"/>
          </w:tcPr>
          <w:p w14:paraId="45A4D52B" w14:textId="77777777" w:rsidR="00E242D9" w:rsidRPr="00317CB4" w:rsidRDefault="00E242D9" w:rsidP="00D53490">
            <w:pPr>
              <w:rPr>
                <w:i/>
                <w:iCs/>
                <w:lang w:val="en-GB"/>
              </w:rPr>
            </w:pPr>
            <w:r w:rsidRPr="00317CB4">
              <w:rPr>
                <w:i/>
                <w:iCs/>
                <w:lang w:val="en-GB"/>
              </w:rPr>
              <w:t xml:space="preserve">This article was not added in the second Regulation </w:t>
            </w:r>
          </w:p>
        </w:tc>
        <w:tc>
          <w:tcPr>
            <w:tcW w:w="3006" w:type="dxa"/>
          </w:tcPr>
          <w:p w14:paraId="5F929EE6" w14:textId="77777777" w:rsidR="00E242D9" w:rsidRPr="00317CB4" w:rsidRDefault="00E242D9" w:rsidP="00D53490">
            <w:pPr>
              <w:rPr>
                <w:lang w:val="en-GB"/>
              </w:rPr>
            </w:pPr>
            <w:r w:rsidRPr="00317CB4">
              <w:rPr>
                <w:lang w:val="en-GB"/>
              </w:rPr>
              <w:t xml:space="preserve">These three articles were all added in the latest Regulation to elaborate on how the member states are expected to contribute to the deployable work forces of Frontex </w:t>
            </w:r>
          </w:p>
        </w:tc>
      </w:tr>
    </w:tbl>
    <w:p w14:paraId="350DEE46" w14:textId="77777777" w:rsidR="00BD1DCC" w:rsidRPr="00317CB4" w:rsidRDefault="00BD1DCC" w:rsidP="00E242D9">
      <w:pPr>
        <w:rPr>
          <w:lang w:val="en-GB"/>
        </w:rPr>
      </w:pPr>
    </w:p>
    <w:p w14:paraId="6B444BB2" w14:textId="14C1410D" w:rsidR="00BD1DCC" w:rsidRPr="00317CB4" w:rsidRDefault="00BD1DCC" w:rsidP="00BD1DCC">
      <w:pPr>
        <w:spacing w:line="360" w:lineRule="auto"/>
        <w:rPr>
          <w:lang w:val="en-GB"/>
        </w:rPr>
      </w:pPr>
      <w:r w:rsidRPr="00317CB4">
        <w:rPr>
          <w:lang w:val="en-GB"/>
        </w:rPr>
        <w:t xml:space="preserve">Already from the beginning, extra articles were included on the cooperation with Ireland and the UK. In the first 2 regulations, the articles remained the same, but the 2019 </w:t>
      </w:r>
      <w:r w:rsidR="00FC3116" w:rsidRPr="00317CB4">
        <w:rPr>
          <w:lang w:val="en-GB"/>
        </w:rPr>
        <w:t>R</w:t>
      </w:r>
      <w:r w:rsidRPr="00317CB4">
        <w:rPr>
          <w:lang w:val="en-GB"/>
        </w:rPr>
        <w:t xml:space="preserve">egulation expanded on the cooperation quite significantly. The 2019 </w:t>
      </w:r>
      <w:r w:rsidR="00FC3116" w:rsidRPr="00317CB4">
        <w:rPr>
          <w:lang w:val="en-GB"/>
        </w:rPr>
        <w:t>R</w:t>
      </w:r>
      <w:r w:rsidRPr="00317CB4">
        <w:rPr>
          <w:lang w:val="en-GB"/>
        </w:rPr>
        <w:t>egulation also mentions more articles that elaborate on each instances cooperation with third countries, i.e. the agency itself, member states, technical and operational assistance to third countries, exchange of information with third countries in the framework of EUROSUR, role of the Commission with regard to cooperation with third countries, liaison officers in third countries (Art. 71-77). A whole section (Chapter 4, Section 2, Art. 86-92) on personal data and how that is processed in which context in also added in response to the GDPR Regulation (EU) 2016/679.</w:t>
      </w:r>
    </w:p>
    <w:p w14:paraId="486C64D4" w14:textId="1DB473D7" w:rsidR="009B0D9D" w:rsidRPr="00317CB4" w:rsidRDefault="00BD1DCC" w:rsidP="002F0A71">
      <w:pPr>
        <w:spacing w:line="360" w:lineRule="auto"/>
        <w:ind w:firstLine="720"/>
        <w:rPr>
          <w:lang w:val="en-GB"/>
        </w:rPr>
      </w:pPr>
      <w:r w:rsidRPr="00317CB4">
        <w:rPr>
          <w:lang w:val="en-GB"/>
        </w:rPr>
        <w:t>The first amendment to the initial 2004 Regulation to establish Frontex already exceeds the original document by 65 pages, jumping from 11 pages that describe and define the tasks to 76. This is exceeded, by far, with the second amendment as this expands the descriptions and definitions to cover 131 pages. Examples of new additions in the first amendment include Article 28 – Return operations which supports what was Chapter 2, Article 2(f). This is subsequently elaborated on in Article 29, 30, 31, 32, and 33.</w:t>
      </w:r>
    </w:p>
    <w:p w14:paraId="31EB28D5" w14:textId="77777777" w:rsidR="00E03F48" w:rsidRPr="00317CB4" w:rsidRDefault="00E03F48" w:rsidP="005A2BCB">
      <w:pPr>
        <w:spacing w:line="360" w:lineRule="auto"/>
        <w:rPr>
          <w:lang w:val="en-GB"/>
        </w:rPr>
      </w:pPr>
    </w:p>
    <w:p w14:paraId="554860A9" w14:textId="77777777" w:rsidR="007716BC" w:rsidRPr="00317CB4" w:rsidRDefault="007716BC" w:rsidP="005A2BCB">
      <w:pPr>
        <w:spacing w:line="360" w:lineRule="auto"/>
        <w:rPr>
          <w:lang w:val="en-GB"/>
        </w:rPr>
      </w:pPr>
    </w:p>
    <w:p w14:paraId="243B87E0" w14:textId="77777777" w:rsidR="007716BC" w:rsidRPr="00317CB4" w:rsidRDefault="007716BC" w:rsidP="005A2BCB">
      <w:pPr>
        <w:spacing w:line="360" w:lineRule="auto"/>
        <w:rPr>
          <w:lang w:val="en-GB"/>
        </w:rPr>
      </w:pPr>
    </w:p>
    <w:p w14:paraId="7EEED3B4" w14:textId="77777777" w:rsidR="007716BC" w:rsidRPr="00317CB4" w:rsidRDefault="007716BC" w:rsidP="005A2BCB">
      <w:pPr>
        <w:spacing w:line="360" w:lineRule="auto"/>
        <w:rPr>
          <w:lang w:val="en-GB"/>
        </w:rPr>
      </w:pPr>
    </w:p>
    <w:p w14:paraId="4518FA20" w14:textId="77777777" w:rsidR="007716BC" w:rsidRPr="00317CB4" w:rsidRDefault="007716BC" w:rsidP="005A2BCB">
      <w:pPr>
        <w:spacing w:line="360" w:lineRule="auto"/>
        <w:rPr>
          <w:lang w:val="en-GB"/>
        </w:rPr>
      </w:pPr>
    </w:p>
    <w:p w14:paraId="75F5C27D" w14:textId="77777777" w:rsidR="007716BC" w:rsidRPr="00317CB4" w:rsidRDefault="007716BC" w:rsidP="005A2BCB">
      <w:pPr>
        <w:spacing w:line="360" w:lineRule="auto"/>
        <w:rPr>
          <w:lang w:val="en-GB"/>
        </w:rPr>
      </w:pPr>
    </w:p>
    <w:p w14:paraId="5C280C59" w14:textId="77777777" w:rsidR="007716BC" w:rsidRPr="00317CB4" w:rsidRDefault="007716BC" w:rsidP="005A2BCB">
      <w:pPr>
        <w:spacing w:line="360" w:lineRule="auto"/>
        <w:rPr>
          <w:lang w:val="en-GB"/>
        </w:rPr>
      </w:pPr>
    </w:p>
    <w:p w14:paraId="4364F4DE" w14:textId="77777777" w:rsidR="007716BC" w:rsidRPr="00317CB4" w:rsidRDefault="007716BC" w:rsidP="005A2BCB">
      <w:pPr>
        <w:spacing w:line="360" w:lineRule="auto"/>
        <w:rPr>
          <w:lang w:val="en-GB"/>
        </w:rPr>
      </w:pPr>
    </w:p>
    <w:p w14:paraId="68EAEFF7" w14:textId="77777777" w:rsidR="00B75D15" w:rsidRPr="00317CB4" w:rsidRDefault="00B75D15" w:rsidP="005A2BCB">
      <w:pPr>
        <w:spacing w:line="360" w:lineRule="auto"/>
        <w:rPr>
          <w:lang w:val="en-GB"/>
        </w:rPr>
      </w:pPr>
    </w:p>
    <w:p w14:paraId="5BBAE3F0" w14:textId="77777777" w:rsidR="00D85107" w:rsidRPr="00317CB4" w:rsidRDefault="00D85107" w:rsidP="005A2BCB">
      <w:pPr>
        <w:spacing w:line="360" w:lineRule="auto"/>
        <w:rPr>
          <w:lang w:val="en-GB"/>
        </w:rPr>
      </w:pPr>
    </w:p>
    <w:p w14:paraId="0C1567BE" w14:textId="77777777" w:rsidR="00B75D15" w:rsidRPr="00317CB4" w:rsidRDefault="00B75D15" w:rsidP="005A2BCB">
      <w:pPr>
        <w:spacing w:line="360" w:lineRule="auto"/>
        <w:rPr>
          <w:lang w:val="en-GB"/>
        </w:rPr>
      </w:pPr>
    </w:p>
    <w:p w14:paraId="387B9AEA" w14:textId="77777777" w:rsidR="00B75D15" w:rsidRPr="00317CB4" w:rsidRDefault="00B75D15" w:rsidP="005A2BCB">
      <w:pPr>
        <w:spacing w:line="360" w:lineRule="auto"/>
        <w:rPr>
          <w:lang w:val="en-GB"/>
        </w:rPr>
      </w:pPr>
    </w:p>
    <w:p w14:paraId="16C1D182" w14:textId="77777777" w:rsidR="00B75D15" w:rsidRPr="00317CB4" w:rsidRDefault="00B75D15" w:rsidP="005A2BCB">
      <w:pPr>
        <w:spacing w:line="360" w:lineRule="auto"/>
        <w:rPr>
          <w:lang w:val="en-GB"/>
        </w:rPr>
      </w:pPr>
    </w:p>
    <w:p w14:paraId="53FDB854" w14:textId="15050291" w:rsidR="00B75D15" w:rsidRPr="00317CB4" w:rsidRDefault="00B75D15" w:rsidP="00B75D15">
      <w:pPr>
        <w:spacing w:line="360" w:lineRule="auto"/>
        <w:rPr>
          <w:b/>
          <w:bCs/>
          <w:lang w:val="en-GB"/>
        </w:rPr>
      </w:pPr>
    </w:p>
    <w:sectPr w:rsidR="00B75D15" w:rsidRPr="00317CB4" w:rsidSect="00AB7D1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A25C4" w14:textId="77777777" w:rsidR="00E75303" w:rsidRDefault="00E75303" w:rsidP="00D33545">
      <w:pPr>
        <w:spacing w:after="0" w:line="240" w:lineRule="auto"/>
      </w:pPr>
      <w:r>
        <w:separator/>
      </w:r>
    </w:p>
  </w:endnote>
  <w:endnote w:type="continuationSeparator" w:id="0">
    <w:p w14:paraId="13A15382" w14:textId="77777777" w:rsidR="00E75303" w:rsidRDefault="00E75303" w:rsidP="00D33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0167468"/>
      <w:docPartObj>
        <w:docPartGallery w:val="Page Numbers (Bottom of Page)"/>
        <w:docPartUnique/>
      </w:docPartObj>
    </w:sdtPr>
    <w:sdtContent>
      <w:p w14:paraId="0F7D07E4" w14:textId="180BADBB" w:rsidR="007030CC" w:rsidRDefault="007030CC">
        <w:pPr>
          <w:pStyle w:val="Footer"/>
          <w:jc w:val="right"/>
        </w:pPr>
        <w:r>
          <w:fldChar w:fldCharType="begin"/>
        </w:r>
        <w:r>
          <w:instrText>PAGE   \* MERGEFORMAT</w:instrText>
        </w:r>
        <w:r>
          <w:fldChar w:fldCharType="separate"/>
        </w:r>
        <w:r>
          <w:rPr>
            <w:lang w:val="en-GB"/>
          </w:rPr>
          <w:t>2</w:t>
        </w:r>
        <w:r>
          <w:fldChar w:fldCharType="end"/>
        </w:r>
      </w:p>
    </w:sdtContent>
  </w:sdt>
  <w:p w14:paraId="239D5076" w14:textId="77777777" w:rsidR="00D33545" w:rsidRDefault="00D335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99A6F3" w14:textId="77777777" w:rsidR="00E75303" w:rsidRDefault="00E75303" w:rsidP="00D33545">
      <w:pPr>
        <w:spacing w:after="0" w:line="240" w:lineRule="auto"/>
      </w:pPr>
      <w:r>
        <w:separator/>
      </w:r>
    </w:p>
  </w:footnote>
  <w:footnote w:type="continuationSeparator" w:id="0">
    <w:p w14:paraId="0157850D" w14:textId="77777777" w:rsidR="00E75303" w:rsidRDefault="00E75303" w:rsidP="00D335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5F07E1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393D9B"/>
    <w:multiLevelType w:val="multilevel"/>
    <w:tmpl w:val="28664A16"/>
    <w:lvl w:ilvl="0">
      <w:start w:val="1"/>
      <w:numFmt w:val="decimal"/>
      <w:lvlText w:val="%1."/>
      <w:lvlJc w:val="left"/>
      <w:pPr>
        <w:ind w:left="720" w:hanging="360"/>
      </w:pPr>
      <w:rPr>
        <w:rFonts w:hint="default"/>
        <w:b/>
        <w:sz w:val="32"/>
        <w:szCs w:val="32"/>
      </w:r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85E29BA"/>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1429"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 w15:restartNumberingAfterBreak="0">
    <w:nsid w:val="090F3BCB"/>
    <w:multiLevelType w:val="multilevel"/>
    <w:tmpl w:val="5666EE0E"/>
    <w:lvl w:ilvl="0">
      <w:start w:val="1"/>
      <w:numFmt w:val="decimal"/>
      <w:lvlText w:val="%1."/>
      <w:lvlJc w:val="left"/>
      <w:pPr>
        <w:ind w:left="720" w:hanging="360"/>
      </w:pPr>
      <w:rPr>
        <w:rFonts w:hint="default"/>
        <w:b/>
        <w:color w:val="2F5496" w:themeColor="accent1" w:themeShade="BF"/>
        <w:sz w:val="32"/>
        <w:szCs w:val="32"/>
      </w:r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9F958DB"/>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5" w15:restartNumberingAfterBreak="0">
    <w:nsid w:val="0B1A2316"/>
    <w:multiLevelType w:val="multilevel"/>
    <w:tmpl w:val="693203D2"/>
    <w:lvl w:ilvl="0">
      <w:start w:val="2"/>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6" w15:restartNumberingAfterBreak="0">
    <w:nsid w:val="0CE264D8"/>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7" w15:restartNumberingAfterBreak="0">
    <w:nsid w:val="0E103270"/>
    <w:multiLevelType w:val="multilevel"/>
    <w:tmpl w:val="9B325A0C"/>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val="0"/>
        <w:iCs/>
        <w:color w:val="2F5496" w:themeColor="accent1" w:themeShade="BF"/>
      </w:rPr>
    </w:lvl>
    <w:lvl w:ilvl="2">
      <w:start w:val="1"/>
      <w:numFmt w:val="decimal"/>
      <w:lvlText w:val="%1.%2.%3"/>
      <w:lvlJc w:val="left"/>
      <w:pPr>
        <w:ind w:left="1146" w:hanging="720"/>
      </w:pPr>
      <w:rPr>
        <w:rFonts w:hint="default"/>
        <w:i w:val="0"/>
        <w:iCs/>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8" w15:restartNumberingAfterBreak="0">
    <w:nsid w:val="0F1B3F30"/>
    <w:multiLevelType w:val="multilevel"/>
    <w:tmpl w:val="693203D2"/>
    <w:lvl w:ilvl="0">
      <w:start w:val="2"/>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9" w15:restartNumberingAfterBreak="0">
    <w:nsid w:val="0F683AD9"/>
    <w:multiLevelType w:val="multilevel"/>
    <w:tmpl w:val="AD34152C"/>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F052E1"/>
    <w:multiLevelType w:val="hybridMultilevel"/>
    <w:tmpl w:val="7A28EEA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3B81D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4390A01"/>
    <w:multiLevelType w:val="multilevel"/>
    <w:tmpl w:val="049EA4B6"/>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1642227A"/>
    <w:multiLevelType w:val="multilevel"/>
    <w:tmpl w:val="49DAB792"/>
    <w:lvl w:ilvl="0">
      <w:start w:val="5"/>
      <w:numFmt w:val="decimal"/>
      <w:lvlText w:val="%1."/>
      <w:lvlJc w:val="left"/>
      <w:pPr>
        <w:ind w:left="360" w:hanging="360"/>
      </w:pPr>
      <w:rPr>
        <w:rFonts w:hint="default"/>
        <w:b/>
        <w:bCs/>
        <w:color w:val="2F5496" w:themeColor="accent1" w:themeShade="BF"/>
        <w:sz w:val="32"/>
        <w:szCs w:val="32"/>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186C19E9"/>
    <w:multiLevelType w:val="multilevel"/>
    <w:tmpl w:val="8D58D3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D796B8E"/>
    <w:multiLevelType w:val="multilevel"/>
    <w:tmpl w:val="0A1042CE"/>
    <w:lvl w:ilvl="0">
      <w:start w:val="6"/>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16" w15:restartNumberingAfterBreak="0">
    <w:nsid w:val="1FA770B1"/>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17" w15:restartNumberingAfterBreak="0">
    <w:nsid w:val="21D63988"/>
    <w:multiLevelType w:val="hybridMultilevel"/>
    <w:tmpl w:val="FB882528"/>
    <w:lvl w:ilvl="0" w:tplc="DDD259CA">
      <w:start w:val="1"/>
      <w:numFmt w:val="decimal"/>
      <w:lvlText w:val="%1."/>
      <w:lvlJc w:val="left"/>
      <w:pPr>
        <w:ind w:left="576" w:hanging="360"/>
      </w:pPr>
      <w:rPr>
        <w:rFonts w:hint="default"/>
      </w:rPr>
    </w:lvl>
    <w:lvl w:ilvl="1" w:tplc="08090019" w:tentative="1">
      <w:start w:val="1"/>
      <w:numFmt w:val="lowerLetter"/>
      <w:lvlText w:val="%2."/>
      <w:lvlJc w:val="left"/>
      <w:pPr>
        <w:ind w:left="1296" w:hanging="360"/>
      </w:pPr>
    </w:lvl>
    <w:lvl w:ilvl="2" w:tplc="0809001B" w:tentative="1">
      <w:start w:val="1"/>
      <w:numFmt w:val="lowerRoman"/>
      <w:lvlText w:val="%3."/>
      <w:lvlJc w:val="right"/>
      <w:pPr>
        <w:ind w:left="2016" w:hanging="180"/>
      </w:pPr>
    </w:lvl>
    <w:lvl w:ilvl="3" w:tplc="0809000F" w:tentative="1">
      <w:start w:val="1"/>
      <w:numFmt w:val="decimal"/>
      <w:lvlText w:val="%4."/>
      <w:lvlJc w:val="left"/>
      <w:pPr>
        <w:ind w:left="2736" w:hanging="360"/>
      </w:pPr>
    </w:lvl>
    <w:lvl w:ilvl="4" w:tplc="08090019" w:tentative="1">
      <w:start w:val="1"/>
      <w:numFmt w:val="lowerLetter"/>
      <w:lvlText w:val="%5."/>
      <w:lvlJc w:val="left"/>
      <w:pPr>
        <w:ind w:left="3456" w:hanging="360"/>
      </w:pPr>
    </w:lvl>
    <w:lvl w:ilvl="5" w:tplc="0809001B" w:tentative="1">
      <w:start w:val="1"/>
      <w:numFmt w:val="lowerRoman"/>
      <w:lvlText w:val="%6."/>
      <w:lvlJc w:val="right"/>
      <w:pPr>
        <w:ind w:left="4176" w:hanging="180"/>
      </w:pPr>
    </w:lvl>
    <w:lvl w:ilvl="6" w:tplc="0809000F" w:tentative="1">
      <w:start w:val="1"/>
      <w:numFmt w:val="decimal"/>
      <w:lvlText w:val="%7."/>
      <w:lvlJc w:val="left"/>
      <w:pPr>
        <w:ind w:left="4896" w:hanging="360"/>
      </w:pPr>
    </w:lvl>
    <w:lvl w:ilvl="7" w:tplc="08090019" w:tentative="1">
      <w:start w:val="1"/>
      <w:numFmt w:val="lowerLetter"/>
      <w:lvlText w:val="%8."/>
      <w:lvlJc w:val="left"/>
      <w:pPr>
        <w:ind w:left="5616" w:hanging="360"/>
      </w:pPr>
    </w:lvl>
    <w:lvl w:ilvl="8" w:tplc="0809001B" w:tentative="1">
      <w:start w:val="1"/>
      <w:numFmt w:val="lowerRoman"/>
      <w:lvlText w:val="%9."/>
      <w:lvlJc w:val="right"/>
      <w:pPr>
        <w:ind w:left="6336" w:hanging="180"/>
      </w:pPr>
    </w:lvl>
  </w:abstractNum>
  <w:abstractNum w:abstractNumId="18" w15:restartNumberingAfterBreak="0">
    <w:nsid w:val="244A730F"/>
    <w:multiLevelType w:val="multilevel"/>
    <w:tmpl w:val="0A1042CE"/>
    <w:lvl w:ilvl="0">
      <w:start w:val="6"/>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19" w15:restartNumberingAfterBreak="0">
    <w:nsid w:val="24F15E35"/>
    <w:multiLevelType w:val="hybridMultilevel"/>
    <w:tmpl w:val="F0D269AE"/>
    <w:lvl w:ilvl="0" w:tplc="8E689DF2">
      <w:start w:val="12"/>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6206631"/>
    <w:multiLevelType w:val="hybridMultilevel"/>
    <w:tmpl w:val="AC90AE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8C30A08"/>
    <w:multiLevelType w:val="multilevel"/>
    <w:tmpl w:val="9144829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BA21D19"/>
    <w:multiLevelType w:val="hybridMultilevel"/>
    <w:tmpl w:val="B51C9F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E8F537E"/>
    <w:multiLevelType w:val="multilevel"/>
    <w:tmpl w:val="CF5A6AF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i w:val="0"/>
        <w:i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2EAE0226"/>
    <w:multiLevelType w:val="multilevel"/>
    <w:tmpl w:val="3CBE952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36B5F65"/>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1429"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26" w15:restartNumberingAfterBreak="0">
    <w:nsid w:val="35152EC2"/>
    <w:multiLevelType w:val="multilevel"/>
    <w:tmpl w:val="1878304E"/>
    <w:lvl w:ilvl="0">
      <w:start w:val="5"/>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168" w:hanging="1440"/>
      </w:pPr>
      <w:rPr>
        <w:rFonts w:hint="default"/>
      </w:rPr>
    </w:lvl>
  </w:abstractNum>
  <w:abstractNum w:abstractNumId="27" w15:restartNumberingAfterBreak="0">
    <w:nsid w:val="355702B1"/>
    <w:multiLevelType w:val="hybridMultilevel"/>
    <w:tmpl w:val="BAFCD8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9843156"/>
    <w:multiLevelType w:val="hybridMultilevel"/>
    <w:tmpl w:val="0E9E29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02C2C3D"/>
    <w:multiLevelType w:val="hybridMultilevel"/>
    <w:tmpl w:val="C26EACC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0C0A83"/>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1429"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1" w15:restartNumberingAfterBreak="0">
    <w:nsid w:val="43EF5AB7"/>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2" w15:restartNumberingAfterBreak="0">
    <w:nsid w:val="49B031B7"/>
    <w:multiLevelType w:val="multilevel"/>
    <w:tmpl w:val="F724BAC0"/>
    <w:lvl w:ilvl="0">
      <w:start w:val="2"/>
      <w:numFmt w:val="decimal"/>
      <w:lvlText w:val="%1"/>
      <w:lvlJc w:val="left"/>
      <w:pPr>
        <w:ind w:left="360" w:hanging="360"/>
      </w:pPr>
      <w:rPr>
        <w:rFonts w:hint="default"/>
        <w:i/>
      </w:rPr>
    </w:lvl>
    <w:lvl w:ilvl="1">
      <w:start w:val="1"/>
      <w:numFmt w:val="decimal"/>
      <w:lvlText w:val="%1.%2"/>
      <w:lvlJc w:val="left"/>
      <w:pPr>
        <w:ind w:left="1080" w:hanging="360"/>
      </w:pPr>
      <w:rPr>
        <w:rFonts w:hint="default"/>
        <w:i/>
      </w:rPr>
    </w:lvl>
    <w:lvl w:ilvl="2">
      <w:start w:val="1"/>
      <w:numFmt w:val="decimal"/>
      <w:lvlText w:val="%1.%2.%3"/>
      <w:lvlJc w:val="left"/>
      <w:pPr>
        <w:ind w:left="2160" w:hanging="720"/>
      </w:pPr>
      <w:rPr>
        <w:rFonts w:hint="default"/>
        <w:i/>
      </w:rPr>
    </w:lvl>
    <w:lvl w:ilvl="3">
      <w:start w:val="1"/>
      <w:numFmt w:val="decimal"/>
      <w:lvlText w:val="%1.%2.%3.%4"/>
      <w:lvlJc w:val="left"/>
      <w:pPr>
        <w:ind w:left="2880" w:hanging="720"/>
      </w:pPr>
      <w:rPr>
        <w:rFonts w:hint="default"/>
        <w:i/>
      </w:rPr>
    </w:lvl>
    <w:lvl w:ilvl="4">
      <w:start w:val="1"/>
      <w:numFmt w:val="decimal"/>
      <w:lvlText w:val="%1.%2.%3.%4.%5"/>
      <w:lvlJc w:val="left"/>
      <w:pPr>
        <w:ind w:left="3960" w:hanging="1080"/>
      </w:pPr>
      <w:rPr>
        <w:rFonts w:hint="default"/>
        <w:i/>
      </w:rPr>
    </w:lvl>
    <w:lvl w:ilvl="5">
      <w:start w:val="1"/>
      <w:numFmt w:val="decimal"/>
      <w:lvlText w:val="%1.%2.%3.%4.%5.%6"/>
      <w:lvlJc w:val="left"/>
      <w:pPr>
        <w:ind w:left="4680" w:hanging="1080"/>
      </w:pPr>
      <w:rPr>
        <w:rFonts w:hint="default"/>
        <w:i/>
      </w:rPr>
    </w:lvl>
    <w:lvl w:ilvl="6">
      <w:start w:val="1"/>
      <w:numFmt w:val="decimal"/>
      <w:lvlText w:val="%1.%2.%3.%4.%5.%6.%7"/>
      <w:lvlJc w:val="left"/>
      <w:pPr>
        <w:ind w:left="5760" w:hanging="1440"/>
      </w:pPr>
      <w:rPr>
        <w:rFonts w:hint="default"/>
        <w:i/>
      </w:rPr>
    </w:lvl>
    <w:lvl w:ilvl="7">
      <w:start w:val="1"/>
      <w:numFmt w:val="decimal"/>
      <w:lvlText w:val="%1.%2.%3.%4.%5.%6.%7.%8"/>
      <w:lvlJc w:val="left"/>
      <w:pPr>
        <w:ind w:left="6480" w:hanging="1440"/>
      </w:pPr>
      <w:rPr>
        <w:rFonts w:hint="default"/>
        <w:i/>
      </w:rPr>
    </w:lvl>
    <w:lvl w:ilvl="8">
      <w:start w:val="1"/>
      <w:numFmt w:val="decimal"/>
      <w:lvlText w:val="%1.%2.%3.%4.%5.%6.%7.%8.%9"/>
      <w:lvlJc w:val="left"/>
      <w:pPr>
        <w:ind w:left="7560" w:hanging="1800"/>
      </w:pPr>
      <w:rPr>
        <w:rFonts w:hint="default"/>
        <w:i/>
      </w:rPr>
    </w:lvl>
  </w:abstractNum>
  <w:abstractNum w:abstractNumId="33" w15:restartNumberingAfterBreak="0">
    <w:nsid w:val="4BE85081"/>
    <w:multiLevelType w:val="multilevel"/>
    <w:tmpl w:val="6A48EE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4D6B4CDD"/>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1429"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35" w15:restartNumberingAfterBreak="0">
    <w:nsid w:val="4D9511F9"/>
    <w:multiLevelType w:val="hybridMultilevel"/>
    <w:tmpl w:val="F1B0AB20"/>
    <w:lvl w:ilvl="0" w:tplc="790A06FA">
      <w:start w:val="6"/>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4DB44564"/>
    <w:multiLevelType w:val="hybridMultilevel"/>
    <w:tmpl w:val="62C6B604"/>
    <w:lvl w:ilvl="0" w:tplc="1578EB7A">
      <w:start w:val="201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E816A43"/>
    <w:multiLevelType w:val="multilevel"/>
    <w:tmpl w:val="8D58D3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E9B5B70"/>
    <w:multiLevelType w:val="multilevel"/>
    <w:tmpl w:val="2D36E5E8"/>
    <w:lvl w:ilvl="0">
      <w:start w:val="6"/>
      <w:numFmt w:val="decimal"/>
      <w:lvlText w:val="%1"/>
      <w:lvlJc w:val="left"/>
      <w:pPr>
        <w:ind w:left="360" w:hanging="360"/>
      </w:pPr>
      <w:rPr>
        <w:rFonts w:hint="default"/>
        <w:i/>
      </w:rPr>
    </w:lvl>
    <w:lvl w:ilvl="1">
      <w:start w:val="1"/>
      <w:numFmt w:val="decimal"/>
      <w:lvlText w:val="%1.%2"/>
      <w:lvlJc w:val="left"/>
      <w:pPr>
        <w:ind w:left="1080" w:hanging="360"/>
      </w:pPr>
      <w:rPr>
        <w:rFonts w:hint="default"/>
        <w:i/>
      </w:rPr>
    </w:lvl>
    <w:lvl w:ilvl="2">
      <w:start w:val="1"/>
      <w:numFmt w:val="decimal"/>
      <w:lvlText w:val="%1.%2.%3"/>
      <w:lvlJc w:val="left"/>
      <w:pPr>
        <w:ind w:left="2160" w:hanging="720"/>
      </w:pPr>
      <w:rPr>
        <w:rFonts w:hint="default"/>
        <w:i/>
      </w:rPr>
    </w:lvl>
    <w:lvl w:ilvl="3">
      <w:start w:val="1"/>
      <w:numFmt w:val="decimal"/>
      <w:lvlText w:val="%1.%2.%3.%4"/>
      <w:lvlJc w:val="left"/>
      <w:pPr>
        <w:ind w:left="2880" w:hanging="720"/>
      </w:pPr>
      <w:rPr>
        <w:rFonts w:hint="default"/>
        <w:i/>
      </w:rPr>
    </w:lvl>
    <w:lvl w:ilvl="4">
      <w:start w:val="1"/>
      <w:numFmt w:val="decimal"/>
      <w:lvlText w:val="%1.%2.%3.%4.%5"/>
      <w:lvlJc w:val="left"/>
      <w:pPr>
        <w:ind w:left="3960" w:hanging="1080"/>
      </w:pPr>
      <w:rPr>
        <w:rFonts w:hint="default"/>
        <w:i/>
      </w:rPr>
    </w:lvl>
    <w:lvl w:ilvl="5">
      <w:start w:val="1"/>
      <w:numFmt w:val="decimal"/>
      <w:lvlText w:val="%1.%2.%3.%4.%5.%6"/>
      <w:lvlJc w:val="left"/>
      <w:pPr>
        <w:ind w:left="4680" w:hanging="1080"/>
      </w:pPr>
      <w:rPr>
        <w:rFonts w:hint="default"/>
        <w:i/>
      </w:rPr>
    </w:lvl>
    <w:lvl w:ilvl="6">
      <w:start w:val="1"/>
      <w:numFmt w:val="decimal"/>
      <w:lvlText w:val="%1.%2.%3.%4.%5.%6.%7"/>
      <w:lvlJc w:val="left"/>
      <w:pPr>
        <w:ind w:left="5760" w:hanging="1440"/>
      </w:pPr>
      <w:rPr>
        <w:rFonts w:hint="default"/>
        <w:i/>
      </w:rPr>
    </w:lvl>
    <w:lvl w:ilvl="7">
      <w:start w:val="1"/>
      <w:numFmt w:val="decimal"/>
      <w:lvlText w:val="%1.%2.%3.%4.%5.%6.%7.%8"/>
      <w:lvlJc w:val="left"/>
      <w:pPr>
        <w:ind w:left="6480" w:hanging="1440"/>
      </w:pPr>
      <w:rPr>
        <w:rFonts w:hint="default"/>
        <w:i/>
      </w:rPr>
    </w:lvl>
    <w:lvl w:ilvl="8">
      <w:start w:val="1"/>
      <w:numFmt w:val="decimal"/>
      <w:lvlText w:val="%1.%2.%3.%4.%5.%6.%7.%8.%9"/>
      <w:lvlJc w:val="left"/>
      <w:pPr>
        <w:ind w:left="7200" w:hanging="1440"/>
      </w:pPr>
      <w:rPr>
        <w:rFonts w:hint="default"/>
        <w:i/>
      </w:rPr>
    </w:lvl>
  </w:abstractNum>
  <w:abstractNum w:abstractNumId="39" w15:restartNumberingAfterBreak="0">
    <w:nsid w:val="52595FE3"/>
    <w:multiLevelType w:val="multilevel"/>
    <w:tmpl w:val="A9FA61C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57C84C6D"/>
    <w:multiLevelType w:val="multilevel"/>
    <w:tmpl w:val="8D58D3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58864CF9"/>
    <w:multiLevelType w:val="multilevel"/>
    <w:tmpl w:val="5694E41E"/>
    <w:lvl w:ilvl="0">
      <w:start w:val="5"/>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42" w15:restartNumberingAfterBreak="0">
    <w:nsid w:val="59AC68C0"/>
    <w:multiLevelType w:val="multilevel"/>
    <w:tmpl w:val="AB72D798"/>
    <w:lvl w:ilvl="0">
      <w:start w:val="5"/>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5B1D270E"/>
    <w:multiLevelType w:val="multilevel"/>
    <w:tmpl w:val="F342C3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BDD6F0B"/>
    <w:multiLevelType w:val="multilevel"/>
    <w:tmpl w:val="9F04CF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5C0454FE"/>
    <w:multiLevelType w:val="multilevel"/>
    <w:tmpl w:val="9144829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DBA6F45"/>
    <w:multiLevelType w:val="multilevel"/>
    <w:tmpl w:val="8D58D3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5E900A3E"/>
    <w:multiLevelType w:val="hybridMultilevel"/>
    <w:tmpl w:val="3CF04856"/>
    <w:lvl w:ilvl="0" w:tplc="1ED2A96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5EB45A4C"/>
    <w:multiLevelType w:val="multilevel"/>
    <w:tmpl w:val="2FD0B5B2"/>
    <w:lvl w:ilvl="0">
      <w:start w:val="6"/>
      <w:numFmt w:val="decimal"/>
      <w:lvlText w:val="%1"/>
      <w:lvlJc w:val="left"/>
      <w:pPr>
        <w:ind w:left="360" w:hanging="360"/>
      </w:pPr>
      <w:rPr>
        <w:rFonts w:hint="default"/>
        <w:i/>
      </w:rPr>
    </w:lvl>
    <w:lvl w:ilvl="1">
      <w:start w:val="1"/>
      <w:numFmt w:val="decimal"/>
      <w:lvlText w:val="%1.%2"/>
      <w:lvlJc w:val="left"/>
      <w:pPr>
        <w:ind w:left="1069" w:hanging="360"/>
      </w:pPr>
      <w:rPr>
        <w:rFonts w:hint="default"/>
        <w:i w:val="0"/>
        <w:iCs/>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49" w15:restartNumberingAfterBreak="0">
    <w:nsid w:val="65DF6183"/>
    <w:multiLevelType w:val="multilevel"/>
    <w:tmpl w:val="0A1042CE"/>
    <w:lvl w:ilvl="0">
      <w:start w:val="6"/>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50" w15:restartNumberingAfterBreak="0">
    <w:nsid w:val="68611163"/>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51" w15:restartNumberingAfterBreak="0">
    <w:nsid w:val="691F136E"/>
    <w:multiLevelType w:val="hybridMultilevel"/>
    <w:tmpl w:val="3D8C8CD4"/>
    <w:lvl w:ilvl="0" w:tplc="2FA2C4B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9A52DBA"/>
    <w:multiLevelType w:val="multilevel"/>
    <w:tmpl w:val="0A1042CE"/>
    <w:lvl w:ilvl="0">
      <w:start w:val="6"/>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53" w15:restartNumberingAfterBreak="0">
    <w:nsid w:val="6D581759"/>
    <w:multiLevelType w:val="multilevel"/>
    <w:tmpl w:val="693203D2"/>
    <w:lvl w:ilvl="0">
      <w:start w:val="2"/>
      <w:numFmt w:val="decimal"/>
      <w:lvlText w:val="%1"/>
      <w:lvlJc w:val="left"/>
      <w:pPr>
        <w:ind w:left="360" w:hanging="360"/>
      </w:pPr>
      <w:rPr>
        <w:rFonts w:hint="default"/>
        <w:i/>
      </w:rPr>
    </w:lvl>
    <w:lvl w:ilvl="1">
      <w:start w:val="1"/>
      <w:numFmt w:val="decimal"/>
      <w:lvlText w:val="%1.%2"/>
      <w:lvlJc w:val="left"/>
      <w:pPr>
        <w:ind w:left="360"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54" w15:restartNumberingAfterBreak="0">
    <w:nsid w:val="6D871127"/>
    <w:multiLevelType w:val="multilevel"/>
    <w:tmpl w:val="504E377A"/>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i/>
        <w:iCs/>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55" w15:restartNumberingAfterBreak="0">
    <w:nsid w:val="72101B1F"/>
    <w:multiLevelType w:val="multilevel"/>
    <w:tmpl w:val="5568DD7E"/>
    <w:lvl w:ilvl="0">
      <w:start w:val="4"/>
      <w:numFmt w:val="decimal"/>
      <w:lvlText w:val="%1"/>
      <w:lvlJc w:val="left"/>
      <w:pPr>
        <w:ind w:left="360" w:hanging="360"/>
      </w:pPr>
      <w:rPr>
        <w:rFonts w:hint="default"/>
        <w:i/>
      </w:rPr>
    </w:lvl>
    <w:lvl w:ilvl="1">
      <w:start w:val="1"/>
      <w:numFmt w:val="decimal"/>
      <w:lvlText w:val="%1.%2"/>
      <w:lvlJc w:val="left"/>
      <w:pPr>
        <w:ind w:left="1069" w:hanging="36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56" w15:restartNumberingAfterBreak="0">
    <w:nsid w:val="76920D1D"/>
    <w:multiLevelType w:val="multilevel"/>
    <w:tmpl w:val="9144829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i/>
        <w:i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855261F"/>
    <w:multiLevelType w:val="multilevel"/>
    <w:tmpl w:val="B6B61926"/>
    <w:lvl w:ilvl="0">
      <w:start w:val="2"/>
      <w:numFmt w:val="decimal"/>
      <w:lvlText w:val="%1"/>
      <w:lvlJc w:val="left"/>
      <w:pPr>
        <w:ind w:left="360" w:hanging="360"/>
      </w:pPr>
      <w:rPr>
        <w:rFonts w:hint="default"/>
        <w:b/>
        <w:bCs/>
        <w:sz w:val="32"/>
        <w:szCs w:val="40"/>
      </w:rPr>
    </w:lvl>
    <w:lvl w:ilvl="1">
      <w:start w:val="1"/>
      <w:numFmt w:val="decimal"/>
      <w:lvlText w:val="%1.%2"/>
      <w:lvlJc w:val="left"/>
      <w:pPr>
        <w:ind w:left="720" w:hanging="360"/>
      </w:pPr>
      <w:rPr>
        <w:rFonts w:hint="default"/>
        <w:i w:val="0"/>
        <w:iCs w:val="0"/>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58" w15:restartNumberingAfterBreak="0">
    <w:nsid w:val="7C355DF9"/>
    <w:multiLevelType w:val="multilevel"/>
    <w:tmpl w:val="504E377A"/>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i/>
        <w:iCs/>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num w:numId="1" w16cid:durableId="989097732">
    <w:abstractNumId w:val="43"/>
  </w:num>
  <w:num w:numId="2" w16cid:durableId="571935096">
    <w:abstractNumId w:val="51"/>
  </w:num>
  <w:num w:numId="3" w16cid:durableId="1431969382">
    <w:abstractNumId w:val="27"/>
  </w:num>
  <w:num w:numId="4" w16cid:durableId="655452028">
    <w:abstractNumId w:val="0"/>
  </w:num>
  <w:num w:numId="5" w16cid:durableId="1274173308">
    <w:abstractNumId w:val="28"/>
  </w:num>
  <w:num w:numId="6" w16cid:durableId="1516461449">
    <w:abstractNumId w:val="10"/>
  </w:num>
  <w:num w:numId="7" w16cid:durableId="814763775">
    <w:abstractNumId w:val="19"/>
  </w:num>
  <w:num w:numId="8" w16cid:durableId="878132085">
    <w:abstractNumId w:val="29"/>
  </w:num>
  <w:num w:numId="9" w16cid:durableId="688139643">
    <w:abstractNumId w:val="36"/>
  </w:num>
  <w:num w:numId="10" w16cid:durableId="2105151924">
    <w:abstractNumId w:val="22"/>
  </w:num>
  <w:num w:numId="11" w16cid:durableId="1537280265">
    <w:abstractNumId w:val="20"/>
  </w:num>
  <w:num w:numId="12" w16cid:durableId="1359353859">
    <w:abstractNumId w:val="17"/>
  </w:num>
  <w:num w:numId="13" w16cid:durableId="2023319045">
    <w:abstractNumId w:val="47"/>
  </w:num>
  <w:num w:numId="14" w16cid:durableId="1914314269">
    <w:abstractNumId w:val="3"/>
  </w:num>
  <w:num w:numId="15" w16cid:durableId="1167745151">
    <w:abstractNumId w:val="24"/>
  </w:num>
  <w:num w:numId="16" w16cid:durableId="766073863">
    <w:abstractNumId w:val="12"/>
  </w:num>
  <w:num w:numId="17" w16cid:durableId="998272429">
    <w:abstractNumId w:val="13"/>
  </w:num>
  <w:num w:numId="18" w16cid:durableId="1205748041">
    <w:abstractNumId w:val="9"/>
  </w:num>
  <w:num w:numId="19" w16cid:durableId="1064989871">
    <w:abstractNumId w:val="42"/>
  </w:num>
  <w:num w:numId="20" w16cid:durableId="1111322878">
    <w:abstractNumId w:val="1"/>
  </w:num>
  <w:num w:numId="21" w16cid:durableId="2124109895">
    <w:abstractNumId w:val="33"/>
  </w:num>
  <w:num w:numId="22" w16cid:durableId="811748905">
    <w:abstractNumId w:val="14"/>
  </w:num>
  <w:num w:numId="23" w16cid:durableId="765464502">
    <w:abstractNumId w:val="46"/>
  </w:num>
  <w:num w:numId="24" w16cid:durableId="1625386927">
    <w:abstractNumId w:val="37"/>
  </w:num>
  <w:num w:numId="25" w16cid:durableId="1066607653">
    <w:abstractNumId w:val="40"/>
  </w:num>
  <w:num w:numId="26" w16cid:durableId="1996378068">
    <w:abstractNumId w:val="32"/>
  </w:num>
  <w:num w:numId="27" w16cid:durableId="76949970">
    <w:abstractNumId w:val="5"/>
  </w:num>
  <w:num w:numId="28" w16cid:durableId="891692573">
    <w:abstractNumId w:val="53"/>
  </w:num>
  <w:num w:numId="29" w16cid:durableId="1388528306">
    <w:abstractNumId w:val="8"/>
  </w:num>
  <w:num w:numId="30" w16cid:durableId="674379232">
    <w:abstractNumId w:val="11"/>
  </w:num>
  <w:num w:numId="31" w16cid:durableId="490026174">
    <w:abstractNumId w:val="44"/>
  </w:num>
  <w:num w:numId="32" w16cid:durableId="612981927">
    <w:abstractNumId w:val="57"/>
  </w:num>
  <w:num w:numId="33" w16cid:durableId="787358157">
    <w:abstractNumId w:val="58"/>
  </w:num>
  <w:num w:numId="34" w16cid:durableId="985161066">
    <w:abstractNumId w:val="54"/>
  </w:num>
  <w:num w:numId="35" w16cid:durableId="2073841795">
    <w:abstractNumId w:val="39"/>
  </w:num>
  <w:num w:numId="36" w16cid:durableId="664286789">
    <w:abstractNumId w:val="23"/>
  </w:num>
  <w:num w:numId="37" w16cid:durableId="1512456236">
    <w:abstractNumId w:val="21"/>
  </w:num>
  <w:num w:numId="38" w16cid:durableId="2036534888">
    <w:abstractNumId w:val="45"/>
  </w:num>
  <w:num w:numId="39" w16cid:durableId="1829637540">
    <w:abstractNumId w:val="56"/>
  </w:num>
  <w:num w:numId="40" w16cid:durableId="1786927801">
    <w:abstractNumId w:val="7"/>
  </w:num>
  <w:num w:numId="41" w16cid:durableId="1949242060">
    <w:abstractNumId w:val="31"/>
  </w:num>
  <w:num w:numId="42" w16cid:durableId="1826703674">
    <w:abstractNumId w:val="6"/>
  </w:num>
  <w:num w:numId="43" w16cid:durableId="1727218311">
    <w:abstractNumId w:val="55"/>
  </w:num>
  <w:num w:numId="44" w16cid:durableId="1907687472">
    <w:abstractNumId w:val="50"/>
  </w:num>
  <w:num w:numId="45" w16cid:durableId="1067999498">
    <w:abstractNumId w:val="4"/>
  </w:num>
  <w:num w:numId="46" w16cid:durableId="2136480038">
    <w:abstractNumId w:val="2"/>
  </w:num>
  <w:num w:numId="47" w16cid:durableId="2133788297">
    <w:abstractNumId w:val="30"/>
  </w:num>
  <w:num w:numId="48" w16cid:durableId="2094084209">
    <w:abstractNumId w:val="34"/>
  </w:num>
  <w:num w:numId="49" w16cid:durableId="2087414210">
    <w:abstractNumId w:val="25"/>
  </w:num>
  <w:num w:numId="50" w16cid:durableId="951785313">
    <w:abstractNumId w:val="16"/>
  </w:num>
  <w:num w:numId="51" w16cid:durableId="1395082566">
    <w:abstractNumId w:val="38"/>
  </w:num>
  <w:num w:numId="52" w16cid:durableId="305932495">
    <w:abstractNumId w:val="15"/>
  </w:num>
  <w:num w:numId="53" w16cid:durableId="1788036876">
    <w:abstractNumId w:val="48"/>
  </w:num>
  <w:num w:numId="54" w16cid:durableId="949312238">
    <w:abstractNumId w:val="49"/>
  </w:num>
  <w:num w:numId="55" w16cid:durableId="1354575661">
    <w:abstractNumId w:val="18"/>
  </w:num>
  <w:num w:numId="56" w16cid:durableId="835607487">
    <w:abstractNumId w:val="52"/>
  </w:num>
  <w:num w:numId="57" w16cid:durableId="149255330">
    <w:abstractNumId w:val="35"/>
  </w:num>
  <w:num w:numId="58" w16cid:durableId="1876654097">
    <w:abstractNumId w:val="41"/>
  </w:num>
  <w:num w:numId="59" w16cid:durableId="116092310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47B"/>
    <w:rsid w:val="00001AF0"/>
    <w:rsid w:val="00002365"/>
    <w:rsid w:val="00004734"/>
    <w:rsid w:val="0000488E"/>
    <w:rsid w:val="00004E87"/>
    <w:rsid w:val="00005227"/>
    <w:rsid w:val="0000574A"/>
    <w:rsid w:val="000072A0"/>
    <w:rsid w:val="00010BE9"/>
    <w:rsid w:val="00010D1E"/>
    <w:rsid w:val="000135F5"/>
    <w:rsid w:val="000138BD"/>
    <w:rsid w:val="00013B52"/>
    <w:rsid w:val="00014E72"/>
    <w:rsid w:val="00020095"/>
    <w:rsid w:val="00020BCF"/>
    <w:rsid w:val="00023001"/>
    <w:rsid w:val="0002382D"/>
    <w:rsid w:val="00023A43"/>
    <w:rsid w:val="00023E50"/>
    <w:rsid w:val="00023EB6"/>
    <w:rsid w:val="0002495E"/>
    <w:rsid w:val="00024D33"/>
    <w:rsid w:val="00025D8D"/>
    <w:rsid w:val="000311F3"/>
    <w:rsid w:val="00032E39"/>
    <w:rsid w:val="0003403B"/>
    <w:rsid w:val="00034372"/>
    <w:rsid w:val="000343A0"/>
    <w:rsid w:val="000358A0"/>
    <w:rsid w:val="00036989"/>
    <w:rsid w:val="00036F5D"/>
    <w:rsid w:val="00037A1C"/>
    <w:rsid w:val="00041071"/>
    <w:rsid w:val="00042864"/>
    <w:rsid w:val="0004399E"/>
    <w:rsid w:val="000449F8"/>
    <w:rsid w:val="00044E1F"/>
    <w:rsid w:val="00044FA1"/>
    <w:rsid w:val="00045A0B"/>
    <w:rsid w:val="00046B07"/>
    <w:rsid w:val="000471ED"/>
    <w:rsid w:val="0004778A"/>
    <w:rsid w:val="00050201"/>
    <w:rsid w:val="000504DA"/>
    <w:rsid w:val="00050829"/>
    <w:rsid w:val="00051500"/>
    <w:rsid w:val="00052025"/>
    <w:rsid w:val="00053E9C"/>
    <w:rsid w:val="0005515E"/>
    <w:rsid w:val="0005582F"/>
    <w:rsid w:val="00060679"/>
    <w:rsid w:val="00060B68"/>
    <w:rsid w:val="00061CC4"/>
    <w:rsid w:val="0006251E"/>
    <w:rsid w:val="00062887"/>
    <w:rsid w:val="00063265"/>
    <w:rsid w:val="00063690"/>
    <w:rsid w:val="00063F62"/>
    <w:rsid w:val="00064F9A"/>
    <w:rsid w:val="00065A00"/>
    <w:rsid w:val="00065EE9"/>
    <w:rsid w:val="00074168"/>
    <w:rsid w:val="00076039"/>
    <w:rsid w:val="000764A7"/>
    <w:rsid w:val="000770BB"/>
    <w:rsid w:val="00077E09"/>
    <w:rsid w:val="00077FE0"/>
    <w:rsid w:val="00080DC7"/>
    <w:rsid w:val="000810D1"/>
    <w:rsid w:val="00082F57"/>
    <w:rsid w:val="00083997"/>
    <w:rsid w:val="00084A76"/>
    <w:rsid w:val="00084C97"/>
    <w:rsid w:val="00085F06"/>
    <w:rsid w:val="000861F7"/>
    <w:rsid w:val="00086FE6"/>
    <w:rsid w:val="00087277"/>
    <w:rsid w:val="0009007E"/>
    <w:rsid w:val="00090CA6"/>
    <w:rsid w:val="00090FE2"/>
    <w:rsid w:val="00092058"/>
    <w:rsid w:val="00093683"/>
    <w:rsid w:val="0009420B"/>
    <w:rsid w:val="000966BE"/>
    <w:rsid w:val="000A08CE"/>
    <w:rsid w:val="000A214C"/>
    <w:rsid w:val="000A3E4B"/>
    <w:rsid w:val="000A4CCA"/>
    <w:rsid w:val="000A4D4C"/>
    <w:rsid w:val="000A51D5"/>
    <w:rsid w:val="000A5AAD"/>
    <w:rsid w:val="000A5BE4"/>
    <w:rsid w:val="000A65EB"/>
    <w:rsid w:val="000A759E"/>
    <w:rsid w:val="000A79B7"/>
    <w:rsid w:val="000B24DB"/>
    <w:rsid w:val="000B2A61"/>
    <w:rsid w:val="000B3BC2"/>
    <w:rsid w:val="000B51A1"/>
    <w:rsid w:val="000B6E0C"/>
    <w:rsid w:val="000C10C0"/>
    <w:rsid w:val="000C151A"/>
    <w:rsid w:val="000C15BD"/>
    <w:rsid w:val="000C17E6"/>
    <w:rsid w:val="000C21F7"/>
    <w:rsid w:val="000C37BA"/>
    <w:rsid w:val="000C3B90"/>
    <w:rsid w:val="000C4001"/>
    <w:rsid w:val="000C6284"/>
    <w:rsid w:val="000C70E3"/>
    <w:rsid w:val="000C7BA9"/>
    <w:rsid w:val="000D0BB2"/>
    <w:rsid w:val="000D1555"/>
    <w:rsid w:val="000D202F"/>
    <w:rsid w:val="000D330D"/>
    <w:rsid w:val="000D3FBA"/>
    <w:rsid w:val="000D490E"/>
    <w:rsid w:val="000D521F"/>
    <w:rsid w:val="000D5BAE"/>
    <w:rsid w:val="000D6341"/>
    <w:rsid w:val="000D6A69"/>
    <w:rsid w:val="000E039E"/>
    <w:rsid w:val="000E09E8"/>
    <w:rsid w:val="000E17F3"/>
    <w:rsid w:val="000E22BE"/>
    <w:rsid w:val="000E3635"/>
    <w:rsid w:val="000E40E1"/>
    <w:rsid w:val="000E4345"/>
    <w:rsid w:val="000E4CE5"/>
    <w:rsid w:val="000E4D66"/>
    <w:rsid w:val="000E5FDB"/>
    <w:rsid w:val="000E6693"/>
    <w:rsid w:val="000E74E6"/>
    <w:rsid w:val="000F0B38"/>
    <w:rsid w:val="000F0FFB"/>
    <w:rsid w:val="000F1073"/>
    <w:rsid w:val="000F1240"/>
    <w:rsid w:val="000F1481"/>
    <w:rsid w:val="000F297C"/>
    <w:rsid w:val="000F326E"/>
    <w:rsid w:val="000F41D5"/>
    <w:rsid w:val="000F42A1"/>
    <w:rsid w:val="000F46AD"/>
    <w:rsid w:val="000F46DE"/>
    <w:rsid w:val="000F5874"/>
    <w:rsid w:val="000F5B86"/>
    <w:rsid w:val="000F732E"/>
    <w:rsid w:val="000F7770"/>
    <w:rsid w:val="0010068C"/>
    <w:rsid w:val="001015B9"/>
    <w:rsid w:val="00101A3E"/>
    <w:rsid w:val="00101C6F"/>
    <w:rsid w:val="0010200A"/>
    <w:rsid w:val="0010410A"/>
    <w:rsid w:val="0010424B"/>
    <w:rsid w:val="00104425"/>
    <w:rsid w:val="00106DB4"/>
    <w:rsid w:val="00107CFC"/>
    <w:rsid w:val="00111BE3"/>
    <w:rsid w:val="001130CC"/>
    <w:rsid w:val="0011377C"/>
    <w:rsid w:val="00113BBF"/>
    <w:rsid w:val="00113EE4"/>
    <w:rsid w:val="001144FC"/>
    <w:rsid w:val="001159E6"/>
    <w:rsid w:val="00116F76"/>
    <w:rsid w:val="00116FD6"/>
    <w:rsid w:val="001218EA"/>
    <w:rsid w:val="0012239E"/>
    <w:rsid w:val="00122A62"/>
    <w:rsid w:val="00124764"/>
    <w:rsid w:val="00124A16"/>
    <w:rsid w:val="0012561E"/>
    <w:rsid w:val="0012589D"/>
    <w:rsid w:val="00126B48"/>
    <w:rsid w:val="00126DE0"/>
    <w:rsid w:val="0012783B"/>
    <w:rsid w:val="00134467"/>
    <w:rsid w:val="00135B43"/>
    <w:rsid w:val="00136444"/>
    <w:rsid w:val="00137A01"/>
    <w:rsid w:val="001403CE"/>
    <w:rsid w:val="001413E2"/>
    <w:rsid w:val="00141D54"/>
    <w:rsid w:val="00143202"/>
    <w:rsid w:val="00145165"/>
    <w:rsid w:val="0014521A"/>
    <w:rsid w:val="00150516"/>
    <w:rsid w:val="00150A94"/>
    <w:rsid w:val="00151D69"/>
    <w:rsid w:val="00153694"/>
    <w:rsid w:val="001542A9"/>
    <w:rsid w:val="001545B6"/>
    <w:rsid w:val="001560FF"/>
    <w:rsid w:val="00157873"/>
    <w:rsid w:val="00157912"/>
    <w:rsid w:val="00157C74"/>
    <w:rsid w:val="001601A0"/>
    <w:rsid w:val="00160810"/>
    <w:rsid w:val="00161354"/>
    <w:rsid w:val="001646A1"/>
    <w:rsid w:val="00164DBA"/>
    <w:rsid w:val="001653A6"/>
    <w:rsid w:val="00166233"/>
    <w:rsid w:val="001669A7"/>
    <w:rsid w:val="00167DA5"/>
    <w:rsid w:val="00170090"/>
    <w:rsid w:val="00172AFD"/>
    <w:rsid w:val="00174B71"/>
    <w:rsid w:val="00176011"/>
    <w:rsid w:val="0017649D"/>
    <w:rsid w:val="0018001A"/>
    <w:rsid w:val="00180FF8"/>
    <w:rsid w:val="00182292"/>
    <w:rsid w:val="00182C4F"/>
    <w:rsid w:val="00183784"/>
    <w:rsid w:val="00183FF8"/>
    <w:rsid w:val="00184465"/>
    <w:rsid w:val="00185AE2"/>
    <w:rsid w:val="00185B2E"/>
    <w:rsid w:val="0018631E"/>
    <w:rsid w:val="00186B96"/>
    <w:rsid w:val="0019105C"/>
    <w:rsid w:val="00191928"/>
    <w:rsid w:val="00191E68"/>
    <w:rsid w:val="00192D1F"/>
    <w:rsid w:val="00194BCA"/>
    <w:rsid w:val="00195517"/>
    <w:rsid w:val="001956E3"/>
    <w:rsid w:val="00195DDD"/>
    <w:rsid w:val="001960F3"/>
    <w:rsid w:val="0019783C"/>
    <w:rsid w:val="001A0B7C"/>
    <w:rsid w:val="001A18E4"/>
    <w:rsid w:val="001A2B8A"/>
    <w:rsid w:val="001A3DC4"/>
    <w:rsid w:val="001A3EEE"/>
    <w:rsid w:val="001A40D7"/>
    <w:rsid w:val="001A59D4"/>
    <w:rsid w:val="001A686B"/>
    <w:rsid w:val="001A69C6"/>
    <w:rsid w:val="001A7772"/>
    <w:rsid w:val="001B4622"/>
    <w:rsid w:val="001B552C"/>
    <w:rsid w:val="001B6C40"/>
    <w:rsid w:val="001B6D54"/>
    <w:rsid w:val="001B7D40"/>
    <w:rsid w:val="001C0915"/>
    <w:rsid w:val="001C1372"/>
    <w:rsid w:val="001C16B4"/>
    <w:rsid w:val="001C24E1"/>
    <w:rsid w:val="001C28CE"/>
    <w:rsid w:val="001C2924"/>
    <w:rsid w:val="001C3EA9"/>
    <w:rsid w:val="001C6C92"/>
    <w:rsid w:val="001C78FB"/>
    <w:rsid w:val="001D04B8"/>
    <w:rsid w:val="001D23A6"/>
    <w:rsid w:val="001D297E"/>
    <w:rsid w:val="001D2D4C"/>
    <w:rsid w:val="001D4B6F"/>
    <w:rsid w:val="001D4C72"/>
    <w:rsid w:val="001D6106"/>
    <w:rsid w:val="001E0C6F"/>
    <w:rsid w:val="001E0F82"/>
    <w:rsid w:val="001E2595"/>
    <w:rsid w:val="001E2B0B"/>
    <w:rsid w:val="001E2C35"/>
    <w:rsid w:val="001E3860"/>
    <w:rsid w:val="001E3BFE"/>
    <w:rsid w:val="001E3C43"/>
    <w:rsid w:val="001E5ADE"/>
    <w:rsid w:val="001E604F"/>
    <w:rsid w:val="001E6941"/>
    <w:rsid w:val="001E6C80"/>
    <w:rsid w:val="001E7944"/>
    <w:rsid w:val="001E79DC"/>
    <w:rsid w:val="001E7EFC"/>
    <w:rsid w:val="001F1CDF"/>
    <w:rsid w:val="001F2634"/>
    <w:rsid w:val="001F2BE1"/>
    <w:rsid w:val="001F3B11"/>
    <w:rsid w:val="001F5F4F"/>
    <w:rsid w:val="001F605D"/>
    <w:rsid w:val="001F747B"/>
    <w:rsid w:val="00200F91"/>
    <w:rsid w:val="0020103A"/>
    <w:rsid w:val="00203C74"/>
    <w:rsid w:val="00205155"/>
    <w:rsid w:val="00205D75"/>
    <w:rsid w:val="00206DC4"/>
    <w:rsid w:val="00207470"/>
    <w:rsid w:val="002079D3"/>
    <w:rsid w:val="002129D6"/>
    <w:rsid w:val="0021345E"/>
    <w:rsid w:val="00213DC0"/>
    <w:rsid w:val="002141C2"/>
    <w:rsid w:val="00214293"/>
    <w:rsid w:val="00215C65"/>
    <w:rsid w:val="00216269"/>
    <w:rsid w:val="00217551"/>
    <w:rsid w:val="0021764A"/>
    <w:rsid w:val="00217B57"/>
    <w:rsid w:val="00217E15"/>
    <w:rsid w:val="002208C9"/>
    <w:rsid w:val="00220CB4"/>
    <w:rsid w:val="002210ED"/>
    <w:rsid w:val="00222201"/>
    <w:rsid w:val="002233F4"/>
    <w:rsid w:val="00223405"/>
    <w:rsid w:val="002234C4"/>
    <w:rsid w:val="00223660"/>
    <w:rsid w:val="00223D56"/>
    <w:rsid w:val="002250E4"/>
    <w:rsid w:val="00225272"/>
    <w:rsid w:val="00225FF9"/>
    <w:rsid w:val="0022756D"/>
    <w:rsid w:val="002300C8"/>
    <w:rsid w:val="00230EFD"/>
    <w:rsid w:val="00231A22"/>
    <w:rsid w:val="00231D33"/>
    <w:rsid w:val="00231D69"/>
    <w:rsid w:val="00232160"/>
    <w:rsid w:val="002328BE"/>
    <w:rsid w:val="00232C07"/>
    <w:rsid w:val="00233067"/>
    <w:rsid w:val="0023546E"/>
    <w:rsid w:val="0023623E"/>
    <w:rsid w:val="00236E86"/>
    <w:rsid w:val="002371C8"/>
    <w:rsid w:val="00237F61"/>
    <w:rsid w:val="00242208"/>
    <w:rsid w:val="00242F0C"/>
    <w:rsid w:val="00243867"/>
    <w:rsid w:val="002446C2"/>
    <w:rsid w:val="00245A51"/>
    <w:rsid w:val="00245FA7"/>
    <w:rsid w:val="002461D6"/>
    <w:rsid w:val="002478E8"/>
    <w:rsid w:val="002500A7"/>
    <w:rsid w:val="002513C3"/>
    <w:rsid w:val="00251E74"/>
    <w:rsid w:val="00252744"/>
    <w:rsid w:val="002529F9"/>
    <w:rsid w:val="00253676"/>
    <w:rsid w:val="00254609"/>
    <w:rsid w:val="00255625"/>
    <w:rsid w:val="00255EA3"/>
    <w:rsid w:val="00256400"/>
    <w:rsid w:val="00257376"/>
    <w:rsid w:val="00257EFB"/>
    <w:rsid w:val="0026010D"/>
    <w:rsid w:val="002608CD"/>
    <w:rsid w:val="00260A08"/>
    <w:rsid w:val="00262B8E"/>
    <w:rsid w:val="0026581C"/>
    <w:rsid w:val="00265BBB"/>
    <w:rsid w:val="00266CB9"/>
    <w:rsid w:val="00267BBF"/>
    <w:rsid w:val="0027013E"/>
    <w:rsid w:val="00270816"/>
    <w:rsid w:val="00271D5F"/>
    <w:rsid w:val="00275545"/>
    <w:rsid w:val="0027602C"/>
    <w:rsid w:val="002771C9"/>
    <w:rsid w:val="00277945"/>
    <w:rsid w:val="00282EEE"/>
    <w:rsid w:val="00284110"/>
    <w:rsid w:val="00284AE0"/>
    <w:rsid w:val="00286BB6"/>
    <w:rsid w:val="00286C66"/>
    <w:rsid w:val="00287847"/>
    <w:rsid w:val="002879ED"/>
    <w:rsid w:val="00287A12"/>
    <w:rsid w:val="00290FA9"/>
    <w:rsid w:val="00291299"/>
    <w:rsid w:val="00291599"/>
    <w:rsid w:val="00293595"/>
    <w:rsid w:val="00294C7A"/>
    <w:rsid w:val="00296031"/>
    <w:rsid w:val="002969DC"/>
    <w:rsid w:val="002A1F48"/>
    <w:rsid w:val="002A420A"/>
    <w:rsid w:val="002A4303"/>
    <w:rsid w:val="002A52BB"/>
    <w:rsid w:val="002A584D"/>
    <w:rsid w:val="002A7BD9"/>
    <w:rsid w:val="002B1B32"/>
    <w:rsid w:val="002B4223"/>
    <w:rsid w:val="002B42D6"/>
    <w:rsid w:val="002B53AB"/>
    <w:rsid w:val="002B53AF"/>
    <w:rsid w:val="002B60BB"/>
    <w:rsid w:val="002B6846"/>
    <w:rsid w:val="002B7C0D"/>
    <w:rsid w:val="002C06F5"/>
    <w:rsid w:val="002C13F9"/>
    <w:rsid w:val="002C1B06"/>
    <w:rsid w:val="002C5082"/>
    <w:rsid w:val="002C54D3"/>
    <w:rsid w:val="002C59CD"/>
    <w:rsid w:val="002C5A59"/>
    <w:rsid w:val="002D05D6"/>
    <w:rsid w:val="002D0B21"/>
    <w:rsid w:val="002D0BE1"/>
    <w:rsid w:val="002D34CA"/>
    <w:rsid w:val="002D39F6"/>
    <w:rsid w:val="002D4BE4"/>
    <w:rsid w:val="002D5E1C"/>
    <w:rsid w:val="002D6710"/>
    <w:rsid w:val="002D6A24"/>
    <w:rsid w:val="002E0F0A"/>
    <w:rsid w:val="002E1903"/>
    <w:rsid w:val="002E2126"/>
    <w:rsid w:val="002E234C"/>
    <w:rsid w:val="002E24F5"/>
    <w:rsid w:val="002E49C9"/>
    <w:rsid w:val="002E5D89"/>
    <w:rsid w:val="002E680F"/>
    <w:rsid w:val="002E7EEE"/>
    <w:rsid w:val="002F0A71"/>
    <w:rsid w:val="002F2DD3"/>
    <w:rsid w:val="002F46D0"/>
    <w:rsid w:val="002F50F0"/>
    <w:rsid w:val="002F531B"/>
    <w:rsid w:val="00300AB4"/>
    <w:rsid w:val="00301F7E"/>
    <w:rsid w:val="0030320D"/>
    <w:rsid w:val="00304FA5"/>
    <w:rsid w:val="0030507E"/>
    <w:rsid w:val="00305D15"/>
    <w:rsid w:val="003069C8"/>
    <w:rsid w:val="00306E49"/>
    <w:rsid w:val="00306EB5"/>
    <w:rsid w:val="003070DF"/>
    <w:rsid w:val="00314403"/>
    <w:rsid w:val="003178E3"/>
    <w:rsid w:val="00317974"/>
    <w:rsid w:val="00317CB4"/>
    <w:rsid w:val="00321146"/>
    <w:rsid w:val="003220F4"/>
    <w:rsid w:val="00322B59"/>
    <w:rsid w:val="00330C8D"/>
    <w:rsid w:val="00331757"/>
    <w:rsid w:val="00331845"/>
    <w:rsid w:val="0033556F"/>
    <w:rsid w:val="00335648"/>
    <w:rsid w:val="003363A3"/>
    <w:rsid w:val="00337229"/>
    <w:rsid w:val="00337D0B"/>
    <w:rsid w:val="00337F54"/>
    <w:rsid w:val="00340236"/>
    <w:rsid w:val="003407F3"/>
    <w:rsid w:val="00341045"/>
    <w:rsid w:val="003414BB"/>
    <w:rsid w:val="0034181C"/>
    <w:rsid w:val="0034243D"/>
    <w:rsid w:val="00343BC0"/>
    <w:rsid w:val="00346CF1"/>
    <w:rsid w:val="003533FF"/>
    <w:rsid w:val="00353425"/>
    <w:rsid w:val="0035572D"/>
    <w:rsid w:val="003564EC"/>
    <w:rsid w:val="00356AB9"/>
    <w:rsid w:val="00356C33"/>
    <w:rsid w:val="00356C51"/>
    <w:rsid w:val="00356CA4"/>
    <w:rsid w:val="00362F11"/>
    <w:rsid w:val="00363B95"/>
    <w:rsid w:val="0036603C"/>
    <w:rsid w:val="00366836"/>
    <w:rsid w:val="003668BC"/>
    <w:rsid w:val="00367711"/>
    <w:rsid w:val="00371437"/>
    <w:rsid w:val="0037170A"/>
    <w:rsid w:val="0037174C"/>
    <w:rsid w:val="003720CA"/>
    <w:rsid w:val="00372324"/>
    <w:rsid w:val="00372729"/>
    <w:rsid w:val="00372943"/>
    <w:rsid w:val="003730D3"/>
    <w:rsid w:val="003741B4"/>
    <w:rsid w:val="003758B9"/>
    <w:rsid w:val="00376301"/>
    <w:rsid w:val="0037691C"/>
    <w:rsid w:val="0037758A"/>
    <w:rsid w:val="00377A8D"/>
    <w:rsid w:val="00381A04"/>
    <w:rsid w:val="00381CD0"/>
    <w:rsid w:val="00382687"/>
    <w:rsid w:val="00382992"/>
    <w:rsid w:val="00383C0B"/>
    <w:rsid w:val="00383C37"/>
    <w:rsid w:val="00384E07"/>
    <w:rsid w:val="00385A22"/>
    <w:rsid w:val="00385FEA"/>
    <w:rsid w:val="0038601F"/>
    <w:rsid w:val="00390AE1"/>
    <w:rsid w:val="00392999"/>
    <w:rsid w:val="00392EA4"/>
    <w:rsid w:val="003962DF"/>
    <w:rsid w:val="00396878"/>
    <w:rsid w:val="00397CFA"/>
    <w:rsid w:val="00397FAA"/>
    <w:rsid w:val="003A0C22"/>
    <w:rsid w:val="003A1649"/>
    <w:rsid w:val="003A280D"/>
    <w:rsid w:val="003A2941"/>
    <w:rsid w:val="003A323B"/>
    <w:rsid w:val="003A395C"/>
    <w:rsid w:val="003A4421"/>
    <w:rsid w:val="003A4D0E"/>
    <w:rsid w:val="003A5915"/>
    <w:rsid w:val="003A5EEE"/>
    <w:rsid w:val="003A6FE5"/>
    <w:rsid w:val="003B0754"/>
    <w:rsid w:val="003B1249"/>
    <w:rsid w:val="003B5A24"/>
    <w:rsid w:val="003B5CB6"/>
    <w:rsid w:val="003B6BF1"/>
    <w:rsid w:val="003B711C"/>
    <w:rsid w:val="003B7140"/>
    <w:rsid w:val="003B752A"/>
    <w:rsid w:val="003B7C5A"/>
    <w:rsid w:val="003C043C"/>
    <w:rsid w:val="003C0F1F"/>
    <w:rsid w:val="003C18E9"/>
    <w:rsid w:val="003C1980"/>
    <w:rsid w:val="003C1C8E"/>
    <w:rsid w:val="003C6C83"/>
    <w:rsid w:val="003C71D2"/>
    <w:rsid w:val="003D10D8"/>
    <w:rsid w:val="003D1FA6"/>
    <w:rsid w:val="003D2030"/>
    <w:rsid w:val="003D2ADC"/>
    <w:rsid w:val="003D4A6F"/>
    <w:rsid w:val="003D4C56"/>
    <w:rsid w:val="003D675A"/>
    <w:rsid w:val="003E018C"/>
    <w:rsid w:val="003E03A0"/>
    <w:rsid w:val="003E05F8"/>
    <w:rsid w:val="003E0D36"/>
    <w:rsid w:val="003E0D64"/>
    <w:rsid w:val="003E14BA"/>
    <w:rsid w:val="003E2659"/>
    <w:rsid w:val="003E2E58"/>
    <w:rsid w:val="003E42E3"/>
    <w:rsid w:val="003E481C"/>
    <w:rsid w:val="003E485D"/>
    <w:rsid w:val="003E4A5A"/>
    <w:rsid w:val="003E4EE8"/>
    <w:rsid w:val="003E5300"/>
    <w:rsid w:val="003E584F"/>
    <w:rsid w:val="003E6831"/>
    <w:rsid w:val="003E6F8F"/>
    <w:rsid w:val="003E6FC6"/>
    <w:rsid w:val="003E7E7A"/>
    <w:rsid w:val="003F0132"/>
    <w:rsid w:val="003F0F84"/>
    <w:rsid w:val="003F2C20"/>
    <w:rsid w:val="003F2E17"/>
    <w:rsid w:val="003F51F4"/>
    <w:rsid w:val="003F5857"/>
    <w:rsid w:val="003F5957"/>
    <w:rsid w:val="004000CC"/>
    <w:rsid w:val="0040138A"/>
    <w:rsid w:val="00402C69"/>
    <w:rsid w:val="00404A22"/>
    <w:rsid w:val="0040603D"/>
    <w:rsid w:val="00406552"/>
    <w:rsid w:val="00406F30"/>
    <w:rsid w:val="00407C51"/>
    <w:rsid w:val="00407FA9"/>
    <w:rsid w:val="0041095A"/>
    <w:rsid w:val="00410A4F"/>
    <w:rsid w:val="00411891"/>
    <w:rsid w:val="00411C4A"/>
    <w:rsid w:val="0041295F"/>
    <w:rsid w:val="00412B2E"/>
    <w:rsid w:val="00413A61"/>
    <w:rsid w:val="004152AC"/>
    <w:rsid w:val="004155A8"/>
    <w:rsid w:val="004215B3"/>
    <w:rsid w:val="00422783"/>
    <w:rsid w:val="00423800"/>
    <w:rsid w:val="00423A7A"/>
    <w:rsid w:val="00424160"/>
    <w:rsid w:val="00424685"/>
    <w:rsid w:val="00424CFA"/>
    <w:rsid w:val="00425E65"/>
    <w:rsid w:val="004264D0"/>
    <w:rsid w:val="0042663A"/>
    <w:rsid w:val="00426A35"/>
    <w:rsid w:val="00427EFD"/>
    <w:rsid w:val="00430095"/>
    <w:rsid w:val="00431416"/>
    <w:rsid w:val="0043337A"/>
    <w:rsid w:val="00434643"/>
    <w:rsid w:val="00434AD5"/>
    <w:rsid w:val="00434F9B"/>
    <w:rsid w:val="00436517"/>
    <w:rsid w:val="00437FB2"/>
    <w:rsid w:val="0044049A"/>
    <w:rsid w:val="00441D15"/>
    <w:rsid w:val="00442BE5"/>
    <w:rsid w:val="00443614"/>
    <w:rsid w:val="00443F91"/>
    <w:rsid w:val="0044410F"/>
    <w:rsid w:val="00444902"/>
    <w:rsid w:val="00444B62"/>
    <w:rsid w:val="00444DEE"/>
    <w:rsid w:val="00446101"/>
    <w:rsid w:val="0044632D"/>
    <w:rsid w:val="0044724F"/>
    <w:rsid w:val="00450A44"/>
    <w:rsid w:val="0045129E"/>
    <w:rsid w:val="00451D35"/>
    <w:rsid w:val="004534A7"/>
    <w:rsid w:val="004540A6"/>
    <w:rsid w:val="00455599"/>
    <w:rsid w:val="00457358"/>
    <w:rsid w:val="00461DE3"/>
    <w:rsid w:val="0046395A"/>
    <w:rsid w:val="0046445A"/>
    <w:rsid w:val="0046526B"/>
    <w:rsid w:val="00466E57"/>
    <w:rsid w:val="00467672"/>
    <w:rsid w:val="00470A17"/>
    <w:rsid w:val="00473606"/>
    <w:rsid w:val="00475284"/>
    <w:rsid w:val="00475634"/>
    <w:rsid w:val="004768C1"/>
    <w:rsid w:val="004770B2"/>
    <w:rsid w:val="00477F4D"/>
    <w:rsid w:val="004824C1"/>
    <w:rsid w:val="00483C5A"/>
    <w:rsid w:val="00484BEF"/>
    <w:rsid w:val="00485774"/>
    <w:rsid w:val="00486246"/>
    <w:rsid w:val="00486436"/>
    <w:rsid w:val="00487D91"/>
    <w:rsid w:val="00487E64"/>
    <w:rsid w:val="004909E6"/>
    <w:rsid w:val="00491B75"/>
    <w:rsid w:val="004927FC"/>
    <w:rsid w:val="004931F6"/>
    <w:rsid w:val="00494A42"/>
    <w:rsid w:val="0049537F"/>
    <w:rsid w:val="00495A45"/>
    <w:rsid w:val="004979B4"/>
    <w:rsid w:val="004A003E"/>
    <w:rsid w:val="004A030B"/>
    <w:rsid w:val="004A0B9D"/>
    <w:rsid w:val="004A1351"/>
    <w:rsid w:val="004A15A3"/>
    <w:rsid w:val="004A1602"/>
    <w:rsid w:val="004A2CBF"/>
    <w:rsid w:val="004A656F"/>
    <w:rsid w:val="004A67BA"/>
    <w:rsid w:val="004A6827"/>
    <w:rsid w:val="004A7101"/>
    <w:rsid w:val="004A7285"/>
    <w:rsid w:val="004B0ADA"/>
    <w:rsid w:val="004B1709"/>
    <w:rsid w:val="004B206B"/>
    <w:rsid w:val="004B536D"/>
    <w:rsid w:val="004B55D2"/>
    <w:rsid w:val="004B564E"/>
    <w:rsid w:val="004B66DB"/>
    <w:rsid w:val="004C01D6"/>
    <w:rsid w:val="004C021B"/>
    <w:rsid w:val="004C0BED"/>
    <w:rsid w:val="004C247D"/>
    <w:rsid w:val="004C2D60"/>
    <w:rsid w:val="004C3258"/>
    <w:rsid w:val="004C3720"/>
    <w:rsid w:val="004C7181"/>
    <w:rsid w:val="004C73A1"/>
    <w:rsid w:val="004D10B2"/>
    <w:rsid w:val="004D1FD7"/>
    <w:rsid w:val="004D28FF"/>
    <w:rsid w:val="004D3F85"/>
    <w:rsid w:val="004D50C6"/>
    <w:rsid w:val="004E1339"/>
    <w:rsid w:val="004E17A4"/>
    <w:rsid w:val="004E21DA"/>
    <w:rsid w:val="004E253B"/>
    <w:rsid w:val="004E3941"/>
    <w:rsid w:val="004E4350"/>
    <w:rsid w:val="004E4851"/>
    <w:rsid w:val="004E4BA9"/>
    <w:rsid w:val="004E6396"/>
    <w:rsid w:val="004E6B0D"/>
    <w:rsid w:val="004E6BDB"/>
    <w:rsid w:val="004E6C29"/>
    <w:rsid w:val="004E6D71"/>
    <w:rsid w:val="004E7F1C"/>
    <w:rsid w:val="004F2F67"/>
    <w:rsid w:val="004F3117"/>
    <w:rsid w:val="004F3127"/>
    <w:rsid w:val="004F4EF0"/>
    <w:rsid w:val="004F602A"/>
    <w:rsid w:val="004F6AE5"/>
    <w:rsid w:val="004F7772"/>
    <w:rsid w:val="00501370"/>
    <w:rsid w:val="00501513"/>
    <w:rsid w:val="00502387"/>
    <w:rsid w:val="0050271F"/>
    <w:rsid w:val="00503CDA"/>
    <w:rsid w:val="005040E4"/>
    <w:rsid w:val="00504508"/>
    <w:rsid w:val="00505818"/>
    <w:rsid w:val="0050700E"/>
    <w:rsid w:val="00511340"/>
    <w:rsid w:val="005114A6"/>
    <w:rsid w:val="005126E2"/>
    <w:rsid w:val="00512733"/>
    <w:rsid w:val="00512DD8"/>
    <w:rsid w:val="005148F5"/>
    <w:rsid w:val="005153D8"/>
    <w:rsid w:val="00515A11"/>
    <w:rsid w:val="00516FF3"/>
    <w:rsid w:val="00522269"/>
    <w:rsid w:val="0052274F"/>
    <w:rsid w:val="005228AC"/>
    <w:rsid w:val="005230BB"/>
    <w:rsid w:val="005243D9"/>
    <w:rsid w:val="005259AA"/>
    <w:rsid w:val="0052756B"/>
    <w:rsid w:val="005316C1"/>
    <w:rsid w:val="0053253E"/>
    <w:rsid w:val="0053289A"/>
    <w:rsid w:val="005335E8"/>
    <w:rsid w:val="00533997"/>
    <w:rsid w:val="00533DD4"/>
    <w:rsid w:val="005364C9"/>
    <w:rsid w:val="00536578"/>
    <w:rsid w:val="00536B25"/>
    <w:rsid w:val="00536DEE"/>
    <w:rsid w:val="00541EE1"/>
    <w:rsid w:val="00542DF1"/>
    <w:rsid w:val="0054363D"/>
    <w:rsid w:val="00543F2A"/>
    <w:rsid w:val="005443D5"/>
    <w:rsid w:val="00545F98"/>
    <w:rsid w:val="00547E5D"/>
    <w:rsid w:val="00550C70"/>
    <w:rsid w:val="00550CF0"/>
    <w:rsid w:val="00551BFF"/>
    <w:rsid w:val="0055213A"/>
    <w:rsid w:val="00553A43"/>
    <w:rsid w:val="00554752"/>
    <w:rsid w:val="00555D67"/>
    <w:rsid w:val="005567F1"/>
    <w:rsid w:val="00556E51"/>
    <w:rsid w:val="0056000B"/>
    <w:rsid w:val="00560DC2"/>
    <w:rsid w:val="00561D79"/>
    <w:rsid w:val="00563A57"/>
    <w:rsid w:val="005646C1"/>
    <w:rsid w:val="005647C2"/>
    <w:rsid w:val="00565934"/>
    <w:rsid w:val="00565938"/>
    <w:rsid w:val="00565C53"/>
    <w:rsid w:val="00567610"/>
    <w:rsid w:val="00567A1D"/>
    <w:rsid w:val="00570399"/>
    <w:rsid w:val="005703D0"/>
    <w:rsid w:val="00570E1A"/>
    <w:rsid w:val="00570EC7"/>
    <w:rsid w:val="005712CB"/>
    <w:rsid w:val="005717C0"/>
    <w:rsid w:val="00571895"/>
    <w:rsid w:val="00572117"/>
    <w:rsid w:val="005736DE"/>
    <w:rsid w:val="0057464B"/>
    <w:rsid w:val="005768FF"/>
    <w:rsid w:val="00576ECA"/>
    <w:rsid w:val="00577620"/>
    <w:rsid w:val="005809BA"/>
    <w:rsid w:val="00581400"/>
    <w:rsid w:val="005818B8"/>
    <w:rsid w:val="00583A63"/>
    <w:rsid w:val="00584AA8"/>
    <w:rsid w:val="00584C10"/>
    <w:rsid w:val="00586D66"/>
    <w:rsid w:val="0058751B"/>
    <w:rsid w:val="00587966"/>
    <w:rsid w:val="005879D0"/>
    <w:rsid w:val="00590376"/>
    <w:rsid w:val="00590559"/>
    <w:rsid w:val="00592BE0"/>
    <w:rsid w:val="00594996"/>
    <w:rsid w:val="00595AAD"/>
    <w:rsid w:val="005A294B"/>
    <w:rsid w:val="005A2BCB"/>
    <w:rsid w:val="005A3A5B"/>
    <w:rsid w:val="005A4A8F"/>
    <w:rsid w:val="005A5CD1"/>
    <w:rsid w:val="005A60E1"/>
    <w:rsid w:val="005A7995"/>
    <w:rsid w:val="005A7D13"/>
    <w:rsid w:val="005A7D49"/>
    <w:rsid w:val="005B117A"/>
    <w:rsid w:val="005B3CE4"/>
    <w:rsid w:val="005B5373"/>
    <w:rsid w:val="005B6101"/>
    <w:rsid w:val="005B6A14"/>
    <w:rsid w:val="005B70D1"/>
    <w:rsid w:val="005B78FA"/>
    <w:rsid w:val="005C048E"/>
    <w:rsid w:val="005C0600"/>
    <w:rsid w:val="005C1184"/>
    <w:rsid w:val="005C1CED"/>
    <w:rsid w:val="005C1EC9"/>
    <w:rsid w:val="005C22A1"/>
    <w:rsid w:val="005C22CA"/>
    <w:rsid w:val="005C43B6"/>
    <w:rsid w:val="005C4550"/>
    <w:rsid w:val="005C5A24"/>
    <w:rsid w:val="005C62A7"/>
    <w:rsid w:val="005C68DD"/>
    <w:rsid w:val="005C6CA9"/>
    <w:rsid w:val="005C6F94"/>
    <w:rsid w:val="005C70F2"/>
    <w:rsid w:val="005C7CF1"/>
    <w:rsid w:val="005C7F68"/>
    <w:rsid w:val="005D077E"/>
    <w:rsid w:val="005D0D6C"/>
    <w:rsid w:val="005D1A11"/>
    <w:rsid w:val="005D1DC8"/>
    <w:rsid w:val="005D275D"/>
    <w:rsid w:val="005D2E07"/>
    <w:rsid w:val="005D66E1"/>
    <w:rsid w:val="005E048B"/>
    <w:rsid w:val="005E0613"/>
    <w:rsid w:val="005E09F8"/>
    <w:rsid w:val="005E10D6"/>
    <w:rsid w:val="005E1DA6"/>
    <w:rsid w:val="005E2CEE"/>
    <w:rsid w:val="005E354F"/>
    <w:rsid w:val="005E3A11"/>
    <w:rsid w:val="005E42E4"/>
    <w:rsid w:val="005E4EC3"/>
    <w:rsid w:val="005E5174"/>
    <w:rsid w:val="005E525A"/>
    <w:rsid w:val="005E6759"/>
    <w:rsid w:val="005E792E"/>
    <w:rsid w:val="005F1AE0"/>
    <w:rsid w:val="005F23CE"/>
    <w:rsid w:val="005F4A05"/>
    <w:rsid w:val="005F7EA1"/>
    <w:rsid w:val="00601E61"/>
    <w:rsid w:val="0060408D"/>
    <w:rsid w:val="006047AD"/>
    <w:rsid w:val="00606019"/>
    <w:rsid w:val="006065AB"/>
    <w:rsid w:val="00606AF4"/>
    <w:rsid w:val="00606D53"/>
    <w:rsid w:val="00610C24"/>
    <w:rsid w:val="00610F8E"/>
    <w:rsid w:val="00611FDB"/>
    <w:rsid w:val="006131D0"/>
    <w:rsid w:val="00613660"/>
    <w:rsid w:val="006149ED"/>
    <w:rsid w:val="00615144"/>
    <w:rsid w:val="00620A74"/>
    <w:rsid w:val="0062144E"/>
    <w:rsid w:val="00621959"/>
    <w:rsid w:val="00623104"/>
    <w:rsid w:val="00623E50"/>
    <w:rsid w:val="006242E5"/>
    <w:rsid w:val="006259F3"/>
    <w:rsid w:val="00627046"/>
    <w:rsid w:val="00633B46"/>
    <w:rsid w:val="00635E48"/>
    <w:rsid w:val="00641EE7"/>
    <w:rsid w:val="006424EF"/>
    <w:rsid w:val="006425FB"/>
    <w:rsid w:val="0064573C"/>
    <w:rsid w:val="00646413"/>
    <w:rsid w:val="00646C2B"/>
    <w:rsid w:val="0065017B"/>
    <w:rsid w:val="00650279"/>
    <w:rsid w:val="00651DCE"/>
    <w:rsid w:val="0065329C"/>
    <w:rsid w:val="00653BF4"/>
    <w:rsid w:val="006546B3"/>
    <w:rsid w:val="0065567B"/>
    <w:rsid w:val="00657EE7"/>
    <w:rsid w:val="0066008A"/>
    <w:rsid w:val="006603A7"/>
    <w:rsid w:val="00660D2C"/>
    <w:rsid w:val="00662D4D"/>
    <w:rsid w:val="00662E12"/>
    <w:rsid w:val="006634A8"/>
    <w:rsid w:val="00663693"/>
    <w:rsid w:val="00663D6F"/>
    <w:rsid w:val="006659F9"/>
    <w:rsid w:val="00666CDE"/>
    <w:rsid w:val="00667650"/>
    <w:rsid w:val="0067018B"/>
    <w:rsid w:val="00671197"/>
    <w:rsid w:val="00671921"/>
    <w:rsid w:val="00673160"/>
    <w:rsid w:val="00674AFB"/>
    <w:rsid w:val="00674E41"/>
    <w:rsid w:val="00676274"/>
    <w:rsid w:val="00677B97"/>
    <w:rsid w:val="00680C5E"/>
    <w:rsid w:val="00681F81"/>
    <w:rsid w:val="00683899"/>
    <w:rsid w:val="00683A23"/>
    <w:rsid w:val="00683FE9"/>
    <w:rsid w:val="00684C2C"/>
    <w:rsid w:val="00685359"/>
    <w:rsid w:val="00686810"/>
    <w:rsid w:val="006868CC"/>
    <w:rsid w:val="00687608"/>
    <w:rsid w:val="00687E90"/>
    <w:rsid w:val="00687F11"/>
    <w:rsid w:val="006901BD"/>
    <w:rsid w:val="00691628"/>
    <w:rsid w:val="00691F28"/>
    <w:rsid w:val="006921C0"/>
    <w:rsid w:val="00692C5E"/>
    <w:rsid w:val="00692CD9"/>
    <w:rsid w:val="0069506F"/>
    <w:rsid w:val="006967B1"/>
    <w:rsid w:val="00697352"/>
    <w:rsid w:val="00697D52"/>
    <w:rsid w:val="006A00E4"/>
    <w:rsid w:val="006A23E3"/>
    <w:rsid w:val="006A293B"/>
    <w:rsid w:val="006A3E78"/>
    <w:rsid w:val="006A415A"/>
    <w:rsid w:val="006A4FD6"/>
    <w:rsid w:val="006A719B"/>
    <w:rsid w:val="006A78AB"/>
    <w:rsid w:val="006B0ACC"/>
    <w:rsid w:val="006B0F70"/>
    <w:rsid w:val="006B1560"/>
    <w:rsid w:val="006B67F5"/>
    <w:rsid w:val="006B765B"/>
    <w:rsid w:val="006B7BF0"/>
    <w:rsid w:val="006C074F"/>
    <w:rsid w:val="006C0E5D"/>
    <w:rsid w:val="006C1C17"/>
    <w:rsid w:val="006C35E5"/>
    <w:rsid w:val="006C3AB3"/>
    <w:rsid w:val="006C4628"/>
    <w:rsid w:val="006C7C65"/>
    <w:rsid w:val="006D00B8"/>
    <w:rsid w:val="006D03C3"/>
    <w:rsid w:val="006D19F7"/>
    <w:rsid w:val="006D218F"/>
    <w:rsid w:val="006D3A2C"/>
    <w:rsid w:val="006D57CF"/>
    <w:rsid w:val="006D5AA3"/>
    <w:rsid w:val="006D5CC8"/>
    <w:rsid w:val="006D6A1F"/>
    <w:rsid w:val="006D6AA9"/>
    <w:rsid w:val="006D6FEF"/>
    <w:rsid w:val="006E1319"/>
    <w:rsid w:val="006E18F0"/>
    <w:rsid w:val="006E3338"/>
    <w:rsid w:val="006E45CD"/>
    <w:rsid w:val="006E4F1C"/>
    <w:rsid w:val="006E50EF"/>
    <w:rsid w:val="006E50F9"/>
    <w:rsid w:val="006E7992"/>
    <w:rsid w:val="006F3C22"/>
    <w:rsid w:val="006F3D98"/>
    <w:rsid w:val="006F40B5"/>
    <w:rsid w:val="006F43C6"/>
    <w:rsid w:val="006F45E2"/>
    <w:rsid w:val="006F5CFF"/>
    <w:rsid w:val="006F5D70"/>
    <w:rsid w:val="006F631B"/>
    <w:rsid w:val="006F713E"/>
    <w:rsid w:val="00700171"/>
    <w:rsid w:val="007030CC"/>
    <w:rsid w:val="00703164"/>
    <w:rsid w:val="0070328A"/>
    <w:rsid w:val="00703CD8"/>
    <w:rsid w:val="00703F4D"/>
    <w:rsid w:val="007054FF"/>
    <w:rsid w:val="00706431"/>
    <w:rsid w:val="00706E0A"/>
    <w:rsid w:val="007071FD"/>
    <w:rsid w:val="00707782"/>
    <w:rsid w:val="00707EE4"/>
    <w:rsid w:val="00710A4C"/>
    <w:rsid w:val="0071123C"/>
    <w:rsid w:val="00711E2E"/>
    <w:rsid w:val="007124FB"/>
    <w:rsid w:val="00712DA1"/>
    <w:rsid w:val="00713A68"/>
    <w:rsid w:val="007167F7"/>
    <w:rsid w:val="007169D9"/>
    <w:rsid w:val="0071769A"/>
    <w:rsid w:val="007218D9"/>
    <w:rsid w:val="00722000"/>
    <w:rsid w:val="0072401E"/>
    <w:rsid w:val="0072427C"/>
    <w:rsid w:val="0072457A"/>
    <w:rsid w:val="00725351"/>
    <w:rsid w:val="00726FA8"/>
    <w:rsid w:val="007272D7"/>
    <w:rsid w:val="00727B7F"/>
    <w:rsid w:val="00730716"/>
    <w:rsid w:val="00731235"/>
    <w:rsid w:val="00731BBE"/>
    <w:rsid w:val="00733D35"/>
    <w:rsid w:val="00734BE4"/>
    <w:rsid w:val="007364FE"/>
    <w:rsid w:val="007365B5"/>
    <w:rsid w:val="00737D84"/>
    <w:rsid w:val="0074014A"/>
    <w:rsid w:val="0074058E"/>
    <w:rsid w:val="00740A92"/>
    <w:rsid w:val="00740FBC"/>
    <w:rsid w:val="00741101"/>
    <w:rsid w:val="00742903"/>
    <w:rsid w:val="00744414"/>
    <w:rsid w:val="0074534D"/>
    <w:rsid w:val="00746E9D"/>
    <w:rsid w:val="0074751C"/>
    <w:rsid w:val="00752EFC"/>
    <w:rsid w:val="00753A51"/>
    <w:rsid w:val="00753F0F"/>
    <w:rsid w:val="007547D1"/>
    <w:rsid w:val="00755204"/>
    <w:rsid w:val="007552BB"/>
    <w:rsid w:val="007553D6"/>
    <w:rsid w:val="007574E0"/>
    <w:rsid w:val="007602CD"/>
    <w:rsid w:val="00760B12"/>
    <w:rsid w:val="007625B1"/>
    <w:rsid w:val="00762B67"/>
    <w:rsid w:val="00762F50"/>
    <w:rsid w:val="0076321C"/>
    <w:rsid w:val="00763962"/>
    <w:rsid w:val="00763BEE"/>
    <w:rsid w:val="00763E9C"/>
    <w:rsid w:val="00764F0F"/>
    <w:rsid w:val="00766DC8"/>
    <w:rsid w:val="00770DBA"/>
    <w:rsid w:val="007716BC"/>
    <w:rsid w:val="00772276"/>
    <w:rsid w:val="007726DC"/>
    <w:rsid w:val="007744B2"/>
    <w:rsid w:val="0077676D"/>
    <w:rsid w:val="00780D9F"/>
    <w:rsid w:val="00780E65"/>
    <w:rsid w:val="007820F1"/>
    <w:rsid w:val="0078402A"/>
    <w:rsid w:val="00784E01"/>
    <w:rsid w:val="00785342"/>
    <w:rsid w:val="00786AB8"/>
    <w:rsid w:val="00786CEA"/>
    <w:rsid w:val="00787F57"/>
    <w:rsid w:val="00790F93"/>
    <w:rsid w:val="007911DF"/>
    <w:rsid w:val="0079369F"/>
    <w:rsid w:val="007960D5"/>
    <w:rsid w:val="00796618"/>
    <w:rsid w:val="007A05FF"/>
    <w:rsid w:val="007A22BA"/>
    <w:rsid w:val="007A374A"/>
    <w:rsid w:val="007A3A87"/>
    <w:rsid w:val="007A5DC1"/>
    <w:rsid w:val="007A633E"/>
    <w:rsid w:val="007A6D6F"/>
    <w:rsid w:val="007B0AB1"/>
    <w:rsid w:val="007B3021"/>
    <w:rsid w:val="007B3EB7"/>
    <w:rsid w:val="007B49DC"/>
    <w:rsid w:val="007B5373"/>
    <w:rsid w:val="007B547A"/>
    <w:rsid w:val="007B6FA1"/>
    <w:rsid w:val="007B71EF"/>
    <w:rsid w:val="007B72A3"/>
    <w:rsid w:val="007B768C"/>
    <w:rsid w:val="007C4CBB"/>
    <w:rsid w:val="007C4D13"/>
    <w:rsid w:val="007C64B2"/>
    <w:rsid w:val="007C733C"/>
    <w:rsid w:val="007C7AA8"/>
    <w:rsid w:val="007D0235"/>
    <w:rsid w:val="007D0769"/>
    <w:rsid w:val="007D133B"/>
    <w:rsid w:val="007D1785"/>
    <w:rsid w:val="007D385B"/>
    <w:rsid w:val="007D3925"/>
    <w:rsid w:val="007D4173"/>
    <w:rsid w:val="007D495D"/>
    <w:rsid w:val="007D6080"/>
    <w:rsid w:val="007D658E"/>
    <w:rsid w:val="007D7997"/>
    <w:rsid w:val="007E1BB8"/>
    <w:rsid w:val="007E2510"/>
    <w:rsid w:val="007E7059"/>
    <w:rsid w:val="007E79D4"/>
    <w:rsid w:val="007E7DA8"/>
    <w:rsid w:val="007F0005"/>
    <w:rsid w:val="007F0291"/>
    <w:rsid w:val="007F1778"/>
    <w:rsid w:val="007F17AF"/>
    <w:rsid w:val="007F210E"/>
    <w:rsid w:val="007F25F8"/>
    <w:rsid w:val="007F2F79"/>
    <w:rsid w:val="007F379E"/>
    <w:rsid w:val="007F438E"/>
    <w:rsid w:val="007F60F5"/>
    <w:rsid w:val="007F670F"/>
    <w:rsid w:val="007F707C"/>
    <w:rsid w:val="007F740A"/>
    <w:rsid w:val="007F7C00"/>
    <w:rsid w:val="007F7E90"/>
    <w:rsid w:val="00802085"/>
    <w:rsid w:val="00802A5C"/>
    <w:rsid w:val="00804A36"/>
    <w:rsid w:val="008068FD"/>
    <w:rsid w:val="00807E93"/>
    <w:rsid w:val="00807E9A"/>
    <w:rsid w:val="00810113"/>
    <w:rsid w:val="008101A5"/>
    <w:rsid w:val="008103DC"/>
    <w:rsid w:val="008124D5"/>
    <w:rsid w:val="008140CB"/>
    <w:rsid w:val="008142F0"/>
    <w:rsid w:val="008143A5"/>
    <w:rsid w:val="00814AAD"/>
    <w:rsid w:val="00821627"/>
    <w:rsid w:val="00822CD6"/>
    <w:rsid w:val="00822D98"/>
    <w:rsid w:val="008240A8"/>
    <w:rsid w:val="00825C79"/>
    <w:rsid w:val="0083106A"/>
    <w:rsid w:val="008313E4"/>
    <w:rsid w:val="008319A5"/>
    <w:rsid w:val="00831FD7"/>
    <w:rsid w:val="00832FC2"/>
    <w:rsid w:val="008348C7"/>
    <w:rsid w:val="00834901"/>
    <w:rsid w:val="008351E8"/>
    <w:rsid w:val="008358CE"/>
    <w:rsid w:val="00835C64"/>
    <w:rsid w:val="0083644F"/>
    <w:rsid w:val="0083672D"/>
    <w:rsid w:val="00842621"/>
    <w:rsid w:val="00842D12"/>
    <w:rsid w:val="00843C6A"/>
    <w:rsid w:val="008446F1"/>
    <w:rsid w:val="00845C71"/>
    <w:rsid w:val="008475A6"/>
    <w:rsid w:val="00847A3A"/>
    <w:rsid w:val="00847C7E"/>
    <w:rsid w:val="00850082"/>
    <w:rsid w:val="00851C42"/>
    <w:rsid w:val="008524F7"/>
    <w:rsid w:val="00852CDD"/>
    <w:rsid w:val="00853FF7"/>
    <w:rsid w:val="008549E3"/>
    <w:rsid w:val="008557E4"/>
    <w:rsid w:val="00856AB8"/>
    <w:rsid w:val="008575A4"/>
    <w:rsid w:val="00860CBC"/>
    <w:rsid w:val="00860E5A"/>
    <w:rsid w:val="00861B9B"/>
    <w:rsid w:val="008629EA"/>
    <w:rsid w:val="00862FDF"/>
    <w:rsid w:val="008634F4"/>
    <w:rsid w:val="00863E68"/>
    <w:rsid w:val="00865688"/>
    <w:rsid w:val="00865977"/>
    <w:rsid w:val="00866322"/>
    <w:rsid w:val="008668F3"/>
    <w:rsid w:val="008704D1"/>
    <w:rsid w:val="0087126B"/>
    <w:rsid w:val="008714A1"/>
    <w:rsid w:val="00871D28"/>
    <w:rsid w:val="00872395"/>
    <w:rsid w:val="008727A1"/>
    <w:rsid w:val="00872A38"/>
    <w:rsid w:val="00872AB8"/>
    <w:rsid w:val="0087313A"/>
    <w:rsid w:val="00874BB5"/>
    <w:rsid w:val="00874FC1"/>
    <w:rsid w:val="00875053"/>
    <w:rsid w:val="00875162"/>
    <w:rsid w:val="00877D3F"/>
    <w:rsid w:val="00877DC6"/>
    <w:rsid w:val="008810FA"/>
    <w:rsid w:val="008830A9"/>
    <w:rsid w:val="00883102"/>
    <w:rsid w:val="008836BD"/>
    <w:rsid w:val="00884194"/>
    <w:rsid w:val="00884EF0"/>
    <w:rsid w:val="00886091"/>
    <w:rsid w:val="008863FA"/>
    <w:rsid w:val="00887266"/>
    <w:rsid w:val="00887B9E"/>
    <w:rsid w:val="00890857"/>
    <w:rsid w:val="008911EB"/>
    <w:rsid w:val="0089466D"/>
    <w:rsid w:val="008959E4"/>
    <w:rsid w:val="008967DE"/>
    <w:rsid w:val="00896C8D"/>
    <w:rsid w:val="00896E6B"/>
    <w:rsid w:val="00896F25"/>
    <w:rsid w:val="00897B21"/>
    <w:rsid w:val="008A0DDD"/>
    <w:rsid w:val="008A146C"/>
    <w:rsid w:val="008A1774"/>
    <w:rsid w:val="008A202E"/>
    <w:rsid w:val="008A4BE7"/>
    <w:rsid w:val="008A4D73"/>
    <w:rsid w:val="008A573F"/>
    <w:rsid w:val="008A5834"/>
    <w:rsid w:val="008A58E9"/>
    <w:rsid w:val="008A5C66"/>
    <w:rsid w:val="008A7DFE"/>
    <w:rsid w:val="008B0FBB"/>
    <w:rsid w:val="008B1184"/>
    <w:rsid w:val="008B3E3F"/>
    <w:rsid w:val="008B49BA"/>
    <w:rsid w:val="008B5972"/>
    <w:rsid w:val="008B5CFD"/>
    <w:rsid w:val="008B671F"/>
    <w:rsid w:val="008B713F"/>
    <w:rsid w:val="008C2B14"/>
    <w:rsid w:val="008C2B8C"/>
    <w:rsid w:val="008C4FAC"/>
    <w:rsid w:val="008C6555"/>
    <w:rsid w:val="008C7BAF"/>
    <w:rsid w:val="008D05AC"/>
    <w:rsid w:val="008D0DDD"/>
    <w:rsid w:val="008D193D"/>
    <w:rsid w:val="008D27F5"/>
    <w:rsid w:val="008D28D1"/>
    <w:rsid w:val="008D330E"/>
    <w:rsid w:val="008D3997"/>
    <w:rsid w:val="008D4923"/>
    <w:rsid w:val="008D68A0"/>
    <w:rsid w:val="008D76C9"/>
    <w:rsid w:val="008E0945"/>
    <w:rsid w:val="008E0D58"/>
    <w:rsid w:val="008E0DDC"/>
    <w:rsid w:val="008E0F54"/>
    <w:rsid w:val="008E1122"/>
    <w:rsid w:val="008E20D7"/>
    <w:rsid w:val="008E27E5"/>
    <w:rsid w:val="008E2EEA"/>
    <w:rsid w:val="008E31B3"/>
    <w:rsid w:val="008E32C4"/>
    <w:rsid w:val="008E38A0"/>
    <w:rsid w:val="008E3C52"/>
    <w:rsid w:val="008E41B6"/>
    <w:rsid w:val="008E533F"/>
    <w:rsid w:val="008E593B"/>
    <w:rsid w:val="008E5ED8"/>
    <w:rsid w:val="008E65BB"/>
    <w:rsid w:val="008E757E"/>
    <w:rsid w:val="008E75FB"/>
    <w:rsid w:val="008F04AA"/>
    <w:rsid w:val="008F0AC8"/>
    <w:rsid w:val="008F1E5E"/>
    <w:rsid w:val="008F2E85"/>
    <w:rsid w:val="008F438D"/>
    <w:rsid w:val="008F4F7E"/>
    <w:rsid w:val="008F557E"/>
    <w:rsid w:val="008F5A29"/>
    <w:rsid w:val="008F5F42"/>
    <w:rsid w:val="008F70C8"/>
    <w:rsid w:val="0090226C"/>
    <w:rsid w:val="00903562"/>
    <w:rsid w:val="00904C25"/>
    <w:rsid w:val="0090555A"/>
    <w:rsid w:val="00907C3E"/>
    <w:rsid w:val="00910A4E"/>
    <w:rsid w:val="00911453"/>
    <w:rsid w:val="00914F61"/>
    <w:rsid w:val="00916BB8"/>
    <w:rsid w:val="009200A1"/>
    <w:rsid w:val="00920979"/>
    <w:rsid w:val="00920FFA"/>
    <w:rsid w:val="00922657"/>
    <w:rsid w:val="00922908"/>
    <w:rsid w:val="00922EEA"/>
    <w:rsid w:val="00923ED4"/>
    <w:rsid w:val="00924F08"/>
    <w:rsid w:val="009254CD"/>
    <w:rsid w:val="009261F9"/>
    <w:rsid w:val="0092787F"/>
    <w:rsid w:val="00930BFE"/>
    <w:rsid w:val="009310D6"/>
    <w:rsid w:val="00931FD5"/>
    <w:rsid w:val="009324E7"/>
    <w:rsid w:val="009332ED"/>
    <w:rsid w:val="0093478F"/>
    <w:rsid w:val="0093484E"/>
    <w:rsid w:val="0093572D"/>
    <w:rsid w:val="0093618C"/>
    <w:rsid w:val="00936E72"/>
    <w:rsid w:val="00937D0E"/>
    <w:rsid w:val="00940135"/>
    <w:rsid w:val="0094027A"/>
    <w:rsid w:val="0094089B"/>
    <w:rsid w:val="009419C6"/>
    <w:rsid w:val="0094201A"/>
    <w:rsid w:val="00942465"/>
    <w:rsid w:val="0094248C"/>
    <w:rsid w:val="0094399A"/>
    <w:rsid w:val="009445FA"/>
    <w:rsid w:val="009446A7"/>
    <w:rsid w:val="009450EA"/>
    <w:rsid w:val="0094548A"/>
    <w:rsid w:val="00946286"/>
    <w:rsid w:val="00946FAA"/>
    <w:rsid w:val="00950A08"/>
    <w:rsid w:val="00950A8D"/>
    <w:rsid w:val="00951891"/>
    <w:rsid w:val="009519A9"/>
    <w:rsid w:val="0095290E"/>
    <w:rsid w:val="00953B75"/>
    <w:rsid w:val="009541C0"/>
    <w:rsid w:val="00954E33"/>
    <w:rsid w:val="0095519A"/>
    <w:rsid w:val="009566D9"/>
    <w:rsid w:val="00960D5D"/>
    <w:rsid w:val="00962742"/>
    <w:rsid w:val="00962D16"/>
    <w:rsid w:val="00971BBE"/>
    <w:rsid w:val="00972637"/>
    <w:rsid w:val="00975F45"/>
    <w:rsid w:val="009764A7"/>
    <w:rsid w:val="00980317"/>
    <w:rsid w:val="009807B2"/>
    <w:rsid w:val="009811C0"/>
    <w:rsid w:val="00981FA6"/>
    <w:rsid w:val="0098326B"/>
    <w:rsid w:val="00986465"/>
    <w:rsid w:val="00990854"/>
    <w:rsid w:val="009909D8"/>
    <w:rsid w:val="00990B64"/>
    <w:rsid w:val="009919A4"/>
    <w:rsid w:val="00992959"/>
    <w:rsid w:val="009943ED"/>
    <w:rsid w:val="009946F6"/>
    <w:rsid w:val="00994EA4"/>
    <w:rsid w:val="009950AE"/>
    <w:rsid w:val="00996647"/>
    <w:rsid w:val="009978CB"/>
    <w:rsid w:val="00997965"/>
    <w:rsid w:val="009A33EF"/>
    <w:rsid w:val="009A4671"/>
    <w:rsid w:val="009A483A"/>
    <w:rsid w:val="009A4B77"/>
    <w:rsid w:val="009A7857"/>
    <w:rsid w:val="009A7B80"/>
    <w:rsid w:val="009B09FA"/>
    <w:rsid w:val="009B0D9D"/>
    <w:rsid w:val="009B13AA"/>
    <w:rsid w:val="009B45B9"/>
    <w:rsid w:val="009B4DC0"/>
    <w:rsid w:val="009B4F5D"/>
    <w:rsid w:val="009B5DEB"/>
    <w:rsid w:val="009C00E9"/>
    <w:rsid w:val="009C1D2A"/>
    <w:rsid w:val="009C2B92"/>
    <w:rsid w:val="009C38D7"/>
    <w:rsid w:val="009C43C6"/>
    <w:rsid w:val="009C5004"/>
    <w:rsid w:val="009C55CC"/>
    <w:rsid w:val="009C5BF3"/>
    <w:rsid w:val="009C6A75"/>
    <w:rsid w:val="009C7F03"/>
    <w:rsid w:val="009D06DC"/>
    <w:rsid w:val="009D1211"/>
    <w:rsid w:val="009D1ED5"/>
    <w:rsid w:val="009D22C4"/>
    <w:rsid w:val="009D2C40"/>
    <w:rsid w:val="009D3E17"/>
    <w:rsid w:val="009D44D7"/>
    <w:rsid w:val="009D6DED"/>
    <w:rsid w:val="009E123E"/>
    <w:rsid w:val="009E1575"/>
    <w:rsid w:val="009E17A3"/>
    <w:rsid w:val="009E1EF0"/>
    <w:rsid w:val="009E2FCD"/>
    <w:rsid w:val="009E3555"/>
    <w:rsid w:val="009E3D87"/>
    <w:rsid w:val="009E4317"/>
    <w:rsid w:val="009E6B0E"/>
    <w:rsid w:val="009E6C34"/>
    <w:rsid w:val="009E6D2B"/>
    <w:rsid w:val="009E7D3E"/>
    <w:rsid w:val="009F1430"/>
    <w:rsid w:val="009F14C1"/>
    <w:rsid w:val="009F163A"/>
    <w:rsid w:val="009F23E2"/>
    <w:rsid w:val="009F2BE0"/>
    <w:rsid w:val="009F4F66"/>
    <w:rsid w:val="009F6633"/>
    <w:rsid w:val="009F7059"/>
    <w:rsid w:val="009F7834"/>
    <w:rsid w:val="00A00821"/>
    <w:rsid w:val="00A00D57"/>
    <w:rsid w:val="00A02716"/>
    <w:rsid w:val="00A02BA6"/>
    <w:rsid w:val="00A02D46"/>
    <w:rsid w:val="00A02DBD"/>
    <w:rsid w:val="00A03D4C"/>
    <w:rsid w:val="00A03DC3"/>
    <w:rsid w:val="00A05072"/>
    <w:rsid w:val="00A056EC"/>
    <w:rsid w:val="00A058E7"/>
    <w:rsid w:val="00A06586"/>
    <w:rsid w:val="00A0741C"/>
    <w:rsid w:val="00A07DDA"/>
    <w:rsid w:val="00A10F2D"/>
    <w:rsid w:val="00A118A8"/>
    <w:rsid w:val="00A132AB"/>
    <w:rsid w:val="00A13BBF"/>
    <w:rsid w:val="00A15E26"/>
    <w:rsid w:val="00A167D8"/>
    <w:rsid w:val="00A20680"/>
    <w:rsid w:val="00A21573"/>
    <w:rsid w:val="00A22EA3"/>
    <w:rsid w:val="00A23048"/>
    <w:rsid w:val="00A25156"/>
    <w:rsid w:val="00A25C62"/>
    <w:rsid w:val="00A26C99"/>
    <w:rsid w:val="00A27E72"/>
    <w:rsid w:val="00A3019F"/>
    <w:rsid w:val="00A30350"/>
    <w:rsid w:val="00A30A53"/>
    <w:rsid w:val="00A31104"/>
    <w:rsid w:val="00A31EE9"/>
    <w:rsid w:val="00A31FC5"/>
    <w:rsid w:val="00A32D74"/>
    <w:rsid w:val="00A3351E"/>
    <w:rsid w:val="00A33C30"/>
    <w:rsid w:val="00A35519"/>
    <w:rsid w:val="00A3663D"/>
    <w:rsid w:val="00A3675B"/>
    <w:rsid w:val="00A36B79"/>
    <w:rsid w:val="00A37860"/>
    <w:rsid w:val="00A37B2E"/>
    <w:rsid w:val="00A40390"/>
    <w:rsid w:val="00A41D8A"/>
    <w:rsid w:val="00A41E41"/>
    <w:rsid w:val="00A42072"/>
    <w:rsid w:val="00A43F16"/>
    <w:rsid w:val="00A44889"/>
    <w:rsid w:val="00A44D8D"/>
    <w:rsid w:val="00A44F89"/>
    <w:rsid w:val="00A45E01"/>
    <w:rsid w:val="00A46549"/>
    <w:rsid w:val="00A46D9B"/>
    <w:rsid w:val="00A4738A"/>
    <w:rsid w:val="00A521B7"/>
    <w:rsid w:val="00A5225F"/>
    <w:rsid w:val="00A53C39"/>
    <w:rsid w:val="00A54500"/>
    <w:rsid w:val="00A54A01"/>
    <w:rsid w:val="00A54A26"/>
    <w:rsid w:val="00A55A60"/>
    <w:rsid w:val="00A56CBD"/>
    <w:rsid w:val="00A5789B"/>
    <w:rsid w:val="00A600E3"/>
    <w:rsid w:val="00A6166E"/>
    <w:rsid w:val="00A620E6"/>
    <w:rsid w:val="00A62B12"/>
    <w:rsid w:val="00A6345E"/>
    <w:rsid w:val="00A649DE"/>
    <w:rsid w:val="00A651D6"/>
    <w:rsid w:val="00A654DA"/>
    <w:rsid w:val="00A70240"/>
    <w:rsid w:val="00A70A48"/>
    <w:rsid w:val="00A71423"/>
    <w:rsid w:val="00A72E59"/>
    <w:rsid w:val="00A7383E"/>
    <w:rsid w:val="00A754F8"/>
    <w:rsid w:val="00A76A86"/>
    <w:rsid w:val="00A76D1E"/>
    <w:rsid w:val="00A801F7"/>
    <w:rsid w:val="00A81A37"/>
    <w:rsid w:val="00A82954"/>
    <w:rsid w:val="00A83BDA"/>
    <w:rsid w:val="00A84327"/>
    <w:rsid w:val="00A84B4F"/>
    <w:rsid w:val="00A84FDB"/>
    <w:rsid w:val="00A85380"/>
    <w:rsid w:val="00A86071"/>
    <w:rsid w:val="00A86637"/>
    <w:rsid w:val="00A87767"/>
    <w:rsid w:val="00A90B41"/>
    <w:rsid w:val="00A91BA2"/>
    <w:rsid w:val="00A9291B"/>
    <w:rsid w:val="00A93477"/>
    <w:rsid w:val="00A93BFA"/>
    <w:rsid w:val="00A94A4B"/>
    <w:rsid w:val="00A95F4C"/>
    <w:rsid w:val="00A96048"/>
    <w:rsid w:val="00A9627B"/>
    <w:rsid w:val="00AA0A98"/>
    <w:rsid w:val="00AA13CF"/>
    <w:rsid w:val="00AA2F80"/>
    <w:rsid w:val="00AA356E"/>
    <w:rsid w:val="00AA44FB"/>
    <w:rsid w:val="00AA4D56"/>
    <w:rsid w:val="00AA6CEA"/>
    <w:rsid w:val="00AB006C"/>
    <w:rsid w:val="00AB0729"/>
    <w:rsid w:val="00AB0B74"/>
    <w:rsid w:val="00AB3DEC"/>
    <w:rsid w:val="00AB40B6"/>
    <w:rsid w:val="00AB45AB"/>
    <w:rsid w:val="00AB53D2"/>
    <w:rsid w:val="00AB55C3"/>
    <w:rsid w:val="00AB6E50"/>
    <w:rsid w:val="00AB7D1B"/>
    <w:rsid w:val="00AC0FA2"/>
    <w:rsid w:val="00AC11FA"/>
    <w:rsid w:val="00AC1474"/>
    <w:rsid w:val="00AC1F8A"/>
    <w:rsid w:val="00AC1FAD"/>
    <w:rsid w:val="00AC2226"/>
    <w:rsid w:val="00AC3C1C"/>
    <w:rsid w:val="00AC532A"/>
    <w:rsid w:val="00AC5BB9"/>
    <w:rsid w:val="00AC7FF2"/>
    <w:rsid w:val="00AD0BDC"/>
    <w:rsid w:val="00AD121A"/>
    <w:rsid w:val="00AD2398"/>
    <w:rsid w:val="00AD3F79"/>
    <w:rsid w:val="00AD4AEA"/>
    <w:rsid w:val="00AD50AB"/>
    <w:rsid w:val="00AD50EB"/>
    <w:rsid w:val="00AD6139"/>
    <w:rsid w:val="00AD6332"/>
    <w:rsid w:val="00AD7013"/>
    <w:rsid w:val="00AE0756"/>
    <w:rsid w:val="00AE1119"/>
    <w:rsid w:val="00AE11FE"/>
    <w:rsid w:val="00AE15EF"/>
    <w:rsid w:val="00AE398B"/>
    <w:rsid w:val="00AE3C6D"/>
    <w:rsid w:val="00AE4CC0"/>
    <w:rsid w:val="00AE5D7A"/>
    <w:rsid w:val="00AE63F3"/>
    <w:rsid w:val="00AE643B"/>
    <w:rsid w:val="00AE6DEC"/>
    <w:rsid w:val="00AE7EB0"/>
    <w:rsid w:val="00AF0072"/>
    <w:rsid w:val="00AF06DB"/>
    <w:rsid w:val="00AF0AB0"/>
    <w:rsid w:val="00AF0B93"/>
    <w:rsid w:val="00AF1D56"/>
    <w:rsid w:val="00AF40CC"/>
    <w:rsid w:val="00AF4FCF"/>
    <w:rsid w:val="00AF5190"/>
    <w:rsid w:val="00AF5631"/>
    <w:rsid w:val="00AF685D"/>
    <w:rsid w:val="00B00714"/>
    <w:rsid w:val="00B01720"/>
    <w:rsid w:val="00B02646"/>
    <w:rsid w:val="00B033D1"/>
    <w:rsid w:val="00B04515"/>
    <w:rsid w:val="00B070D5"/>
    <w:rsid w:val="00B0756E"/>
    <w:rsid w:val="00B07E63"/>
    <w:rsid w:val="00B10B57"/>
    <w:rsid w:val="00B10CED"/>
    <w:rsid w:val="00B113AD"/>
    <w:rsid w:val="00B12767"/>
    <w:rsid w:val="00B13242"/>
    <w:rsid w:val="00B1513F"/>
    <w:rsid w:val="00B16C8A"/>
    <w:rsid w:val="00B17F03"/>
    <w:rsid w:val="00B20762"/>
    <w:rsid w:val="00B20B6C"/>
    <w:rsid w:val="00B21D6F"/>
    <w:rsid w:val="00B21F4D"/>
    <w:rsid w:val="00B238E5"/>
    <w:rsid w:val="00B2417A"/>
    <w:rsid w:val="00B250E1"/>
    <w:rsid w:val="00B265AF"/>
    <w:rsid w:val="00B27746"/>
    <w:rsid w:val="00B27CE4"/>
    <w:rsid w:val="00B27DBE"/>
    <w:rsid w:val="00B30026"/>
    <w:rsid w:val="00B31AAC"/>
    <w:rsid w:val="00B330A3"/>
    <w:rsid w:val="00B35447"/>
    <w:rsid w:val="00B35559"/>
    <w:rsid w:val="00B40EBC"/>
    <w:rsid w:val="00B4162D"/>
    <w:rsid w:val="00B42644"/>
    <w:rsid w:val="00B42FE6"/>
    <w:rsid w:val="00B45090"/>
    <w:rsid w:val="00B4594B"/>
    <w:rsid w:val="00B46A37"/>
    <w:rsid w:val="00B46EC8"/>
    <w:rsid w:val="00B477A2"/>
    <w:rsid w:val="00B51269"/>
    <w:rsid w:val="00B516C4"/>
    <w:rsid w:val="00B51CB1"/>
    <w:rsid w:val="00B53184"/>
    <w:rsid w:val="00B531D8"/>
    <w:rsid w:val="00B537E4"/>
    <w:rsid w:val="00B56AC5"/>
    <w:rsid w:val="00B5739A"/>
    <w:rsid w:val="00B57807"/>
    <w:rsid w:val="00B63A47"/>
    <w:rsid w:val="00B6416B"/>
    <w:rsid w:val="00B64658"/>
    <w:rsid w:val="00B707E2"/>
    <w:rsid w:val="00B7166D"/>
    <w:rsid w:val="00B733C5"/>
    <w:rsid w:val="00B74028"/>
    <w:rsid w:val="00B75D15"/>
    <w:rsid w:val="00B75D79"/>
    <w:rsid w:val="00B76713"/>
    <w:rsid w:val="00B80363"/>
    <w:rsid w:val="00B80D40"/>
    <w:rsid w:val="00B80F6E"/>
    <w:rsid w:val="00B81A82"/>
    <w:rsid w:val="00B81BC1"/>
    <w:rsid w:val="00B82FD5"/>
    <w:rsid w:val="00B83B31"/>
    <w:rsid w:val="00B84747"/>
    <w:rsid w:val="00B85E69"/>
    <w:rsid w:val="00B8675D"/>
    <w:rsid w:val="00B873EF"/>
    <w:rsid w:val="00B87D4A"/>
    <w:rsid w:val="00B906DC"/>
    <w:rsid w:val="00B9074B"/>
    <w:rsid w:val="00B9180D"/>
    <w:rsid w:val="00B92BCE"/>
    <w:rsid w:val="00B92EB9"/>
    <w:rsid w:val="00B93C7B"/>
    <w:rsid w:val="00B93C89"/>
    <w:rsid w:val="00B9412A"/>
    <w:rsid w:val="00B941BF"/>
    <w:rsid w:val="00B94246"/>
    <w:rsid w:val="00B94A02"/>
    <w:rsid w:val="00B95660"/>
    <w:rsid w:val="00B957EE"/>
    <w:rsid w:val="00B967EE"/>
    <w:rsid w:val="00B96C10"/>
    <w:rsid w:val="00BA030F"/>
    <w:rsid w:val="00BA114F"/>
    <w:rsid w:val="00BA1B5C"/>
    <w:rsid w:val="00BA22F1"/>
    <w:rsid w:val="00BA337C"/>
    <w:rsid w:val="00BA3DA5"/>
    <w:rsid w:val="00BA4F7E"/>
    <w:rsid w:val="00BA5063"/>
    <w:rsid w:val="00BA51D8"/>
    <w:rsid w:val="00BB0FC9"/>
    <w:rsid w:val="00BB192A"/>
    <w:rsid w:val="00BB1C89"/>
    <w:rsid w:val="00BB4368"/>
    <w:rsid w:val="00BB44F9"/>
    <w:rsid w:val="00BB44FD"/>
    <w:rsid w:val="00BB4AD7"/>
    <w:rsid w:val="00BB4ADC"/>
    <w:rsid w:val="00BB59DB"/>
    <w:rsid w:val="00BB6117"/>
    <w:rsid w:val="00BB625B"/>
    <w:rsid w:val="00BC02CE"/>
    <w:rsid w:val="00BC032E"/>
    <w:rsid w:val="00BC2B94"/>
    <w:rsid w:val="00BC2F1A"/>
    <w:rsid w:val="00BC36FA"/>
    <w:rsid w:val="00BC4D1D"/>
    <w:rsid w:val="00BC5AD6"/>
    <w:rsid w:val="00BC5D15"/>
    <w:rsid w:val="00BC5EC0"/>
    <w:rsid w:val="00BC6DC1"/>
    <w:rsid w:val="00BC74D6"/>
    <w:rsid w:val="00BC7AA3"/>
    <w:rsid w:val="00BD14C2"/>
    <w:rsid w:val="00BD1DCC"/>
    <w:rsid w:val="00BD1F4F"/>
    <w:rsid w:val="00BD245D"/>
    <w:rsid w:val="00BD2637"/>
    <w:rsid w:val="00BD3071"/>
    <w:rsid w:val="00BD3553"/>
    <w:rsid w:val="00BD44D7"/>
    <w:rsid w:val="00BD4C21"/>
    <w:rsid w:val="00BD4DCE"/>
    <w:rsid w:val="00BD5DEA"/>
    <w:rsid w:val="00BE03C2"/>
    <w:rsid w:val="00BE04A9"/>
    <w:rsid w:val="00BE3E54"/>
    <w:rsid w:val="00BE4CF8"/>
    <w:rsid w:val="00BE50FF"/>
    <w:rsid w:val="00BE549D"/>
    <w:rsid w:val="00BE5D74"/>
    <w:rsid w:val="00BE5E5A"/>
    <w:rsid w:val="00BE708F"/>
    <w:rsid w:val="00BF1C9B"/>
    <w:rsid w:val="00BF1F0E"/>
    <w:rsid w:val="00BF222B"/>
    <w:rsid w:val="00BF312B"/>
    <w:rsid w:val="00BF4B5C"/>
    <w:rsid w:val="00BF6C6B"/>
    <w:rsid w:val="00BF72D9"/>
    <w:rsid w:val="00BF74AF"/>
    <w:rsid w:val="00C019A2"/>
    <w:rsid w:val="00C02784"/>
    <w:rsid w:val="00C02DD8"/>
    <w:rsid w:val="00C0417B"/>
    <w:rsid w:val="00C04B35"/>
    <w:rsid w:val="00C05244"/>
    <w:rsid w:val="00C06863"/>
    <w:rsid w:val="00C07553"/>
    <w:rsid w:val="00C10DD6"/>
    <w:rsid w:val="00C114D5"/>
    <w:rsid w:val="00C13EE4"/>
    <w:rsid w:val="00C15A2C"/>
    <w:rsid w:val="00C15CD9"/>
    <w:rsid w:val="00C16724"/>
    <w:rsid w:val="00C16BCB"/>
    <w:rsid w:val="00C16DD5"/>
    <w:rsid w:val="00C1750D"/>
    <w:rsid w:val="00C20540"/>
    <w:rsid w:val="00C20D9E"/>
    <w:rsid w:val="00C21000"/>
    <w:rsid w:val="00C21753"/>
    <w:rsid w:val="00C2422A"/>
    <w:rsid w:val="00C25674"/>
    <w:rsid w:val="00C274A9"/>
    <w:rsid w:val="00C305C4"/>
    <w:rsid w:val="00C31EFD"/>
    <w:rsid w:val="00C33278"/>
    <w:rsid w:val="00C34FA5"/>
    <w:rsid w:val="00C3678B"/>
    <w:rsid w:val="00C36841"/>
    <w:rsid w:val="00C3759B"/>
    <w:rsid w:val="00C37B12"/>
    <w:rsid w:val="00C414AE"/>
    <w:rsid w:val="00C41607"/>
    <w:rsid w:val="00C4218D"/>
    <w:rsid w:val="00C44285"/>
    <w:rsid w:val="00C45B0A"/>
    <w:rsid w:val="00C4692B"/>
    <w:rsid w:val="00C46BC7"/>
    <w:rsid w:val="00C47655"/>
    <w:rsid w:val="00C505DD"/>
    <w:rsid w:val="00C50B51"/>
    <w:rsid w:val="00C50BBE"/>
    <w:rsid w:val="00C52868"/>
    <w:rsid w:val="00C52E73"/>
    <w:rsid w:val="00C546E9"/>
    <w:rsid w:val="00C54B6E"/>
    <w:rsid w:val="00C55602"/>
    <w:rsid w:val="00C55864"/>
    <w:rsid w:val="00C559A4"/>
    <w:rsid w:val="00C56985"/>
    <w:rsid w:val="00C61447"/>
    <w:rsid w:val="00C61D33"/>
    <w:rsid w:val="00C62E1E"/>
    <w:rsid w:val="00C65432"/>
    <w:rsid w:val="00C66691"/>
    <w:rsid w:val="00C67BE3"/>
    <w:rsid w:val="00C70FFD"/>
    <w:rsid w:val="00C71C95"/>
    <w:rsid w:val="00C72D84"/>
    <w:rsid w:val="00C73032"/>
    <w:rsid w:val="00C7354D"/>
    <w:rsid w:val="00C73A0C"/>
    <w:rsid w:val="00C73DDB"/>
    <w:rsid w:val="00C73F37"/>
    <w:rsid w:val="00C75247"/>
    <w:rsid w:val="00C75BCB"/>
    <w:rsid w:val="00C763EC"/>
    <w:rsid w:val="00C77E1D"/>
    <w:rsid w:val="00C80350"/>
    <w:rsid w:val="00C80CF4"/>
    <w:rsid w:val="00C80D9E"/>
    <w:rsid w:val="00C815C2"/>
    <w:rsid w:val="00C82E2D"/>
    <w:rsid w:val="00C84A14"/>
    <w:rsid w:val="00C86076"/>
    <w:rsid w:val="00C86633"/>
    <w:rsid w:val="00C921B6"/>
    <w:rsid w:val="00C92E75"/>
    <w:rsid w:val="00C95B78"/>
    <w:rsid w:val="00C9670A"/>
    <w:rsid w:val="00C971DA"/>
    <w:rsid w:val="00CA1283"/>
    <w:rsid w:val="00CA225A"/>
    <w:rsid w:val="00CA2F9F"/>
    <w:rsid w:val="00CA3326"/>
    <w:rsid w:val="00CA34E9"/>
    <w:rsid w:val="00CA5283"/>
    <w:rsid w:val="00CA5BA2"/>
    <w:rsid w:val="00CA5EBD"/>
    <w:rsid w:val="00CA6B93"/>
    <w:rsid w:val="00CB09E6"/>
    <w:rsid w:val="00CB18CC"/>
    <w:rsid w:val="00CB1BA9"/>
    <w:rsid w:val="00CB1C48"/>
    <w:rsid w:val="00CB3065"/>
    <w:rsid w:val="00CB3C34"/>
    <w:rsid w:val="00CB6EAA"/>
    <w:rsid w:val="00CB78B5"/>
    <w:rsid w:val="00CC1035"/>
    <w:rsid w:val="00CC2FA8"/>
    <w:rsid w:val="00CC48CC"/>
    <w:rsid w:val="00CC5CC5"/>
    <w:rsid w:val="00CC713B"/>
    <w:rsid w:val="00CC74AF"/>
    <w:rsid w:val="00CD1D8B"/>
    <w:rsid w:val="00CD1E23"/>
    <w:rsid w:val="00CD2956"/>
    <w:rsid w:val="00CD3111"/>
    <w:rsid w:val="00CD3A9E"/>
    <w:rsid w:val="00CD3C97"/>
    <w:rsid w:val="00CD465E"/>
    <w:rsid w:val="00CD53C8"/>
    <w:rsid w:val="00CD641B"/>
    <w:rsid w:val="00CD6673"/>
    <w:rsid w:val="00CD77F3"/>
    <w:rsid w:val="00CE0185"/>
    <w:rsid w:val="00CE08CA"/>
    <w:rsid w:val="00CE0EB4"/>
    <w:rsid w:val="00CE18E2"/>
    <w:rsid w:val="00CE3A99"/>
    <w:rsid w:val="00CE4320"/>
    <w:rsid w:val="00CE46AA"/>
    <w:rsid w:val="00CE5A84"/>
    <w:rsid w:val="00CE63FF"/>
    <w:rsid w:val="00CE647B"/>
    <w:rsid w:val="00CE76E7"/>
    <w:rsid w:val="00CF0564"/>
    <w:rsid w:val="00CF1075"/>
    <w:rsid w:val="00CF2F01"/>
    <w:rsid w:val="00CF41D9"/>
    <w:rsid w:val="00CF4AF5"/>
    <w:rsid w:val="00CF5D99"/>
    <w:rsid w:val="00CF6832"/>
    <w:rsid w:val="00D0158D"/>
    <w:rsid w:val="00D02434"/>
    <w:rsid w:val="00D0334A"/>
    <w:rsid w:val="00D076CD"/>
    <w:rsid w:val="00D07741"/>
    <w:rsid w:val="00D07B27"/>
    <w:rsid w:val="00D1026A"/>
    <w:rsid w:val="00D12C9A"/>
    <w:rsid w:val="00D13A71"/>
    <w:rsid w:val="00D15EE0"/>
    <w:rsid w:val="00D163C2"/>
    <w:rsid w:val="00D169D4"/>
    <w:rsid w:val="00D20842"/>
    <w:rsid w:val="00D208BB"/>
    <w:rsid w:val="00D22822"/>
    <w:rsid w:val="00D22B1C"/>
    <w:rsid w:val="00D24EFF"/>
    <w:rsid w:val="00D264F4"/>
    <w:rsid w:val="00D26781"/>
    <w:rsid w:val="00D31D1F"/>
    <w:rsid w:val="00D33263"/>
    <w:rsid w:val="00D33545"/>
    <w:rsid w:val="00D336B8"/>
    <w:rsid w:val="00D3381F"/>
    <w:rsid w:val="00D33EF9"/>
    <w:rsid w:val="00D341C9"/>
    <w:rsid w:val="00D35F7F"/>
    <w:rsid w:val="00D36CE9"/>
    <w:rsid w:val="00D40A81"/>
    <w:rsid w:val="00D40C18"/>
    <w:rsid w:val="00D42BA7"/>
    <w:rsid w:val="00D43A6E"/>
    <w:rsid w:val="00D43BF5"/>
    <w:rsid w:val="00D476F0"/>
    <w:rsid w:val="00D5086F"/>
    <w:rsid w:val="00D51E40"/>
    <w:rsid w:val="00D521AE"/>
    <w:rsid w:val="00D52E8E"/>
    <w:rsid w:val="00D53814"/>
    <w:rsid w:val="00D53876"/>
    <w:rsid w:val="00D55A82"/>
    <w:rsid w:val="00D56219"/>
    <w:rsid w:val="00D570FA"/>
    <w:rsid w:val="00D60DFB"/>
    <w:rsid w:val="00D628BB"/>
    <w:rsid w:val="00D62F09"/>
    <w:rsid w:val="00D6373F"/>
    <w:rsid w:val="00D6454A"/>
    <w:rsid w:val="00D64EEE"/>
    <w:rsid w:val="00D65502"/>
    <w:rsid w:val="00D65EAE"/>
    <w:rsid w:val="00D66EDB"/>
    <w:rsid w:val="00D67C42"/>
    <w:rsid w:val="00D67EDF"/>
    <w:rsid w:val="00D71BC8"/>
    <w:rsid w:val="00D720EB"/>
    <w:rsid w:val="00D724A1"/>
    <w:rsid w:val="00D7339F"/>
    <w:rsid w:val="00D733D3"/>
    <w:rsid w:val="00D742A5"/>
    <w:rsid w:val="00D7476B"/>
    <w:rsid w:val="00D751C1"/>
    <w:rsid w:val="00D76933"/>
    <w:rsid w:val="00D77D4A"/>
    <w:rsid w:val="00D808B1"/>
    <w:rsid w:val="00D818E7"/>
    <w:rsid w:val="00D821A7"/>
    <w:rsid w:val="00D8276F"/>
    <w:rsid w:val="00D82F98"/>
    <w:rsid w:val="00D83CFE"/>
    <w:rsid w:val="00D85107"/>
    <w:rsid w:val="00D86023"/>
    <w:rsid w:val="00D9142F"/>
    <w:rsid w:val="00D9186A"/>
    <w:rsid w:val="00D92BBC"/>
    <w:rsid w:val="00D93BFE"/>
    <w:rsid w:val="00D940CD"/>
    <w:rsid w:val="00D95B6F"/>
    <w:rsid w:val="00DA066C"/>
    <w:rsid w:val="00DA115C"/>
    <w:rsid w:val="00DA1293"/>
    <w:rsid w:val="00DA235B"/>
    <w:rsid w:val="00DA2B31"/>
    <w:rsid w:val="00DA301F"/>
    <w:rsid w:val="00DA4638"/>
    <w:rsid w:val="00DA59BC"/>
    <w:rsid w:val="00DA6B7A"/>
    <w:rsid w:val="00DB2830"/>
    <w:rsid w:val="00DB2AE7"/>
    <w:rsid w:val="00DB2E5B"/>
    <w:rsid w:val="00DB4B8B"/>
    <w:rsid w:val="00DB50BF"/>
    <w:rsid w:val="00DB6512"/>
    <w:rsid w:val="00DC109C"/>
    <w:rsid w:val="00DC2297"/>
    <w:rsid w:val="00DC342A"/>
    <w:rsid w:val="00DC3930"/>
    <w:rsid w:val="00DC3B93"/>
    <w:rsid w:val="00DC45C9"/>
    <w:rsid w:val="00DC4798"/>
    <w:rsid w:val="00DC4C50"/>
    <w:rsid w:val="00DC6D7E"/>
    <w:rsid w:val="00DC78B8"/>
    <w:rsid w:val="00DC7B97"/>
    <w:rsid w:val="00DD014A"/>
    <w:rsid w:val="00DD1F84"/>
    <w:rsid w:val="00DD3A83"/>
    <w:rsid w:val="00DD3C9A"/>
    <w:rsid w:val="00DD45BF"/>
    <w:rsid w:val="00DD5B54"/>
    <w:rsid w:val="00DD5BD3"/>
    <w:rsid w:val="00DD6053"/>
    <w:rsid w:val="00DD6BA0"/>
    <w:rsid w:val="00DE1222"/>
    <w:rsid w:val="00DE1A89"/>
    <w:rsid w:val="00DE1E61"/>
    <w:rsid w:val="00DE2E70"/>
    <w:rsid w:val="00DE304D"/>
    <w:rsid w:val="00DE48B9"/>
    <w:rsid w:val="00DE65FF"/>
    <w:rsid w:val="00DE6723"/>
    <w:rsid w:val="00DE6AC1"/>
    <w:rsid w:val="00DE73FD"/>
    <w:rsid w:val="00DF06CE"/>
    <w:rsid w:val="00DF06D0"/>
    <w:rsid w:val="00DF07AD"/>
    <w:rsid w:val="00DF1CF3"/>
    <w:rsid w:val="00DF34C7"/>
    <w:rsid w:val="00DF38EB"/>
    <w:rsid w:val="00DF3F78"/>
    <w:rsid w:val="00DF460F"/>
    <w:rsid w:val="00DF47EF"/>
    <w:rsid w:val="00DF6EB6"/>
    <w:rsid w:val="00E004FD"/>
    <w:rsid w:val="00E00B15"/>
    <w:rsid w:val="00E02345"/>
    <w:rsid w:val="00E02EA3"/>
    <w:rsid w:val="00E0324C"/>
    <w:rsid w:val="00E03F48"/>
    <w:rsid w:val="00E05139"/>
    <w:rsid w:val="00E05F94"/>
    <w:rsid w:val="00E106F6"/>
    <w:rsid w:val="00E10C1B"/>
    <w:rsid w:val="00E115CA"/>
    <w:rsid w:val="00E11AB7"/>
    <w:rsid w:val="00E12043"/>
    <w:rsid w:val="00E126A7"/>
    <w:rsid w:val="00E12869"/>
    <w:rsid w:val="00E12906"/>
    <w:rsid w:val="00E12E7C"/>
    <w:rsid w:val="00E1381E"/>
    <w:rsid w:val="00E13A67"/>
    <w:rsid w:val="00E1415E"/>
    <w:rsid w:val="00E1429A"/>
    <w:rsid w:val="00E1452A"/>
    <w:rsid w:val="00E14D38"/>
    <w:rsid w:val="00E15CD9"/>
    <w:rsid w:val="00E15D8B"/>
    <w:rsid w:val="00E1619D"/>
    <w:rsid w:val="00E1631C"/>
    <w:rsid w:val="00E17079"/>
    <w:rsid w:val="00E172A7"/>
    <w:rsid w:val="00E20F3D"/>
    <w:rsid w:val="00E2128B"/>
    <w:rsid w:val="00E22BF7"/>
    <w:rsid w:val="00E2400F"/>
    <w:rsid w:val="00E241A9"/>
    <w:rsid w:val="00E242D9"/>
    <w:rsid w:val="00E25C01"/>
    <w:rsid w:val="00E279C6"/>
    <w:rsid w:val="00E30A32"/>
    <w:rsid w:val="00E311F0"/>
    <w:rsid w:val="00E31482"/>
    <w:rsid w:val="00E31AE8"/>
    <w:rsid w:val="00E34296"/>
    <w:rsid w:val="00E3499C"/>
    <w:rsid w:val="00E35191"/>
    <w:rsid w:val="00E40828"/>
    <w:rsid w:val="00E41F1F"/>
    <w:rsid w:val="00E42674"/>
    <w:rsid w:val="00E42E5A"/>
    <w:rsid w:val="00E438A9"/>
    <w:rsid w:val="00E448C6"/>
    <w:rsid w:val="00E44F5E"/>
    <w:rsid w:val="00E47082"/>
    <w:rsid w:val="00E51263"/>
    <w:rsid w:val="00E51D34"/>
    <w:rsid w:val="00E523DA"/>
    <w:rsid w:val="00E523F4"/>
    <w:rsid w:val="00E52AC4"/>
    <w:rsid w:val="00E53302"/>
    <w:rsid w:val="00E54D35"/>
    <w:rsid w:val="00E55384"/>
    <w:rsid w:val="00E55D05"/>
    <w:rsid w:val="00E56003"/>
    <w:rsid w:val="00E56AE6"/>
    <w:rsid w:val="00E57688"/>
    <w:rsid w:val="00E60ED4"/>
    <w:rsid w:val="00E61385"/>
    <w:rsid w:val="00E616CB"/>
    <w:rsid w:val="00E617A4"/>
    <w:rsid w:val="00E618E7"/>
    <w:rsid w:val="00E62433"/>
    <w:rsid w:val="00E62C7B"/>
    <w:rsid w:val="00E62FF5"/>
    <w:rsid w:val="00E638AD"/>
    <w:rsid w:val="00E6476C"/>
    <w:rsid w:val="00E648AC"/>
    <w:rsid w:val="00E66782"/>
    <w:rsid w:val="00E67068"/>
    <w:rsid w:val="00E67AA3"/>
    <w:rsid w:val="00E67F64"/>
    <w:rsid w:val="00E702CE"/>
    <w:rsid w:val="00E703AB"/>
    <w:rsid w:val="00E70A2B"/>
    <w:rsid w:val="00E722BC"/>
    <w:rsid w:val="00E7284F"/>
    <w:rsid w:val="00E72EA6"/>
    <w:rsid w:val="00E74580"/>
    <w:rsid w:val="00E74B7E"/>
    <w:rsid w:val="00E75215"/>
    <w:rsid w:val="00E75303"/>
    <w:rsid w:val="00E755D1"/>
    <w:rsid w:val="00E75DC2"/>
    <w:rsid w:val="00E76BF1"/>
    <w:rsid w:val="00E80555"/>
    <w:rsid w:val="00E81238"/>
    <w:rsid w:val="00E81A76"/>
    <w:rsid w:val="00E835FB"/>
    <w:rsid w:val="00E83E62"/>
    <w:rsid w:val="00E8462E"/>
    <w:rsid w:val="00E84AE6"/>
    <w:rsid w:val="00E85DB7"/>
    <w:rsid w:val="00E874DF"/>
    <w:rsid w:val="00E90E0A"/>
    <w:rsid w:val="00E925E1"/>
    <w:rsid w:val="00E928B5"/>
    <w:rsid w:val="00E94DE3"/>
    <w:rsid w:val="00E95A52"/>
    <w:rsid w:val="00E95BAC"/>
    <w:rsid w:val="00E95CD7"/>
    <w:rsid w:val="00E97B33"/>
    <w:rsid w:val="00EA128C"/>
    <w:rsid w:val="00EA1620"/>
    <w:rsid w:val="00EA28C5"/>
    <w:rsid w:val="00EA2FBF"/>
    <w:rsid w:val="00EA3C27"/>
    <w:rsid w:val="00EA4512"/>
    <w:rsid w:val="00EA6418"/>
    <w:rsid w:val="00EA6431"/>
    <w:rsid w:val="00EA7D19"/>
    <w:rsid w:val="00EB0061"/>
    <w:rsid w:val="00EB0161"/>
    <w:rsid w:val="00EB0203"/>
    <w:rsid w:val="00EB179A"/>
    <w:rsid w:val="00EB2C08"/>
    <w:rsid w:val="00EB32E1"/>
    <w:rsid w:val="00EB368D"/>
    <w:rsid w:val="00EB3943"/>
    <w:rsid w:val="00EB4156"/>
    <w:rsid w:val="00EB4D16"/>
    <w:rsid w:val="00EB4F04"/>
    <w:rsid w:val="00EB5CDF"/>
    <w:rsid w:val="00EB5EF9"/>
    <w:rsid w:val="00EB778F"/>
    <w:rsid w:val="00EB7B61"/>
    <w:rsid w:val="00EC007F"/>
    <w:rsid w:val="00EC0375"/>
    <w:rsid w:val="00EC1A45"/>
    <w:rsid w:val="00EC1AE6"/>
    <w:rsid w:val="00EC22F4"/>
    <w:rsid w:val="00EC343E"/>
    <w:rsid w:val="00EC4725"/>
    <w:rsid w:val="00EC562F"/>
    <w:rsid w:val="00EC5FC7"/>
    <w:rsid w:val="00EC7F27"/>
    <w:rsid w:val="00ED047B"/>
    <w:rsid w:val="00ED1957"/>
    <w:rsid w:val="00ED23F9"/>
    <w:rsid w:val="00ED2647"/>
    <w:rsid w:val="00ED26F8"/>
    <w:rsid w:val="00ED3143"/>
    <w:rsid w:val="00ED34F1"/>
    <w:rsid w:val="00ED531E"/>
    <w:rsid w:val="00ED5802"/>
    <w:rsid w:val="00ED5B4E"/>
    <w:rsid w:val="00ED662A"/>
    <w:rsid w:val="00EE078C"/>
    <w:rsid w:val="00EE2C0D"/>
    <w:rsid w:val="00EE5E68"/>
    <w:rsid w:val="00EE5FE9"/>
    <w:rsid w:val="00EE69D7"/>
    <w:rsid w:val="00EE6E2A"/>
    <w:rsid w:val="00EE727A"/>
    <w:rsid w:val="00EF077E"/>
    <w:rsid w:val="00EF0DB7"/>
    <w:rsid w:val="00EF1580"/>
    <w:rsid w:val="00EF1723"/>
    <w:rsid w:val="00EF1976"/>
    <w:rsid w:val="00EF2006"/>
    <w:rsid w:val="00EF2A71"/>
    <w:rsid w:val="00EF2C0C"/>
    <w:rsid w:val="00EF337C"/>
    <w:rsid w:val="00EF37B6"/>
    <w:rsid w:val="00EF3CEB"/>
    <w:rsid w:val="00EF4C6D"/>
    <w:rsid w:val="00EF523F"/>
    <w:rsid w:val="00EF57AA"/>
    <w:rsid w:val="00EF5AE4"/>
    <w:rsid w:val="00EF6301"/>
    <w:rsid w:val="00EF63D4"/>
    <w:rsid w:val="00EF678F"/>
    <w:rsid w:val="00EF72F2"/>
    <w:rsid w:val="00F02624"/>
    <w:rsid w:val="00F02C1A"/>
    <w:rsid w:val="00F03EDA"/>
    <w:rsid w:val="00F05BAF"/>
    <w:rsid w:val="00F05DB9"/>
    <w:rsid w:val="00F06590"/>
    <w:rsid w:val="00F067F7"/>
    <w:rsid w:val="00F06D39"/>
    <w:rsid w:val="00F07BD4"/>
    <w:rsid w:val="00F104FC"/>
    <w:rsid w:val="00F113A6"/>
    <w:rsid w:val="00F11C2F"/>
    <w:rsid w:val="00F11CD1"/>
    <w:rsid w:val="00F12F6F"/>
    <w:rsid w:val="00F13548"/>
    <w:rsid w:val="00F13A89"/>
    <w:rsid w:val="00F14BA2"/>
    <w:rsid w:val="00F14C36"/>
    <w:rsid w:val="00F158E0"/>
    <w:rsid w:val="00F15E66"/>
    <w:rsid w:val="00F166E5"/>
    <w:rsid w:val="00F16ECA"/>
    <w:rsid w:val="00F17822"/>
    <w:rsid w:val="00F20119"/>
    <w:rsid w:val="00F22468"/>
    <w:rsid w:val="00F225AA"/>
    <w:rsid w:val="00F2294B"/>
    <w:rsid w:val="00F246A4"/>
    <w:rsid w:val="00F24E0B"/>
    <w:rsid w:val="00F24ED4"/>
    <w:rsid w:val="00F251A0"/>
    <w:rsid w:val="00F25411"/>
    <w:rsid w:val="00F26F67"/>
    <w:rsid w:val="00F279D2"/>
    <w:rsid w:val="00F27B68"/>
    <w:rsid w:val="00F30574"/>
    <w:rsid w:val="00F30D95"/>
    <w:rsid w:val="00F30EF2"/>
    <w:rsid w:val="00F31B6E"/>
    <w:rsid w:val="00F32381"/>
    <w:rsid w:val="00F33305"/>
    <w:rsid w:val="00F346C2"/>
    <w:rsid w:val="00F35213"/>
    <w:rsid w:val="00F36255"/>
    <w:rsid w:val="00F36348"/>
    <w:rsid w:val="00F36B49"/>
    <w:rsid w:val="00F36D62"/>
    <w:rsid w:val="00F36F2B"/>
    <w:rsid w:val="00F37042"/>
    <w:rsid w:val="00F3756C"/>
    <w:rsid w:val="00F37759"/>
    <w:rsid w:val="00F37A68"/>
    <w:rsid w:val="00F401C4"/>
    <w:rsid w:val="00F40814"/>
    <w:rsid w:val="00F4241C"/>
    <w:rsid w:val="00F42FE2"/>
    <w:rsid w:val="00F44509"/>
    <w:rsid w:val="00F44EA0"/>
    <w:rsid w:val="00F4567B"/>
    <w:rsid w:val="00F46035"/>
    <w:rsid w:val="00F46103"/>
    <w:rsid w:val="00F501FC"/>
    <w:rsid w:val="00F51D74"/>
    <w:rsid w:val="00F52A4F"/>
    <w:rsid w:val="00F53A17"/>
    <w:rsid w:val="00F5483A"/>
    <w:rsid w:val="00F602FF"/>
    <w:rsid w:val="00F61385"/>
    <w:rsid w:val="00F61877"/>
    <w:rsid w:val="00F622EA"/>
    <w:rsid w:val="00F62B0A"/>
    <w:rsid w:val="00F6465B"/>
    <w:rsid w:val="00F66E9D"/>
    <w:rsid w:val="00F67BC5"/>
    <w:rsid w:val="00F704BF"/>
    <w:rsid w:val="00F70A8D"/>
    <w:rsid w:val="00F71070"/>
    <w:rsid w:val="00F73955"/>
    <w:rsid w:val="00F74E1F"/>
    <w:rsid w:val="00F750DB"/>
    <w:rsid w:val="00F7656E"/>
    <w:rsid w:val="00F77795"/>
    <w:rsid w:val="00F777F2"/>
    <w:rsid w:val="00F81CF4"/>
    <w:rsid w:val="00F827C8"/>
    <w:rsid w:val="00F8386C"/>
    <w:rsid w:val="00F84074"/>
    <w:rsid w:val="00F847A1"/>
    <w:rsid w:val="00F85461"/>
    <w:rsid w:val="00F85C01"/>
    <w:rsid w:val="00F86839"/>
    <w:rsid w:val="00F86ACF"/>
    <w:rsid w:val="00F8777B"/>
    <w:rsid w:val="00F90333"/>
    <w:rsid w:val="00F90ADF"/>
    <w:rsid w:val="00F90FC5"/>
    <w:rsid w:val="00F913D9"/>
    <w:rsid w:val="00F918D8"/>
    <w:rsid w:val="00F926B4"/>
    <w:rsid w:val="00F930C7"/>
    <w:rsid w:val="00F936BE"/>
    <w:rsid w:val="00F93E7E"/>
    <w:rsid w:val="00F94741"/>
    <w:rsid w:val="00F94C70"/>
    <w:rsid w:val="00F95097"/>
    <w:rsid w:val="00F95173"/>
    <w:rsid w:val="00F9532F"/>
    <w:rsid w:val="00F959EB"/>
    <w:rsid w:val="00F973C7"/>
    <w:rsid w:val="00F978F2"/>
    <w:rsid w:val="00FA0C4B"/>
    <w:rsid w:val="00FA13B1"/>
    <w:rsid w:val="00FA2721"/>
    <w:rsid w:val="00FA2A0C"/>
    <w:rsid w:val="00FA2F81"/>
    <w:rsid w:val="00FA345B"/>
    <w:rsid w:val="00FA3621"/>
    <w:rsid w:val="00FA4A96"/>
    <w:rsid w:val="00FA4D26"/>
    <w:rsid w:val="00FA4F74"/>
    <w:rsid w:val="00FA54BA"/>
    <w:rsid w:val="00FA74FC"/>
    <w:rsid w:val="00FA7EDE"/>
    <w:rsid w:val="00FB01AE"/>
    <w:rsid w:val="00FB18D3"/>
    <w:rsid w:val="00FB1F6C"/>
    <w:rsid w:val="00FB29D6"/>
    <w:rsid w:val="00FB725F"/>
    <w:rsid w:val="00FC1CCD"/>
    <w:rsid w:val="00FC3116"/>
    <w:rsid w:val="00FC3C48"/>
    <w:rsid w:val="00FC3D0F"/>
    <w:rsid w:val="00FC4692"/>
    <w:rsid w:val="00FC4854"/>
    <w:rsid w:val="00FC67E2"/>
    <w:rsid w:val="00FC683D"/>
    <w:rsid w:val="00FC6E17"/>
    <w:rsid w:val="00FC7495"/>
    <w:rsid w:val="00FC78E9"/>
    <w:rsid w:val="00FD0305"/>
    <w:rsid w:val="00FD1E1B"/>
    <w:rsid w:val="00FD2CEC"/>
    <w:rsid w:val="00FD310A"/>
    <w:rsid w:val="00FD52EE"/>
    <w:rsid w:val="00FD5492"/>
    <w:rsid w:val="00FD5DF4"/>
    <w:rsid w:val="00FD7CC5"/>
    <w:rsid w:val="00FE012B"/>
    <w:rsid w:val="00FE06E5"/>
    <w:rsid w:val="00FE07AF"/>
    <w:rsid w:val="00FE16AF"/>
    <w:rsid w:val="00FE2A0A"/>
    <w:rsid w:val="00FE4502"/>
    <w:rsid w:val="00FE47E7"/>
    <w:rsid w:val="00FE5174"/>
    <w:rsid w:val="00FE5A4A"/>
    <w:rsid w:val="00FE6839"/>
    <w:rsid w:val="00FF05AD"/>
    <w:rsid w:val="00FF4B93"/>
    <w:rsid w:val="00FF4ECA"/>
    <w:rsid w:val="00FF6E06"/>
    <w:rsid w:val="00FF704E"/>
    <w:rsid w:val="00FF781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9F8084"/>
  <w15:chartTrackingRefBased/>
  <w15:docId w15:val="{CDB6DF46-02C1-4E0E-AA6D-F15E2F46F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2"/>
        <w:szCs w:val="22"/>
        <w:lang w:val="en-US" w:eastAsia="en-US"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47B"/>
  </w:style>
  <w:style w:type="paragraph" w:styleId="Heading1">
    <w:name w:val="heading 1"/>
    <w:basedOn w:val="Normal"/>
    <w:next w:val="Normal"/>
    <w:link w:val="Heading1Char"/>
    <w:uiPriority w:val="9"/>
    <w:qFormat/>
    <w:rsid w:val="00CE647B"/>
    <w:pPr>
      <w:keepNext/>
      <w:keepLines/>
      <w:spacing w:before="240" w:after="0"/>
      <w:jc w:val="left"/>
      <w:outlineLvl w:val="0"/>
    </w:pPr>
    <w:rPr>
      <w:rFonts w:asciiTheme="majorHAnsi" w:eastAsiaTheme="majorEastAsia" w:hAnsiTheme="majorHAnsi" w:cstheme="majorBidi"/>
      <w:color w:val="2F5496" w:themeColor="accent1" w:themeShade="BF"/>
      <w:sz w:val="32"/>
      <w:szCs w:val="32"/>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647B"/>
    <w:rPr>
      <w:rFonts w:asciiTheme="majorHAnsi" w:eastAsiaTheme="majorEastAsia" w:hAnsiTheme="majorHAnsi" w:cstheme="majorBidi"/>
      <w:color w:val="2F5496" w:themeColor="accent1" w:themeShade="BF"/>
      <w:sz w:val="32"/>
      <w:szCs w:val="32"/>
      <w:lang w:val="en-GB" w:eastAsia="en-GB"/>
    </w:rPr>
  </w:style>
  <w:style w:type="paragraph" w:styleId="Bibliography">
    <w:name w:val="Bibliography"/>
    <w:basedOn w:val="Normal"/>
    <w:next w:val="Normal"/>
    <w:uiPriority w:val="37"/>
    <w:unhideWhenUsed/>
    <w:rsid w:val="00CE647B"/>
  </w:style>
  <w:style w:type="character" w:styleId="CommentReference">
    <w:name w:val="annotation reference"/>
    <w:basedOn w:val="DefaultParagraphFont"/>
    <w:uiPriority w:val="99"/>
    <w:semiHidden/>
    <w:unhideWhenUsed/>
    <w:rsid w:val="00550CF0"/>
    <w:rPr>
      <w:sz w:val="16"/>
      <w:szCs w:val="16"/>
    </w:rPr>
  </w:style>
  <w:style w:type="paragraph" w:styleId="CommentText">
    <w:name w:val="annotation text"/>
    <w:basedOn w:val="Normal"/>
    <w:link w:val="CommentTextChar"/>
    <w:uiPriority w:val="99"/>
    <w:unhideWhenUsed/>
    <w:rsid w:val="00550CF0"/>
    <w:pPr>
      <w:spacing w:line="240" w:lineRule="auto"/>
    </w:pPr>
    <w:rPr>
      <w:sz w:val="20"/>
      <w:szCs w:val="20"/>
    </w:rPr>
  </w:style>
  <w:style w:type="character" w:customStyle="1" w:styleId="CommentTextChar">
    <w:name w:val="Comment Text Char"/>
    <w:basedOn w:val="DefaultParagraphFont"/>
    <w:link w:val="CommentText"/>
    <w:uiPriority w:val="99"/>
    <w:rsid w:val="00550CF0"/>
    <w:rPr>
      <w:sz w:val="20"/>
      <w:szCs w:val="20"/>
    </w:rPr>
  </w:style>
  <w:style w:type="paragraph" w:styleId="CommentSubject">
    <w:name w:val="annotation subject"/>
    <w:basedOn w:val="CommentText"/>
    <w:next w:val="CommentText"/>
    <w:link w:val="CommentSubjectChar"/>
    <w:uiPriority w:val="99"/>
    <w:semiHidden/>
    <w:unhideWhenUsed/>
    <w:rsid w:val="00550CF0"/>
    <w:rPr>
      <w:b/>
      <w:bCs/>
    </w:rPr>
  </w:style>
  <w:style w:type="character" w:customStyle="1" w:styleId="CommentSubjectChar">
    <w:name w:val="Comment Subject Char"/>
    <w:basedOn w:val="CommentTextChar"/>
    <w:link w:val="CommentSubject"/>
    <w:uiPriority w:val="99"/>
    <w:semiHidden/>
    <w:rsid w:val="00550CF0"/>
    <w:rPr>
      <w:b/>
      <w:bCs/>
      <w:sz w:val="20"/>
      <w:szCs w:val="20"/>
    </w:rPr>
  </w:style>
  <w:style w:type="paragraph" w:styleId="Revision">
    <w:name w:val="Revision"/>
    <w:hidden/>
    <w:uiPriority w:val="99"/>
    <w:semiHidden/>
    <w:rsid w:val="00372943"/>
    <w:pPr>
      <w:spacing w:after="0" w:line="240" w:lineRule="auto"/>
      <w:jc w:val="left"/>
    </w:pPr>
  </w:style>
  <w:style w:type="character" w:styleId="Hyperlink">
    <w:name w:val="Hyperlink"/>
    <w:basedOn w:val="DefaultParagraphFont"/>
    <w:uiPriority w:val="99"/>
    <w:unhideWhenUsed/>
    <w:rsid w:val="00E14D38"/>
    <w:rPr>
      <w:color w:val="0563C1" w:themeColor="hyperlink"/>
      <w:u w:val="single"/>
    </w:rPr>
  </w:style>
  <w:style w:type="character" w:styleId="UnresolvedMention">
    <w:name w:val="Unresolved Mention"/>
    <w:basedOn w:val="DefaultParagraphFont"/>
    <w:uiPriority w:val="99"/>
    <w:semiHidden/>
    <w:unhideWhenUsed/>
    <w:rsid w:val="00E14D38"/>
    <w:rPr>
      <w:color w:val="605E5C"/>
      <w:shd w:val="clear" w:color="auto" w:fill="E1DFDD"/>
    </w:rPr>
  </w:style>
  <w:style w:type="paragraph" w:styleId="ListParagraph">
    <w:name w:val="List Paragraph"/>
    <w:basedOn w:val="Normal"/>
    <w:uiPriority w:val="34"/>
    <w:qFormat/>
    <w:rsid w:val="0019105C"/>
    <w:pPr>
      <w:ind w:left="720"/>
      <w:contextualSpacing/>
    </w:pPr>
  </w:style>
  <w:style w:type="paragraph" w:styleId="Caption">
    <w:name w:val="caption"/>
    <w:basedOn w:val="Normal"/>
    <w:next w:val="Normal"/>
    <w:uiPriority w:val="35"/>
    <w:unhideWhenUsed/>
    <w:qFormat/>
    <w:rsid w:val="000F0B38"/>
    <w:pPr>
      <w:spacing w:after="200" w:line="240" w:lineRule="auto"/>
    </w:pPr>
    <w:rPr>
      <w:i/>
      <w:iCs/>
      <w:color w:val="44546A" w:themeColor="text2"/>
      <w:sz w:val="18"/>
      <w:szCs w:val="18"/>
    </w:rPr>
  </w:style>
  <w:style w:type="paragraph" w:styleId="NormalWeb">
    <w:name w:val="Normal (Web)"/>
    <w:basedOn w:val="Normal"/>
    <w:uiPriority w:val="99"/>
    <w:semiHidden/>
    <w:unhideWhenUsed/>
    <w:rsid w:val="0041095A"/>
    <w:rPr>
      <w:sz w:val="24"/>
      <w:szCs w:val="24"/>
    </w:rPr>
  </w:style>
  <w:style w:type="table" w:styleId="TableGrid">
    <w:name w:val="Table Grid"/>
    <w:basedOn w:val="TableNormal"/>
    <w:uiPriority w:val="39"/>
    <w:rsid w:val="009909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083997"/>
    <w:pPr>
      <w:outlineLvl w:val="9"/>
    </w:pPr>
  </w:style>
  <w:style w:type="paragraph" w:styleId="TOC1">
    <w:name w:val="toc 1"/>
    <w:basedOn w:val="Normal"/>
    <w:next w:val="Normal"/>
    <w:autoRedefine/>
    <w:uiPriority w:val="39"/>
    <w:unhideWhenUsed/>
    <w:rsid w:val="00D570FA"/>
    <w:pPr>
      <w:spacing w:after="100"/>
    </w:pPr>
  </w:style>
  <w:style w:type="paragraph" w:styleId="TOC2">
    <w:name w:val="toc 2"/>
    <w:basedOn w:val="Normal"/>
    <w:next w:val="Normal"/>
    <w:autoRedefine/>
    <w:uiPriority w:val="39"/>
    <w:unhideWhenUsed/>
    <w:rsid w:val="00EA28C5"/>
    <w:pPr>
      <w:spacing w:after="100"/>
      <w:ind w:left="216"/>
    </w:pPr>
    <w:rPr>
      <w:rFonts w:eastAsiaTheme="minorEastAsia"/>
      <w:lang w:val="en-GB" w:eastAsia="en-GB"/>
    </w:rPr>
  </w:style>
  <w:style w:type="paragraph" w:styleId="TOC3">
    <w:name w:val="toc 3"/>
    <w:basedOn w:val="Normal"/>
    <w:next w:val="Normal"/>
    <w:autoRedefine/>
    <w:uiPriority w:val="39"/>
    <w:unhideWhenUsed/>
    <w:rsid w:val="00633B46"/>
    <w:pPr>
      <w:spacing w:after="100"/>
      <w:ind w:left="446"/>
    </w:pPr>
    <w:rPr>
      <w:rFonts w:asciiTheme="minorHAnsi" w:eastAsiaTheme="minorEastAsia" w:hAnsiTheme="minorHAnsi"/>
      <w:lang w:val="en-GB" w:eastAsia="en-GB"/>
    </w:rPr>
  </w:style>
  <w:style w:type="paragraph" w:styleId="Header">
    <w:name w:val="header"/>
    <w:basedOn w:val="Normal"/>
    <w:link w:val="HeaderChar"/>
    <w:uiPriority w:val="99"/>
    <w:unhideWhenUsed/>
    <w:rsid w:val="00D335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3545"/>
  </w:style>
  <w:style w:type="paragraph" w:styleId="Footer">
    <w:name w:val="footer"/>
    <w:basedOn w:val="Normal"/>
    <w:link w:val="FooterChar"/>
    <w:uiPriority w:val="99"/>
    <w:unhideWhenUsed/>
    <w:rsid w:val="00D335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3545"/>
  </w:style>
  <w:style w:type="character" w:styleId="FollowedHyperlink">
    <w:name w:val="FollowedHyperlink"/>
    <w:basedOn w:val="DefaultParagraphFont"/>
    <w:uiPriority w:val="99"/>
    <w:semiHidden/>
    <w:unhideWhenUsed/>
    <w:rsid w:val="00547E5D"/>
    <w:rPr>
      <w:color w:val="954F72" w:themeColor="followedHyperlink"/>
      <w:u w:val="single"/>
    </w:rPr>
  </w:style>
  <w:style w:type="paragraph" w:customStyle="1" w:styleId="Default">
    <w:name w:val="Default"/>
    <w:rsid w:val="006D6A1F"/>
    <w:pPr>
      <w:autoSpaceDE w:val="0"/>
      <w:autoSpaceDN w:val="0"/>
      <w:adjustRightInd w:val="0"/>
      <w:spacing w:after="0" w:line="240" w:lineRule="auto"/>
      <w:jc w:val="left"/>
    </w:pPr>
    <w:rPr>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78555">
      <w:bodyDiv w:val="1"/>
      <w:marLeft w:val="0"/>
      <w:marRight w:val="0"/>
      <w:marTop w:val="0"/>
      <w:marBottom w:val="0"/>
      <w:divBdr>
        <w:top w:val="none" w:sz="0" w:space="0" w:color="auto"/>
        <w:left w:val="none" w:sz="0" w:space="0" w:color="auto"/>
        <w:bottom w:val="none" w:sz="0" w:space="0" w:color="auto"/>
        <w:right w:val="none" w:sz="0" w:space="0" w:color="auto"/>
      </w:divBdr>
    </w:div>
    <w:div w:id="38163507">
      <w:bodyDiv w:val="1"/>
      <w:marLeft w:val="0"/>
      <w:marRight w:val="0"/>
      <w:marTop w:val="0"/>
      <w:marBottom w:val="0"/>
      <w:divBdr>
        <w:top w:val="none" w:sz="0" w:space="0" w:color="auto"/>
        <w:left w:val="none" w:sz="0" w:space="0" w:color="auto"/>
        <w:bottom w:val="none" w:sz="0" w:space="0" w:color="auto"/>
        <w:right w:val="none" w:sz="0" w:space="0" w:color="auto"/>
      </w:divBdr>
    </w:div>
    <w:div w:id="38433183">
      <w:bodyDiv w:val="1"/>
      <w:marLeft w:val="0"/>
      <w:marRight w:val="0"/>
      <w:marTop w:val="0"/>
      <w:marBottom w:val="0"/>
      <w:divBdr>
        <w:top w:val="none" w:sz="0" w:space="0" w:color="auto"/>
        <w:left w:val="none" w:sz="0" w:space="0" w:color="auto"/>
        <w:bottom w:val="none" w:sz="0" w:space="0" w:color="auto"/>
        <w:right w:val="none" w:sz="0" w:space="0" w:color="auto"/>
      </w:divBdr>
    </w:div>
    <w:div w:id="59909506">
      <w:bodyDiv w:val="1"/>
      <w:marLeft w:val="0"/>
      <w:marRight w:val="0"/>
      <w:marTop w:val="0"/>
      <w:marBottom w:val="0"/>
      <w:divBdr>
        <w:top w:val="none" w:sz="0" w:space="0" w:color="auto"/>
        <w:left w:val="none" w:sz="0" w:space="0" w:color="auto"/>
        <w:bottom w:val="none" w:sz="0" w:space="0" w:color="auto"/>
        <w:right w:val="none" w:sz="0" w:space="0" w:color="auto"/>
      </w:divBdr>
    </w:div>
    <w:div w:id="65763285">
      <w:bodyDiv w:val="1"/>
      <w:marLeft w:val="0"/>
      <w:marRight w:val="0"/>
      <w:marTop w:val="0"/>
      <w:marBottom w:val="0"/>
      <w:divBdr>
        <w:top w:val="none" w:sz="0" w:space="0" w:color="auto"/>
        <w:left w:val="none" w:sz="0" w:space="0" w:color="auto"/>
        <w:bottom w:val="none" w:sz="0" w:space="0" w:color="auto"/>
        <w:right w:val="none" w:sz="0" w:space="0" w:color="auto"/>
      </w:divBdr>
    </w:div>
    <w:div w:id="102574609">
      <w:bodyDiv w:val="1"/>
      <w:marLeft w:val="0"/>
      <w:marRight w:val="0"/>
      <w:marTop w:val="0"/>
      <w:marBottom w:val="0"/>
      <w:divBdr>
        <w:top w:val="none" w:sz="0" w:space="0" w:color="auto"/>
        <w:left w:val="none" w:sz="0" w:space="0" w:color="auto"/>
        <w:bottom w:val="none" w:sz="0" w:space="0" w:color="auto"/>
        <w:right w:val="none" w:sz="0" w:space="0" w:color="auto"/>
      </w:divBdr>
    </w:div>
    <w:div w:id="130751912">
      <w:bodyDiv w:val="1"/>
      <w:marLeft w:val="0"/>
      <w:marRight w:val="0"/>
      <w:marTop w:val="0"/>
      <w:marBottom w:val="0"/>
      <w:divBdr>
        <w:top w:val="none" w:sz="0" w:space="0" w:color="auto"/>
        <w:left w:val="none" w:sz="0" w:space="0" w:color="auto"/>
        <w:bottom w:val="none" w:sz="0" w:space="0" w:color="auto"/>
        <w:right w:val="none" w:sz="0" w:space="0" w:color="auto"/>
      </w:divBdr>
    </w:div>
    <w:div w:id="134101821">
      <w:bodyDiv w:val="1"/>
      <w:marLeft w:val="0"/>
      <w:marRight w:val="0"/>
      <w:marTop w:val="0"/>
      <w:marBottom w:val="0"/>
      <w:divBdr>
        <w:top w:val="none" w:sz="0" w:space="0" w:color="auto"/>
        <w:left w:val="none" w:sz="0" w:space="0" w:color="auto"/>
        <w:bottom w:val="none" w:sz="0" w:space="0" w:color="auto"/>
        <w:right w:val="none" w:sz="0" w:space="0" w:color="auto"/>
      </w:divBdr>
    </w:div>
    <w:div w:id="143393529">
      <w:bodyDiv w:val="1"/>
      <w:marLeft w:val="0"/>
      <w:marRight w:val="0"/>
      <w:marTop w:val="0"/>
      <w:marBottom w:val="0"/>
      <w:divBdr>
        <w:top w:val="none" w:sz="0" w:space="0" w:color="auto"/>
        <w:left w:val="none" w:sz="0" w:space="0" w:color="auto"/>
        <w:bottom w:val="none" w:sz="0" w:space="0" w:color="auto"/>
        <w:right w:val="none" w:sz="0" w:space="0" w:color="auto"/>
      </w:divBdr>
    </w:div>
    <w:div w:id="146090007">
      <w:bodyDiv w:val="1"/>
      <w:marLeft w:val="0"/>
      <w:marRight w:val="0"/>
      <w:marTop w:val="0"/>
      <w:marBottom w:val="0"/>
      <w:divBdr>
        <w:top w:val="none" w:sz="0" w:space="0" w:color="auto"/>
        <w:left w:val="none" w:sz="0" w:space="0" w:color="auto"/>
        <w:bottom w:val="none" w:sz="0" w:space="0" w:color="auto"/>
        <w:right w:val="none" w:sz="0" w:space="0" w:color="auto"/>
      </w:divBdr>
    </w:div>
    <w:div w:id="152645185">
      <w:bodyDiv w:val="1"/>
      <w:marLeft w:val="0"/>
      <w:marRight w:val="0"/>
      <w:marTop w:val="0"/>
      <w:marBottom w:val="0"/>
      <w:divBdr>
        <w:top w:val="none" w:sz="0" w:space="0" w:color="auto"/>
        <w:left w:val="none" w:sz="0" w:space="0" w:color="auto"/>
        <w:bottom w:val="none" w:sz="0" w:space="0" w:color="auto"/>
        <w:right w:val="none" w:sz="0" w:space="0" w:color="auto"/>
      </w:divBdr>
    </w:div>
    <w:div w:id="178586003">
      <w:bodyDiv w:val="1"/>
      <w:marLeft w:val="0"/>
      <w:marRight w:val="0"/>
      <w:marTop w:val="0"/>
      <w:marBottom w:val="0"/>
      <w:divBdr>
        <w:top w:val="none" w:sz="0" w:space="0" w:color="auto"/>
        <w:left w:val="none" w:sz="0" w:space="0" w:color="auto"/>
        <w:bottom w:val="none" w:sz="0" w:space="0" w:color="auto"/>
        <w:right w:val="none" w:sz="0" w:space="0" w:color="auto"/>
      </w:divBdr>
    </w:div>
    <w:div w:id="181601357">
      <w:bodyDiv w:val="1"/>
      <w:marLeft w:val="0"/>
      <w:marRight w:val="0"/>
      <w:marTop w:val="0"/>
      <w:marBottom w:val="0"/>
      <w:divBdr>
        <w:top w:val="none" w:sz="0" w:space="0" w:color="auto"/>
        <w:left w:val="none" w:sz="0" w:space="0" w:color="auto"/>
        <w:bottom w:val="none" w:sz="0" w:space="0" w:color="auto"/>
        <w:right w:val="none" w:sz="0" w:space="0" w:color="auto"/>
      </w:divBdr>
    </w:div>
    <w:div w:id="196164083">
      <w:bodyDiv w:val="1"/>
      <w:marLeft w:val="0"/>
      <w:marRight w:val="0"/>
      <w:marTop w:val="0"/>
      <w:marBottom w:val="0"/>
      <w:divBdr>
        <w:top w:val="none" w:sz="0" w:space="0" w:color="auto"/>
        <w:left w:val="none" w:sz="0" w:space="0" w:color="auto"/>
        <w:bottom w:val="none" w:sz="0" w:space="0" w:color="auto"/>
        <w:right w:val="none" w:sz="0" w:space="0" w:color="auto"/>
      </w:divBdr>
    </w:div>
    <w:div w:id="222758470">
      <w:bodyDiv w:val="1"/>
      <w:marLeft w:val="0"/>
      <w:marRight w:val="0"/>
      <w:marTop w:val="0"/>
      <w:marBottom w:val="0"/>
      <w:divBdr>
        <w:top w:val="none" w:sz="0" w:space="0" w:color="auto"/>
        <w:left w:val="none" w:sz="0" w:space="0" w:color="auto"/>
        <w:bottom w:val="none" w:sz="0" w:space="0" w:color="auto"/>
        <w:right w:val="none" w:sz="0" w:space="0" w:color="auto"/>
      </w:divBdr>
    </w:div>
    <w:div w:id="237180072">
      <w:bodyDiv w:val="1"/>
      <w:marLeft w:val="0"/>
      <w:marRight w:val="0"/>
      <w:marTop w:val="0"/>
      <w:marBottom w:val="0"/>
      <w:divBdr>
        <w:top w:val="none" w:sz="0" w:space="0" w:color="auto"/>
        <w:left w:val="none" w:sz="0" w:space="0" w:color="auto"/>
        <w:bottom w:val="none" w:sz="0" w:space="0" w:color="auto"/>
        <w:right w:val="none" w:sz="0" w:space="0" w:color="auto"/>
      </w:divBdr>
    </w:div>
    <w:div w:id="255671753">
      <w:bodyDiv w:val="1"/>
      <w:marLeft w:val="0"/>
      <w:marRight w:val="0"/>
      <w:marTop w:val="0"/>
      <w:marBottom w:val="0"/>
      <w:divBdr>
        <w:top w:val="none" w:sz="0" w:space="0" w:color="auto"/>
        <w:left w:val="none" w:sz="0" w:space="0" w:color="auto"/>
        <w:bottom w:val="none" w:sz="0" w:space="0" w:color="auto"/>
        <w:right w:val="none" w:sz="0" w:space="0" w:color="auto"/>
      </w:divBdr>
    </w:div>
    <w:div w:id="264384139">
      <w:bodyDiv w:val="1"/>
      <w:marLeft w:val="0"/>
      <w:marRight w:val="0"/>
      <w:marTop w:val="0"/>
      <w:marBottom w:val="0"/>
      <w:divBdr>
        <w:top w:val="none" w:sz="0" w:space="0" w:color="auto"/>
        <w:left w:val="none" w:sz="0" w:space="0" w:color="auto"/>
        <w:bottom w:val="none" w:sz="0" w:space="0" w:color="auto"/>
        <w:right w:val="none" w:sz="0" w:space="0" w:color="auto"/>
      </w:divBdr>
    </w:div>
    <w:div w:id="310797290">
      <w:bodyDiv w:val="1"/>
      <w:marLeft w:val="0"/>
      <w:marRight w:val="0"/>
      <w:marTop w:val="0"/>
      <w:marBottom w:val="0"/>
      <w:divBdr>
        <w:top w:val="none" w:sz="0" w:space="0" w:color="auto"/>
        <w:left w:val="none" w:sz="0" w:space="0" w:color="auto"/>
        <w:bottom w:val="none" w:sz="0" w:space="0" w:color="auto"/>
        <w:right w:val="none" w:sz="0" w:space="0" w:color="auto"/>
      </w:divBdr>
    </w:div>
    <w:div w:id="311297047">
      <w:bodyDiv w:val="1"/>
      <w:marLeft w:val="0"/>
      <w:marRight w:val="0"/>
      <w:marTop w:val="0"/>
      <w:marBottom w:val="0"/>
      <w:divBdr>
        <w:top w:val="none" w:sz="0" w:space="0" w:color="auto"/>
        <w:left w:val="none" w:sz="0" w:space="0" w:color="auto"/>
        <w:bottom w:val="none" w:sz="0" w:space="0" w:color="auto"/>
        <w:right w:val="none" w:sz="0" w:space="0" w:color="auto"/>
      </w:divBdr>
    </w:div>
    <w:div w:id="326129985">
      <w:bodyDiv w:val="1"/>
      <w:marLeft w:val="0"/>
      <w:marRight w:val="0"/>
      <w:marTop w:val="0"/>
      <w:marBottom w:val="0"/>
      <w:divBdr>
        <w:top w:val="none" w:sz="0" w:space="0" w:color="auto"/>
        <w:left w:val="none" w:sz="0" w:space="0" w:color="auto"/>
        <w:bottom w:val="none" w:sz="0" w:space="0" w:color="auto"/>
        <w:right w:val="none" w:sz="0" w:space="0" w:color="auto"/>
      </w:divBdr>
    </w:div>
    <w:div w:id="357512442">
      <w:bodyDiv w:val="1"/>
      <w:marLeft w:val="0"/>
      <w:marRight w:val="0"/>
      <w:marTop w:val="0"/>
      <w:marBottom w:val="0"/>
      <w:divBdr>
        <w:top w:val="none" w:sz="0" w:space="0" w:color="auto"/>
        <w:left w:val="none" w:sz="0" w:space="0" w:color="auto"/>
        <w:bottom w:val="none" w:sz="0" w:space="0" w:color="auto"/>
        <w:right w:val="none" w:sz="0" w:space="0" w:color="auto"/>
      </w:divBdr>
    </w:div>
    <w:div w:id="367069394">
      <w:bodyDiv w:val="1"/>
      <w:marLeft w:val="0"/>
      <w:marRight w:val="0"/>
      <w:marTop w:val="0"/>
      <w:marBottom w:val="0"/>
      <w:divBdr>
        <w:top w:val="none" w:sz="0" w:space="0" w:color="auto"/>
        <w:left w:val="none" w:sz="0" w:space="0" w:color="auto"/>
        <w:bottom w:val="none" w:sz="0" w:space="0" w:color="auto"/>
        <w:right w:val="none" w:sz="0" w:space="0" w:color="auto"/>
      </w:divBdr>
    </w:div>
    <w:div w:id="370345786">
      <w:bodyDiv w:val="1"/>
      <w:marLeft w:val="0"/>
      <w:marRight w:val="0"/>
      <w:marTop w:val="0"/>
      <w:marBottom w:val="0"/>
      <w:divBdr>
        <w:top w:val="none" w:sz="0" w:space="0" w:color="auto"/>
        <w:left w:val="none" w:sz="0" w:space="0" w:color="auto"/>
        <w:bottom w:val="none" w:sz="0" w:space="0" w:color="auto"/>
        <w:right w:val="none" w:sz="0" w:space="0" w:color="auto"/>
      </w:divBdr>
      <w:divsChild>
        <w:div w:id="1593395746">
          <w:marLeft w:val="0"/>
          <w:marRight w:val="0"/>
          <w:marTop w:val="0"/>
          <w:marBottom w:val="0"/>
          <w:divBdr>
            <w:top w:val="none" w:sz="0" w:space="0" w:color="auto"/>
            <w:left w:val="none" w:sz="0" w:space="0" w:color="auto"/>
            <w:bottom w:val="none" w:sz="0" w:space="0" w:color="auto"/>
            <w:right w:val="none" w:sz="0" w:space="0" w:color="auto"/>
          </w:divBdr>
          <w:divsChild>
            <w:div w:id="62066895">
              <w:marLeft w:val="0"/>
              <w:marRight w:val="0"/>
              <w:marTop w:val="0"/>
              <w:marBottom w:val="0"/>
              <w:divBdr>
                <w:top w:val="none" w:sz="0" w:space="0" w:color="auto"/>
                <w:left w:val="none" w:sz="0" w:space="0" w:color="auto"/>
                <w:bottom w:val="none" w:sz="0" w:space="0" w:color="auto"/>
                <w:right w:val="none" w:sz="0" w:space="0" w:color="auto"/>
              </w:divBdr>
              <w:divsChild>
                <w:div w:id="165144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710157">
      <w:bodyDiv w:val="1"/>
      <w:marLeft w:val="0"/>
      <w:marRight w:val="0"/>
      <w:marTop w:val="0"/>
      <w:marBottom w:val="0"/>
      <w:divBdr>
        <w:top w:val="none" w:sz="0" w:space="0" w:color="auto"/>
        <w:left w:val="none" w:sz="0" w:space="0" w:color="auto"/>
        <w:bottom w:val="none" w:sz="0" w:space="0" w:color="auto"/>
        <w:right w:val="none" w:sz="0" w:space="0" w:color="auto"/>
      </w:divBdr>
    </w:div>
    <w:div w:id="418717543">
      <w:bodyDiv w:val="1"/>
      <w:marLeft w:val="0"/>
      <w:marRight w:val="0"/>
      <w:marTop w:val="0"/>
      <w:marBottom w:val="0"/>
      <w:divBdr>
        <w:top w:val="none" w:sz="0" w:space="0" w:color="auto"/>
        <w:left w:val="none" w:sz="0" w:space="0" w:color="auto"/>
        <w:bottom w:val="none" w:sz="0" w:space="0" w:color="auto"/>
        <w:right w:val="none" w:sz="0" w:space="0" w:color="auto"/>
      </w:divBdr>
    </w:div>
    <w:div w:id="440300550">
      <w:bodyDiv w:val="1"/>
      <w:marLeft w:val="0"/>
      <w:marRight w:val="0"/>
      <w:marTop w:val="0"/>
      <w:marBottom w:val="0"/>
      <w:divBdr>
        <w:top w:val="none" w:sz="0" w:space="0" w:color="auto"/>
        <w:left w:val="none" w:sz="0" w:space="0" w:color="auto"/>
        <w:bottom w:val="none" w:sz="0" w:space="0" w:color="auto"/>
        <w:right w:val="none" w:sz="0" w:space="0" w:color="auto"/>
      </w:divBdr>
    </w:div>
    <w:div w:id="459306604">
      <w:bodyDiv w:val="1"/>
      <w:marLeft w:val="0"/>
      <w:marRight w:val="0"/>
      <w:marTop w:val="0"/>
      <w:marBottom w:val="0"/>
      <w:divBdr>
        <w:top w:val="none" w:sz="0" w:space="0" w:color="auto"/>
        <w:left w:val="none" w:sz="0" w:space="0" w:color="auto"/>
        <w:bottom w:val="none" w:sz="0" w:space="0" w:color="auto"/>
        <w:right w:val="none" w:sz="0" w:space="0" w:color="auto"/>
      </w:divBdr>
    </w:div>
    <w:div w:id="477771102">
      <w:bodyDiv w:val="1"/>
      <w:marLeft w:val="0"/>
      <w:marRight w:val="0"/>
      <w:marTop w:val="0"/>
      <w:marBottom w:val="0"/>
      <w:divBdr>
        <w:top w:val="none" w:sz="0" w:space="0" w:color="auto"/>
        <w:left w:val="none" w:sz="0" w:space="0" w:color="auto"/>
        <w:bottom w:val="none" w:sz="0" w:space="0" w:color="auto"/>
        <w:right w:val="none" w:sz="0" w:space="0" w:color="auto"/>
      </w:divBdr>
    </w:div>
    <w:div w:id="485171233">
      <w:bodyDiv w:val="1"/>
      <w:marLeft w:val="0"/>
      <w:marRight w:val="0"/>
      <w:marTop w:val="0"/>
      <w:marBottom w:val="0"/>
      <w:divBdr>
        <w:top w:val="none" w:sz="0" w:space="0" w:color="auto"/>
        <w:left w:val="none" w:sz="0" w:space="0" w:color="auto"/>
        <w:bottom w:val="none" w:sz="0" w:space="0" w:color="auto"/>
        <w:right w:val="none" w:sz="0" w:space="0" w:color="auto"/>
      </w:divBdr>
    </w:div>
    <w:div w:id="494226463">
      <w:bodyDiv w:val="1"/>
      <w:marLeft w:val="0"/>
      <w:marRight w:val="0"/>
      <w:marTop w:val="0"/>
      <w:marBottom w:val="0"/>
      <w:divBdr>
        <w:top w:val="none" w:sz="0" w:space="0" w:color="auto"/>
        <w:left w:val="none" w:sz="0" w:space="0" w:color="auto"/>
        <w:bottom w:val="none" w:sz="0" w:space="0" w:color="auto"/>
        <w:right w:val="none" w:sz="0" w:space="0" w:color="auto"/>
      </w:divBdr>
    </w:div>
    <w:div w:id="502743465">
      <w:bodyDiv w:val="1"/>
      <w:marLeft w:val="0"/>
      <w:marRight w:val="0"/>
      <w:marTop w:val="0"/>
      <w:marBottom w:val="0"/>
      <w:divBdr>
        <w:top w:val="none" w:sz="0" w:space="0" w:color="auto"/>
        <w:left w:val="none" w:sz="0" w:space="0" w:color="auto"/>
        <w:bottom w:val="none" w:sz="0" w:space="0" w:color="auto"/>
        <w:right w:val="none" w:sz="0" w:space="0" w:color="auto"/>
      </w:divBdr>
    </w:div>
    <w:div w:id="503589441">
      <w:bodyDiv w:val="1"/>
      <w:marLeft w:val="0"/>
      <w:marRight w:val="0"/>
      <w:marTop w:val="0"/>
      <w:marBottom w:val="0"/>
      <w:divBdr>
        <w:top w:val="none" w:sz="0" w:space="0" w:color="auto"/>
        <w:left w:val="none" w:sz="0" w:space="0" w:color="auto"/>
        <w:bottom w:val="none" w:sz="0" w:space="0" w:color="auto"/>
        <w:right w:val="none" w:sz="0" w:space="0" w:color="auto"/>
      </w:divBdr>
    </w:div>
    <w:div w:id="562109136">
      <w:bodyDiv w:val="1"/>
      <w:marLeft w:val="0"/>
      <w:marRight w:val="0"/>
      <w:marTop w:val="0"/>
      <w:marBottom w:val="0"/>
      <w:divBdr>
        <w:top w:val="none" w:sz="0" w:space="0" w:color="auto"/>
        <w:left w:val="none" w:sz="0" w:space="0" w:color="auto"/>
        <w:bottom w:val="none" w:sz="0" w:space="0" w:color="auto"/>
        <w:right w:val="none" w:sz="0" w:space="0" w:color="auto"/>
      </w:divBdr>
    </w:div>
    <w:div w:id="579216956">
      <w:bodyDiv w:val="1"/>
      <w:marLeft w:val="0"/>
      <w:marRight w:val="0"/>
      <w:marTop w:val="0"/>
      <w:marBottom w:val="0"/>
      <w:divBdr>
        <w:top w:val="none" w:sz="0" w:space="0" w:color="auto"/>
        <w:left w:val="none" w:sz="0" w:space="0" w:color="auto"/>
        <w:bottom w:val="none" w:sz="0" w:space="0" w:color="auto"/>
        <w:right w:val="none" w:sz="0" w:space="0" w:color="auto"/>
      </w:divBdr>
    </w:div>
    <w:div w:id="596250835">
      <w:bodyDiv w:val="1"/>
      <w:marLeft w:val="0"/>
      <w:marRight w:val="0"/>
      <w:marTop w:val="0"/>
      <w:marBottom w:val="0"/>
      <w:divBdr>
        <w:top w:val="none" w:sz="0" w:space="0" w:color="auto"/>
        <w:left w:val="none" w:sz="0" w:space="0" w:color="auto"/>
        <w:bottom w:val="none" w:sz="0" w:space="0" w:color="auto"/>
        <w:right w:val="none" w:sz="0" w:space="0" w:color="auto"/>
      </w:divBdr>
    </w:div>
    <w:div w:id="609820527">
      <w:bodyDiv w:val="1"/>
      <w:marLeft w:val="0"/>
      <w:marRight w:val="0"/>
      <w:marTop w:val="0"/>
      <w:marBottom w:val="0"/>
      <w:divBdr>
        <w:top w:val="none" w:sz="0" w:space="0" w:color="auto"/>
        <w:left w:val="none" w:sz="0" w:space="0" w:color="auto"/>
        <w:bottom w:val="none" w:sz="0" w:space="0" w:color="auto"/>
        <w:right w:val="none" w:sz="0" w:space="0" w:color="auto"/>
      </w:divBdr>
    </w:div>
    <w:div w:id="704064020">
      <w:bodyDiv w:val="1"/>
      <w:marLeft w:val="0"/>
      <w:marRight w:val="0"/>
      <w:marTop w:val="0"/>
      <w:marBottom w:val="0"/>
      <w:divBdr>
        <w:top w:val="none" w:sz="0" w:space="0" w:color="auto"/>
        <w:left w:val="none" w:sz="0" w:space="0" w:color="auto"/>
        <w:bottom w:val="none" w:sz="0" w:space="0" w:color="auto"/>
        <w:right w:val="none" w:sz="0" w:space="0" w:color="auto"/>
      </w:divBdr>
    </w:div>
    <w:div w:id="706953270">
      <w:bodyDiv w:val="1"/>
      <w:marLeft w:val="0"/>
      <w:marRight w:val="0"/>
      <w:marTop w:val="0"/>
      <w:marBottom w:val="0"/>
      <w:divBdr>
        <w:top w:val="none" w:sz="0" w:space="0" w:color="auto"/>
        <w:left w:val="none" w:sz="0" w:space="0" w:color="auto"/>
        <w:bottom w:val="none" w:sz="0" w:space="0" w:color="auto"/>
        <w:right w:val="none" w:sz="0" w:space="0" w:color="auto"/>
      </w:divBdr>
    </w:div>
    <w:div w:id="732506277">
      <w:bodyDiv w:val="1"/>
      <w:marLeft w:val="0"/>
      <w:marRight w:val="0"/>
      <w:marTop w:val="0"/>
      <w:marBottom w:val="0"/>
      <w:divBdr>
        <w:top w:val="none" w:sz="0" w:space="0" w:color="auto"/>
        <w:left w:val="none" w:sz="0" w:space="0" w:color="auto"/>
        <w:bottom w:val="none" w:sz="0" w:space="0" w:color="auto"/>
        <w:right w:val="none" w:sz="0" w:space="0" w:color="auto"/>
      </w:divBdr>
    </w:div>
    <w:div w:id="742720337">
      <w:bodyDiv w:val="1"/>
      <w:marLeft w:val="0"/>
      <w:marRight w:val="0"/>
      <w:marTop w:val="0"/>
      <w:marBottom w:val="0"/>
      <w:divBdr>
        <w:top w:val="none" w:sz="0" w:space="0" w:color="auto"/>
        <w:left w:val="none" w:sz="0" w:space="0" w:color="auto"/>
        <w:bottom w:val="none" w:sz="0" w:space="0" w:color="auto"/>
        <w:right w:val="none" w:sz="0" w:space="0" w:color="auto"/>
      </w:divBdr>
    </w:div>
    <w:div w:id="746146207">
      <w:bodyDiv w:val="1"/>
      <w:marLeft w:val="0"/>
      <w:marRight w:val="0"/>
      <w:marTop w:val="0"/>
      <w:marBottom w:val="0"/>
      <w:divBdr>
        <w:top w:val="none" w:sz="0" w:space="0" w:color="auto"/>
        <w:left w:val="none" w:sz="0" w:space="0" w:color="auto"/>
        <w:bottom w:val="none" w:sz="0" w:space="0" w:color="auto"/>
        <w:right w:val="none" w:sz="0" w:space="0" w:color="auto"/>
      </w:divBdr>
    </w:div>
    <w:div w:id="748891276">
      <w:bodyDiv w:val="1"/>
      <w:marLeft w:val="0"/>
      <w:marRight w:val="0"/>
      <w:marTop w:val="0"/>
      <w:marBottom w:val="0"/>
      <w:divBdr>
        <w:top w:val="none" w:sz="0" w:space="0" w:color="auto"/>
        <w:left w:val="none" w:sz="0" w:space="0" w:color="auto"/>
        <w:bottom w:val="none" w:sz="0" w:space="0" w:color="auto"/>
        <w:right w:val="none" w:sz="0" w:space="0" w:color="auto"/>
      </w:divBdr>
    </w:div>
    <w:div w:id="782187102">
      <w:bodyDiv w:val="1"/>
      <w:marLeft w:val="0"/>
      <w:marRight w:val="0"/>
      <w:marTop w:val="0"/>
      <w:marBottom w:val="0"/>
      <w:divBdr>
        <w:top w:val="none" w:sz="0" w:space="0" w:color="auto"/>
        <w:left w:val="none" w:sz="0" w:space="0" w:color="auto"/>
        <w:bottom w:val="none" w:sz="0" w:space="0" w:color="auto"/>
        <w:right w:val="none" w:sz="0" w:space="0" w:color="auto"/>
      </w:divBdr>
      <w:divsChild>
        <w:div w:id="1149395879">
          <w:marLeft w:val="0"/>
          <w:marRight w:val="0"/>
          <w:marTop w:val="0"/>
          <w:marBottom w:val="0"/>
          <w:divBdr>
            <w:top w:val="none" w:sz="0" w:space="0" w:color="auto"/>
            <w:left w:val="none" w:sz="0" w:space="0" w:color="auto"/>
            <w:bottom w:val="none" w:sz="0" w:space="0" w:color="auto"/>
            <w:right w:val="none" w:sz="0" w:space="0" w:color="auto"/>
          </w:divBdr>
          <w:divsChild>
            <w:div w:id="982344562">
              <w:marLeft w:val="0"/>
              <w:marRight w:val="0"/>
              <w:marTop w:val="0"/>
              <w:marBottom w:val="0"/>
              <w:divBdr>
                <w:top w:val="none" w:sz="0" w:space="0" w:color="auto"/>
                <w:left w:val="none" w:sz="0" w:space="0" w:color="auto"/>
                <w:bottom w:val="none" w:sz="0" w:space="0" w:color="auto"/>
                <w:right w:val="none" w:sz="0" w:space="0" w:color="auto"/>
              </w:divBdr>
              <w:divsChild>
                <w:div w:id="70290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672070">
      <w:bodyDiv w:val="1"/>
      <w:marLeft w:val="0"/>
      <w:marRight w:val="0"/>
      <w:marTop w:val="0"/>
      <w:marBottom w:val="0"/>
      <w:divBdr>
        <w:top w:val="none" w:sz="0" w:space="0" w:color="auto"/>
        <w:left w:val="none" w:sz="0" w:space="0" w:color="auto"/>
        <w:bottom w:val="none" w:sz="0" w:space="0" w:color="auto"/>
        <w:right w:val="none" w:sz="0" w:space="0" w:color="auto"/>
      </w:divBdr>
    </w:div>
    <w:div w:id="867108761">
      <w:bodyDiv w:val="1"/>
      <w:marLeft w:val="0"/>
      <w:marRight w:val="0"/>
      <w:marTop w:val="0"/>
      <w:marBottom w:val="0"/>
      <w:divBdr>
        <w:top w:val="none" w:sz="0" w:space="0" w:color="auto"/>
        <w:left w:val="none" w:sz="0" w:space="0" w:color="auto"/>
        <w:bottom w:val="none" w:sz="0" w:space="0" w:color="auto"/>
        <w:right w:val="none" w:sz="0" w:space="0" w:color="auto"/>
      </w:divBdr>
      <w:divsChild>
        <w:div w:id="397440153">
          <w:marLeft w:val="0"/>
          <w:marRight w:val="0"/>
          <w:marTop w:val="0"/>
          <w:marBottom w:val="0"/>
          <w:divBdr>
            <w:top w:val="none" w:sz="0" w:space="0" w:color="auto"/>
            <w:left w:val="none" w:sz="0" w:space="0" w:color="auto"/>
            <w:bottom w:val="none" w:sz="0" w:space="0" w:color="auto"/>
            <w:right w:val="none" w:sz="0" w:space="0" w:color="auto"/>
          </w:divBdr>
          <w:divsChild>
            <w:div w:id="1723358085">
              <w:marLeft w:val="0"/>
              <w:marRight w:val="0"/>
              <w:marTop w:val="0"/>
              <w:marBottom w:val="0"/>
              <w:divBdr>
                <w:top w:val="none" w:sz="0" w:space="0" w:color="auto"/>
                <w:left w:val="none" w:sz="0" w:space="0" w:color="auto"/>
                <w:bottom w:val="none" w:sz="0" w:space="0" w:color="auto"/>
                <w:right w:val="none" w:sz="0" w:space="0" w:color="auto"/>
              </w:divBdr>
              <w:divsChild>
                <w:div w:id="2622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986390">
      <w:bodyDiv w:val="1"/>
      <w:marLeft w:val="0"/>
      <w:marRight w:val="0"/>
      <w:marTop w:val="0"/>
      <w:marBottom w:val="0"/>
      <w:divBdr>
        <w:top w:val="none" w:sz="0" w:space="0" w:color="auto"/>
        <w:left w:val="none" w:sz="0" w:space="0" w:color="auto"/>
        <w:bottom w:val="none" w:sz="0" w:space="0" w:color="auto"/>
        <w:right w:val="none" w:sz="0" w:space="0" w:color="auto"/>
      </w:divBdr>
      <w:divsChild>
        <w:div w:id="491143928">
          <w:marLeft w:val="0"/>
          <w:marRight w:val="0"/>
          <w:marTop w:val="0"/>
          <w:marBottom w:val="0"/>
          <w:divBdr>
            <w:top w:val="none" w:sz="0" w:space="0" w:color="auto"/>
            <w:left w:val="none" w:sz="0" w:space="0" w:color="auto"/>
            <w:bottom w:val="none" w:sz="0" w:space="0" w:color="auto"/>
            <w:right w:val="none" w:sz="0" w:space="0" w:color="auto"/>
          </w:divBdr>
          <w:divsChild>
            <w:div w:id="442773081">
              <w:marLeft w:val="0"/>
              <w:marRight w:val="0"/>
              <w:marTop w:val="0"/>
              <w:marBottom w:val="0"/>
              <w:divBdr>
                <w:top w:val="none" w:sz="0" w:space="0" w:color="auto"/>
                <w:left w:val="none" w:sz="0" w:space="0" w:color="auto"/>
                <w:bottom w:val="none" w:sz="0" w:space="0" w:color="auto"/>
                <w:right w:val="none" w:sz="0" w:space="0" w:color="auto"/>
              </w:divBdr>
              <w:divsChild>
                <w:div w:id="69472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218545">
      <w:bodyDiv w:val="1"/>
      <w:marLeft w:val="0"/>
      <w:marRight w:val="0"/>
      <w:marTop w:val="0"/>
      <w:marBottom w:val="0"/>
      <w:divBdr>
        <w:top w:val="none" w:sz="0" w:space="0" w:color="auto"/>
        <w:left w:val="none" w:sz="0" w:space="0" w:color="auto"/>
        <w:bottom w:val="none" w:sz="0" w:space="0" w:color="auto"/>
        <w:right w:val="none" w:sz="0" w:space="0" w:color="auto"/>
      </w:divBdr>
    </w:div>
    <w:div w:id="950820438">
      <w:bodyDiv w:val="1"/>
      <w:marLeft w:val="0"/>
      <w:marRight w:val="0"/>
      <w:marTop w:val="0"/>
      <w:marBottom w:val="0"/>
      <w:divBdr>
        <w:top w:val="none" w:sz="0" w:space="0" w:color="auto"/>
        <w:left w:val="none" w:sz="0" w:space="0" w:color="auto"/>
        <w:bottom w:val="none" w:sz="0" w:space="0" w:color="auto"/>
        <w:right w:val="none" w:sz="0" w:space="0" w:color="auto"/>
      </w:divBdr>
    </w:div>
    <w:div w:id="981537745">
      <w:bodyDiv w:val="1"/>
      <w:marLeft w:val="0"/>
      <w:marRight w:val="0"/>
      <w:marTop w:val="0"/>
      <w:marBottom w:val="0"/>
      <w:divBdr>
        <w:top w:val="none" w:sz="0" w:space="0" w:color="auto"/>
        <w:left w:val="none" w:sz="0" w:space="0" w:color="auto"/>
        <w:bottom w:val="none" w:sz="0" w:space="0" w:color="auto"/>
        <w:right w:val="none" w:sz="0" w:space="0" w:color="auto"/>
      </w:divBdr>
    </w:div>
    <w:div w:id="1027365571">
      <w:bodyDiv w:val="1"/>
      <w:marLeft w:val="0"/>
      <w:marRight w:val="0"/>
      <w:marTop w:val="0"/>
      <w:marBottom w:val="0"/>
      <w:divBdr>
        <w:top w:val="none" w:sz="0" w:space="0" w:color="auto"/>
        <w:left w:val="none" w:sz="0" w:space="0" w:color="auto"/>
        <w:bottom w:val="none" w:sz="0" w:space="0" w:color="auto"/>
        <w:right w:val="none" w:sz="0" w:space="0" w:color="auto"/>
      </w:divBdr>
      <w:divsChild>
        <w:div w:id="853573172">
          <w:marLeft w:val="0"/>
          <w:marRight w:val="0"/>
          <w:marTop w:val="0"/>
          <w:marBottom w:val="0"/>
          <w:divBdr>
            <w:top w:val="none" w:sz="0" w:space="0" w:color="auto"/>
            <w:left w:val="none" w:sz="0" w:space="0" w:color="auto"/>
            <w:bottom w:val="none" w:sz="0" w:space="0" w:color="auto"/>
            <w:right w:val="none" w:sz="0" w:space="0" w:color="auto"/>
          </w:divBdr>
          <w:divsChild>
            <w:div w:id="1884706653">
              <w:marLeft w:val="0"/>
              <w:marRight w:val="0"/>
              <w:marTop w:val="0"/>
              <w:marBottom w:val="0"/>
              <w:divBdr>
                <w:top w:val="none" w:sz="0" w:space="0" w:color="auto"/>
                <w:left w:val="none" w:sz="0" w:space="0" w:color="auto"/>
                <w:bottom w:val="none" w:sz="0" w:space="0" w:color="auto"/>
                <w:right w:val="none" w:sz="0" w:space="0" w:color="auto"/>
              </w:divBdr>
              <w:divsChild>
                <w:div w:id="1964655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524505">
      <w:bodyDiv w:val="1"/>
      <w:marLeft w:val="0"/>
      <w:marRight w:val="0"/>
      <w:marTop w:val="0"/>
      <w:marBottom w:val="0"/>
      <w:divBdr>
        <w:top w:val="none" w:sz="0" w:space="0" w:color="auto"/>
        <w:left w:val="none" w:sz="0" w:space="0" w:color="auto"/>
        <w:bottom w:val="none" w:sz="0" w:space="0" w:color="auto"/>
        <w:right w:val="none" w:sz="0" w:space="0" w:color="auto"/>
      </w:divBdr>
    </w:div>
    <w:div w:id="1083991785">
      <w:bodyDiv w:val="1"/>
      <w:marLeft w:val="0"/>
      <w:marRight w:val="0"/>
      <w:marTop w:val="0"/>
      <w:marBottom w:val="0"/>
      <w:divBdr>
        <w:top w:val="none" w:sz="0" w:space="0" w:color="auto"/>
        <w:left w:val="none" w:sz="0" w:space="0" w:color="auto"/>
        <w:bottom w:val="none" w:sz="0" w:space="0" w:color="auto"/>
        <w:right w:val="none" w:sz="0" w:space="0" w:color="auto"/>
      </w:divBdr>
    </w:div>
    <w:div w:id="1089543936">
      <w:bodyDiv w:val="1"/>
      <w:marLeft w:val="0"/>
      <w:marRight w:val="0"/>
      <w:marTop w:val="0"/>
      <w:marBottom w:val="0"/>
      <w:divBdr>
        <w:top w:val="none" w:sz="0" w:space="0" w:color="auto"/>
        <w:left w:val="none" w:sz="0" w:space="0" w:color="auto"/>
        <w:bottom w:val="none" w:sz="0" w:space="0" w:color="auto"/>
        <w:right w:val="none" w:sz="0" w:space="0" w:color="auto"/>
      </w:divBdr>
    </w:div>
    <w:div w:id="1090272449">
      <w:bodyDiv w:val="1"/>
      <w:marLeft w:val="0"/>
      <w:marRight w:val="0"/>
      <w:marTop w:val="0"/>
      <w:marBottom w:val="0"/>
      <w:divBdr>
        <w:top w:val="none" w:sz="0" w:space="0" w:color="auto"/>
        <w:left w:val="none" w:sz="0" w:space="0" w:color="auto"/>
        <w:bottom w:val="none" w:sz="0" w:space="0" w:color="auto"/>
        <w:right w:val="none" w:sz="0" w:space="0" w:color="auto"/>
      </w:divBdr>
    </w:div>
    <w:div w:id="1094665789">
      <w:bodyDiv w:val="1"/>
      <w:marLeft w:val="0"/>
      <w:marRight w:val="0"/>
      <w:marTop w:val="0"/>
      <w:marBottom w:val="0"/>
      <w:divBdr>
        <w:top w:val="none" w:sz="0" w:space="0" w:color="auto"/>
        <w:left w:val="none" w:sz="0" w:space="0" w:color="auto"/>
        <w:bottom w:val="none" w:sz="0" w:space="0" w:color="auto"/>
        <w:right w:val="none" w:sz="0" w:space="0" w:color="auto"/>
      </w:divBdr>
    </w:div>
    <w:div w:id="1096248642">
      <w:bodyDiv w:val="1"/>
      <w:marLeft w:val="0"/>
      <w:marRight w:val="0"/>
      <w:marTop w:val="0"/>
      <w:marBottom w:val="0"/>
      <w:divBdr>
        <w:top w:val="none" w:sz="0" w:space="0" w:color="auto"/>
        <w:left w:val="none" w:sz="0" w:space="0" w:color="auto"/>
        <w:bottom w:val="none" w:sz="0" w:space="0" w:color="auto"/>
        <w:right w:val="none" w:sz="0" w:space="0" w:color="auto"/>
      </w:divBdr>
    </w:div>
    <w:div w:id="1121807143">
      <w:bodyDiv w:val="1"/>
      <w:marLeft w:val="0"/>
      <w:marRight w:val="0"/>
      <w:marTop w:val="0"/>
      <w:marBottom w:val="0"/>
      <w:divBdr>
        <w:top w:val="none" w:sz="0" w:space="0" w:color="auto"/>
        <w:left w:val="none" w:sz="0" w:space="0" w:color="auto"/>
        <w:bottom w:val="none" w:sz="0" w:space="0" w:color="auto"/>
        <w:right w:val="none" w:sz="0" w:space="0" w:color="auto"/>
      </w:divBdr>
    </w:div>
    <w:div w:id="1147551408">
      <w:bodyDiv w:val="1"/>
      <w:marLeft w:val="0"/>
      <w:marRight w:val="0"/>
      <w:marTop w:val="0"/>
      <w:marBottom w:val="0"/>
      <w:divBdr>
        <w:top w:val="none" w:sz="0" w:space="0" w:color="auto"/>
        <w:left w:val="none" w:sz="0" w:space="0" w:color="auto"/>
        <w:bottom w:val="none" w:sz="0" w:space="0" w:color="auto"/>
        <w:right w:val="none" w:sz="0" w:space="0" w:color="auto"/>
      </w:divBdr>
    </w:div>
    <w:div w:id="1156143384">
      <w:bodyDiv w:val="1"/>
      <w:marLeft w:val="0"/>
      <w:marRight w:val="0"/>
      <w:marTop w:val="0"/>
      <w:marBottom w:val="0"/>
      <w:divBdr>
        <w:top w:val="none" w:sz="0" w:space="0" w:color="auto"/>
        <w:left w:val="none" w:sz="0" w:space="0" w:color="auto"/>
        <w:bottom w:val="none" w:sz="0" w:space="0" w:color="auto"/>
        <w:right w:val="none" w:sz="0" w:space="0" w:color="auto"/>
      </w:divBdr>
    </w:div>
    <w:div w:id="1159030815">
      <w:bodyDiv w:val="1"/>
      <w:marLeft w:val="0"/>
      <w:marRight w:val="0"/>
      <w:marTop w:val="0"/>
      <w:marBottom w:val="0"/>
      <w:divBdr>
        <w:top w:val="none" w:sz="0" w:space="0" w:color="auto"/>
        <w:left w:val="none" w:sz="0" w:space="0" w:color="auto"/>
        <w:bottom w:val="none" w:sz="0" w:space="0" w:color="auto"/>
        <w:right w:val="none" w:sz="0" w:space="0" w:color="auto"/>
      </w:divBdr>
    </w:div>
    <w:div w:id="1170173418">
      <w:bodyDiv w:val="1"/>
      <w:marLeft w:val="0"/>
      <w:marRight w:val="0"/>
      <w:marTop w:val="0"/>
      <w:marBottom w:val="0"/>
      <w:divBdr>
        <w:top w:val="none" w:sz="0" w:space="0" w:color="auto"/>
        <w:left w:val="none" w:sz="0" w:space="0" w:color="auto"/>
        <w:bottom w:val="none" w:sz="0" w:space="0" w:color="auto"/>
        <w:right w:val="none" w:sz="0" w:space="0" w:color="auto"/>
      </w:divBdr>
    </w:div>
    <w:div w:id="1186599732">
      <w:bodyDiv w:val="1"/>
      <w:marLeft w:val="0"/>
      <w:marRight w:val="0"/>
      <w:marTop w:val="0"/>
      <w:marBottom w:val="0"/>
      <w:divBdr>
        <w:top w:val="none" w:sz="0" w:space="0" w:color="auto"/>
        <w:left w:val="none" w:sz="0" w:space="0" w:color="auto"/>
        <w:bottom w:val="none" w:sz="0" w:space="0" w:color="auto"/>
        <w:right w:val="none" w:sz="0" w:space="0" w:color="auto"/>
      </w:divBdr>
    </w:div>
    <w:div w:id="1245382824">
      <w:bodyDiv w:val="1"/>
      <w:marLeft w:val="0"/>
      <w:marRight w:val="0"/>
      <w:marTop w:val="0"/>
      <w:marBottom w:val="0"/>
      <w:divBdr>
        <w:top w:val="none" w:sz="0" w:space="0" w:color="auto"/>
        <w:left w:val="none" w:sz="0" w:space="0" w:color="auto"/>
        <w:bottom w:val="none" w:sz="0" w:space="0" w:color="auto"/>
        <w:right w:val="none" w:sz="0" w:space="0" w:color="auto"/>
      </w:divBdr>
    </w:div>
    <w:div w:id="1249315237">
      <w:bodyDiv w:val="1"/>
      <w:marLeft w:val="0"/>
      <w:marRight w:val="0"/>
      <w:marTop w:val="0"/>
      <w:marBottom w:val="0"/>
      <w:divBdr>
        <w:top w:val="none" w:sz="0" w:space="0" w:color="auto"/>
        <w:left w:val="none" w:sz="0" w:space="0" w:color="auto"/>
        <w:bottom w:val="none" w:sz="0" w:space="0" w:color="auto"/>
        <w:right w:val="none" w:sz="0" w:space="0" w:color="auto"/>
      </w:divBdr>
      <w:divsChild>
        <w:div w:id="1400513747">
          <w:marLeft w:val="0"/>
          <w:marRight w:val="0"/>
          <w:marTop w:val="0"/>
          <w:marBottom w:val="0"/>
          <w:divBdr>
            <w:top w:val="none" w:sz="0" w:space="0" w:color="auto"/>
            <w:left w:val="none" w:sz="0" w:space="0" w:color="auto"/>
            <w:bottom w:val="none" w:sz="0" w:space="0" w:color="auto"/>
            <w:right w:val="none" w:sz="0" w:space="0" w:color="auto"/>
          </w:divBdr>
          <w:divsChild>
            <w:div w:id="2083524651">
              <w:marLeft w:val="0"/>
              <w:marRight w:val="0"/>
              <w:marTop w:val="0"/>
              <w:marBottom w:val="0"/>
              <w:divBdr>
                <w:top w:val="none" w:sz="0" w:space="0" w:color="auto"/>
                <w:left w:val="none" w:sz="0" w:space="0" w:color="auto"/>
                <w:bottom w:val="none" w:sz="0" w:space="0" w:color="auto"/>
                <w:right w:val="none" w:sz="0" w:space="0" w:color="auto"/>
              </w:divBdr>
              <w:divsChild>
                <w:div w:id="91470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427461">
      <w:bodyDiv w:val="1"/>
      <w:marLeft w:val="0"/>
      <w:marRight w:val="0"/>
      <w:marTop w:val="0"/>
      <w:marBottom w:val="0"/>
      <w:divBdr>
        <w:top w:val="none" w:sz="0" w:space="0" w:color="auto"/>
        <w:left w:val="none" w:sz="0" w:space="0" w:color="auto"/>
        <w:bottom w:val="none" w:sz="0" w:space="0" w:color="auto"/>
        <w:right w:val="none" w:sz="0" w:space="0" w:color="auto"/>
      </w:divBdr>
    </w:div>
    <w:div w:id="1265117598">
      <w:bodyDiv w:val="1"/>
      <w:marLeft w:val="0"/>
      <w:marRight w:val="0"/>
      <w:marTop w:val="0"/>
      <w:marBottom w:val="0"/>
      <w:divBdr>
        <w:top w:val="none" w:sz="0" w:space="0" w:color="auto"/>
        <w:left w:val="none" w:sz="0" w:space="0" w:color="auto"/>
        <w:bottom w:val="none" w:sz="0" w:space="0" w:color="auto"/>
        <w:right w:val="none" w:sz="0" w:space="0" w:color="auto"/>
      </w:divBdr>
    </w:div>
    <w:div w:id="1317494470">
      <w:bodyDiv w:val="1"/>
      <w:marLeft w:val="0"/>
      <w:marRight w:val="0"/>
      <w:marTop w:val="0"/>
      <w:marBottom w:val="0"/>
      <w:divBdr>
        <w:top w:val="none" w:sz="0" w:space="0" w:color="auto"/>
        <w:left w:val="none" w:sz="0" w:space="0" w:color="auto"/>
        <w:bottom w:val="none" w:sz="0" w:space="0" w:color="auto"/>
        <w:right w:val="none" w:sz="0" w:space="0" w:color="auto"/>
      </w:divBdr>
    </w:div>
    <w:div w:id="1321537307">
      <w:bodyDiv w:val="1"/>
      <w:marLeft w:val="0"/>
      <w:marRight w:val="0"/>
      <w:marTop w:val="0"/>
      <w:marBottom w:val="0"/>
      <w:divBdr>
        <w:top w:val="none" w:sz="0" w:space="0" w:color="auto"/>
        <w:left w:val="none" w:sz="0" w:space="0" w:color="auto"/>
        <w:bottom w:val="none" w:sz="0" w:space="0" w:color="auto"/>
        <w:right w:val="none" w:sz="0" w:space="0" w:color="auto"/>
      </w:divBdr>
    </w:div>
    <w:div w:id="1355350567">
      <w:bodyDiv w:val="1"/>
      <w:marLeft w:val="0"/>
      <w:marRight w:val="0"/>
      <w:marTop w:val="0"/>
      <w:marBottom w:val="0"/>
      <w:divBdr>
        <w:top w:val="none" w:sz="0" w:space="0" w:color="auto"/>
        <w:left w:val="none" w:sz="0" w:space="0" w:color="auto"/>
        <w:bottom w:val="none" w:sz="0" w:space="0" w:color="auto"/>
        <w:right w:val="none" w:sz="0" w:space="0" w:color="auto"/>
      </w:divBdr>
    </w:div>
    <w:div w:id="1381630961">
      <w:bodyDiv w:val="1"/>
      <w:marLeft w:val="0"/>
      <w:marRight w:val="0"/>
      <w:marTop w:val="0"/>
      <w:marBottom w:val="0"/>
      <w:divBdr>
        <w:top w:val="none" w:sz="0" w:space="0" w:color="auto"/>
        <w:left w:val="none" w:sz="0" w:space="0" w:color="auto"/>
        <w:bottom w:val="none" w:sz="0" w:space="0" w:color="auto"/>
        <w:right w:val="none" w:sz="0" w:space="0" w:color="auto"/>
      </w:divBdr>
    </w:div>
    <w:div w:id="1390808111">
      <w:bodyDiv w:val="1"/>
      <w:marLeft w:val="0"/>
      <w:marRight w:val="0"/>
      <w:marTop w:val="0"/>
      <w:marBottom w:val="0"/>
      <w:divBdr>
        <w:top w:val="none" w:sz="0" w:space="0" w:color="auto"/>
        <w:left w:val="none" w:sz="0" w:space="0" w:color="auto"/>
        <w:bottom w:val="none" w:sz="0" w:space="0" w:color="auto"/>
        <w:right w:val="none" w:sz="0" w:space="0" w:color="auto"/>
      </w:divBdr>
    </w:div>
    <w:div w:id="1391886251">
      <w:bodyDiv w:val="1"/>
      <w:marLeft w:val="0"/>
      <w:marRight w:val="0"/>
      <w:marTop w:val="0"/>
      <w:marBottom w:val="0"/>
      <w:divBdr>
        <w:top w:val="none" w:sz="0" w:space="0" w:color="auto"/>
        <w:left w:val="none" w:sz="0" w:space="0" w:color="auto"/>
        <w:bottom w:val="none" w:sz="0" w:space="0" w:color="auto"/>
        <w:right w:val="none" w:sz="0" w:space="0" w:color="auto"/>
      </w:divBdr>
    </w:div>
    <w:div w:id="1414281259">
      <w:bodyDiv w:val="1"/>
      <w:marLeft w:val="0"/>
      <w:marRight w:val="0"/>
      <w:marTop w:val="0"/>
      <w:marBottom w:val="0"/>
      <w:divBdr>
        <w:top w:val="none" w:sz="0" w:space="0" w:color="auto"/>
        <w:left w:val="none" w:sz="0" w:space="0" w:color="auto"/>
        <w:bottom w:val="none" w:sz="0" w:space="0" w:color="auto"/>
        <w:right w:val="none" w:sz="0" w:space="0" w:color="auto"/>
      </w:divBdr>
    </w:div>
    <w:div w:id="1502962070">
      <w:bodyDiv w:val="1"/>
      <w:marLeft w:val="0"/>
      <w:marRight w:val="0"/>
      <w:marTop w:val="0"/>
      <w:marBottom w:val="0"/>
      <w:divBdr>
        <w:top w:val="none" w:sz="0" w:space="0" w:color="auto"/>
        <w:left w:val="none" w:sz="0" w:space="0" w:color="auto"/>
        <w:bottom w:val="none" w:sz="0" w:space="0" w:color="auto"/>
        <w:right w:val="none" w:sz="0" w:space="0" w:color="auto"/>
      </w:divBdr>
    </w:div>
    <w:div w:id="1531534273">
      <w:bodyDiv w:val="1"/>
      <w:marLeft w:val="0"/>
      <w:marRight w:val="0"/>
      <w:marTop w:val="0"/>
      <w:marBottom w:val="0"/>
      <w:divBdr>
        <w:top w:val="none" w:sz="0" w:space="0" w:color="auto"/>
        <w:left w:val="none" w:sz="0" w:space="0" w:color="auto"/>
        <w:bottom w:val="none" w:sz="0" w:space="0" w:color="auto"/>
        <w:right w:val="none" w:sz="0" w:space="0" w:color="auto"/>
      </w:divBdr>
    </w:div>
    <w:div w:id="1541893493">
      <w:bodyDiv w:val="1"/>
      <w:marLeft w:val="0"/>
      <w:marRight w:val="0"/>
      <w:marTop w:val="0"/>
      <w:marBottom w:val="0"/>
      <w:divBdr>
        <w:top w:val="none" w:sz="0" w:space="0" w:color="auto"/>
        <w:left w:val="none" w:sz="0" w:space="0" w:color="auto"/>
        <w:bottom w:val="none" w:sz="0" w:space="0" w:color="auto"/>
        <w:right w:val="none" w:sz="0" w:space="0" w:color="auto"/>
      </w:divBdr>
    </w:div>
    <w:div w:id="1562867083">
      <w:bodyDiv w:val="1"/>
      <w:marLeft w:val="0"/>
      <w:marRight w:val="0"/>
      <w:marTop w:val="0"/>
      <w:marBottom w:val="0"/>
      <w:divBdr>
        <w:top w:val="none" w:sz="0" w:space="0" w:color="auto"/>
        <w:left w:val="none" w:sz="0" w:space="0" w:color="auto"/>
        <w:bottom w:val="none" w:sz="0" w:space="0" w:color="auto"/>
        <w:right w:val="none" w:sz="0" w:space="0" w:color="auto"/>
      </w:divBdr>
    </w:div>
    <w:div w:id="1574463563">
      <w:bodyDiv w:val="1"/>
      <w:marLeft w:val="0"/>
      <w:marRight w:val="0"/>
      <w:marTop w:val="0"/>
      <w:marBottom w:val="0"/>
      <w:divBdr>
        <w:top w:val="none" w:sz="0" w:space="0" w:color="auto"/>
        <w:left w:val="none" w:sz="0" w:space="0" w:color="auto"/>
        <w:bottom w:val="none" w:sz="0" w:space="0" w:color="auto"/>
        <w:right w:val="none" w:sz="0" w:space="0" w:color="auto"/>
      </w:divBdr>
    </w:div>
    <w:div w:id="1579748066">
      <w:bodyDiv w:val="1"/>
      <w:marLeft w:val="0"/>
      <w:marRight w:val="0"/>
      <w:marTop w:val="0"/>
      <w:marBottom w:val="0"/>
      <w:divBdr>
        <w:top w:val="none" w:sz="0" w:space="0" w:color="auto"/>
        <w:left w:val="none" w:sz="0" w:space="0" w:color="auto"/>
        <w:bottom w:val="none" w:sz="0" w:space="0" w:color="auto"/>
        <w:right w:val="none" w:sz="0" w:space="0" w:color="auto"/>
      </w:divBdr>
    </w:div>
    <w:div w:id="1603875663">
      <w:bodyDiv w:val="1"/>
      <w:marLeft w:val="0"/>
      <w:marRight w:val="0"/>
      <w:marTop w:val="0"/>
      <w:marBottom w:val="0"/>
      <w:divBdr>
        <w:top w:val="none" w:sz="0" w:space="0" w:color="auto"/>
        <w:left w:val="none" w:sz="0" w:space="0" w:color="auto"/>
        <w:bottom w:val="none" w:sz="0" w:space="0" w:color="auto"/>
        <w:right w:val="none" w:sz="0" w:space="0" w:color="auto"/>
      </w:divBdr>
    </w:div>
    <w:div w:id="1615403253">
      <w:bodyDiv w:val="1"/>
      <w:marLeft w:val="0"/>
      <w:marRight w:val="0"/>
      <w:marTop w:val="0"/>
      <w:marBottom w:val="0"/>
      <w:divBdr>
        <w:top w:val="none" w:sz="0" w:space="0" w:color="auto"/>
        <w:left w:val="none" w:sz="0" w:space="0" w:color="auto"/>
        <w:bottom w:val="none" w:sz="0" w:space="0" w:color="auto"/>
        <w:right w:val="none" w:sz="0" w:space="0" w:color="auto"/>
      </w:divBdr>
      <w:divsChild>
        <w:div w:id="779687146">
          <w:marLeft w:val="0"/>
          <w:marRight w:val="0"/>
          <w:marTop w:val="0"/>
          <w:marBottom w:val="0"/>
          <w:divBdr>
            <w:top w:val="none" w:sz="0" w:space="0" w:color="auto"/>
            <w:left w:val="none" w:sz="0" w:space="0" w:color="auto"/>
            <w:bottom w:val="none" w:sz="0" w:space="0" w:color="auto"/>
            <w:right w:val="none" w:sz="0" w:space="0" w:color="auto"/>
          </w:divBdr>
          <w:divsChild>
            <w:div w:id="1032457551">
              <w:marLeft w:val="0"/>
              <w:marRight w:val="0"/>
              <w:marTop w:val="0"/>
              <w:marBottom w:val="0"/>
              <w:divBdr>
                <w:top w:val="none" w:sz="0" w:space="0" w:color="auto"/>
                <w:left w:val="none" w:sz="0" w:space="0" w:color="auto"/>
                <w:bottom w:val="none" w:sz="0" w:space="0" w:color="auto"/>
                <w:right w:val="none" w:sz="0" w:space="0" w:color="auto"/>
              </w:divBdr>
              <w:divsChild>
                <w:div w:id="133067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991132">
      <w:bodyDiv w:val="1"/>
      <w:marLeft w:val="0"/>
      <w:marRight w:val="0"/>
      <w:marTop w:val="0"/>
      <w:marBottom w:val="0"/>
      <w:divBdr>
        <w:top w:val="none" w:sz="0" w:space="0" w:color="auto"/>
        <w:left w:val="none" w:sz="0" w:space="0" w:color="auto"/>
        <w:bottom w:val="none" w:sz="0" w:space="0" w:color="auto"/>
        <w:right w:val="none" w:sz="0" w:space="0" w:color="auto"/>
      </w:divBdr>
    </w:div>
    <w:div w:id="1650015338">
      <w:bodyDiv w:val="1"/>
      <w:marLeft w:val="0"/>
      <w:marRight w:val="0"/>
      <w:marTop w:val="0"/>
      <w:marBottom w:val="0"/>
      <w:divBdr>
        <w:top w:val="none" w:sz="0" w:space="0" w:color="auto"/>
        <w:left w:val="none" w:sz="0" w:space="0" w:color="auto"/>
        <w:bottom w:val="none" w:sz="0" w:space="0" w:color="auto"/>
        <w:right w:val="none" w:sz="0" w:space="0" w:color="auto"/>
      </w:divBdr>
    </w:div>
    <w:div w:id="1667512144">
      <w:bodyDiv w:val="1"/>
      <w:marLeft w:val="0"/>
      <w:marRight w:val="0"/>
      <w:marTop w:val="0"/>
      <w:marBottom w:val="0"/>
      <w:divBdr>
        <w:top w:val="none" w:sz="0" w:space="0" w:color="auto"/>
        <w:left w:val="none" w:sz="0" w:space="0" w:color="auto"/>
        <w:bottom w:val="none" w:sz="0" w:space="0" w:color="auto"/>
        <w:right w:val="none" w:sz="0" w:space="0" w:color="auto"/>
      </w:divBdr>
    </w:div>
    <w:div w:id="1712684775">
      <w:bodyDiv w:val="1"/>
      <w:marLeft w:val="0"/>
      <w:marRight w:val="0"/>
      <w:marTop w:val="0"/>
      <w:marBottom w:val="0"/>
      <w:divBdr>
        <w:top w:val="none" w:sz="0" w:space="0" w:color="auto"/>
        <w:left w:val="none" w:sz="0" w:space="0" w:color="auto"/>
        <w:bottom w:val="none" w:sz="0" w:space="0" w:color="auto"/>
        <w:right w:val="none" w:sz="0" w:space="0" w:color="auto"/>
      </w:divBdr>
    </w:div>
    <w:div w:id="1735539710">
      <w:bodyDiv w:val="1"/>
      <w:marLeft w:val="0"/>
      <w:marRight w:val="0"/>
      <w:marTop w:val="0"/>
      <w:marBottom w:val="0"/>
      <w:divBdr>
        <w:top w:val="none" w:sz="0" w:space="0" w:color="auto"/>
        <w:left w:val="none" w:sz="0" w:space="0" w:color="auto"/>
        <w:bottom w:val="none" w:sz="0" w:space="0" w:color="auto"/>
        <w:right w:val="none" w:sz="0" w:space="0" w:color="auto"/>
      </w:divBdr>
    </w:div>
    <w:div w:id="1743676530">
      <w:bodyDiv w:val="1"/>
      <w:marLeft w:val="0"/>
      <w:marRight w:val="0"/>
      <w:marTop w:val="0"/>
      <w:marBottom w:val="0"/>
      <w:divBdr>
        <w:top w:val="none" w:sz="0" w:space="0" w:color="auto"/>
        <w:left w:val="none" w:sz="0" w:space="0" w:color="auto"/>
        <w:bottom w:val="none" w:sz="0" w:space="0" w:color="auto"/>
        <w:right w:val="none" w:sz="0" w:space="0" w:color="auto"/>
      </w:divBdr>
    </w:div>
    <w:div w:id="1743868733">
      <w:bodyDiv w:val="1"/>
      <w:marLeft w:val="0"/>
      <w:marRight w:val="0"/>
      <w:marTop w:val="0"/>
      <w:marBottom w:val="0"/>
      <w:divBdr>
        <w:top w:val="none" w:sz="0" w:space="0" w:color="auto"/>
        <w:left w:val="none" w:sz="0" w:space="0" w:color="auto"/>
        <w:bottom w:val="none" w:sz="0" w:space="0" w:color="auto"/>
        <w:right w:val="none" w:sz="0" w:space="0" w:color="auto"/>
      </w:divBdr>
    </w:div>
    <w:div w:id="1759709094">
      <w:bodyDiv w:val="1"/>
      <w:marLeft w:val="0"/>
      <w:marRight w:val="0"/>
      <w:marTop w:val="0"/>
      <w:marBottom w:val="0"/>
      <w:divBdr>
        <w:top w:val="none" w:sz="0" w:space="0" w:color="auto"/>
        <w:left w:val="none" w:sz="0" w:space="0" w:color="auto"/>
        <w:bottom w:val="none" w:sz="0" w:space="0" w:color="auto"/>
        <w:right w:val="none" w:sz="0" w:space="0" w:color="auto"/>
      </w:divBdr>
    </w:div>
    <w:div w:id="1811315392">
      <w:bodyDiv w:val="1"/>
      <w:marLeft w:val="0"/>
      <w:marRight w:val="0"/>
      <w:marTop w:val="0"/>
      <w:marBottom w:val="0"/>
      <w:divBdr>
        <w:top w:val="none" w:sz="0" w:space="0" w:color="auto"/>
        <w:left w:val="none" w:sz="0" w:space="0" w:color="auto"/>
        <w:bottom w:val="none" w:sz="0" w:space="0" w:color="auto"/>
        <w:right w:val="none" w:sz="0" w:space="0" w:color="auto"/>
      </w:divBdr>
    </w:div>
    <w:div w:id="1811901774">
      <w:bodyDiv w:val="1"/>
      <w:marLeft w:val="0"/>
      <w:marRight w:val="0"/>
      <w:marTop w:val="0"/>
      <w:marBottom w:val="0"/>
      <w:divBdr>
        <w:top w:val="none" w:sz="0" w:space="0" w:color="auto"/>
        <w:left w:val="none" w:sz="0" w:space="0" w:color="auto"/>
        <w:bottom w:val="none" w:sz="0" w:space="0" w:color="auto"/>
        <w:right w:val="none" w:sz="0" w:space="0" w:color="auto"/>
      </w:divBdr>
    </w:div>
    <w:div w:id="1813017781">
      <w:bodyDiv w:val="1"/>
      <w:marLeft w:val="0"/>
      <w:marRight w:val="0"/>
      <w:marTop w:val="0"/>
      <w:marBottom w:val="0"/>
      <w:divBdr>
        <w:top w:val="none" w:sz="0" w:space="0" w:color="auto"/>
        <w:left w:val="none" w:sz="0" w:space="0" w:color="auto"/>
        <w:bottom w:val="none" w:sz="0" w:space="0" w:color="auto"/>
        <w:right w:val="none" w:sz="0" w:space="0" w:color="auto"/>
      </w:divBdr>
    </w:div>
    <w:div w:id="1815757327">
      <w:bodyDiv w:val="1"/>
      <w:marLeft w:val="0"/>
      <w:marRight w:val="0"/>
      <w:marTop w:val="0"/>
      <w:marBottom w:val="0"/>
      <w:divBdr>
        <w:top w:val="none" w:sz="0" w:space="0" w:color="auto"/>
        <w:left w:val="none" w:sz="0" w:space="0" w:color="auto"/>
        <w:bottom w:val="none" w:sz="0" w:space="0" w:color="auto"/>
        <w:right w:val="none" w:sz="0" w:space="0" w:color="auto"/>
      </w:divBdr>
    </w:div>
    <w:div w:id="1819951189">
      <w:bodyDiv w:val="1"/>
      <w:marLeft w:val="0"/>
      <w:marRight w:val="0"/>
      <w:marTop w:val="0"/>
      <w:marBottom w:val="0"/>
      <w:divBdr>
        <w:top w:val="none" w:sz="0" w:space="0" w:color="auto"/>
        <w:left w:val="none" w:sz="0" w:space="0" w:color="auto"/>
        <w:bottom w:val="none" w:sz="0" w:space="0" w:color="auto"/>
        <w:right w:val="none" w:sz="0" w:space="0" w:color="auto"/>
      </w:divBdr>
    </w:div>
    <w:div w:id="1830368535">
      <w:bodyDiv w:val="1"/>
      <w:marLeft w:val="0"/>
      <w:marRight w:val="0"/>
      <w:marTop w:val="0"/>
      <w:marBottom w:val="0"/>
      <w:divBdr>
        <w:top w:val="none" w:sz="0" w:space="0" w:color="auto"/>
        <w:left w:val="none" w:sz="0" w:space="0" w:color="auto"/>
        <w:bottom w:val="none" w:sz="0" w:space="0" w:color="auto"/>
        <w:right w:val="none" w:sz="0" w:space="0" w:color="auto"/>
      </w:divBdr>
    </w:div>
    <w:div w:id="1851530661">
      <w:bodyDiv w:val="1"/>
      <w:marLeft w:val="0"/>
      <w:marRight w:val="0"/>
      <w:marTop w:val="0"/>
      <w:marBottom w:val="0"/>
      <w:divBdr>
        <w:top w:val="none" w:sz="0" w:space="0" w:color="auto"/>
        <w:left w:val="none" w:sz="0" w:space="0" w:color="auto"/>
        <w:bottom w:val="none" w:sz="0" w:space="0" w:color="auto"/>
        <w:right w:val="none" w:sz="0" w:space="0" w:color="auto"/>
      </w:divBdr>
    </w:div>
    <w:div w:id="1860117947">
      <w:bodyDiv w:val="1"/>
      <w:marLeft w:val="0"/>
      <w:marRight w:val="0"/>
      <w:marTop w:val="0"/>
      <w:marBottom w:val="0"/>
      <w:divBdr>
        <w:top w:val="none" w:sz="0" w:space="0" w:color="auto"/>
        <w:left w:val="none" w:sz="0" w:space="0" w:color="auto"/>
        <w:bottom w:val="none" w:sz="0" w:space="0" w:color="auto"/>
        <w:right w:val="none" w:sz="0" w:space="0" w:color="auto"/>
      </w:divBdr>
    </w:div>
    <w:div w:id="1931503435">
      <w:bodyDiv w:val="1"/>
      <w:marLeft w:val="0"/>
      <w:marRight w:val="0"/>
      <w:marTop w:val="0"/>
      <w:marBottom w:val="0"/>
      <w:divBdr>
        <w:top w:val="none" w:sz="0" w:space="0" w:color="auto"/>
        <w:left w:val="none" w:sz="0" w:space="0" w:color="auto"/>
        <w:bottom w:val="none" w:sz="0" w:space="0" w:color="auto"/>
        <w:right w:val="none" w:sz="0" w:space="0" w:color="auto"/>
      </w:divBdr>
    </w:div>
    <w:div w:id="1966303904">
      <w:bodyDiv w:val="1"/>
      <w:marLeft w:val="0"/>
      <w:marRight w:val="0"/>
      <w:marTop w:val="0"/>
      <w:marBottom w:val="0"/>
      <w:divBdr>
        <w:top w:val="none" w:sz="0" w:space="0" w:color="auto"/>
        <w:left w:val="none" w:sz="0" w:space="0" w:color="auto"/>
        <w:bottom w:val="none" w:sz="0" w:space="0" w:color="auto"/>
        <w:right w:val="none" w:sz="0" w:space="0" w:color="auto"/>
      </w:divBdr>
      <w:divsChild>
        <w:div w:id="1434205288">
          <w:marLeft w:val="0"/>
          <w:marRight w:val="0"/>
          <w:marTop w:val="0"/>
          <w:marBottom w:val="0"/>
          <w:divBdr>
            <w:top w:val="none" w:sz="0" w:space="0" w:color="auto"/>
            <w:left w:val="none" w:sz="0" w:space="0" w:color="auto"/>
            <w:bottom w:val="none" w:sz="0" w:space="0" w:color="auto"/>
            <w:right w:val="none" w:sz="0" w:space="0" w:color="auto"/>
          </w:divBdr>
          <w:divsChild>
            <w:div w:id="204754555">
              <w:marLeft w:val="0"/>
              <w:marRight w:val="0"/>
              <w:marTop w:val="0"/>
              <w:marBottom w:val="0"/>
              <w:divBdr>
                <w:top w:val="none" w:sz="0" w:space="0" w:color="auto"/>
                <w:left w:val="none" w:sz="0" w:space="0" w:color="auto"/>
                <w:bottom w:val="none" w:sz="0" w:space="0" w:color="auto"/>
                <w:right w:val="none" w:sz="0" w:space="0" w:color="auto"/>
              </w:divBdr>
              <w:divsChild>
                <w:div w:id="71912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93515">
      <w:bodyDiv w:val="1"/>
      <w:marLeft w:val="0"/>
      <w:marRight w:val="0"/>
      <w:marTop w:val="0"/>
      <w:marBottom w:val="0"/>
      <w:divBdr>
        <w:top w:val="none" w:sz="0" w:space="0" w:color="auto"/>
        <w:left w:val="none" w:sz="0" w:space="0" w:color="auto"/>
        <w:bottom w:val="none" w:sz="0" w:space="0" w:color="auto"/>
        <w:right w:val="none" w:sz="0" w:space="0" w:color="auto"/>
      </w:divBdr>
    </w:div>
    <w:div w:id="2011518231">
      <w:bodyDiv w:val="1"/>
      <w:marLeft w:val="0"/>
      <w:marRight w:val="0"/>
      <w:marTop w:val="0"/>
      <w:marBottom w:val="0"/>
      <w:divBdr>
        <w:top w:val="none" w:sz="0" w:space="0" w:color="auto"/>
        <w:left w:val="none" w:sz="0" w:space="0" w:color="auto"/>
        <w:bottom w:val="none" w:sz="0" w:space="0" w:color="auto"/>
        <w:right w:val="none" w:sz="0" w:space="0" w:color="auto"/>
      </w:divBdr>
    </w:div>
    <w:div w:id="2021345362">
      <w:bodyDiv w:val="1"/>
      <w:marLeft w:val="0"/>
      <w:marRight w:val="0"/>
      <w:marTop w:val="0"/>
      <w:marBottom w:val="0"/>
      <w:divBdr>
        <w:top w:val="none" w:sz="0" w:space="0" w:color="auto"/>
        <w:left w:val="none" w:sz="0" w:space="0" w:color="auto"/>
        <w:bottom w:val="none" w:sz="0" w:space="0" w:color="auto"/>
        <w:right w:val="none" w:sz="0" w:space="0" w:color="auto"/>
      </w:divBdr>
    </w:div>
    <w:div w:id="2023244994">
      <w:bodyDiv w:val="1"/>
      <w:marLeft w:val="0"/>
      <w:marRight w:val="0"/>
      <w:marTop w:val="0"/>
      <w:marBottom w:val="0"/>
      <w:divBdr>
        <w:top w:val="none" w:sz="0" w:space="0" w:color="auto"/>
        <w:left w:val="none" w:sz="0" w:space="0" w:color="auto"/>
        <w:bottom w:val="none" w:sz="0" w:space="0" w:color="auto"/>
        <w:right w:val="none" w:sz="0" w:space="0" w:color="auto"/>
      </w:divBdr>
      <w:divsChild>
        <w:div w:id="2048992028">
          <w:marLeft w:val="0"/>
          <w:marRight w:val="0"/>
          <w:marTop w:val="0"/>
          <w:marBottom w:val="0"/>
          <w:divBdr>
            <w:top w:val="none" w:sz="0" w:space="0" w:color="auto"/>
            <w:left w:val="none" w:sz="0" w:space="0" w:color="auto"/>
            <w:bottom w:val="none" w:sz="0" w:space="0" w:color="auto"/>
            <w:right w:val="none" w:sz="0" w:space="0" w:color="auto"/>
          </w:divBdr>
          <w:divsChild>
            <w:div w:id="1294170474">
              <w:marLeft w:val="0"/>
              <w:marRight w:val="0"/>
              <w:marTop w:val="0"/>
              <w:marBottom w:val="0"/>
              <w:divBdr>
                <w:top w:val="none" w:sz="0" w:space="0" w:color="auto"/>
                <w:left w:val="none" w:sz="0" w:space="0" w:color="auto"/>
                <w:bottom w:val="none" w:sz="0" w:space="0" w:color="auto"/>
                <w:right w:val="none" w:sz="0" w:space="0" w:color="auto"/>
              </w:divBdr>
              <w:divsChild>
                <w:div w:id="1384480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949452">
      <w:bodyDiv w:val="1"/>
      <w:marLeft w:val="0"/>
      <w:marRight w:val="0"/>
      <w:marTop w:val="0"/>
      <w:marBottom w:val="0"/>
      <w:divBdr>
        <w:top w:val="none" w:sz="0" w:space="0" w:color="auto"/>
        <w:left w:val="none" w:sz="0" w:space="0" w:color="auto"/>
        <w:bottom w:val="none" w:sz="0" w:space="0" w:color="auto"/>
        <w:right w:val="none" w:sz="0" w:space="0" w:color="auto"/>
      </w:divBdr>
    </w:div>
    <w:div w:id="2038844253">
      <w:bodyDiv w:val="1"/>
      <w:marLeft w:val="0"/>
      <w:marRight w:val="0"/>
      <w:marTop w:val="0"/>
      <w:marBottom w:val="0"/>
      <w:divBdr>
        <w:top w:val="none" w:sz="0" w:space="0" w:color="auto"/>
        <w:left w:val="none" w:sz="0" w:space="0" w:color="auto"/>
        <w:bottom w:val="none" w:sz="0" w:space="0" w:color="auto"/>
        <w:right w:val="none" w:sz="0" w:space="0" w:color="auto"/>
      </w:divBdr>
    </w:div>
    <w:div w:id="2092506975">
      <w:bodyDiv w:val="1"/>
      <w:marLeft w:val="0"/>
      <w:marRight w:val="0"/>
      <w:marTop w:val="0"/>
      <w:marBottom w:val="0"/>
      <w:divBdr>
        <w:top w:val="none" w:sz="0" w:space="0" w:color="auto"/>
        <w:left w:val="none" w:sz="0" w:space="0" w:color="auto"/>
        <w:bottom w:val="none" w:sz="0" w:space="0" w:color="auto"/>
        <w:right w:val="none" w:sz="0" w:space="0" w:color="auto"/>
      </w:divBdr>
    </w:div>
    <w:div w:id="2098746467">
      <w:bodyDiv w:val="1"/>
      <w:marLeft w:val="0"/>
      <w:marRight w:val="0"/>
      <w:marTop w:val="0"/>
      <w:marBottom w:val="0"/>
      <w:divBdr>
        <w:top w:val="none" w:sz="0" w:space="0" w:color="auto"/>
        <w:left w:val="none" w:sz="0" w:space="0" w:color="auto"/>
        <w:bottom w:val="none" w:sz="0" w:space="0" w:color="auto"/>
        <w:right w:val="none" w:sz="0" w:space="0" w:color="auto"/>
      </w:divBdr>
    </w:div>
    <w:div w:id="213648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ABA5CD80398148976CBE85CCD698A3" ma:contentTypeVersion="5" ma:contentTypeDescription="Een nieuw document maken." ma:contentTypeScope="" ma:versionID="199e4c424f399cde85ece6953eb773c0">
  <xsd:schema xmlns:xsd="http://www.w3.org/2001/XMLSchema" xmlns:xs="http://www.w3.org/2001/XMLSchema" xmlns:p="http://schemas.microsoft.com/office/2006/metadata/properties" xmlns:ns3="69a52392-f434-443d-9711-705d8f71a21b" targetNamespace="http://schemas.microsoft.com/office/2006/metadata/properties" ma:root="true" ma:fieldsID="5ca1f4e69a6b8d833a404465dcdc7ef4" ns3:_="">
    <xsd:import namespace="69a52392-f434-443d-9711-705d8f71a2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52392-f434-443d-9711-705d8f71a2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69a52392-f434-443d-9711-705d8f71a21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Bos19</b:Tag>
    <b:SourceType>JournalArticle</b:SourceType>
    <b:Guid>{20CEAB99-6350-44D1-BDAD-D8CA37AF4103}</b:Guid>
    <b:Title>The Expansion of Frontex</b:Title>
    <b:Year>2019</b:Year>
    <b:Pages>1-8</b:Pages>
    <b:Author>
      <b:Author>
        <b:NameList>
          <b:Person>
            <b:Last>Bossong</b:Last>
            <b:First>R.</b:First>
          </b:Person>
        </b:NameList>
      </b:Author>
    </b:Author>
    <b:JournalName>Stiftung Wissenschaft und Politik</b:JournalName>
    <b:RefOrder>1</b:RefOrder>
  </b:Source>
  <b:Source>
    <b:Tag>Fjø22</b:Tag>
    <b:SourceType>JournalArticle</b:SourceType>
    <b:Guid>{ED8F699E-1886-42B8-B7E9-B9ACA85CF53C}</b:Guid>
    <b:Author>
      <b:Author>
        <b:NameList>
          <b:Person>
            <b:Last>Fjørtoft</b:Last>
            <b:First>Trym</b:First>
            <b:Middle>N.</b:Middle>
          </b:Person>
        </b:NameList>
      </b:Author>
    </b:Author>
    <b:Title>More power, more control: The legitimzing role of expertise in Frontex after the refugee crisis</b:Title>
    <b:JournalName>Regulation &amp; Governance 16</b:JournalName>
    <b:Year>2022</b:Year>
    <b:Pages>557-571</b:Pages>
    <b:RefOrder>2</b:RefOrder>
  </b:Source>
  <b:Source>
    <b:Tag>Jor20</b:Tag>
    <b:SourceType>JournalArticle</b:SourceType>
    <b:Guid>{BD47CB1E-E164-4AD8-8DB8-7B2F6FCDBB3A}</b:Guid>
    <b:Title>Frontex: A Literature Review</b:Title>
    <b:Year>2020</b:Year>
    <b:Author>
      <b:Author>
        <b:NameList>
          <b:Person>
            <b:Last>Kalkman</b:Last>
            <b:First>Jori</b:First>
            <b:Middle>Pascal</b:Middle>
          </b:Person>
        </b:NameList>
      </b:Author>
    </b:Author>
    <b:JournalName>International Migration, 59(1)</b:JournalName>
    <b:Pages>165-181</b:Pages>
    <b:RefOrder>3</b:RefOrder>
  </b:Source>
  <b:Source>
    <b:Tag>Leo09</b:Tag>
    <b:SourceType>JournalArticle</b:SourceType>
    <b:Guid>{230458A9-A024-4CB0-908A-7234CE404133}</b:Guid>
    <b:Title>The Creation of FRONTEX and the Politics of Institutionalisation in the EU External Borders Policy</b:Title>
    <b:Year>2009</b:Year>
    <b:Author>
      <b:Author>
        <b:NameList>
          <b:Person>
            <b:Last>Leonard</b:Last>
            <b:First>S.</b:First>
          </b:Person>
        </b:NameList>
      </b:Author>
    </b:Author>
    <b:JournalName>Journal of Contemporary European Research, 5(3)</b:JournalName>
    <b:Pages>371-388</b:Pages>
    <b:RefOrder>4</b:RefOrder>
  </b:Source>
  <b:Source>
    <b:Tag>Mei19</b:Tag>
    <b:SourceType>JournalArticle</b:SourceType>
    <b:Guid>{D6A69626-E9AF-4756-9C1E-175A64DE7861}</b:Guid>
    <b:Title>Dimensions of input responsiveness in the EU: actors, publics, venues</b:Title>
    <b:JournalName>Journal of European Public Policy, 26(11)</b:JournalName>
    <b:Year>2019</b:Year>
    <b:Pages>1724-1736</b:Pages>
    <b:Author>
      <b:Author>
        <b:NameList>
          <b:Person>
            <b:Last>Meijers</b:Last>
            <b:Middle>J.</b:Middle>
            <b:First>M.</b:First>
          </b:Person>
          <b:Person>
            <b:Last>Schneider</b:Last>
            <b:Middle>J.</b:Middle>
            <b:First>C.</b:First>
          </b:Person>
          <b:Person>
            <b:Last>Zhelyazkova</b:Last>
            <b:First>A.</b:First>
          </b:Person>
        </b:NameList>
      </b:Author>
    </b:Author>
    <b:RefOrder>5</b:RefOrder>
  </b:Source>
  <b:Source>
    <b:Tag>Mei17</b:Tag>
    <b:SourceType>Book</b:SourceType>
    <b:Guid>{B63771FE-F556-4423-956D-7F1E42B32BE1}</b:Guid>
    <b:Title>European Union Migration Agencies at the Crossroads: Significant Empowerment after the Schengen Crisis?</b:Title>
    <b:Year>2017</b:Year>
    <b:Author>
      <b:Author>
        <b:NameList>
          <b:Person>
            <b:Last>Meissner</b:Last>
            <b:First>V.</b:First>
          </b:Person>
        </b:NameList>
      </b:Author>
    </b:Author>
    <b:City>München</b:City>
    <b:Publisher>TUM School of Governance der Technischen Universität München</b:Publisher>
    <b:RefOrder>6</b:RefOrder>
  </b:Source>
  <b:Source>
    <b:Tag>Nat16</b:Tag>
    <b:SourceType>JournalArticle</b:SourceType>
    <b:Guid>{8997CD19-D717-49FE-869D-2AA44A6A5321}</b:Guid>
    <b:Title>Taking the bull by the horns: Differentiation within the EU to save it.</b:Title>
    <b:JournalName>Social policy in the European Union: State of play</b:JournalName>
    <b:Year>2016</b:Year>
    <b:Pages>189-210</b:Pages>
    <b:Author>
      <b:Author>
        <b:NameList>
          <b:Person>
            <b:Last>Natali</b:Last>
            <b:First>D.</b:First>
          </b:Person>
        </b:NameList>
      </b:Author>
    </b:Author>
    <b:RefOrder>7</b:RefOrder>
  </b:Source>
  <b:Source>
    <b:Tag>Nug17</b:Tag>
    <b:SourceType>Book</b:SourceType>
    <b:Guid>{56115DEE-BB2F-4997-AF68-3C1FC729E5F6}</b:Guid>
    <b:Author>
      <b:Author>
        <b:NameList>
          <b:Person>
            <b:Last>Nugent</b:Last>
            <b:First>N.</b:First>
          </b:Person>
        </b:NameList>
      </b:Author>
    </b:Author>
    <b:Title>The government and politics of the European Union </b:Title>
    <b:Year>2017</b:Year>
    <b:City>London</b:City>
    <b:Publisher>Palgrave Macmillan </b:Publisher>
    <b:RefOrder>8</b:RefOrder>
  </b:Source>
  <b:Source>
    <b:Tag>Per19</b:Tag>
    <b:SourceType>JournalArticle</b:SourceType>
    <b:Guid>{028D0F90-49D1-4742-8BE1-16C969C3BF78}</b:Guid>
    <b:Author>
      <b:Author>
        <b:NameList>
          <b:Person>
            <b:Last>Perkowski</b:Last>
            <b:First>Nina</b:First>
          </b:Person>
        </b:NameList>
      </b:Author>
    </b:Author>
    <b:Title>'There are voices in every direction': Organizational decoupling in Frontex</b:Title>
    <b:JournalName>Journal of Common Market Studies 57(5)</b:JournalName>
    <b:Year>2019</b:Year>
    <b:Pages>1182-1199</b:Pages>
    <b:RefOrder>9</b:RefOrder>
  </b:Source>
  <b:Source>
    <b:Tag>Rim19</b:Tag>
    <b:SourceType>JournalArticle</b:SourceType>
    <b:Guid>{4887D8E7-928B-4CF6-B552-BE04AA98FE83}</b:Guid>
    <b:Author>
      <b:Author>
        <b:NameList>
          <b:Person>
            <b:Last>Rimkutė</b:Last>
            <b:First>D.</b:First>
          </b:Person>
        </b:NameList>
      </b:Author>
    </b:Author>
    <b:Title>Building organisational reputation in the European regulatory state: An analysis of EU agencies' communications</b:Title>
    <b:JournalName>Governance, 33</b:JournalName>
    <b:Year>2019</b:Year>
    <b:Pages>385-406</b:Pages>
    <b:RefOrder>10</b:RefOrder>
  </b:Source>
  <b:Source>
    <b:Tag>Rim20</b:Tag>
    <b:SourceType>JournalArticle</b:SourceType>
    <b:Guid>{4906DD0C-4E44-42EB-A09A-D68EB34DE060}</b:Guid>
    <b:Author>
      <b:Author>
        <b:NameList>
          <b:Person>
            <b:Last>Rimkutė</b:Last>
            <b:First>D.</b:First>
          </b:Person>
        </b:NameList>
      </b:Author>
    </b:Author>
    <b:Title>Strategic silence or regulatory talk? Regulatory agency responses to public allegations amidst the glyphosate controversy</b:Title>
    <b:JournalName>Journal of European Public Policy, 27(11)</b:JournalName>
    <b:Year>2020</b:Year>
    <b:Pages>1636-1656</b:Pages>
    <b:RefOrder>11</b:RefOrder>
  </b:Source>
  <b:Source>
    <b:Tag>Rim18</b:Tag>
    <b:SourceType>JournalArticle</b:SourceType>
    <b:Guid>{6C1690CB-5064-4927-8B8A-A082D545C15C}</b:Guid>
    <b:Author>
      <b:Author>
        <b:NameList>
          <b:Person>
            <b:Last>Rimkutė</b:Last>
            <b:First>D.</b:First>
          </b:Person>
        </b:NameList>
      </b:Author>
    </b:Author>
    <b:Title>Organisational reputation and risk regulation: The effect of reputational threats on agency scientific outputs</b:Title>
    <b:JournalName>Public Administrations, 96</b:JournalName>
    <b:Year>2018</b:Year>
    <b:Pages>70-83</b:Pages>
    <b:RefOrder>12</b:RefOrder>
  </b:Source>
  <b:Source>
    <b:Tag>Sch17</b:Tag>
    <b:SourceType>JournalArticle</b:SourceType>
    <b:Guid>{F8E552BD-B453-463F-9DE7-80360381CBD9}</b:Guid>
    <b:Author>
      <b:Author>
        <b:NameList>
          <b:Person>
            <b:Last>Scholten</b:Last>
            <b:First>M.</b:First>
          </b:Person>
        </b:NameList>
      </b:Author>
    </b:Author>
    <b:Title>Mind the trend! Enforcement of EU law has been moving to 'Brussels'</b:Title>
    <b:JournalName>Journal of European Public Policy, 24(9)</b:JournalName>
    <b:Year>2017</b:Year>
    <b:Pages>1348-1366</b:Pages>
    <b:RefOrder>13</b:RefOrder>
  </b:Source>
  <b:Source>
    <b:Tag>Sch14</b:Tag>
    <b:SourceType>JournalArticle</b:SourceType>
    <b:Guid>{6725F5E1-833B-4F8B-8036-6ECF09262277}</b:Guid>
    <b:Author>
      <b:Author>
        <b:NameList>
          <b:Person>
            <b:Last>Scholten</b:Last>
            <b:First>M.</b:First>
          </b:Person>
          <b:Person>
            <b:Last>van Rijsbergen</b:Last>
            <b:First>M</b:First>
          </b:Person>
        </b:NameList>
      </b:Author>
    </b:Author>
    <b:Title>The Limits of Agencification in the European Union</b:Title>
    <b:JournalName>German Law Journal, 15(7)</b:JournalName>
    <b:Year>2014</b:Year>
    <b:Pages>1223-1255</b:Pages>
    <b:RefOrder>14</b:RefOrder>
  </b:Source>
  <b:Source>
    <b:Tag>Slo18</b:Tag>
    <b:SourceType>JournalArticle</b:SourceType>
    <b:Guid>{A3EC9AC6-EA53-44F9-943E-38D45AF5B8D3}</b:Guid>
    <b:Author>
      <b:Author>
        <b:NameList>
          <b:Person>
            <b:Last>Slominski</b:Last>
            <b:First>P.</b:First>
          </b:Person>
          <b:Person>
            <b:Last>Trauner</b:Last>
            <b:First>F.</b:First>
          </b:Person>
        </b:NameList>
      </b:Author>
    </b:Author>
    <b:Title>How do Member States Return Unwanted Migrants? The Strategic (non-)use of 'Europe' during the Migration Crisis</b:Title>
    <b:JournalName>Journal of Common Market Studies, 56(1)</b:JournalName>
    <b:Year>2018</b:Year>
    <b:Pages>101-118</b:Pages>
    <b:RefOrder>15</b:RefOrder>
  </b:Source>
  <b:Source>
    <b:Tag>Zhe19</b:Tag>
    <b:SourceType>JournalArticle</b:SourceType>
    <b:Guid>{C5E92801-B8F6-4168-82AA-FB0CDBEB02FE}</b:Guid>
    <b:Title>Understanding responsiveness in European Union politics: introducing the debate</b:Title>
    <b:JournalName>Journal of European Public Policy, 26(11)</b:JournalName>
    <b:Year>2019</b:Year>
    <b:Pages>1715-1723</b:Pages>
    <b:Author>
      <b:Author>
        <b:NameList>
          <b:Person>
            <b:Last>Zhelyazkova</b:Last>
            <b:First>Asya</b:First>
          </b:Person>
          <b:Person>
            <b:Last>Bølstad</b:Last>
            <b:First>Jørgen</b:First>
          </b:Person>
          <b:Person>
            <b:Last>Meijers</b:Last>
            <b:Middle>J.</b:Middle>
            <b:First>Maurits</b:First>
          </b:Person>
        </b:NameList>
      </b:Author>
    </b:Author>
    <b:RefOrder>16</b:RefOrder>
  </b:Source>
  <b:Source>
    <b:Tag>Nie18</b:Tag>
    <b:SourceType>JournalArticle</b:SourceType>
    <b:Guid>{202C0A78-076E-4E0F-9574-C9B703EFAE77}</b:Guid>
    <b:Title>EU Refugee policies and politics in times of crisis: theoretical and empirical perspectives</b:Title>
    <b:Year>2018</b:Year>
    <b:JournalName>Journal of Common Market Studies 56(1)</b:JournalName>
    <b:Pages>3-22</b:Pages>
    <b:Author>
      <b:Author>
        <b:NameList>
          <b:Person>
            <b:Last>Niemann</b:Last>
            <b:First>Arne</b:First>
          </b:Person>
          <b:Person>
            <b:Last>Zaun</b:Last>
            <b:First>Natascha</b:First>
          </b:Person>
        </b:NameList>
      </b:Author>
    </b:Author>
    <b:RefOrder>17</b:RefOrder>
  </b:Source>
  <b:Source>
    <b:Tag>van18</b:Tag>
    <b:SourceType>JournalArticle</b:SourceType>
    <b:Guid>{A20D7DF5-7484-4F66-9648-EAD986B824FE}</b:Guid>
    <b:Title>Bread and butter or bread and circuses? Politicisation and the European Commission in the European Semester</b:Title>
    <b:JournalName>European Union Politics, 19 (3)</b:JournalName>
    <b:Year>2018</b:Year>
    <b:Pages>524-545</b:Pages>
    <b:Author>
      <b:Author>
        <b:NameList>
          <b:Person>
            <b:Last>van der Veer</b:Last>
            <b:Middle>A</b:Middle>
            <b:First>Reinout</b:First>
          </b:Person>
          <b:Person>
            <b:Last>Haverland</b:Last>
            <b:First>Markus</b:First>
          </b:Person>
        </b:NameList>
      </b:Author>
    </b:Author>
    <b:RefOrder>18</b:RefOrder>
  </b:Source>
  <b:Source>
    <b:Tag>van20</b:Tag>
    <b:SourceType>BookSection</b:SourceType>
    <b:Guid>{980D3E4C-A3E1-480E-B1DC-E6BB5A3164FA}</b:Guid>
    <b:Title>Walking the tightrope: Politicisation and the European Commission's enforcement of the SGP</b:Title>
    <b:Year>2020</b:Year>
    <b:Pages>107-130</b:Pages>
    <b:Author>
      <b:Author>
        <b:NameList>
          <b:Person>
            <b:Last>van der Veer</b:Last>
            <b:First>R.</b:First>
          </b:Person>
        </b:NameList>
      </b:Author>
      <b:BookAuthor>
        <b:NameList>
          <b:Person>
            <b:Last>van der Veer</b:Last>
            <b:First>R.</b:First>
          </b:Person>
        </b:NameList>
      </b:BookAuthor>
    </b:Author>
    <b:BookTitle>Enforcing the Unenforceable: Politicisation and the European Commission in the economic governance of the European Union</b:BookTitle>
    <b:City>Rotterdam</b:City>
    <b:Publisher>Erasmus University Rotterdam</b:Publisher>
    <b:RefOrder>19</b:RefOrder>
  </b:Source>
  <b:Source>
    <b:Tag>Sch15</b:Tag>
    <b:SourceType>JournalArticle</b:SourceType>
    <b:Guid>{AD630BAB-15F8-4F92-AE08-647B8E62EF15}</b:Guid>
    <b:Title>The European Union as a system of differentiated integration: interdependence, politicization and differentiation</b:Title>
    <b:JournalName>Journal of European Public Policy, 22(6)</b:JournalName>
    <b:Year>2015</b:Year>
    <b:Pages>764-782</b:Pages>
    <b:Author>
      <b:Author>
        <b:NameList>
          <b:Person>
            <b:Last>Schimmelfennig</b:Last>
            <b:First>Frank</b:First>
          </b:Person>
          <b:Person>
            <b:Last>Leuffen</b:Last>
            <b:First>Dirk</b:First>
          </b:Person>
          <b:Person>
            <b:Last>Rittberger</b:Last>
            <b:First>Berthold</b:First>
          </b:Person>
        </b:NameList>
      </b:Author>
    </b:Author>
    <b:RefOrder>20</b:RefOrder>
  </b:Source>
  <b:Source>
    <b:Tag>Gen15</b:Tag>
    <b:SourceType>ConferenceProceedings</b:SourceType>
    <b:Guid>{8A7B4532-CDE6-4F50-AC59-313830844341}</b:Guid>
    <b:Title>Research Agenda: The European integration of core state powers</b:Title>
    <b:Year>2015</b:Year>
    <b:Author>
      <b:Author>
        <b:NameList>
          <b:Person>
            <b:Last>Genschel</b:Last>
            <b:First>Philipp</b:First>
          </b:Person>
          <b:Person>
            <b:Last>Jachtenfuchs</b:Last>
            <b:First>Markus</b:First>
          </b:Person>
        </b:NameList>
      </b:Author>
    </b:Author>
    <b:RefOrder>21</b:RefOrder>
  </b:Source>
  <b:Source>
    <b:Tag>Fre21</b:Tag>
    <b:SourceType>JournalArticle</b:SourceType>
    <b:Guid>{F604B0D0-9DF8-4F5B-A26D-171372E3C045}</b:Guid>
    <b:Title>A member state like any other? Germany and the European integration of core state powers</b:Title>
    <b:Pages>117-135</b:Pages>
    <b:Year>2021</b:Year>
    <b:Author>
      <b:Author>
        <b:NameList>
          <b:Person>
            <b:Last>Freudlsperger</b:Last>
            <b:First>Christian</b:First>
          </b:Person>
          <b:Person>
            <b:Last>Jachtenfuchs</b:Last>
            <b:First>Markus</b:First>
          </b:Person>
        </b:NameList>
      </b:Author>
    </b:Author>
    <b:JournalName>Journal of European Integration, 43(2)</b:JournalName>
    <b:RefOrder>22</b:RefOrder>
  </b:Source>
  <b:Source>
    <b:Tag>Gen16</b:Tag>
    <b:SourceType>JournalArticle</b:SourceType>
    <b:Guid>{D88C66FA-EB8C-4018-BEB5-0419024D9857}</b:Guid>
    <b:Title>More integration, less federation: the European integration of core state powers</b:Title>
    <b:JournalName>Journal of European Public Policy, 23(1)</b:JournalName>
    <b:Year>2016</b:Year>
    <b:Pages>42-59</b:Pages>
    <b:Author>
      <b:Author>
        <b:NameList>
          <b:Person>
            <b:Last>Genschel</b:Last>
            <b:First>Philipp</b:First>
          </b:Person>
          <b:Person>
            <b:Last>Jachtenfuchs</b:Last>
            <b:First>Markus</b:First>
          </b:Person>
        </b:NameList>
      </b:Author>
    </b:Author>
    <b:RefOrder>23</b:RefOrder>
  </b:Source>
  <b:Source>
    <b:Tag>Gen181</b:Tag>
    <b:SourceType>JournalArticle</b:SourceType>
    <b:Guid>{57AA3C76-93C0-4939-8309-DA256955261E}</b:Guid>
    <b:Title>From Market Integration to Core State Powers: The Eurozone Crisis, the Redugee Crisis and Integration Theory</b:Title>
    <b:JournalName>Journal of Common Market Studies, 56(1)</b:JournalName>
    <b:Year>2018</b:Year>
    <b:Pages>178-196</b:Pages>
    <b:Author>
      <b:Author>
        <b:NameList>
          <b:Person>
            <b:Last>Genschel</b:Last>
            <b:First>Philipp</b:First>
          </b:Person>
          <b:Person>
            <b:Last>Jachtenfuchs</b:Last>
            <b:First>Markus</b:First>
          </b:Person>
        </b:NameList>
      </b:Author>
    </b:Author>
    <b:RefOrder>24</b:RefOrder>
  </b:Source>
  <b:Source>
    <b:Tag>Fro22</b:Tag>
    <b:SourceType>InternetSite</b:SourceType>
    <b:Guid>{6E514881-DDF5-47F1-AF9B-95C88F834CD5}</b:Guid>
    <b:Title>EU Partners</b:Title>
    <b:Year>2022</b:Year>
    <b:Author>
      <b:Author>
        <b:NameList>
          <b:Person>
            <b:Last>Frontex</b:Last>
          </b:Person>
        </b:NameList>
      </b:Author>
    </b:Author>
    <b:InternetSiteTitle>Frontex </b:InternetSiteTitle>
    <b:URL>https://frontex.europa.eu/we-build/eu-partners/european-commission/#:~:text=Frontex%20falls%20within%20the%20responsibility,Affairs%20and%20Citizenship%2C%20Ylva%20Johansson.</b:URL>
    <b:RefOrder>25</b:RefOrder>
  </b:Source>
  <b:Source>
    <b:Tag>Eur22</b:Tag>
    <b:SourceType>InternetSite</b:SourceType>
    <b:Guid>{722018ED-DD56-4346-B2D8-BCE7170A08B3}</b:Guid>
    <b:Title>Types of institutions and bodies </b:Title>
    <b:InternetSiteTitle>European Union</b:InternetSiteTitle>
    <b:Year>2022</b:Year>
    <b:URL>https://european-union.europa.eu/institutions-law-budget/institutions-and-bodies/types-institutions-and-bodies_en</b:URL>
    <b:Author>
      <b:Author>
        <b:NameList>
          <b:Person>
            <b:Last>European Union</b:Last>
          </b:Person>
        </b:NameList>
      </b:Author>
    </b:Author>
    <b:RefOrder>26</b:RefOrder>
  </b:Source>
  <b:Source>
    <b:Tag>Eur214</b:Tag>
    <b:SourceType>InternetSite</b:SourceType>
    <b:Guid>{DACE361C-63B7-4B2F-990D-BC63BB2F3A62}</b:Guid>
    <b:Title>Decentralised Agency - European Border and Coast Guard Agency (Frontex)</b:Title>
    <b:InternetSiteTitle>European Union</b:InternetSiteTitle>
    <b:Year>2021</b:Year>
    <b:URL>https://european-union.europa.eu/institutions-law-budget/institutions-and-bodies/institutions-and-bodies-profiles/frontex_en</b:URL>
    <b:Author>
      <b:Author>
        <b:NameList>
          <b:Person>
            <b:Last>European Union</b:Last>
          </b:Person>
        </b:NameList>
      </b:Author>
    </b:Author>
    <b:RefOrder>27</b:RefOrder>
  </b:Source>
  <b:Source>
    <b:Tag>Mao11</b:Tag>
    <b:SourceType>JournalArticle</b:SourceType>
    <b:Guid>{F9A9A0AB-1A68-496F-850B-75B398EAB372}</b:Guid>
    <b:Title>Organisational reputations and the observability of public warnings in 10 pharmaceutical markets</b:Title>
    <b:Year>2011</b:Year>
    <b:Pages>557-582</b:Pages>
    <b:Author>
      <b:Author>
        <b:NameList>
          <b:Person>
            <b:Last>Maor</b:Last>
            <b:First>M.</b:First>
          </b:Person>
        </b:NameList>
      </b:Author>
    </b:Author>
    <b:JournalName>Governance, 24</b:JournalName>
    <b:RefOrder>28</b:RefOrder>
  </b:Source>
  <b:Source>
    <b:Tag>Gil12</b:Tag>
    <b:SourceType>BookSection</b:SourceType>
    <b:Guid>{5B0E0457-605F-4C24-A8AC-0A780A4E6BF1}</b:Guid>
    <b:Title>How reputation regulates regulators: Illustrations from the regulation of retail finance</b:Title>
    <b:Year>2012</b:Year>
    <b:Pages>321-340</b:Pages>
    <b:Author>
      <b:Author>
        <b:NameList>
          <b:Person>
            <b:Last>Gilad</b:Last>
            <b:First>S.</b:First>
          </b:Person>
          <b:Person>
            <b:Last>Yogev</b:Last>
            <b:First>T.</b:First>
          </b:Person>
        </b:NameList>
      </b:Author>
      <b:BookAuthor>
        <b:NameList>
          <b:Person>
            <b:Last>T. G. Pollock &amp; M. L. Barnett (Eds.)</b:Last>
          </b:Person>
        </b:NameList>
      </b:BookAuthor>
    </b:Author>
    <b:BookTitle>The Oxford handbook of corporate reputation</b:BookTitle>
    <b:City>Oxford</b:City>
    <b:Publisher>Oxford University Press</b:Publisher>
    <b:RefOrder>29</b:RefOrder>
  </b:Source>
  <b:Source>
    <b:Tag>Car10</b:Tag>
    <b:SourceType>Book</b:SourceType>
    <b:Guid>{B7A5941B-74A2-403C-B816-05AC6990731B}</b:Guid>
    <b:Title>Reputation and power: Organisational image and pharmaceutical regulation at the FDA</b:Title>
    <b:Year>2010</b:Year>
    <b:Author>
      <b:Author>
        <b:NameList>
          <b:Person>
            <b:Last>Carpenter</b:Last>
            <b:First>D.</b:First>
          </b:Person>
        </b:NameList>
      </b:Author>
    </b:Author>
    <b:City>Princeton, NJ</b:City>
    <b:Publisher>Princeton University Press</b:Publisher>
    <b:RefOrder>30</b:RefOrder>
  </b:Source>
  <b:Source>
    <b:Tag>Mao12</b:Tag>
    <b:SourceType>JournalArticle</b:SourceType>
    <b:Guid>{B7190562-4E88-4C66-9942-5284F19EE98F}</b:Guid>
    <b:Title>Organisational reputation, regulatory talk, and strategic silence</b:Title>
    <b:JournalName>Journal of Public Administration Research and Theory, 23(3)</b:JournalName>
    <b:Year>2012</b:Year>
    <b:Pages>581-608</b:Pages>
    <b:Author>
      <b:Author>
        <b:NameList>
          <b:Person>
            <b:Last>Maor</b:Last>
            <b:First>M.</b:First>
          </b:Person>
          <b:Person>
            <b:Last>Gilad</b:Last>
            <b:First>S.</b:First>
          </b:Person>
          <b:Person>
            <b:Last>Bloom</b:Last>
            <b:Middle>B.-N.</b:Middle>
            <b:First>P.</b:First>
          </b:Person>
        </b:NameList>
      </b:Author>
    </b:Author>
    <b:RefOrder>31</b:RefOrder>
  </b:Source>
  <b:Source>
    <b:Tag>Has16</b:Tag>
    <b:SourceType>BookSection</b:SourceType>
    <b:Guid>{23F64936-2FCD-4FD3-8876-8DE9F76A3270}</b:Guid>
    <b:Author>
      <b:Author>
        <b:NameList>
          <b:Person>
            <b:Last>Hassel</b:Last>
            <b:First>A.</b:First>
          </b:Person>
          <b:Person>
            <b:Last>Wagner</b:Last>
            <b:First>B.</b:First>
          </b:Person>
        </b:NameList>
      </b:Author>
      <b:BookAuthor>
        <b:NameList>
          <b:Person>
            <b:Last>Vanhercke</b:Last>
            <b:First>B.,</b:First>
            <b:Middle>Natali, D., Bouget, D. (eds.)</b:Middle>
          </b:Person>
        </b:NameList>
      </b:BookAuthor>
    </b:Author>
    <b:Title>The EU's 'migration crisis': challenge, threat or opportunity?</b:Title>
    <b:BookTitle>Social policy in the European Union: state of play 2016</b:BookTitle>
    <b:Year>2016</b:Year>
    <b:Pages>61-92</b:Pages>
    <b:City>Brussels</b:City>
    <b:Publisher>European Trade Union Institute (ETUI) and European Social Observatory (OSE)</b:Publisher>
    <b:RefOrder>32</b:RefOrder>
  </b:Source>
  <b:Source>
    <b:Tag>Bus20</b:Tag>
    <b:SourceType>JournalArticle</b:SourceType>
    <b:Guid>{3E87CB7D-DC23-4677-97C8-CA6EB91ED2D2}</b:Guid>
    <b:Title>Meeting expectations in the EU regulatory state? Regulatory communications amid conflicting institutional demands</b:Title>
    <b:JournalName>Journal of European Public Politics, 27(4)</b:JournalName>
    <b:Year>2020</b:Year>
    <b:Pages>547-568</b:Pages>
    <b:Author>
      <b:Author>
        <b:NameList>
          <b:Person>
            <b:Last>Busuioc</b:Last>
            <b:First>M.</b:First>
          </b:Person>
          <b:Person>
            <b:Last>Rimkutė</b:Last>
            <b:First>D.</b:First>
          </b:Person>
        </b:NameList>
      </b:Author>
    </b:Author>
    <b:RefOrder>33</b:RefOrder>
  </b:Source>
  <b:Source>
    <b:Tag>Bre20</b:Tag>
    <b:SourceType>JournalArticle</b:SourceType>
    <b:Guid>{FF7E6FC4-163D-420E-913E-986694434D98}</b:Guid>
    <b:Title>Juncker’s Curse? Identity, Interest, and Public Support for the Integration of Core State Powers</b:Title>
    <b:Year>2020</b:Year>
    <b:Pages>56-75</b:Pages>
    <b:Author>
      <b:Author>
        <b:NameList>
          <b:Person>
            <b:Last>Bremer</b:Last>
            <b:First>B</b:First>
          </b:Person>
          <b:Person>
            <b:Last>Genschel</b:Last>
            <b:First>Philipp</b:First>
          </b:Person>
          <b:Person>
            <b:Last>Jachtenfuchs</b:Last>
            <b:First>Markus</b:First>
          </b:Person>
        </b:NameList>
      </b:Author>
    </b:Author>
    <b:JournalName>Journal of Common Market Studies, 58(1)</b:JournalName>
    <b:RefOrder>34</b:RefOrder>
  </b:Source>
  <b:Source>
    <b:Tag>Fer20</b:Tag>
    <b:SourceType>BookSection</b:SourceType>
    <b:Guid>{B03275C1-C9B1-40BA-A0C9-9A2FF9966502}</b:Guid>
    <b:Author>
      <b:Author>
        <b:NameList>
          <b:Person>
            <b:Last>Fernandez-Rojo</b:Last>
            <b:First>David</b:First>
          </b:Person>
        </b:NameList>
      </b:Author>
      <b:BookAuthor>
        <b:NameList>
          <b:Person>
            <b:Last>Fernandez-Rojo</b:Last>
            <b:First>D.</b:First>
          </b:Person>
        </b:NameList>
      </b:BookAuthor>
    </b:Author>
    <b:Title>Regulation 2019/1896 on the European Border and Coast Guard (FRONTEX): The Supranational Administration of the External Borders?</b:Title>
    <b:BookTitle>The External Dimension of EU Migration and Asylum Policies: Human Rights, Development and Neighbourhood Policies in the Mediterranean Area</b:BookTitle>
    <b:Year>2020</b:Year>
    <b:Pages>289-317</b:Pages>
    <b:Publisher>Nomos</b:Publisher>
    <b:RefOrder>35</b:RefOrder>
  </b:Source>
  <b:Source>
    <b:Tag>Aus23</b:Tag>
    <b:SourceType>InternetSite</b:SourceType>
    <b:Guid>{455998A4-4201-4945-871A-284225E95087}</b:Guid>
    <b:Title>FAQ - What countries are Schengen states? </b:Title>
    <b:Year>2023</b:Year>
    <b:InternetSiteTitle>Auswärtiges Amt</b:InternetSiteTitle>
    <b:URL>https://www.auswaertiges-amt.de/en/visa-service/buergerservice/faq/17-schengenstaaten/606722#:~:text=Germany%2C%20Austria%2C%20Belgium%2C%20Croatia,the%20Schengen%20Agreement%20and%20are</b:URL>
    <b:Author>
      <b:Author>
        <b:NameList>
          <b:Person>
            <b:Last>Auswärtiges Amt</b:Last>
          </b:Person>
        </b:NameList>
      </b:Author>
    </b:Author>
    <b:RefOrder>36</b:RefOrder>
  </b:Source>
  <b:Source>
    <b:Tag>Ste19</b:Tag>
    <b:SourceType>JournalArticle</b:SourceType>
    <b:Guid>{E4E359DD-77C9-43C5-A4DB-2350368F33B2}</b:Guid>
    <b:Author>
      <b:Author>
        <b:NameList>
          <b:Person>
            <b:Last>Steunenberg</b:Last>
            <b:First>B.</b:First>
          </b:Person>
        </b:NameList>
      </b:Author>
    </b:Author>
    <b:Title>Different shades of responsiveness: from adoption to implementation</b:Title>
    <b:JournalName>Journal of European Public Policy, 26(11)</b:JournalName>
    <b:Year>2019</b:Year>
    <b:Pages>1749-1760</b:Pages>
    <b:RefOrder>37</b:RefOrder>
  </b:Source>
  <b:Source>
    <b:Tag>Bus16</b:Tag>
    <b:SourceType>JournalArticle</b:SourceType>
    <b:Guid>{849C5201-AD4B-4C38-A85C-2BDEB347720F}</b:Guid>
    <b:Author>
      <b:Author>
        <b:NameList>
          <b:Person>
            <b:Last>Busuioc</b:Last>
            <b:First>E.</b:First>
            <b:Middle>M.</b:Middle>
          </b:Person>
        </b:NameList>
      </b:Author>
    </b:Author>
    <b:Title>Friend or Foe? Inter-agency cooperation, organizational reputation, and turf</b:Title>
    <b:JournalName>Public Administration, 94(1)</b:JournalName>
    <b:Year>2016</b:Year>
    <b:Pages>40-56</b:Pages>
    <b:RefOrder>38</b:RefOrder>
  </b:Source>
  <b:Source>
    <b:Tag>Thi18</b:Tag>
    <b:SourceType>JournalArticle</b:SourceType>
    <b:Guid>{DFEBE119-04A1-4B77-83E0-D7F1BD2A6DC1}</b:Guid>
    <b:Author>
      <b:Author>
        <b:NameList>
          <b:Person>
            <b:Last>Thielemann</b:Last>
            <b:First>E.</b:First>
          </b:Person>
        </b:NameList>
      </b:Author>
    </b:Author>
    <b:Title>Why refugee burden-sharing initiatives fail: public goods, free-riding and symbolic solidarity in the EU </b:Title>
    <b:JournalName>Journal of Common Market Studies, 56(1)</b:JournalName>
    <b:Year>2018</b:Year>
    <b:Pages>63-82</b:Pages>
    <b:RefOrder>39</b:RefOrder>
  </b:Source>
  <b:Source>
    <b:Tag>The211</b:Tag>
    <b:SourceType>InternetSite</b:SourceType>
    <b:Guid>{C5B2EEF8-EA2C-4309-9418-1B5489BE0804}</b:Guid>
    <b:Title>The European Council and Turkey: Searching for a positive agenda</b:Title>
    <b:Year>2021</b:Year>
    <b:Author>
      <b:Author>
        <b:NameList>
          <b:Person>
            <b:Last>Fusiek</b:Last>
            <b:First>D.</b:First>
            <b:Middle>A.</b:Middle>
          </b:Person>
        </b:NameList>
      </b:Author>
    </b:Author>
    <b:InternetSiteTitle>Research Gate</b:InternetSiteTitle>
    <b:URL>https://www.researchgate.net/figure/Variation-in-the-number-of-irregular-arrivals-in-the-EU-2014-2020_fig2_354632958</b:URL>
    <b:RefOrder>40</b:RefOrder>
  </b:Source>
  <b:Source>
    <b:Tag>Cou04</b:Tag>
    <b:SourceType>Case</b:SourceType>
    <b:Guid>{21479809-1313-441A-B588-08483070519F}</b:Guid>
    <b:Title>Council Regulation (EC) No 2007/2004 of 26 October 2004 establishing a European Agency for the Management of Operational Cooperation at the External Borders of the Member States of the European Union</b:Title>
    <b:Year>2004</b:Year>
    <b:Month>October</b:Month>
    <b:Day>26</b:Day>
    <b:RefOrder>41</b:RefOrder>
  </b:Source>
  <b:Source>
    <b:Tag>Ste201</b:Tag>
    <b:SourceType>ArticleInAPeriodical</b:SourceType>
    <b:Guid>{F600AB85-E7E6-4821-A3E3-AE0A4ADE7E63}</b:Guid>
    <b:Title> E.U. Border Agency Accused of Covering Up Migrant Pushback in Greece</b:Title>
    <b:Year>2020</b:Year>
    <b:Author>
      <b:Author>
        <b:NameList>
          <b:Person>
            <b:Last>Stevis-Gridneff</b:Last>
            <b:First>Matina</b:First>
          </b:Person>
        </b:NameList>
      </b:Author>
    </b:Author>
    <b:PeriodicalTitle>The New York Times</b:PeriodicalTitle>
    <b:Month>November</b:Month>
    <b:Day>26</b:Day>
    <b:RefOrder>42</b:RefOrder>
  </b:Source>
  <b:Source>
    <b:Tag>Kam21</b:Tag>
    <b:SourceType>InternetSite</b:SourceType>
    <b:Guid>{587F3045-8F7B-4574-8862-BEF46107B747}</b:Guid>
    <b:Author>
      <b:Author>
        <b:NameList>
          <b:Person>
            <b:Last>Kamphorst</b:Last>
            <b:First>Jarron</b:First>
          </b:Person>
        </b:NameList>
      </b:Author>
    </b:Author>
    <b:Title>EU-grensbewakers van Frontex stuurden op zee illegaal migranten terug</b:Title>
    <b:PeriodicalTitle>Trouw</b:PeriodicalTitle>
    <b:Year>2020</b:Year>
    <b:Month>October</b:Month>
    <b:Day>23</b:Day>
    <b:InternetSiteTitle>Trouw</b:InternetSiteTitle>
    <b:URL>https://www.trouw.nl/buitenland/eu-grensbewakers-van-frontex-stuurden-op-zee-illegaal-migranten-terug~bc2ad92d/?referrer=https%3A%2F%2Fen.wikipedia.org%2F</b:URL>
    <b:RefOrder>43</b:RefOrder>
  </b:Source>
  <b:Source>
    <b:Tag>Kum11</b:Tag>
    <b:SourceType>Book</b:SourceType>
    <b:Guid>{D0EE6BC9-0A69-42AB-8D22-C7D1B54789BD}</b:Guid>
    <b:Title>Research Methodology. A step-by-step guide for beginners </b:Title>
    <b:Year>2011</b:Year>
    <b:Author>
      <b:Author>
        <b:NameList>
          <b:Person>
            <b:Last>Kumar</b:Last>
            <b:First>R.</b:First>
          </b:Person>
        </b:NameList>
      </b:Author>
    </b:Author>
    <b:City>London</b:City>
    <b:Publisher>Sage</b:Publisher>
    <b:RefOrder>44</b:RefOrder>
  </b:Source>
  <b:Source>
    <b:Tag>Ger04</b:Tag>
    <b:SourceType>JournalArticle</b:SourceType>
    <b:Guid>{E3EDFDF6-232A-4279-A0AB-DC74E114CEC2}</b:Guid>
    <b:Title>What is a case study and what is it good for? </b:Title>
    <b:Year>2004</b:Year>
    <b:Author>
      <b:Author>
        <b:NameList>
          <b:Person>
            <b:Last>Gerring</b:Last>
            <b:First>J.</b:First>
          </b:Person>
        </b:NameList>
      </b:Author>
    </b:Author>
    <b:JournalName>The American Political Science Review, 98(2)</b:JournalName>
    <b:Pages>341-354</b:Pages>
    <b:RefOrder>45</b:RefOrder>
  </b:Source>
  <b:Source>
    <b:Tag>Sea08</b:Tag>
    <b:SourceType>JournalArticle</b:SourceType>
    <b:Guid>{75FE7523-9904-4F7F-9DD4-0ACCA9755F86}</b:Guid>
    <b:Title>Case selection techniques in case study research </b:Title>
    <b:JournalName>Political Research Quarterly, 61(2)</b:JournalName>
    <b:Year>2008</b:Year>
    <b:Pages>394-308</b:Pages>
    <b:Author>
      <b:Author>
        <b:NameList>
          <b:Person>
            <b:Last>Seawright</b:Last>
            <b:First>Jason</b:First>
          </b:Person>
          <b:Person>
            <b:Last>Gerring</b:Last>
            <b:First>John</b:First>
          </b:Person>
        </b:NameList>
      </b:Author>
    </b:Author>
    <b:RefOrder>46</b:RefOrder>
  </b:Source>
  <b:Source>
    <b:Tag>Kaa99</b:Tag>
    <b:SourceType>JournalArticle</b:SourceType>
    <b:Guid>{1CF1F641-9045-4B6A-A44E-7AAF6E59581E}</b:Guid>
    <b:Title>A practical guide to the comparative case study method in political psychology </b:Title>
    <b:JournalName>Political Psychology, 20(2)</b:JournalName>
    <b:Year>1999</b:Year>
    <b:Pages>369-391</b:Pages>
    <b:Author>
      <b:Author>
        <b:NameList>
          <b:Person>
            <b:Last>Kaarbo</b:Last>
            <b:First>Juliet</b:First>
          </b:Person>
          <b:Person>
            <b:Last>Beasley</b:Last>
            <b:First>Ryan K.</b:First>
          </b:Person>
        </b:NameList>
      </b:Author>
    </b:Author>
    <b:RefOrder>47</b:RefOrder>
  </b:Source>
  <b:Source>
    <b:Tag>Bar17</b:Tag>
    <b:SourceType>JournalArticle</b:SourceType>
    <b:Guid>{99B5979E-CBCE-4EED-8A95-58DB0BA3EAB7}</b:Guid>
    <b:Title>Comparative case studies: an innovated approach</b:Title>
    <b:JournalName>Nordic Journal of Comparative and International Education, 1(1)</b:JournalName>
    <b:Year>2017</b:Year>
    <b:Pages>5-17</b:Pages>
    <b:Author>
      <b:Author>
        <b:NameList>
          <b:Person>
            <b:Last>Bartlett</b:Last>
            <b:First>Lesley</b:First>
          </b:Person>
          <b:Person>
            <b:Last>Vavrus</b:Last>
            <b:First>Frances</b:First>
          </b:Person>
        </b:NameList>
      </b:Author>
    </b:Author>
    <b:RefOrder>48</b:RefOrder>
  </b:Source>
  <b:Source>
    <b:Tag>Goo14</b:Tag>
    <b:SourceType>Report</b:SourceType>
    <b:Guid>{6F6208CA-0675-41C0-9793-00CDDBE4E2D3}</b:Guid>
    <b:Author>
      <b:Author>
        <b:NameList>
          <b:Person>
            <b:Last>Goodrick</b:Last>
            <b:First>Delwyn</b:First>
          </b:Person>
        </b:NameList>
      </b:Author>
    </b:Author>
    <b:Title>Comparative Case Studies</b:Title>
    <b:Year>2014</b:Year>
    <b:Publisher>United Nations Children's Fund</b:Publisher>
    <b:City>Florence </b:City>
    <b:RefOrder>49</b:RefOrder>
  </b:Source>
  <b:Source>
    <b:Tag>McN15</b:Tag>
    <b:SourceType>Book</b:SourceType>
    <b:Guid>{718D2BCE-9EE7-42B1-9516-6F27882481F0}</b:Guid>
    <b:Title>Research Methods for Political Science: quantitative and qualitative approaches, 2nd ed. </b:Title>
    <b:Year>2015</b:Year>
    <b:Publisher>Routledge </b:Publisher>
    <b:City>London &amp; New York</b:City>
    <b:Author>
      <b:Author>
        <b:NameList>
          <b:Person>
            <b:Last>McNabb</b:Last>
            <b:First>David</b:First>
          </b:Person>
        </b:NameList>
      </b:Author>
    </b:Author>
    <b:RefOrder>50</b:RefOrder>
  </b:Source>
  <b:Source>
    <b:Tag>Nat20</b:Tag>
    <b:SourceType>JournalArticle</b:SourceType>
    <b:Guid>{BD293259-9B36-4D1C-99D0-F70A750FDBE5}</b:Guid>
    <b:Author>
      <b:Author>
        <b:NameList>
          <b:Person>
            <b:Last>Natow</b:Last>
            <b:First>R.</b:First>
            <b:Middle>S.</b:Middle>
          </b:Person>
        </b:NameList>
      </b:Author>
    </b:Author>
    <b:Title>The use of triangulation in qualitative studies employing elite interviews</b:Title>
    <b:JournalName>Qualitative Research, 20(2)</b:JournalName>
    <b:Year>2020</b:Year>
    <b:Pages>160-173</b:Pages>
    <b:RefOrder>51</b:RefOrder>
  </b:Source>
  <b:Source>
    <b:Tag>alY04</b:Tag>
    <b:SourceType>BookSection</b:SourceType>
    <b:Guid>{AD142FB4-C493-454F-98BC-B5F694930D87}</b:Guid>
    <b:Title>In-depth interviews</b:Title>
    <b:Year>2004</b:Year>
    <b:City>London</b:City>
    <b:Publisher>Sage</b:Publisher>
    <b:Author>
      <b:Author>
        <b:NameList>
          <b:Person>
            <b:Last>Yeo</b:Last>
            <b:First>Alice</b:First>
          </b:Person>
          <b:Person>
            <b:Last>Legard</b:Last>
            <b:First>Robin</b:First>
          </b:Person>
          <b:Person>
            <b:Last>Keegan</b:Last>
            <b:First>Jill</b:First>
          </b:Person>
          <b:Person>
            <b:Last>Ward</b:Last>
            <b:First>Kit</b:First>
          </b:Person>
          <b:Person>
            <b:Last>McNaughton Nicholls</b:Last>
            <b:First>Carol</b:First>
          </b:Person>
          <b:Person>
            <b:Last>Lewis</b:Last>
            <b:First>Jane</b:First>
          </b:Person>
        </b:NameList>
      </b:Author>
      <b:BookAuthor>
        <b:NameList>
          <b:Person>
            <b:Last>Ritchie</b:Last>
            <b:First>Jane</b:First>
          </b:Person>
          <b:Person>
            <b:Last>Lewis</b:Last>
            <b:First>Jane</b:First>
          </b:Person>
          <b:Person>
            <b:Last>McNaughton Nicholls</b:Last>
            <b:First>Carol</b:First>
          </b:Person>
          <b:Person>
            <b:Last>Ormston</b:Last>
            <b:First>Rachel</b:First>
          </b:Person>
        </b:NameList>
      </b:BookAuthor>
    </b:Author>
    <b:BookTitle>Qualitative Research Practice: A Guide for Social Science Students and Researchers</b:BookTitle>
    <b:Pages>177-210</b:Pages>
    <b:RefOrder>52</b:RefOrder>
  </b:Source>
  <b:Source>
    <b:Tag>Gol021</b:Tag>
    <b:SourceType>JournalArticle</b:SourceType>
    <b:Guid>{1CADD14C-1155-43CE-8F56-644248D0B85B}</b:Guid>
    <b:Author>
      <b:Author>
        <b:NameList>
          <b:Person>
            <b:Last>Goldstein</b:Last>
            <b:First>Kenneth</b:First>
          </b:Person>
        </b:NameList>
      </b:Author>
    </b:Author>
    <b:Title>Getting in the Door: Sampling and Completing Elite Interviews</b:Title>
    <b:Year>2002</b:Year>
    <b:Pages>669-672</b:Pages>
    <b:JournalName>Political Science &amp; Politics, 35(4)</b:JournalName>
    <b:RefOrder>53</b:RefOrder>
  </b:Source>
  <b:Source>
    <b:Tag>Har101</b:Tag>
    <b:SourceType>JournalArticle</b:SourceType>
    <b:Guid>{32D4796D-0832-4651-9AD5-CCEE0392B2F2}</b:Guid>
    <b:Author>
      <b:Author>
        <b:NameList>
          <b:Person>
            <b:Last>Harvey</b:Last>
            <b:First>W.</b:First>
            <b:Middle>S.</b:Middle>
          </b:Person>
        </b:NameList>
      </b:Author>
    </b:Author>
    <b:Title>Methodological Approaches for Interviewing Elites</b:Title>
    <b:JournalName>Geography Compass, 4(3)</b:JournalName>
    <b:Year>2010</b:Year>
    <b:Pages>193-205</b:Pages>
    <b:RefOrder>54</b:RefOrder>
  </b:Source>
  <b:Source>
    <b:Tag>Lan16</b:Tag>
    <b:SourceType>JournalArticle</b:SourceType>
    <b:Guid>{71CC1A35-D608-4B48-A8EE-1D580AC593CC}</b:Guid>
    <b:Author>
      <b:Author>
        <b:NameList>
          <b:Person>
            <b:Last>Lancaster</b:Last>
            <b:First>K.</b:First>
          </b:Person>
        </b:NameList>
      </b:Author>
    </b:Author>
    <b:Title>Confidentiality, anonymity and power relations in elite interviewing: conducting qualitative policy research in a politicised domain</b:Title>
    <b:JournalName>International Journal of Social Research Methodology, 20(1)</b:JournalName>
    <b:Year>2016</b:Year>
    <b:Pages>93-103</b:Pages>
    <b:RefOrder>55</b:RefOrder>
  </b:Source>
  <b:Source>
    <b:Tag>Del19</b:Tag>
    <b:SourceType>JournalArticle</b:SourceType>
    <b:Guid>{A5284273-DB8C-48CD-91B9-B04EB7765B90}</b:Guid>
    <b:Title>The new European border and coast guard agency: pooling sovreignty or giving it up?</b:Title>
    <b:JournalName>Journal of European Integration, 41(7)</b:JournalName>
    <b:Year>2019</b:Year>
    <b:Pages>921-936</b:Pages>
    <b:Author>
      <b:Author>
        <b:NameList>
          <b:Person>
            <b:Last>Deleixhe</b:Last>
            <b:First>Martin</b:First>
          </b:Person>
          <b:Person>
            <b:Last>Duez</b:Last>
            <b:First>Denis</b:First>
          </b:Person>
        </b:NameList>
      </b:Author>
    </b:Author>
    <b:RefOrder>56</b:RefOrder>
  </b:Source>
  <b:Source>
    <b:Tag>Gen23</b:Tag>
    <b:SourceType>JournalArticle</b:SourceType>
    <b:Guid>{F338F6F8-7C16-4932-94A3-CD803688536E}</b:Guid>
    <b:Title>Differentiated integration as symbolic politics? Constitutional differentiation and policy reintegration in core state powers</b:Title>
    <b:JournalName>European Union Politics, 24(1)</b:JournalName>
    <b:Year>2023</b:Year>
    <b:Pages>81-101</b:Pages>
    <b:Author>
      <b:Author>
        <b:NameList>
          <b:Person>
            <b:Last>Genschel</b:Last>
            <b:First>Philipp</b:First>
          </b:Person>
          <b:Person>
            <b:Last>Jachtenfuchs</b:Last>
            <b:First>Markus</b:First>
          </b:Person>
          <b:Person>
            <b:Last>Migliorati</b:Last>
            <b:First>Marta</b:First>
          </b:Person>
        </b:NameList>
      </b:Author>
    </b:Author>
    <b:RefOrder>57</b:RefOrder>
  </b:Source>
  <b:Source>
    <b:Tag>Koo11</b:Tag>
    <b:SourceType>JournalArticle</b:SourceType>
    <b:Guid>{B4CA0510-8E69-433D-93C4-85933391161B}</b:Guid>
    <b:Title>Explaining the Accountability of Independent Agencies: The Importance of Political Salience</b:Title>
    <b:Year>2011</b:Year>
    <b:Author>
      <b:Author>
        <b:NameList>
          <b:Person>
            <b:Last>Koop</b:Last>
            <b:First>C.</b:First>
          </b:Person>
        </b:NameList>
      </b:Author>
    </b:Author>
    <b:JournalName>Journal of Public Policy, 31(2)</b:JournalName>
    <b:Pages>209-234</b:Pages>
    <b:RefOrder>58</b:RefOrder>
  </b:Source>
  <b:Source>
    <b:Tag>Wis09</b:Tag>
    <b:SourceType>Book</b:SourceType>
    <b:Guid>{131E13BC-1724-4CD6-921A-43F38006A70E}</b:Guid>
    <b:Author>
      <b:Author>
        <b:NameList>
          <b:Person>
            <b:Last>Wisker</b:Last>
            <b:First>Gina</b:First>
          </b:Person>
        </b:NameList>
      </b:Author>
    </b:Author>
    <b:Title>The Undergraduate Research Handbook</b:Title>
    <b:Year>2009</b:Year>
    <b:City>London</b:City>
    <b:Publisher>Palgrave Macmillan</b:Publisher>
    <b:RefOrder>59</b:RefOrder>
  </b:Source>
  <b:Source>
    <b:Tag>Sch</b:Tag>
    <b:SourceType>JournalArticle</b:SourceType>
    <b:Guid>{6FE2ECA2-AC1B-4B59-927F-3566F9727297}</b:Guid>
    <b:Author>
      <b:Author>
        <b:NameList>
          <b:Person>
            <b:Last>Schout</b:Last>
            <b:First>Adriaan</b:First>
          </b:Person>
          <b:Person>
            <b:Last>Pereyra</b:Last>
            <b:First>Fabian</b:First>
          </b:Person>
        </b:NameList>
      </b:Author>
    </b:Author>
    <b:Title>The institutionalization of EU agencies: Agencies as 'mini commissions'</b:Title>
    <b:JournalName>Public Administration 89(2)</b:JournalName>
    <b:Year>2011</b:Year>
    <b:Pages>418-432</b:Pages>
    <b:RefOrder>60</b:RefOrder>
  </b:Source>
  <b:Source>
    <b:Tag>Fro23</b:Tag>
    <b:SourceType>InternetSite</b:SourceType>
    <b:Guid>{36193FEF-45CE-400C-9ED5-C2506AD7E49E}</b:Guid>
    <b:Title>Contact</b:Title>
    <b:Year>2023</b:Year>
    <b:Author>
      <b:Author>
        <b:NameList>
          <b:Person>
            <b:Last>Frontex</b:Last>
          </b:Person>
        </b:NameList>
      </b:Author>
    </b:Author>
    <b:InternetSiteTitle>Frontex</b:InternetSiteTitle>
    <b:URL>https://frontex.europa.eu/media-centre/contact/</b:URL>
    <b:RefOrder>61</b:RefOrder>
  </b:Source>
  <b:Source>
    <b:Tag>Bła22</b:Tag>
    <b:SourceType>InternetSite</b:SourceType>
    <b:Guid>{FE583F95-874E-46DF-9924-5F7EDCBFCFF6}</b:Guid>
    <b:Title>EU calls for 'firm' Belarus border control by Poland</b:Title>
    <b:InternetSiteTitle>euobserver</b:InternetSiteTitle>
    <b:Year>2022</b:Year>
    <b:Month>November</b:Month>
    <b:Day>14</b:Day>
    <b:URL>https://euobserver.com/world/156420</b:URL>
    <b:Author>
      <b:Author>
        <b:NameList>
          <b:Person>
            <b:Last>Błaszczak</b:Last>
            <b:First>Mariusz </b:First>
          </b:Person>
        </b:NameList>
      </b:Author>
    </b:Author>
    <b:RefOrder>62</b:RefOrder>
  </b:Source>
  <b:Source>
    <b:Tag>Mar23</b:Tag>
    <b:SourceType>InternetSite</b:SourceType>
    <b:Guid>{098FD640-CB37-452B-B2F5-B9C1E4321FF9}</b:Guid>
    <b:Title>The fences dividing Europe: how the EU uses walls to contain irregular migration</b:Title>
    <b:InternetSiteTitle>El Pais</b:InternetSiteTitle>
    <b:Year>2023</b:Year>
    <b:Month>April</b:Month>
    <b:Day>09</b:Day>
    <b:URL>https://english.elpais.com/international/2023-04-08/the-fences-dividing-europe-how-the-eu-uses-walls-to-contain-irregular-migration.html</b:URL>
    <b:Author>
      <b:Author>
        <b:NameList>
          <b:Person>
            <b:Last>Martin</b:Last>
            <b:First>Maria</b:First>
          </b:Person>
          <b:Person>
            <b:Last>Ayuso</b:Last>
            <b:First>Silvia</b:First>
          </b:Person>
          <b:Person>
            <b:Last>Clemente</b:Last>
            <b:First>Yolanda</b:First>
          </b:Person>
        </b:NameList>
      </b:Author>
    </b:Author>
    <b:RefOrder>63</b:RefOrder>
  </b:Source>
  <b:Source>
    <b:Tag>Placeholder1</b:Tag>
    <b:SourceType>InternetSite</b:SourceType>
    <b:Guid>{50B7B932-3A11-4EAF-A4DD-7B6C969E2C89}</b:Guid>
    <b:Author>
      <b:Author>
        <b:NameList>
          <b:Person>
            <b:Last>PolitPro</b:Last>
          </b:Person>
        </b:NameList>
      </b:Author>
    </b:Author>
    <b:Title>Strongest parties in European election trends</b:Title>
    <b:InternetSiteTitle>PolitPro</b:InternetSiteTitle>
    <b:Year>2023</b:Year>
    <b:URL>https://politpro.eu/en</b:URL>
    <b:RefOrder>64</b:RefOrder>
  </b:Source>
  <b:Source>
    <b:Tag>Lev08</b:Tag>
    <b:SourceType>JournalArticle</b:SourceType>
    <b:Guid>{AD77B2DC-1C50-4F1E-809B-324FC2BA7D10}</b:Guid>
    <b:Title>Case Studies: Types, Designs, and Logics of Inference</b:Title>
    <b:Year>2008</b:Year>
    <b:Author>
      <b:Author>
        <b:NameList>
          <b:Person>
            <b:Last>Levy</b:Last>
            <b:First>J.S.</b:First>
          </b:Person>
        </b:NameList>
      </b:Author>
    </b:Author>
    <b:JournalName>Conflict Management and Peace Science, 25</b:JournalName>
    <b:Pages>1-18</b:Pages>
    <b:RefOrder>65</b:RefOrder>
  </b:Source>
  <b:Source>
    <b:Tag>Rig23</b:Tag>
    <b:SourceType>InternetSite</b:SourceType>
    <b:Guid>{9C3B000E-33A3-4FC5-B3A9-A9506F0F7857}</b:Guid>
    <b:Title>Fortress Europe</b:Title>
    <b:Year>2023</b:Year>
    <b:InternetSiteTitle>The Telegraph</b:InternetSiteTitle>
    <b:URL>https://www.telegraph.co.uk/global-health/fortress-europe-borders-wall-fence-controls-eu-countries-migrants-crisis/</b:URL>
    <b:Author>
      <b:Author>
        <b:NameList>
          <b:Person>
            <b:Last>Rigby</b:Last>
            <b:First>Jennifer</b:First>
          </b:Person>
          <b:Person>
            <b:Last>Crisp</b:Last>
            <b:First>James</b:First>
          </b:Person>
        </b:NameList>
      </b:Author>
    </b:Author>
    <b:RefOrder>66</b:RefOrder>
  </b:Source>
  <b:Source>
    <b:Tag>Pos23</b:Tag>
    <b:SourceType>InternetSite</b:SourceType>
    <b:Guid>{60F46CA0-17A5-48F4-9580-F9F116206411}</b:Guid>
    <b:Author>
      <b:Author>
        <b:NameList>
          <b:Person>
            <b:Last>Postings</b:Last>
            <b:First>Robert</b:First>
          </b:Person>
        </b:NameList>
      </b:Author>
    </b:Author>
    <b:Title>Fences, Stronger Borders and Pushbacks: The Current State of the EU Migration Debate</b:Title>
    <b:InternetSiteTitle>Impakter</b:InternetSiteTitle>
    <b:Year>2023</b:Year>
    <b:Month>March</b:Month>
    <b:Day>29</b:Day>
    <b:URL>https://impakter.com/fences-stronger-borders-and-pushbacks-current-state-of-eu-migration-debate/</b:URL>
    <b:RefOrder>67</b:RefOrder>
  </b:Source>
  <b:Source>
    <b:Tag>Del15</b:Tag>
    <b:SourceType>InternetSite</b:SourceType>
    <b:Guid>{54D596D6-F782-4CC4-A02D-6CE934482AF3}</b:Guid>
    <b:Author>
      <b:Author>
        <b:NameList>
          <b:Person>
            <b:Last>De la Baume</b:Last>
            <b:First>M.</b:First>
          </b:Person>
        </b:NameList>
      </b:Author>
    </b:Author>
    <b:Title>Countries balk at EU border force proposal</b:Title>
    <b:InternetSiteTitle>Politico</b:InternetSiteTitle>
    <b:Year>2015</b:Year>
    <b:Month>December</b:Month>
    <b:Day>15</b:Day>
    <b:URL>https://www.politico.eu/article/countries-balk-at-eu-border-force-proposal-migration-security-frontex/</b:URL>
    <b:RefOrder>68</b:RefOrder>
  </b:Source>
  <b:Source>
    <b:Tag>Bar15</b:Tag>
    <b:SourceType>InternetSite</b:SourceType>
    <b:Guid>{40011927-B8D4-4D68-BCA7-97C07799013B}</b:Guid>
    <b:Author>
      <b:Author>
        <b:NameList>
          <b:Person>
            <b:Last>Barigazzi</b:Last>
            <b:First>J</b:First>
          </b:Person>
        </b:NameList>
      </b:Author>
    </b:Author>
    <b:Title>EU border control chief: Sovereignty not at risk from new patrol force</b:Title>
    <b:InternetSiteTitle>Politico</b:InternetSiteTitle>
    <b:Year>2015</b:Year>
    <b:Month>December</b:Month>
    <b:Day>17</b:Day>
    <b:URL>https://www.politico.eu/article/frontex-chief-sovereignty-not-a-risk-with-new-eu-border-force-border-control-european-commission/</b:URL>
    <b:RefOrder>69</b:RefOrder>
  </b:Source>
  <b:Source>
    <b:Tag>Bla16</b:Tag>
    <b:SourceType>InternetSite</b:SourceType>
    <b:Guid>{8DF0C46F-914B-47F4-8008-05D72D20F54F}</b:Guid>
    <b:Title>Migrant flows to EU eased after Turkey deal, 'front line' moved to Italy</b:Title>
    <b:InternetSiteTitle>Reuters</b:InternetSiteTitle>
    <b:Year>2016</b:Year>
    <b:Month>July </b:Month>
    <b:Day>12</b:Day>
    <b:URL>https://www.reuters.com/article/uk-europe-migrants-frontex-idUKKCN0ZS108</b:URL>
    <b:Author>
      <b:Author>
        <b:NameList>
          <b:Person>
            <b:Last>Blamont</b:Last>
            <b:First>Matthias</b:First>
          </b:Person>
          <b:Person>
            <b:Last>Labbé</b:Last>
            <b:First>Chine</b:First>
          </b:Person>
        </b:NameList>
      </b:Author>
    </b:Author>
    <b:RefOrder>70</b:RefOrder>
  </b:Source>
  <b:Source>
    <b:Tag>Eur162</b:Tag>
    <b:SourceType>InternetSite</b:SourceType>
    <b:Guid>{C1FDFF23-6A13-4401-8004-BF7F8D232018}</b:Guid>
    <b:Author>
      <b:Author>
        <b:NameList>
          <b:Person>
            <b:Last>European Council</b:Last>
          </b:Person>
        </b:NameList>
      </b:Author>
    </b:Author>
    <b:Title>European Council, 17-18 March 2016</b:Title>
    <b:InternetSiteTitle>European Council - Council of the European Union</b:InternetSiteTitle>
    <b:Year>2016</b:Year>
    <b:Month>March</b:Month>
    <b:Day>17-18</b:Day>
    <b:URL>https://www.consilium.europa.eu/en/meetings/european-council/2016/03/17-18/</b:URL>
    <b:RefOrder>71</b:RefOrder>
  </b:Source>
  <b:Source>
    <b:Tag>Eur161</b:Tag>
    <b:SourceType>InternetSite</b:SourceType>
    <b:Guid>{CBBA60C9-226C-40DE-A7DA-6476B9FB00F4}</b:Guid>
    <b:Title>EU-Turkey statement, 18 March 2016</b:Title>
    <b:InternetSiteTitle>European Council - Council of the European Union</b:InternetSiteTitle>
    <b:Year>2016a</b:Year>
    <b:Month>March</b:Month>
    <b:Day>18</b:Day>
    <b:URL>https://www.consilium.europa.eu/en/press/press-releases/2016/03/18/eu-turkey-statement/</b:URL>
    <b:Author>
      <b:Author>
        <b:NameList>
          <b:Person>
            <b:Last>European Council</b:Last>
          </b:Person>
        </b:NameList>
      </b:Author>
    </b:Author>
    <b:RefOrder>72</b:RefOrder>
  </b:Source>
  <b:Source>
    <b:Tag>Cha16</b:Tag>
    <b:SourceType>InternetSite</b:SourceType>
    <b:Guid>{4CD2FB82-8797-48AE-92D3-0E0C6A9C0C59}</b:Guid>
    <b:Author>
      <b:Author>
        <b:NameList>
          <b:Person>
            <b:Last>Chadwick</b:Last>
            <b:First>Vince</b:First>
          </b:Person>
        </b:NameList>
      </b:Author>
    </b:Author>
    <b:Title>‘Dramatic’ drop in migrant arrivals on Greek islands</b:Title>
    <b:InternetSiteTitle>Politico</b:InternetSiteTitle>
    <b:Year>2016</b:Year>
    <b:Month>May</b:Month>
    <b:Day>13</b:Day>
    <b:URL>https://www.politico.eu/article/dramatic-drop-in-migrant-refugees-arrivals-on-greek-islands/</b:URL>
    <b:RefOrder>73</b:RefOrder>
  </b:Source>
  <b:Source>
    <b:Tag>Ter21</b:Tag>
    <b:SourceType>InternetSite</b:SourceType>
    <b:Guid>{5B8DAC7C-6DE2-4B97-A74C-0676A307C43D}</b:Guid>
    <b:Author>
      <b:Author>
        <b:NameList>
          <b:Person>
            <b:Last>Terry</b:Last>
            <b:First>Kyilah</b:First>
          </b:Person>
        </b:NameList>
      </b:Author>
    </b:Author>
    <b:Title>The EU-Turkey Deal, Five Years On: A Frayed and Controversial but Enduring Blueprint</b:Title>
    <b:InternetSiteTitle>Migration Policy Institute </b:InternetSiteTitle>
    <b:Year>2021</b:Year>
    <b:Month>April</b:Month>
    <b:Day>08</b:Day>
    <b:URL>https://www.migrationpolicy.org/article/eu-turkey-deal-five-years-on</b:URL>
    <b:RefOrder>74</b:RefOrder>
  </b:Source>
  <b:Source>
    <b:Tag>Col18</b:Tag>
    <b:SourceType>InternetSite</b:SourceType>
    <b:Guid>{73F7D04F-85D2-46A3-B9C7-AF59A17B9B33}</b:Guid>
    <b:Title>Europe Pushes to Outsource Asylum, Again</b:Title>
    <b:InternetSiteTitle>Migration Policy Institute</b:InternetSiteTitle>
    <b:Year>2018</b:Year>
    <b:Month>June</b:Month>
    <b:URL>https://www.migrationpolicy.org/news/europe-pushes-outsource-asylum-again</b:URL>
    <b:Author>
      <b:Author>
        <b:NameList>
          <b:Person>
            <b:Last>Collett</b:Last>
            <b:First>Elizabeth</b:First>
          </b:Person>
          <b:Person>
            <b:Last>Fratzke</b:Last>
            <b:First>Susan</b:First>
          </b:Person>
        </b:NameList>
      </b:Author>
    </b:Author>
    <b:RefOrder>75</b:RefOrder>
  </b:Source>
  <b:Source>
    <b:Tag>Lat17</b:Tag>
    <b:SourceType>DocumentFromInternetSite</b:SourceType>
    <b:Guid>{A78723D8-25D7-4D70-BABC-1D07C149A7FE}</b:Guid>
    <b:Title>Reintegration of returning migrants</b:Title>
    <b:InternetSiteTitle>European Parliamentary Research Service</b:InternetSiteTitle>
    <b:Year>2017</b:Year>
    <b:URL>https://www.europarl.europa.eu/RegData/etudes/BRIE/2017/608779/EPRS_BRI(2017)608779_EN.pdf</b:URL>
    <b:Author>
      <b:Author>
        <b:NameList>
          <b:Person>
            <b:Last>Latek</b:Last>
            <b:First>Marta</b:First>
          </b:Person>
        </b:NameList>
      </b:Author>
    </b:Author>
    <b:RefOrder>76</b:RefOrder>
  </b:Source>
  <b:Source>
    <b:Tag>Sor23</b:Tag>
    <b:SourceType>InternetSite</b:SourceType>
    <b:Guid>{FF4F88D2-71AE-4582-BF3E-34ADAB982CF1}</b:Guid>
    <b:Title>EU countries agree to major migration deal</b:Title>
    <b:InternetSiteTitle>Politico</b:InternetSiteTitle>
    <b:Year>2023</b:Year>
    <b:Month>June</b:Month>
    <b:Day>08</b:Day>
    <b:URL>https://www.politico.eu/article/italy-giorgia-meloni-assylum-seekers-eu-holds-migration-deal-hostage/</b:URL>
    <b:Author>
      <b:Author>
        <b:NameList>
          <b:Person>
            <b:Last>Sorgi</b:Last>
            <b:First>Gregorio</b:First>
          </b:Person>
          <b:Person>
            <b:Last>Barigazzi</b:Last>
            <b:First>Jacopo</b:First>
          </b:Person>
        </b:NameList>
      </b:Author>
    </b:Author>
    <b:RefOrder>77</b:RefOrder>
  </b:Source>
  <b:Source>
    <b:Tag>Sor231</b:Tag>
    <b:SourceType>InternetSite</b:SourceType>
    <b:Guid>{192DD1E4-BEE0-41E9-8546-B48CB609D1AE}</b:Guid>
    <b:Title>What’s actually in the EU’s migration deal?</b:Title>
    <b:InternetSiteTitle>Politico</b:InternetSiteTitle>
    <b:Year>2023a</b:Year>
    <b:Month>June</b:Month>
    <b:Day>10</b:Day>
    <b:URL>https://www.politico.eu/article/eu-migration-deal-asylum-seekers-relocation/</b:URL>
    <b:Author>
      <b:Author>
        <b:NameList>
          <b:Person>
            <b:Last>Sorgi</b:Last>
            <b:First>Gregorio</b:First>
          </b:Person>
          <b:Person>
            <b:Last>Barigazzi</b:Last>
            <b:First>Jacopo</b:First>
          </b:Person>
        </b:NameList>
      </b:Author>
    </b:Author>
    <b:RefOrder>78</b:RefOrder>
  </b:Source>
  <b:Source>
    <b:Tag>Eur18</b:Tag>
    <b:SourceType>InternetSite</b:SourceType>
    <b:Guid>{A8534542-B340-446E-9379-5273860218DD}</b:Guid>
    <b:Title>European Border and Coast Guard: Council reaches partial agreement on returns and cooperation with third countries</b:Title>
    <b:InternetSiteTitle>European Council - Council of the European Union</b:InternetSiteTitle>
    <b:Year>2018</b:Year>
    <b:Month>December</b:Month>
    <b:Day>06</b:Day>
    <b:URL>https://www.consilium.europa.eu/en/press/press-releases/2018/12/06/european-border-and-coast-guard-council-reaches-partial-agreement-on-returns-and-cooperation-with-third-countries/</b:URL>
    <b:Author>
      <b:Author>
        <b:NameList>
          <b:Person>
            <b:Last>European Council</b:Last>
          </b:Person>
        </b:NameList>
      </b:Author>
    </b:Author>
    <b:RefOrder>79</b:RefOrder>
  </b:Source>
  <b:Source>
    <b:Tag>Wat20</b:Tag>
    <b:SourceType>InternetSite</b:SourceType>
    <b:Guid>{57DEE243-8084-44CB-865F-7BC4BFFD20B1}</b:Guid>
    <b:Title>Frontex at Fault: European Border Force Complicit in ‘Illegal’ Pushbacks</b:Title>
    <b:InternetSiteTitle>Bellingcat</b:InternetSiteTitle>
    <b:Year>2020</b:Year>
    <b:Month>October</b:Month>
    <b:Day>23</b:Day>
    <b:URL>https://www.bellingcat.com/news/2020/10/23/frontex-at-fault-european-border-force-complicit-in-illegal-pushbacks/</b:URL>
    <b:Author>
      <b:Author>
        <b:NameList>
          <b:Person>
            <b:Last>Waters</b:Last>
            <b:First>Nick</b:First>
          </b:Person>
          <b:Person>
            <b:Last>Freudenthal</b:Last>
            <b:First>Emmanuel</b:First>
          </b:Person>
          <b:Person>
            <b:Last>Williams</b:Last>
            <b:First>Logan</b:First>
          </b:Person>
        </b:NameList>
      </b:Author>
    </b:Author>
    <b:RefOrder>80</b:RefOrder>
  </b:Source>
  <b:Source>
    <b:Tag>Gal22</b:Tag>
    <b:SourceType>InternetSite</b:SourceType>
    <b:Guid>{349C8469-B05D-40F2-A19B-F1FC9CA9697C}</b:Guid>
    <b:Author>
      <b:Author>
        <b:NameList>
          <b:Person>
            <b:Last>Gall</b:Last>
            <b:First>Lydia</b:First>
          </b:Person>
        </b:NameList>
      </b:Author>
    </b:Author>
    <b:Title>EU Should Stop Illegal Migrant Pushbacks at its Borders</b:Title>
    <b:InternetSiteTitle>Human RIghts Watch</b:InternetSiteTitle>
    <b:Year>2022</b:Year>
    <b:Month>December</b:Month>
    <b:Day>08</b:Day>
    <b:URL>https://www.hrw.org/news/2022/12/08/eu-should-stop-illegal-migrant-pushbacks-its-borders</b:URL>
    <b:RefOrder>81</b:RefOrder>
  </b:Source>
  <b:Source>
    <b:Tag>Bar21</b:Tag>
    <b:SourceType>InternetSite</b:SourceType>
    <b:Guid>{514A56E2-F1FD-4CE8-B5B6-720C13C520F8}</b:Guid>
    <b:Author>
      <b:Author>
        <b:NameList>
          <b:Person>
            <b:Last>Barigazzi</b:Last>
            <b:First>Jacopo</b:First>
          </b:Person>
        </b:NameList>
      </b:Author>
    </b:Author>
    <b:Title>EU border agency suspends operations in Hungary</b:Title>
    <b:InternetSiteTitle>Politico</b:InternetSiteTitle>
    <b:Year>2021</b:Year>
    <b:Month>January</b:Month>
    <b:Day>27</b:Day>
    <b:URL>https://www.politico.eu/article/eu-border-agency-frontex-suspends-operations-in-hungary-migration/</b:URL>
    <b:RefOrder>82</b:RefOrder>
  </b:Source>
  <b:Source>
    <b:Tag>Deu22</b:Tag>
    <b:SourceType>InternetSite</b:SourceType>
    <b:Guid>{65520C3B-8AC7-4CC9-9599-DDF9AD4F93F3}</b:Guid>
    <b:Title>Baerbock seeks probe into potential pushbacks</b:Title>
    <b:InternetSiteTitle>Deutsche Welle</b:InternetSiteTitle>
    <b:Year>2022</b:Year>
    <b:Month>July</b:Month>
    <b:Day>28</b:Day>
    <b:URL>https://www.dw.com/en/greece-baerbock-calls-for-investigation-into-pushbacks-at-eu-borders/a-62631281</b:URL>
    <b:Author>
      <b:Author>
        <b:NameList>
          <b:Person>
            <b:Last>Deutsche Welle</b:Last>
          </b:Person>
        </b:NameList>
      </b:Author>
    </b:Author>
    <b:RefOrder>83</b:RefOrder>
  </b:Source>
  <b:Source>
    <b:Tag>Cor23</b:Tag>
    <b:SourceType>InternetSite</b:SourceType>
    <b:Guid>{D844CA7F-8001-42BF-B9AA-2CE6F3F91C75}</b:Guid>
    <b:Author>
      <b:Author>
        <b:NameList>
          <b:Person>
            <b:Last>Corall</b:Last>
            <b:First>Astrid</b:First>
          </b:Person>
        </b:NameList>
      </b:Author>
    </b:Author>
    <b:Title>Frontex-Chef verspricht Ende von Pushbacks</b:Title>
    <b:InternetSiteTitle>Tagesschau</b:InternetSiteTitle>
    <b:Year>2023</b:Year>
    <b:Month>January</b:Month>
    <b:Day>19</b:Day>
    <b:URL>https://www.tagesschau.de/ausland/europa/frontex-bruessel-101.html</b:URL>
    <b:RefOrder>84</b:RefOrder>
  </b:Source>
  <b:Source>
    <b:Tag>Cse18</b:Tag>
    <b:SourceType>JournalArticle</b:SourceType>
    <b:Guid>{B35A8BF2-64E1-41E4-8E13-748C1B0333EE}</b:Guid>
    <b:Title>Constructing the EU’s high-tech borders: FRONTEX and dual-use drones for border management</b:Title>
    <b:Year>2018</b:Year>
    <b:Author>
      <b:Author>
        <b:NameList>
          <b:Person>
            <b:Last>Csernatoni</b:Last>
            <b:First>Raluca</b:First>
          </b:Person>
        </b:NameList>
      </b:Author>
    </b:Author>
    <b:JournalName>European Security, 27(2)</b:JournalName>
    <b:Pages>175-200</b:Pages>
    <b:RefOrder>85</b:RefOrder>
  </b:Source>
  <b:Source>
    <b:Tag>EUG16</b:Tag>
    <b:SourceType>InternetSite</b:SourceType>
    <b:Guid>{70E43906-804C-4F2B-90C2-E7D05E229342}</b:Guid>
    <b:Title>A global strategy for the European Union’s foreign and security policy: “shared vision, common action: a stronger Europe.”</b:Title>
    <b:Year>2016</b:Year>
    <b:Author>
      <b:Author>
        <b:NameList>
          <b:Person>
            <b:Last>EUGS</b:Last>
          </b:Person>
        </b:NameList>
      </b:Author>
    </b:Author>
    <b:InternetSiteTitle>European external action service (EEAS)</b:InternetSiteTitle>
    <b:URL>https://www.eeas.europa.eu/sites/default/files/eugs_review_web_0.pdf</b:URL>
    <b:RefOrder>86</b:RefOrder>
  </b:Source>
  <b:Source>
    <b:Tag>Fro231</b:Tag>
    <b:SourceType>InternetSite</b:SourceType>
    <b:Guid>{E63148A3-4C82-4B87-BA49-B98A3AF3B78D}</b:Guid>
    <b:Author>
      <b:Author>
        <b:NameList>
          <b:Person>
            <b:Last>Frontex</b:Last>
          </b:Person>
        </b:NameList>
      </b:Author>
    </b:Author>
    <b:Title>Research and Innovation</b:Title>
    <b:InternetSiteTitle>Frontex </b:InternetSiteTitle>
    <b:Year>2023</b:Year>
    <b:URL>https://frontex.europa.eu/innovation/research-and-innovation/research-and-innovation-at-frontex/</b:URL>
    <b:RefOrder>87</b:RefOrder>
  </b:Source>
  <b:Source>
    <b:Tag>Eur163</b:Tag>
    <b:SourceType>InternetSite</b:SourceType>
    <b:Guid>{3AAFE2F4-7859-4CF9-9C00-EBE8FFC2A1F6}</b:Guid>
    <b:Title>Securing Europe’s external borders</b:Title>
    <b:InternetSiteTitle>European Commission</b:InternetSiteTitle>
    <b:Year>2016</b:Year>
    <b:URL>https://ec.europa.eu/commission/presscorner/detail/en/IP_16_3281</b:URL>
    <b:Author>
      <b:Author>
        <b:NameList>
          <b:Person>
            <b:Last>European Commission</b:Last>
          </b:Person>
        </b:NameList>
      </b:Author>
    </b:Author>
    <b:RefOrder>88</b:RefOrder>
  </b:Source>
  <b:Source>
    <b:Tag>Mon16</b:Tag>
    <b:SourceType>InternetSite</b:SourceType>
    <b:Guid>{E39736BE-8477-49F4-9456-826D78FD0810}</b:Guid>
    <b:Author>
      <b:Author>
        <b:NameList>
          <b:Person>
            <b:Last>Monroy</b:Last>
            <b:First>Matthias</b:First>
          </b:Person>
        </b:NameList>
      </b:Author>
    </b:Author>
    <b:Title>New FRONTEX agency: satellite reconnaissance and drones over the Mediterranean</b:Title>
    <b:InternetSiteTitle>Die Link</b:InternetSiteTitle>
    <b:Year>2016</b:Year>
    <b:Month>June</b:Month>
    <b:Day>10</b:Day>
    <b:URL>https://andrej-hunko.de/7-beitrag/3154-new-frontex-agency-satellite-reconnaissance-and-drones-over-the-mediterranean</b:URL>
    <b:RefOrder>89</b:RefOrder>
  </b:Source>
  <b:Source>
    <b:Tag>Lou22</b:Tag>
    <b:SourceType>JournalArticle</b:SourceType>
    <b:Guid>{DB6911F0-200F-4D19-BE68-11FFFE5DCFC7}</b:Guid>
    <b:Title>Drones for Border Surveillance: Multipurpose Use, Uncertainty and Challenges at EU Borders</b:Title>
    <b:Year>2022</b:Year>
    <b:Author>
      <b:Author>
        <b:NameList>
          <b:Person>
            <b:Last>Loukinas</b:Last>
            <b:First>Panagiotis</b:First>
          </b:Person>
        </b:NameList>
      </b:Author>
    </b:Author>
    <b:JournalName>Geopolitics, 27(1)</b:JournalName>
    <b:Pages>89-112</b:Pages>
    <b:RefOrder>90</b:RefOrder>
  </b:Source>
  <b:Source>
    <b:Tag>Maz20</b:Tag>
    <b:SourceType>InternetSite</b:SourceType>
    <b:Guid>{9C619EB1-8068-46E5-BCDA-A9E513C4D261}</b:Guid>
    <b:Title>Border surveillance, drones and militarization of the Mediterranean</b:Title>
    <b:Year>2020</b:Year>
    <b:Author>
      <b:Author>
        <b:NameList>
          <b:Person>
            <b:Last>Mazzeo</b:Last>
            <b:First>Antonio</b:First>
          </b:Person>
        </b:NameList>
      </b:Author>
    </b:Author>
    <b:InternetSiteTitle>ADIF</b:InternetSiteTitle>
    <b:Month>November</b:Month>
    <b:Day>24</b:Day>
    <b:URL>https://www.a-dif.org/2020/11/24/sorveglianza-alle-frontiere-droni-e-militarizzazione-del-mediterraneo/</b:URL>
    <b:RefOrder>91</b:RefOrder>
  </b:Source>
  <b:Source>
    <b:Tag>Mar19</b:Tag>
    <b:SourceType>JournalArticle</b:SourceType>
    <b:Guid>{35832E0D-0487-43CB-AE9B-D01E9F104C0A}</b:Guid>
    <b:Title>Hidden Security: EU Public Research Funds and the Development of European Drones</b:Title>
    <b:Year>2019</b:Year>
    <b:Author>
      <b:Author>
        <b:NameList>
          <b:Person>
            <b:Last>Martins</b:Last>
            <b:Middle>Oliveira</b:Middle>
            <b:First>Bruno</b:First>
          </b:Person>
          <b:Person>
            <b:Last>Küsters</b:Last>
            <b:First>Christian</b:First>
          </b:Person>
        </b:NameList>
      </b:Author>
    </b:Author>
    <b:JournalName>Journal of COmmon Market Studies, 57(2)</b:JournalName>
    <b:Pages>278-297</b:Pages>
    <b:RefOrder>92</b:RefOrder>
  </b:Source>
  <b:Source>
    <b:Tag>Jum16</b:Tag>
    <b:SourceType>BookSection</b:SourceType>
    <b:Guid>{E139A490-907F-44DC-9C11-B4A08F2023BD}</b:Guid>
    <b:Title>Creating the EU drone control, sorting, and search and rescue at sea</b:Title>
    <b:Year>2016</b:Year>
    <b:Pages>89-109</b:Pages>
    <b:Author>
      <b:Author>
        <b:NameList>
          <b:Person>
            <b:Last>Jumbert</b:Last>
            <b:Middle>G.</b:Middle>
            <b:First>M.</b:First>
          </b:Person>
        </b:NameList>
      </b:Author>
      <b:BookAuthor>
        <b:NameList>
          <b:Person>
            <b:Last>Sandvik</b:Last>
            <b:Middle>B.</b:Middle>
            <b:First>K.</b:First>
          </b:Person>
          <b:Person>
            <b:Last>Jumbert</b:Last>
            <b:Middle>G.</b:Middle>
            <b:First>M.</b:First>
          </b:Person>
        </b:NameList>
      </b:BookAuthor>
    </b:Author>
    <b:BookTitle>The good drone emerging technologies, ethics and international affairs</b:BookTitle>
    <b:City>London</b:City>
    <b:Publisher>Routledge</b:Publisher>
    <b:RefOrder>93</b:RefOrder>
  </b:Source>
  <b:Source>
    <b:Tag>Mar16</b:Tag>
    <b:SourceType>BookSection</b:SourceType>
    <b:Guid>{A9AFD057-168D-4043-AF70-8378D4F67CA3}</b:Guid>
    <b:Title>Deploying drones in policing southern European borders: constraints and challenges for data protection and human rights</b:Title>
    <b:BookTitle>Drones and unmanned aerial systems</b:BookTitle>
    <b:Year>2016</b:Year>
    <b:Pages>101-127</b:Pages>
    <b:Publisher>Springer International Publishing</b:Publisher>
    <b:Author>
      <b:Author>
        <b:NameList>
          <b:Person>
            <b:Last>Marin</b:Last>
            <b:First>L.</b:First>
          </b:Person>
          <b:Person>
            <b:Last>Krajčíková</b:Last>
            <b:First>K.</b:First>
          </b:Person>
        </b:NameList>
      </b:Author>
      <b:BookAuthor>
        <b:NameList>
          <b:Person>
            <b:Last>Završnik</b:Last>
            <b:First>A.</b:First>
          </b:Person>
        </b:NameList>
      </b:BookAuthor>
    </b:Author>
    <b:RefOrder>94</b:RefOrder>
  </b:Source>
  <b:Source>
    <b:Tag>Bar22</b:Tag>
    <b:SourceType>InternetSite</b:SourceType>
    <b:Guid>{881EDFCD-12DA-43D2-A3FA-C0C4BD49A848}</b:Guid>
    <b:Title>EU border agency chief resigns after critical watchdog probe</b:Title>
    <b:Year>2022</b:Year>
    <b:Author>
      <b:Author>
        <b:NameList>
          <b:Person>
            <b:Last>Barigazzi</b:Last>
            <b:First>Jacopo</b:First>
          </b:Person>
          <b:Person>
            <b:Last>Lynch</b:Last>
            <b:First>Suzanne</b:First>
          </b:Person>
        </b:NameList>
      </b:Author>
    </b:Author>
    <b:InternetSiteTitle>Politico</b:InternetSiteTitle>
    <b:Month>April</b:Month>
    <b:URL>https://www.politico.eu/article/eu-border-agency-fabrice-leggeri-resigns-watchdog-probe-findings-released-misconduct/?utm_source=email&amp;utm_medium=alert&amp;utm_campaign=EU%20border%20agency%20chief%20resigns%20after%20watchdog%20probe%20findings%20released&amp;ut</b:URL>
    <b:RefOrder>95</b:RefOrder>
  </b:Source>
  <b:Source>
    <b:Tag>Win15</b:Tag>
    <b:SourceType>Report</b:SourceType>
    <b:Guid>{B695668B-A15A-4BFE-A1E0-D4FD4101BE8B}</b:Guid>
    <b:Title>The Choice for Differentiated Europe: Why European Member States Opt out of Integration</b:Title>
    <b:Year>2015</b:Year>
    <b:City>Zurich</b:City>
    <b:Publisher>Center for Comparative and International Studies</b:Publisher>
    <b:Author>
      <b:Author>
        <b:NameList>
          <b:Person>
            <b:Last>Winzen</b:Last>
            <b:First>Thomas</b:First>
          </b:Person>
          <b:Person>
            <b:Last>Schimmelfennig</b:Last>
            <b:First>Frank</b:First>
          </b:Person>
        </b:NameList>
      </b:Author>
    </b:Author>
    <b:RefOrder>96</b:RefOrder>
  </b:Source>
  <b:Source>
    <b:Tag>Chr</b:Tag>
    <b:SourceType>JournalArticle</b:SourceType>
    <b:Guid>{02BE85E6-04AB-44CF-8FFE-C00AC8F1045F}</b:Guid>
    <b:Title>Administrative capacity, structural choice and the creation of EU agencies</b:Title>
    <b:JournalName>Journal of European Public Policy, 17(2)</b:JournalName>
    <b:Author>
      <b:Author>
        <b:NameList>
          <b:Person>
            <b:Last>Christensen</b:Last>
            <b:Middle>Grønnegaard</b:Middle>
            <b:First>Jørgen</b:First>
          </b:Person>
          <b:Person>
            <b:Last>Nielsen</b:Last>
            <b:Middle>Lehmann</b:Middle>
            <b:First>Vibeke</b:First>
          </b:Person>
        </b:NameList>
      </b:Author>
    </b:Author>
    <b:Year>2010</b:Year>
    <b:Pages>176-204</b:Pages>
    <b:RefOrder>97</b:RefOrder>
  </b:Source>
  <b:Source>
    <b:Tag>Kle18</b:Tag>
    <b:SourceType>JournalArticle</b:SourceType>
    <b:Guid>{98CB7BA5-DD26-4718-B4C4-269D025B385C}</b:Guid>
    <b:Title>Partial priming: how issue news shapes issue saliency, which shapes turnout but not the vote</b:Title>
    <b:JournalName>Acta Polit, 53</b:JournalName>
    <b:Year>2018</b:Year>
    <b:Pages>569-589</b:Pages>
    <b:Author>
      <b:Author>
        <b:NameList>
          <b:Person>
            <b:Last>Kleinnijenhuis</b:Last>
            <b:First>Jan</b:First>
          </b:Person>
          <b:Person>
            <b:Last>van Atteveldt</b:Last>
            <b:First>Wouter</b:First>
          </b:Person>
          <b:Person>
            <b:Last>Dekkers</b:Last>
            <b:First>Vera</b:First>
          </b:Person>
        </b:NameList>
      </b:Author>
    </b:Author>
    <b:RefOrder>98</b:RefOrder>
  </b:Source>
  <b:Source>
    <b:Tag>Ove19</b:Tag>
    <b:SourceType>JournalArticle</b:SourceType>
    <b:Guid>{FF077B2B-261D-4F34-848E-DA0A574F2C91}</b:Guid>
    <b:Title>A Multidimensional Reputation Barometer for Public Agencies: A Validated Instrument</b:Title>
    <b:JournalName>Public Administration Review, 80(3)</b:JournalName>
    <b:Year>2019</b:Year>
    <b:Pages>415-425</b:Pages>
    <b:Author>
      <b:Author>
        <b:NameList>
          <b:Person>
            <b:Last>Overman</b:Last>
            <b:First>Sjors</b:First>
          </b:Person>
          <b:Person>
            <b:Last>Busuioc</b:Last>
            <b:First>Madalina</b:First>
          </b:Person>
          <b:Person>
            <b:Last>Wood</b:Last>
            <b:First>Matthew</b:First>
          </b:Person>
        </b:NameList>
      </b:Author>
    </b:Author>
    <b:RefOrder>99</b:RefOrder>
  </b:Source>
  <b:Source>
    <b:Tag>Sta23</b:Tag>
    <b:SourceType>InternetSite</b:SourceType>
    <b:Guid>{53736E49-F8D5-463C-AB17-E6BE8A4BB72B}</b:Guid>
    <b:Title>Greek parties halt election campaign after dozens of migrants drown</b:Title>
    <b:Year>2023</b:Year>
    <b:Author>
      <b:Author>
        <b:NameList>
          <b:Person>
            <b:Last>Stamouli</b:Last>
            <b:First>Nektaria</b:First>
          </b:Person>
        </b:NameList>
      </b:Author>
    </b:Author>
    <b:InternetSiteTitle>Politico </b:InternetSiteTitle>
    <b:Month>June </b:Month>
    <b:Day>14</b:Day>
    <b:URL>https://www.politico.eu/article/greek-parties-halt-election-campaign-after-dozens-of-migrants-drown/</b:URL>
    <b:RefOrder>100</b:RefOrder>
  </b:Source>
  <b:Source>
    <b:Tag>Wal16</b:Tag>
    <b:SourceType>JournalArticle</b:SourceType>
    <b:Guid>{80C00F55-9676-4026-ADE6-0279C56442CF}</b:Guid>
    <b:Title>Just &amp; Unjust Targeted Killing &amp; Drone Warfare</b:Title>
    <b:Year>2016</b:Year>
    <b:Pages>12-24</b:Pages>
    <b:Author>
      <b:Author>
        <b:NameList>
          <b:Person>
            <b:Last>Walzer</b:Last>
            <b:First>Michael</b:First>
          </b:Person>
        </b:NameList>
      </b:Author>
    </b:Author>
    <b:JournalName>Daedalus 145(4)</b:JournalName>
    <b:RefOrder>101</b:RefOrder>
  </b:Source>
  <b:Source>
    <b:Tag>Car15</b:Tag>
    <b:SourceType>BookSection</b:SourceType>
    <b:Guid>{C6AA7333-457F-434B-BD72-6F331919FC91}</b:Guid>
    <b:Author>
      <b:Author>
        <b:NameList>
          <b:Person>
            <b:Last>Carpenter</b:Last>
            <b:First>Angela</b:First>
          </b:Person>
        </b:NameList>
      </b:Author>
      <b:BookAuthor>
        <b:NameList>
          <b:Person>
            <b:Last>Carpenter</b:Last>
            <b:First>Angela</b:First>
          </b:Person>
        </b:NameList>
      </b:BookAuthor>
    </b:Author>
    <b:Title>European Maritime Safety Agency CleanSeaNet Activities in the North Sea</b:Title>
    <b:Year>2015</b:Year>
    <b:Pages>33-47</b:Pages>
    <b:BookTitle> Oil Pollution in the North Sea. The Handbook of Environmental Chemistry, 41</b:BookTitle>
    <b:Publisher>Springer</b:Publisher>
    <b:RefOrder>102</b:RefOrder>
  </b:Source>
  <b:Source>
    <b:Tag>van1a</b:Tag>
    <b:SourceType>InternetSite</b:SourceType>
    <b:Guid>{D43CDAE0-89B4-4E7E-860E-479F97A8631A}</b:Guid>
    <b:Author>
      <b:Author>
        <b:NameList>
          <b:Person>
            <b:Last>von der Burchard</b:Last>
            <b:First>Hans</b:First>
          </b:Person>
        </b:NameList>
      </b:Author>
    </b:Author>
    <b:Title>EU Commission VP Schinas defends border agency Frontex</b:Title>
    <b:InternetSiteTitle>Politico</b:InternetSiteTitle>
    <b:Year>2021</b:Year>
    <b:Month>February</b:Month>
    <b:Day>25</b:Day>
    <b:URL>https://www.politico.eu/article/european-commission-vice-president-margaritis-schinas-defends-frontex-migration-asylum-strategy/</b:URL>
    <b:RefOrder>103</b:RefOrder>
  </b:Source>
  <b:Source>
    <b:Tag>von21</b:Tag>
    <b:SourceType>InternetSite</b:SourceType>
    <b:Guid>{DD9FDE7B-80DB-4312-B8B1-99422DB60810}</b:Guid>
    <b:Author>
      <b:Author>
        <b:NameList>
          <b:Person>
            <b:Last>von der Burchard</b:Last>
            <b:First>Hans</b:First>
          </b:Person>
        </b:NameList>
      </b:Author>
    </b:Author>
    <b:Title>Frontex neglected evidence of potential migrant pushbacks, says Parliament report</b:Title>
    <b:InternetSiteTitle>Politico</b:InternetSiteTitle>
    <b:Year>2021a</b:Year>
    <b:Month>July</b:Month>
    <b:Day>14</b:Day>
    <b:URL>https://www.politico.eu/article/europe-migration-frontex-pushbacks-illegal-parliament-report/</b:URL>
    <b:RefOrder>104</b:RefOrder>
  </b:Source>
  <b:Source>
    <b:Tag>Bra15</b:Tag>
    <b:SourceType>JournalArticle</b:SourceType>
    <b:Guid>{7051F837-326F-4783-96CE-AC8BE2164475}</b:Guid>
    <b:Title>Introduction: Euroscepticism from the margins to the maintstream</b:Title>
    <b:Year>2015</b:Year>
    <b:Pages>239-249</b:Pages>
    <b:JournalName>International Political Science Review, 36(3)</b:JournalName>
    <b:Author>
      <b:Author>
        <b:NameList>
          <b:Person>
            <b:Last>Brack</b:Last>
            <b:First>N.</b:First>
          </b:Person>
          <b:Person>
            <b:Last>Startin</b:Last>
            <b:First>N. </b:First>
          </b:Person>
        </b:NameList>
      </b:Author>
    </b:Author>
    <b:RefOrder>105</b:RefOrder>
  </b:Source>
  <b:Source>
    <b:Tag>Cal22</b:Tag>
    <b:SourceType>JournalArticle</b:SourceType>
    <b:Guid>{8CC00314-53DA-4431-B47F-2A150C003151}</b:Guid>
    <b:Author>
      <b:Author>
        <b:NameList>
          <b:Person>
            <b:Last>Caligiuri</b:Last>
            <b:First>Andrea</b:First>
          </b:Person>
        </b:NameList>
      </b:Author>
    </b:Author>
    <b:Title>Migration routes through the Adriatic Sea and the Aegean Sea: Comparing two experiences</b:Title>
    <b:JournalName>Editoriale Scientifica</b:JournalName>
    <b:Year>2022</b:Year>
    <b:Pages>107-122</b:Pages>
    <b:RefOrder>106</b:RefOrder>
  </b:Source>
  <b:Source>
    <b:Tag>na21</b:Tag>
    <b:SourceType>ArticleInAPeriodical</b:SourceType>
    <b:Guid>{E0191AA7-EEDB-4B3C-8033-548F508D8966}</b:Guid>
    <b:Author>
      <b:Author>
        <b:NameList>
          <b:Person>
            <b:Last>n.a.</b:Last>
          </b:Person>
        </b:NameList>
      </b:Author>
    </b:Author>
    <b:Title>The EU's borders - Wire transfer</b:Title>
    <b:JournalName>The Economist</b:JournalName>
    <b:Year>2021</b:Year>
    <b:Pages>30</b:Pages>
    <b:PeriodicalTitle>The Economist</b:PeriodicalTitle>
    <b:Month>October</b:Month>
    <b:Day>30</b:Day>
    <b:RefOrder>107</b:RefOrder>
  </b:Source>
  <b:Source>
    <b:Tag>na22</b:Tag>
    <b:SourceType>InternetSite</b:SourceType>
    <b:Guid>{1B3CFDF6-6F5F-432D-AC82-1F0A174F7048}</b:Guid>
    <b:Author>
      <b:Author>
        <b:NameList>
          <b:Person>
            <b:Last>n.a.</b:Last>
          </b:Person>
        </b:NameList>
      </b:Author>
    </b:Author>
    <b:Title>Polen will Grenzzaun zu Belarus Ende Juni fertigstellen</b:Title>
    <b:PeriodicalTitle>Zeit Online</b:PeriodicalTitle>
    <b:Year>2022</b:Year>
    <b:Month>June</b:Month>
    <b:Day>12</b:Day>
    <b:InternetSiteTitle>Zeit Online</b:InternetSiteTitle>
    <b:URL>https://www.zeit.de/politik/ausland/2022-06/eu-aussengrenze-polen-belarus-grenzzaun</b:URL>
    <b:RefOrder>108</b:RefOrder>
  </b:Source>
  <b:Source>
    <b:Tag>Bor22</b:Tag>
    <b:SourceType>InternetSite</b:SourceType>
    <b:Guid>{6F5CF404-93F4-45F1-A097-197F0E2C2597}</b:Guid>
    <b:Author>
      <b:Author>
        <b:NameList>
          <b:Person>
            <b:Last>Born</b:Last>
            <b:First>Carolin</b:First>
          </b:Person>
        </b:NameList>
      </b:Author>
    </b:Author>
    <b:Title>Abschottung Europas - Grenzzäune auf EU-Kosten</b:Title>
    <b:InternetSiteTitle>Deutschlandfunk</b:InternetSiteTitle>
    <b:Year>2022</b:Year>
    <b:Month>Febuary </b:Month>
    <b:Day>03</b:Day>
    <b:URL>https://www.deutschlandfunk.de/grenzen-in-europa-100.html</b:URL>
    <b:RefOrder>109</b:RefOrder>
  </b:Source>
</b:Sources>
</file>

<file path=customXml/itemProps1.xml><?xml version="1.0" encoding="utf-8"?>
<ds:datastoreItem xmlns:ds="http://schemas.openxmlformats.org/officeDocument/2006/customXml" ds:itemID="{EC15C20B-D601-4EA6-8F57-B68FDC21C0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52392-f434-443d-9711-705d8f71a2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BFC535E-8D1F-43D1-BFF7-B7596BA46AC3}">
  <ds:schemaRefs>
    <ds:schemaRef ds:uri="http://schemas.microsoft.com/office/2006/metadata/properties"/>
    <ds:schemaRef ds:uri="http://schemas.microsoft.com/office/infopath/2007/PartnerControls"/>
    <ds:schemaRef ds:uri="69a52392-f434-443d-9711-705d8f71a21b"/>
  </ds:schemaRefs>
</ds:datastoreItem>
</file>

<file path=customXml/itemProps3.xml><?xml version="1.0" encoding="utf-8"?>
<ds:datastoreItem xmlns:ds="http://schemas.openxmlformats.org/officeDocument/2006/customXml" ds:itemID="{5B5FB7F9-97E6-44F1-AC0E-193023737062}">
  <ds:schemaRefs>
    <ds:schemaRef ds:uri="http://schemas.microsoft.com/sharepoint/v3/contenttype/forms"/>
  </ds:schemaRefs>
</ds:datastoreItem>
</file>

<file path=customXml/itemProps4.xml><?xml version="1.0" encoding="utf-8"?>
<ds:datastoreItem xmlns:ds="http://schemas.openxmlformats.org/officeDocument/2006/customXml" ds:itemID="{A463DE1B-1545-4522-BA09-4EE7221A25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27739</Words>
  <Characters>158118</Characters>
  <Application>Microsoft Office Word</Application>
  <DocSecurity>0</DocSecurity>
  <Lines>1317</Lines>
  <Paragraphs>370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Abel, A. (Anna)</dc:creator>
  <cp:keywords/>
  <dc:description/>
  <cp:lastModifiedBy>Abel, A. (Anna)</cp:lastModifiedBy>
  <cp:revision>1255</cp:revision>
  <dcterms:created xsi:type="dcterms:W3CDTF">2023-06-07T13:23:00Z</dcterms:created>
  <dcterms:modified xsi:type="dcterms:W3CDTF">2023-06-22T14:37:00Z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0x0101002DABA5CD80398148976CBE85CCD698A3</vt:lpwstr>
  </property>
</Properties>
</file>