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5DE" w:rsidRPr="00E265DE" w:rsidRDefault="00E265DE" w:rsidP="0040375D">
      <w:pPr>
        <w:spacing w:line="360" w:lineRule="auto"/>
        <w:jc w:val="center"/>
        <w:rPr>
          <w:rFonts w:ascii="Times New Roman" w:eastAsia="Times New Roman" w:hAnsi="Times New Roman"/>
          <w:b w:val="0"/>
          <w:bCs/>
          <w:sz w:val="24"/>
          <w:szCs w:val="24"/>
        </w:rPr>
      </w:pPr>
      <w:r>
        <w:rPr>
          <w:rFonts w:ascii="Calibri" w:eastAsia="Times New Roman" w:hAnsi="Calibri"/>
          <w:color w:val="000000"/>
          <w:sz w:val="52"/>
          <w:szCs w:val="52"/>
        </w:rPr>
        <w:t>Environmental mainstreaming in the World Bank: Rio and beyond</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jc w:val="center"/>
        <w:rPr>
          <w:rFonts w:ascii="Times New Roman" w:eastAsia="Times New Roman" w:hAnsi="Times New Roman"/>
          <w:b w:val="0"/>
          <w:bCs/>
          <w:sz w:val="24"/>
          <w:szCs w:val="24"/>
        </w:rPr>
      </w:pPr>
      <w:r>
        <w:rPr>
          <w:rFonts w:ascii="Calibri" w:eastAsia="Times New Roman" w:hAnsi="Calibri"/>
          <w:i/>
          <w:iCs/>
          <w:color w:val="000000"/>
        </w:rPr>
        <w:t xml:space="preserve">A </w:t>
      </w:r>
      <w:r w:rsidRPr="00E265DE">
        <w:rPr>
          <w:rFonts w:ascii="Calibri" w:eastAsia="Times New Roman" w:hAnsi="Calibri"/>
          <w:i/>
          <w:iCs/>
          <w:color w:val="000000"/>
        </w:rPr>
        <w:t xml:space="preserve">study on the </w:t>
      </w:r>
      <w:r>
        <w:rPr>
          <w:rFonts w:ascii="Calibri" w:eastAsia="Times New Roman" w:hAnsi="Calibri"/>
          <w:i/>
          <w:iCs/>
          <w:color w:val="000000"/>
        </w:rPr>
        <w:t>Mainstreaming</w:t>
      </w:r>
      <w:r w:rsidRPr="00E265DE">
        <w:rPr>
          <w:rFonts w:ascii="Calibri" w:eastAsia="Times New Roman" w:hAnsi="Calibri"/>
          <w:i/>
          <w:iCs/>
          <w:color w:val="000000"/>
        </w:rPr>
        <w:t xml:space="preserve"> </w:t>
      </w:r>
      <w:r>
        <w:rPr>
          <w:rFonts w:ascii="Calibri" w:eastAsia="Times New Roman" w:hAnsi="Calibri"/>
          <w:i/>
          <w:iCs/>
          <w:color w:val="000000"/>
        </w:rPr>
        <w:t xml:space="preserve">and Translation </w:t>
      </w:r>
      <w:r w:rsidRPr="00E265DE">
        <w:rPr>
          <w:rFonts w:ascii="Calibri" w:eastAsia="Times New Roman" w:hAnsi="Calibri"/>
          <w:i/>
          <w:iCs/>
          <w:color w:val="000000"/>
        </w:rPr>
        <w:t>of Environmental Norms by the World Bank</w:t>
      </w:r>
    </w:p>
    <w:p w:rsidR="00E265DE" w:rsidRPr="00E265DE" w:rsidRDefault="00E265DE" w:rsidP="0040375D">
      <w:pPr>
        <w:spacing w:after="240" w:line="360" w:lineRule="auto"/>
        <w:rPr>
          <w:rFonts w:ascii="Times New Roman" w:eastAsia="Times New Roman" w:hAnsi="Times New Roman"/>
          <w:b w:val="0"/>
          <w:bCs/>
          <w:sz w:val="24"/>
          <w:szCs w:val="24"/>
        </w:rPr>
      </w:pPr>
    </w:p>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color w:val="000000"/>
        </w:rPr>
        <w:t>Radboud University Nijmegen – Department of Political Sciences</w:t>
      </w:r>
    </w:p>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b w:val="0"/>
          <w:bCs/>
          <w:color w:val="000000"/>
        </w:rPr>
        <w:t>Master Thesis in Political Science – International Relations</w:t>
      </w:r>
    </w:p>
    <w:p w:rsidR="00E265DE" w:rsidRPr="00E265DE" w:rsidRDefault="00E265DE" w:rsidP="0040375D">
      <w:pPr>
        <w:spacing w:after="240" w:line="360" w:lineRule="auto"/>
        <w:rPr>
          <w:rFonts w:ascii="Times New Roman" w:eastAsia="Times New Roman" w:hAnsi="Times New Roman"/>
          <w:b w:val="0"/>
          <w:bCs/>
          <w:sz w:val="24"/>
          <w:szCs w:val="24"/>
        </w:rPr>
      </w:pPr>
    </w:p>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color w:val="000000"/>
        </w:rPr>
        <w:t xml:space="preserve">Supervisor: </w:t>
      </w:r>
      <w:r w:rsidRPr="00E265DE">
        <w:rPr>
          <w:rFonts w:ascii="Calibri" w:eastAsia="Times New Roman" w:hAnsi="Calibri"/>
          <w:b w:val="0"/>
          <w:bCs/>
          <w:color w:val="000000"/>
        </w:rPr>
        <w:t>J.M. Joachim, Ph.D.</w:t>
      </w:r>
    </w:p>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color w:val="000000"/>
        </w:rPr>
        <w:t>Author:</w:t>
      </w:r>
      <w:r w:rsidRPr="00E265DE">
        <w:rPr>
          <w:rFonts w:ascii="Calibri" w:eastAsia="Times New Roman" w:hAnsi="Calibri"/>
          <w:b w:val="0"/>
          <w:bCs/>
          <w:color w:val="000000"/>
        </w:rPr>
        <w:t xml:space="preserve"> N. Kusters, LLB BSc</w:t>
      </w:r>
    </w:p>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color w:val="000000"/>
        </w:rPr>
        <w:t>Student number:</w:t>
      </w:r>
      <w:r w:rsidRPr="00E265DE">
        <w:rPr>
          <w:rFonts w:ascii="Calibri" w:eastAsia="Times New Roman" w:hAnsi="Calibri"/>
          <w:b w:val="0"/>
          <w:bCs/>
          <w:color w:val="000000"/>
        </w:rPr>
        <w:t xml:space="preserve"> 4234650</w:t>
      </w:r>
    </w:p>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b w:val="0"/>
          <w:bCs/>
          <w:color w:val="000000"/>
        </w:rPr>
        <w:t>2017-2018</w:t>
      </w:r>
    </w:p>
    <w:p w:rsidR="00E265DE" w:rsidRPr="00E265DE" w:rsidRDefault="00E265DE" w:rsidP="0040375D">
      <w:pPr>
        <w:spacing w:after="240"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Abstract:</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World Bank has been implementing environmental norms into its policy since the 1970s. In this research, a case study into World Bank policy is conducted, using a combination of process tracing analysis and content analysis to study the development of environmental norm mainstreaming within the organisation. Around the signing of the Kyoto protocol, the World Bank was already mainstreaming these norms into its policy</w:t>
      </w:r>
      <w:r>
        <w:rPr>
          <w:rFonts w:ascii="Calibri" w:eastAsia="Times New Roman" w:hAnsi="Calibri"/>
          <w:b w:val="0"/>
          <w:bCs/>
          <w:color w:val="000000"/>
        </w:rPr>
        <w:t>, having reached a transformational outcome of mainstreaming</w:t>
      </w:r>
      <w:r w:rsidRPr="00E265DE">
        <w:rPr>
          <w:rFonts w:ascii="Calibri" w:eastAsia="Times New Roman" w:hAnsi="Calibri"/>
          <w:b w:val="0"/>
          <w:bCs/>
          <w:color w:val="000000"/>
        </w:rPr>
        <w:t xml:space="preserve">. The Paris Agreement has not resulted in a radical shift in this mainstreaming trend. World Bank policy has, however, become increasingly demand-side based since the Paris Agreement. Ever since the beginning of the implementation of environmental norms into its policy, the World Bank has been explaining these norms in economic terms, applying neo-liberal and market-based instruments to implement them into policy. This norm translation in economic terms has apparently caught on, as ever more countries make use of similar methods to implement environmental norms. This does not mean that the World Bank explains international treaties on the environment purely according to its own logic, however, as many of these treaties have become increasingly economic as well over the years. </w:t>
      </w:r>
      <w:r>
        <w:rPr>
          <w:rFonts w:ascii="Calibri" w:eastAsia="Times New Roman" w:hAnsi="Calibri"/>
          <w:b w:val="0"/>
          <w:bCs/>
          <w:color w:val="000000"/>
        </w:rPr>
        <w:t xml:space="preserve">The World Bank has merely added on to rather elusive treaties in earlier time periods, by interpreting the norms through an economic lens. </w:t>
      </w:r>
    </w:p>
    <w:p w:rsidR="00E265DE" w:rsidRDefault="00E265DE" w:rsidP="0040375D">
      <w:pPr>
        <w:spacing w:line="360" w:lineRule="auto"/>
        <w:rPr>
          <w:rFonts w:ascii="Calibri" w:eastAsia="Times New Roman" w:hAnsi="Calibri"/>
          <w:color w:val="000000"/>
        </w:rPr>
      </w:pPr>
      <w:r>
        <w:rPr>
          <w:rFonts w:ascii="Calibri" w:eastAsia="Times New Roman" w:hAnsi="Calibri"/>
          <w:color w:val="000000"/>
        </w:rPr>
        <w:br w:type="page"/>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Contents</w:t>
      </w:r>
    </w:p>
    <w:p w:rsidR="00E265DE" w:rsidRPr="00E265DE" w:rsidRDefault="00E265DE" w:rsidP="0040375D">
      <w:pPr>
        <w:spacing w:line="360" w:lineRule="auto"/>
        <w:rPr>
          <w:rFonts w:ascii="Times New Roman" w:eastAsia="Times New Roman" w:hAnsi="Times New Roman"/>
          <w:b w:val="0"/>
          <w:bCs/>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4836"/>
        <w:gridCol w:w="419"/>
      </w:tblGrid>
      <w:tr w:rsidR="00E265DE" w:rsidRPr="00E265DE" w:rsidTr="00E265DE">
        <w:tc>
          <w:tcPr>
            <w:tcW w:w="0" w:type="auto"/>
            <w:tcMar>
              <w:top w:w="0" w:type="dxa"/>
              <w:left w:w="108" w:type="dxa"/>
              <w:bottom w:w="0" w:type="dxa"/>
              <w:right w:w="108" w:type="dxa"/>
            </w:tcMar>
            <w:hideMark/>
          </w:tcPr>
          <w:p w:rsidR="00E265DE" w:rsidRPr="00E265DE" w:rsidRDefault="00E265DE" w:rsidP="001179BB">
            <w:pPr>
              <w:numPr>
                <w:ilvl w:val="0"/>
                <w:numId w:val="1"/>
              </w:numPr>
              <w:tabs>
                <w:tab w:val="clear" w:pos="360"/>
                <w:tab w:val="num" w:pos="709"/>
              </w:tabs>
              <w:spacing w:line="360" w:lineRule="auto"/>
              <w:ind w:left="709" w:hanging="709"/>
              <w:textAlignment w:val="baseline"/>
              <w:rPr>
                <w:rFonts w:ascii="Calibri" w:eastAsia="Times New Roman" w:hAnsi="Calibri"/>
                <w:b w:val="0"/>
                <w:bCs/>
                <w:color w:val="000000"/>
              </w:rPr>
            </w:pPr>
            <w:r w:rsidRPr="00E265DE">
              <w:rPr>
                <w:rFonts w:ascii="Calibri" w:eastAsia="Times New Roman" w:hAnsi="Calibri"/>
                <w:b w:val="0"/>
                <w:bCs/>
                <w:color w:val="000000"/>
              </w:rPr>
              <w:t>Introduction</w:t>
            </w:r>
          </w:p>
          <w:p w:rsidR="00E265DE" w:rsidRPr="0040375D" w:rsidRDefault="00E265DE" w:rsidP="001F490E">
            <w:pPr>
              <w:pStyle w:val="ListParagraph"/>
              <w:numPr>
                <w:ilvl w:val="1"/>
                <w:numId w:val="32"/>
              </w:numPr>
              <w:spacing w:line="360" w:lineRule="auto"/>
              <w:textAlignment w:val="baseline"/>
              <w:rPr>
                <w:rFonts w:ascii="Calibri" w:eastAsia="Times New Roman" w:hAnsi="Calibri"/>
                <w:b w:val="0"/>
                <w:bCs/>
                <w:color w:val="000000"/>
              </w:rPr>
            </w:pPr>
            <w:r w:rsidRPr="0040375D">
              <w:rPr>
                <w:rFonts w:ascii="Calibri" w:eastAsia="Times New Roman" w:hAnsi="Calibri"/>
                <w:b w:val="0"/>
                <w:bCs/>
                <w:color w:val="000000"/>
              </w:rPr>
              <w:t>Research question</w:t>
            </w:r>
          </w:p>
          <w:p w:rsidR="00E265DE" w:rsidRPr="0040375D" w:rsidRDefault="00E265DE" w:rsidP="001F490E">
            <w:pPr>
              <w:pStyle w:val="ListParagraph"/>
              <w:numPr>
                <w:ilvl w:val="1"/>
                <w:numId w:val="32"/>
              </w:numPr>
              <w:spacing w:line="360" w:lineRule="auto"/>
              <w:textAlignment w:val="baseline"/>
              <w:rPr>
                <w:rFonts w:ascii="Calibri" w:eastAsia="Times New Roman" w:hAnsi="Calibri"/>
                <w:b w:val="0"/>
                <w:bCs/>
                <w:color w:val="000000"/>
              </w:rPr>
            </w:pPr>
            <w:r w:rsidRPr="0040375D">
              <w:rPr>
                <w:rFonts w:ascii="Calibri" w:eastAsia="Times New Roman" w:hAnsi="Calibri"/>
                <w:b w:val="0"/>
                <w:bCs/>
                <w:color w:val="000000"/>
              </w:rPr>
              <w:t>Relevance</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E265DE" w:rsidP="0040375D">
            <w:pPr>
              <w:spacing w:line="360" w:lineRule="auto"/>
              <w:jc w:val="right"/>
              <w:rPr>
                <w:rFonts w:ascii="Times New Roman" w:eastAsia="Times New Roman" w:hAnsi="Times New Roman"/>
                <w:b w:val="0"/>
                <w:bCs/>
                <w:sz w:val="24"/>
                <w:szCs w:val="24"/>
              </w:rPr>
            </w:pPr>
            <w:r w:rsidRPr="00E265DE">
              <w:rPr>
                <w:rFonts w:ascii="Calibri" w:eastAsia="Times New Roman" w:hAnsi="Calibri"/>
                <w:b w:val="0"/>
                <w:bCs/>
                <w:color w:val="000000"/>
              </w:rPr>
              <w:t>3</w:t>
            </w:r>
          </w:p>
          <w:p w:rsidR="00E265DE" w:rsidRPr="00E265DE" w:rsidRDefault="0040375D"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5</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6</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Theoretical framework</w:t>
            </w:r>
          </w:p>
          <w:p w:rsidR="00E265DE" w:rsidRPr="0040375D" w:rsidRDefault="00E265DE" w:rsidP="001F490E">
            <w:pPr>
              <w:pStyle w:val="ListParagraph"/>
              <w:numPr>
                <w:ilvl w:val="1"/>
                <w:numId w:val="34"/>
              </w:numPr>
              <w:spacing w:line="360" w:lineRule="auto"/>
              <w:textAlignment w:val="baseline"/>
              <w:rPr>
                <w:rFonts w:ascii="Calibri" w:eastAsia="Times New Roman" w:hAnsi="Calibri"/>
                <w:b w:val="0"/>
                <w:bCs/>
                <w:color w:val="000000"/>
              </w:rPr>
            </w:pPr>
            <w:r w:rsidRPr="0040375D">
              <w:rPr>
                <w:rFonts w:ascii="Calibri" w:eastAsia="Times New Roman" w:hAnsi="Calibri"/>
                <w:b w:val="0"/>
                <w:bCs/>
                <w:color w:val="000000"/>
              </w:rPr>
              <w:t>Norms: categories and definitions</w:t>
            </w:r>
          </w:p>
          <w:p w:rsidR="00E265DE" w:rsidRPr="0040375D" w:rsidRDefault="00E265DE" w:rsidP="001F490E">
            <w:pPr>
              <w:pStyle w:val="ListParagraph"/>
              <w:numPr>
                <w:ilvl w:val="1"/>
                <w:numId w:val="34"/>
              </w:numPr>
              <w:spacing w:line="360" w:lineRule="auto"/>
              <w:textAlignment w:val="baseline"/>
              <w:rPr>
                <w:rFonts w:ascii="Calibri" w:eastAsia="Times New Roman" w:hAnsi="Calibri"/>
                <w:b w:val="0"/>
                <w:bCs/>
                <w:color w:val="000000"/>
              </w:rPr>
            </w:pPr>
            <w:r w:rsidRPr="0040375D">
              <w:rPr>
                <w:rFonts w:ascii="Calibri" w:eastAsia="Times New Roman" w:hAnsi="Calibri"/>
                <w:b w:val="0"/>
                <w:bCs/>
                <w:color w:val="000000"/>
              </w:rPr>
              <w:t>Norm mainstreaming</w:t>
            </w:r>
          </w:p>
          <w:p w:rsidR="00E265DE" w:rsidRPr="00E265DE" w:rsidRDefault="00E265DE" w:rsidP="001F490E">
            <w:pPr>
              <w:numPr>
                <w:ilvl w:val="1"/>
                <w:numId w:val="34"/>
              </w:numPr>
              <w:spacing w:line="360" w:lineRule="auto"/>
              <w:ind w:left="1080"/>
              <w:textAlignment w:val="baseline"/>
              <w:rPr>
                <w:rFonts w:ascii="Calibri" w:eastAsia="Times New Roman" w:hAnsi="Calibri"/>
                <w:b w:val="0"/>
                <w:bCs/>
                <w:color w:val="000000"/>
              </w:rPr>
            </w:pPr>
            <w:r w:rsidRPr="00E265DE">
              <w:rPr>
                <w:rFonts w:ascii="Calibri" w:eastAsia="Times New Roman" w:hAnsi="Calibri"/>
                <w:b w:val="0"/>
                <w:bCs/>
                <w:color w:val="000000"/>
              </w:rPr>
              <w:t xml:space="preserve">Norm </w:t>
            </w:r>
            <w:r w:rsidR="0040375D">
              <w:rPr>
                <w:rFonts w:ascii="Calibri" w:eastAsia="Times New Roman" w:hAnsi="Calibri"/>
                <w:b w:val="0"/>
                <w:bCs/>
                <w:color w:val="000000"/>
              </w:rPr>
              <w:t>translation</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8</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Times New Roman" w:eastAsia="Times New Roman" w:hAnsi="Times New Roman"/>
                <w:b w:val="0"/>
                <w:bCs/>
                <w:sz w:val="24"/>
                <w:szCs w:val="24"/>
              </w:rPr>
              <w:t>8</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9</w:t>
            </w:r>
          </w:p>
          <w:p w:rsidR="00E265DE" w:rsidRPr="00E265DE" w:rsidRDefault="0040375D"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1</w:t>
            </w:r>
            <w:r w:rsidR="001179BB">
              <w:rPr>
                <w:rFonts w:ascii="Calibri" w:eastAsia="Times New Roman" w:hAnsi="Calibri"/>
                <w:b w:val="0"/>
                <w:bCs/>
                <w:color w:val="000000"/>
              </w:rPr>
              <w:t>4</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3"/>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Methodology</w:t>
            </w:r>
          </w:p>
          <w:p w:rsidR="00E265DE" w:rsidRPr="001179BB" w:rsidRDefault="00E265DE" w:rsidP="001F490E">
            <w:pPr>
              <w:pStyle w:val="ListParagraph"/>
              <w:numPr>
                <w:ilvl w:val="1"/>
                <w:numId w:val="38"/>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Case justification</w:t>
            </w:r>
          </w:p>
          <w:p w:rsidR="00E265DE" w:rsidRPr="001179BB" w:rsidRDefault="00E265DE" w:rsidP="001F490E">
            <w:pPr>
              <w:pStyle w:val="ListParagraph"/>
              <w:numPr>
                <w:ilvl w:val="1"/>
                <w:numId w:val="38"/>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Process tracing</w:t>
            </w:r>
          </w:p>
          <w:p w:rsidR="00E265DE" w:rsidRPr="00E265DE" w:rsidRDefault="00E265DE" w:rsidP="001F490E">
            <w:pPr>
              <w:numPr>
                <w:ilvl w:val="1"/>
                <w:numId w:val="38"/>
              </w:numPr>
              <w:spacing w:line="360" w:lineRule="auto"/>
              <w:ind w:left="1080"/>
              <w:textAlignment w:val="baseline"/>
              <w:rPr>
                <w:rFonts w:ascii="Calibri" w:eastAsia="Times New Roman" w:hAnsi="Calibri"/>
                <w:b w:val="0"/>
                <w:bCs/>
                <w:color w:val="000000"/>
              </w:rPr>
            </w:pPr>
            <w:r w:rsidRPr="00E265DE">
              <w:rPr>
                <w:rFonts w:ascii="Calibri" w:eastAsia="Times New Roman" w:hAnsi="Calibri"/>
                <w:b w:val="0"/>
                <w:bCs/>
                <w:color w:val="000000"/>
              </w:rPr>
              <w:t>Content analysis</w:t>
            </w:r>
          </w:p>
          <w:p w:rsidR="00E265DE" w:rsidRPr="00E265DE" w:rsidRDefault="00E265DE" w:rsidP="001F490E">
            <w:pPr>
              <w:numPr>
                <w:ilvl w:val="1"/>
                <w:numId w:val="38"/>
              </w:numPr>
              <w:spacing w:line="360" w:lineRule="auto"/>
              <w:ind w:left="1080"/>
              <w:textAlignment w:val="baseline"/>
              <w:rPr>
                <w:rFonts w:ascii="Calibri" w:eastAsia="Times New Roman" w:hAnsi="Calibri"/>
                <w:b w:val="0"/>
                <w:bCs/>
                <w:color w:val="000000"/>
              </w:rPr>
            </w:pPr>
            <w:r w:rsidRPr="00E265DE">
              <w:rPr>
                <w:rFonts w:ascii="Calibri" w:eastAsia="Times New Roman" w:hAnsi="Calibri"/>
                <w:b w:val="0"/>
                <w:bCs/>
                <w:color w:val="000000"/>
              </w:rPr>
              <w:t>Data justification</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16</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16</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18</w:t>
            </w:r>
          </w:p>
          <w:p w:rsidR="00E265DE" w:rsidRDefault="001179BB" w:rsidP="0040375D">
            <w:pPr>
              <w:spacing w:line="360" w:lineRule="auto"/>
              <w:jc w:val="right"/>
              <w:rPr>
                <w:rFonts w:ascii="Calibri" w:eastAsia="Times New Roman" w:hAnsi="Calibri"/>
                <w:b w:val="0"/>
                <w:bCs/>
                <w:color w:val="000000"/>
              </w:rPr>
            </w:pPr>
            <w:r>
              <w:rPr>
                <w:rFonts w:ascii="Calibri" w:eastAsia="Times New Roman" w:hAnsi="Calibri"/>
                <w:b w:val="0"/>
                <w:bCs/>
                <w:color w:val="000000"/>
              </w:rPr>
              <w:t>20</w:t>
            </w:r>
          </w:p>
          <w:p w:rsidR="001179BB"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22</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4"/>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Operationalisation</w:t>
            </w:r>
          </w:p>
          <w:p w:rsidR="00E265DE" w:rsidRPr="001179BB" w:rsidRDefault="00E265DE" w:rsidP="001F490E">
            <w:pPr>
              <w:pStyle w:val="ListParagraph"/>
              <w:numPr>
                <w:ilvl w:val="1"/>
                <w:numId w:val="39"/>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Hypotheses</w:t>
            </w:r>
          </w:p>
          <w:p w:rsidR="00E265DE" w:rsidRPr="001179BB" w:rsidRDefault="00E265DE" w:rsidP="001F490E">
            <w:pPr>
              <w:pStyle w:val="ListParagraph"/>
              <w:numPr>
                <w:ilvl w:val="1"/>
                <w:numId w:val="39"/>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Operationalising criteria</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23</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23</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23</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5"/>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Empirical study</w:t>
            </w:r>
          </w:p>
          <w:p w:rsidR="00E265DE" w:rsidRPr="001179BB" w:rsidRDefault="00E265DE" w:rsidP="001F490E">
            <w:pPr>
              <w:pStyle w:val="ListParagraph"/>
              <w:numPr>
                <w:ilvl w:val="1"/>
                <w:numId w:val="40"/>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Historical context</w:t>
            </w:r>
          </w:p>
          <w:p w:rsidR="00E265DE" w:rsidRPr="001179BB" w:rsidRDefault="00E265DE" w:rsidP="001F490E">
            <w:pPr>
              <w:pStyle w:val="ListParagraph"/>
              <w:numPr>
                <w:ilvl w:val="1"/>
                <w:numId w:val="40"/>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Rio Declaration 1992</w:t>
            </w:r>
          </w:p>
          <w:p w:rsidR="00E265DE" w:rsidRPr="001179BB" w:rsidRDefault="00E265DE" w:rsidP="001F490E">
            <w:pPr>
              <w:pStyle w:val="ListParagraph"/>
              <w:numPr>
                <w:ilvl w:val="1"/>
                <w:numId w:val="40"/>
              </w:numPr>
              <w:spacing w:line="360" w:lineRule="auto"/>
              <w:textAlignment w:val="baseline"/>
              <w:rPr>
                <w:rFonts w:ascii="Calibri" w:eastAsia="Times New Roman" w:hAnsi="Calibri"/>
                <w:b w:val="0"/>
                <w:bCs/>
                <w:color w:val="000000"/>
              </w:rPr>
            </w:pPr>
            <w:r w:rsidRPr="001179BB">
              <w:rPr>
                <w:rFonts w:ascii="Calibri" w:eastAsia="Times New Roman" w:hAnsi="Calibri"/>
                <w:b w:val="0"/>
                <w:bCs/>
                <w:color w:val="000000"/>
              </w:rPr>
              <w:t>Kyoto Protocol 1997</w:t>
            </w:r>
          </w:p>
          <w:p w:rsidR="00E265DE" w:rsidRPr="00E265DE" w:rsidRDefault="00E265DE" w:rsidP="001F490E">
            <w:pPr>
              <w:numPr>
                <w:ilvl w:val="1"/>
                <w:numId w:val="40"/>
              </w:numPr>
              <w:spacing w:line="360" w:lineRule="auto"/>
              <w:ind w:left="1080"/>
              <w:textAlignment w:val="baseline"/>
              <w:rPr>
                <w:rFonts w:ascii="Calibri" w:eastAsia="Times New Roman" w:hAnsi="Calibri"/>
                <w:b w:val="0"/>
                <w:bCs/>
                <w:color w:val="000000"/>
              </w:rPr>
            </w:pPr>
            <w:r w:rsidRPr="00E265DE">
              <w:rPr>
                <w:rFonts w:ascii="Calibri" w:eastAsia="Times New Roman" w:hAnsi="Calibri"/>
                <w:b w:val="0"/>
                <w:bCs/>
                <w:color w:val="000000"/>
              </w:rPr>
              <w:t>Paris Agreement 2016 and onward</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1179BB" w:rsidRDefault="001179BB" w:rsidP="0040375D">
            <w:pPr>
              <w:spacing w:line="360" w:lineRule="auto"/>
              <w:jc w:val="right"/>
              <w:rPr>
                <w:rFonts w:asciiTheme="minorHAnsi" w:eastAsia="Times New Roman" w:hAnsiTheme="minorHAnsi"/>
                <w:b w:val="0"/>
                <w:bCs/>
                <w:szCs w:val="24"/>
              </w:rPr>
            </w:pPr>
            <w:r w:rsidRPr="001179BB">
              <w:rPr>
                <w:rFonts w:asciiTheme="minorHAnsi" w:eastAsia="Times New Roman" w:hAnsiTheme="minorHAnsi"/>
                <w:b w:val="0"/>
                <w:bCs/>
                <w:szCs w:val="24"/>
              </w:rPr>
              <w:t>26</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26</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26</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30</w:t>
            </w:r>
          </w:p>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33</w:t>
            </w:r>
          </w:p>
        </w:tc>
      </w:tr>
      <w:tr w:rsidR="00E265DE" w:rsidRPr="00E265DE" w:rsidTr="00E265DE">
        <w:tc>
          <w:tcPr>
            <w:tcW w:w="0" w:type="auto"/>
            <w:tcMar>
              <w:top w:w="0" w:type="dxa"/>
              <w:left w:w="108" w:type="dxa"/>
              <w:bottom w:w="0" w:type="dxa"/>
              <w:right w:w="108" w:type="dxa"/>
            </w:tcMar>
            <w:hideMark/>
          </w:tcPr>
          <w:p w:rsidR="00E265DE" w:rsidRPr="001179BB" w:rsidRDefault="00E265DE" w:rsidP="001F490E">
            <w:pPr>
              <w:pStyle w:val="ListParagraph"/>
              <w:numPr>
                <w:ilvl w:val="0"/>
                <w:numId w:val="40"/>
              </w:numPr>
              <w:spacing w:line="360" w:lineRule="auto"/>
              <w:ind w:left="709" w:hanging="709"/>
              <w:textAlignment w:val="baseline"/>
              <w:rPr>
                <w:rFonts w:ascii="Calibri" w:eastAsia="Times New Roman" w:hAnsi="Calibri"/>
                <w:b w:val="0"/>
                <w:bCs/>
                <w:color w:val="000000"/>
              </w:rPr>
            </w:pPr>
            <w:r w:rsidRPr="001179BB">
              <w:rPr>
                <w:rFonts w:ascii="Calibri" w:eastAsia="Times New Roman" w:hAnsi="Calibri"/>
                <w:b w:val="0"/>
                <w:bCs/>
                <w:color w:val="000000"/>
              </w:rPr>
              <w:t>Analysis</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36</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6"/>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Conclusion</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43</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7"/>
              </w:numPr>
              <w:spacing w:line="360" w:lineRule="auto"/>
              <w:ind w:left="709" w:hanging="709"/>
              <w:textAlignment w:val="baseline"/>
              <w:rPr>
                <w:rFonts w:ascii="Calibri" w:eastAsia="Times New Roman" w:hAnsi="Calibri"/>
                <w:b w:val="0"/>
                <w:bCs/>
                <w:color w:val="000000"/>
              </w:rPr>
            </w:pPr>
            <w:r w:rsidRPr="00E265DE">
              <w:rPr>
                <w:rFonts w:ascii="Calibri" w:eastAsia="Times New Roman" w:hAnsi="Calibri"/>
                <w:b w:val="0"/>
                <w:bCs/>
                <w:color w:val="000000"/>
              </w:rPr>
              <w:t>Literature</w:t>
            </w:r>
          </w:p>
          <w:p w:rsidR="00E265DE" w:rsidRPr="00E265DE" w:rsidRDefault="00E265DE" w:rsidP="0040375D">
            <w:pPr>
              <w:spacing w:line="360" w:lineRule="auto"/>
              <w:rPr>
                <w:rFonts w:ascii="Times New Roman" w:eastAsia="Times New Roman" w:hAnsi="Times New Roman"/>
                <w:b w:val="0"/>
                <w:bCs/>
                <w:sz w:val="24"/>
                <w:szCs w:val="24"/>
              </w:rPr>
            </w:pP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44</w:t>
            </w:r>
          </w:p>
        </w:tc>
      </w:tr>
      <w:tr w:rsidR="00E265DE" w:rsidRPr="00E265DE" w:rsidTr="00E265DE">
        <w:tc>
          <w:tcPr>
            <w:tcW w:w="0" w:type="auto"/>
            <w:tcMar>
              <w:top w:w="0" w:type="dxa"/>
              <w:left w:w="108" w:type="dxa"/>
              <w:bottom w:w="0" w:type="dxa"/>
              <w:right w:w="108" w:type="dxa"/>
            </w:tcMar>
            <w:hideMark/>
          </w:tcPr>
          <w:p w:rsidR="00E265DE" w:rsidRPr="00E265DE" w:rsidRDefault="00E265DE" w:rsidP="001F490E">
            <w:pPr>
              <w:numPr>
                <w:ilvl w:val="0"/>
                <w:numId w:val="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Annex</w:t>
            </w:r>
          </w:p>
        </w:tc>
        <w:tc>
          <w:tcPr>
            <w:tcW w:w="0" w:type="auto"/>
            <w:tcMar>
              <w:top w:w="0" w:type="dxa"/>
              <w:left w:w="108" w:type="dxa"/>
              <w:bottom w:w="0" w:type="dxa"/>
              <w:right w:w="108" w:type="dxa"/>
            </w:tcMar>
            <w:hideMark/>
          </w:tcPr>
          <w:p w:rsidR="00E265DE" w:rsidRPr="00E265DE" w:rsidRDefault="001179BB" w:rsidP="0040375D">
            <w:pPr>
              <w:spacing w:line="360" w:lineRule="auto"/>
              <w:jc w:val="right"/>
              <w:rPr>
                <w:rFonts w:ascii="Times New Roman" w:eastAsia="Times New Roman" w:hAnsi="Times New Roman"/>
                <w:b w:val="0"/>
                <w:bCs/>
                <w:sz w:val="24"/>
                <w:szCs w:val="24"/>
              </w:rPr>
            </w:pPr>
            <w:r>
              <w:rPr>
                <w:rFonts w:ascii="Calibri" w:eastAsia="Times New Roman" w:hAnsi="Calibri"/>
                <w:b w:val="0"/>
                <w:bCs/>
                <w:color w:val="000000"/>
              </w:rPr>
              <w:t>52</w:t>
            </w:r>
          </w:p>
        </w:tc>
      </w:tr>
    </w:tbl>
    <w:p w:rsidR="00E265DE" w:rsidRPr="00E265DE" w:rsidRDefault="00E265DE" w:rsidP="001F490E">
      <w:pPr>
        <w:numPr>
          <w:ilvl w:val="0"/>
          <w:numId w:val="9"/>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Introduction</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protection of the environment is becoming an ever more pressing issue. Reduction of CO</w:t>
      </w:r>
      <w:r w:rsidRPr="00E265DE">
        <w:rPr>
          <w:rFonts w:ascii="Calibri" w:eastAsia="Times New Roman" w:hAnsi="Calibri"/>
          <w:b w:val="0"/>
          <w:bCs/>
          <w:color w:val="000000"/>
          <w:sz w:val="13"/>
          <w:szCs w:val="13"/>
          <w:vertAlign w:val="subscript"/>
        </w:rPr>
        <w:t xml:space="preserve">2 </w:t>
      </w:r>
      <w:r w:rsidRPr="00E265DE">
        <w:rPr>
          <w:rFonts w:ascii="Calibri" w:eastAsia="Times New Roman" w:hAnsi="Calibri"/>
          <w:b w:val="0"/>
          <w:bCs/>
          <w:color w:val="000000"/>
        </w:rPr>
        <w:t xml:space="preserve">levels is high on the agenda of many developed states. However, there is still a long road ahead before the sustainable development goals as agreed on November 4, 2016 in the Paris Agreement will be achieved (World Resources Institute, 2013; The Guardian, 2015, Paris Agreement, 2016). Not only states make efforts to achieve these goals. Various international organisations also strive for a more sustainable environment. Among these international organisation is the World Bank. In this thesis a case study into the adoption of the Paris Agreement by the World Bank will be conducted, to further research how the World Bank comes to the implementation of new environmental norms and how this might have changed over time. This will be done by using process tracing analysis and content analysis, covering a period of several decades leading up to the Paris Agreement, within which multiple international agreements on the environment have been agreed upon. These methods allow for an in-depth study of concepts related to environmental norms and how the interpretation of these concepts has changed over time within an organisation. Through this, an attempt is made at trying to grasp what the incentive is for the organisation to implement green or environmentally friendly norms.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Since the 1970’s, the protection of the environment has increasingly become more important. As environmental issues become ever more pressing, the amount of treaties on this topic and the amount of actors aiming their policies at reducing or negating the effects of these issues is likely to increase as well. Due to the global scale of environmental issues, they cannot simply be tackled with policies aimed at the industrialised countries that are the biggest polluters. In international accords on environmental norms, like the Paris Agreement, underdeveloped and developing states are also pressed to adhere to the environmental goals and to further the development of their states in an environmentally friendly manner. The development of quite a few of these states is financed through loans which are granted by major international financial institutions (IFIs). Chief amongst these institutions is the World Bank, investing nearly $200 billion in over 1600 projects in 145 countries (World Bank, 2017a).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Many of these IFIs have shifted their focus more towards sustainable financing practices in recent years, in line with the international trend, to adhere to international sustainable development goals (ING, 2018; World Bank, 2016a; African Development Bank, 2004; European Investment Bank, 2013; Inter-American Development Bank, 2015). International financial institutions can prove to be relevant actors with regard to the implementation of environmental norms in national policies and projects, especially for the developing world, as both the technical and financial support IFIs have to offer can aid in sustainably developing these countries (Nunan, Campbell &amp; Foster, 2012). This support grants them means and knowledge they do not always have readily available themselves. One way to assist them is by linking loan conditions to sustainable development goals, for example by agreeing on lower interest rates when a project is environmentally friendly. As sustainable development is, as of yet, still often more expensive than developing in a polluting way, through linking of environmental targets to technical and financial support developing countries can progress without pollution levels rising enormously. By linking loans to sustainability targets, projects can be assessed on criteria that have been laid down in environmental policy (Skjærseth, Stokke &amp; Wettestad, 2006).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Although there is a shift towards more sustainable financing, there currently still seems to be quite a difference between IFIs with regard to how frequently internal environmental policies are revised or updated in accordance with the most recent international legal framework. Some IFI’s, amongst which are several multilateral development banks, still make use of environmental policies that predate the 2010’s (African Development Bank, 2004; European Investment Bank, 2013; Inter-American Development Bank, 2006; ibid., 2015). There can be a plethora of reasons for these differences between IFIs, including the elusiveness of the norms used in their respective policies, political sentiments and their geographic location, due to the influence of neighbouring countries or due to their respective position on the North-South divide, amongst others (Finnemore &amp; Sikkink, 1998; Risse, Ropp &amp; Sikkink, 1999; Keck &amp; Sikkink, 1998a; Moser, 2006).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World Bank stands out against these other IFIs. It has a precedent with focussing policy on environmental norms since the early 1980s (World Bank, 1995; World Bank, 1997a). This is rather unique; as financial institutions are not historically know to be all that green, or have at least been believed by society not to be for a long time. The World Bank can be seen as a global leader in its field, setting standards for other IFI’s and leading by example. It has been known to be updating its policies according to the most recent environmental treaties and accords. Not surprisingly, it has, as recently as November 2016, released a statement that it would start to implement the Paris Agreement into its environmental policies (World Bank, 2016a). As a leading international financial institution, developments within the World Bank have a significant influence on the sector. If the World Bank has mainstreamed environmental norms, this can in turn lead to further mainstreaming of these norms in other financial institutions. Mainstreaming should, for this purpose, be understood as the process through which a certain topic becomes part of the normal thought process when drafting policies - the norms fitting in this process belonging to the so-called mainstream. When a norm is completely mainstreamed, implications that draft policies or planned actions have on topics related to the norm will be duly considered as a standard part of the process (Squires, 2005). The norm then becomes as self-evident as other norms being used. Mainstreaming is not a dichotomous concept, but is instead more of a discrete concept that can potentially increase or decrease gradually over time.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Due to its historic precedent and the seemingly ever increasing focus of the World Bank on environmental topics, integrating it into almost every aspect of their work, it would appear that environmental norms have been mainstreamed within this IFI. This study focuses on illuminating how environmental norms have become normalised within World Bank policy, in wake of several international accords, amongst which is the Paris Agreement. By using both a norm mainstreaming and a norm translation perspective, the process at work within the World Bank is further uncovered, through in-depth studying of World Bank documents and use of process tracing and content analysis. As a leading institution in the sector, the influence of the World Bank could go beyond its own policies and projects. Other IFI’s could potentially learn from the mainstreaming process within the World Bank and, accordingly, make use of similar mechanisms to further enhance the importance of environmental norms in their own policies.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1F490E">
      <w:pPr>
        <w:pStyle w:val="ListParagraph"/>
        <w:numPr>
          <w:ilvl w:val="1"/>
          <w:numId w:val="24"/>
        </w:numPr>
        <w:spacing w:line="360" w:lineRule="auto"/>
        <w:textAlignment w:val="baseline"/>
        <w:rPr>
          <w:rFonts w:ascii="Calibri" w:eastAsia="Times New Roman" w:hAnsi="Calibri"/>
          <w:color w:val="000000"/>
        </w:rPr>
      </w:pPr>
      <w:r w:rsidRPr="00E265DE">
        <w:rPr>
          <w:rFonts w:ascii="Calibri" w:eastAsia="Times New Roman" w:hAnsi="Calibri"/>
          <w:color w:val="000000"/>
        </w:rPr>
        <w:t>Research question</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central question of this study is: ‘</w:t>
      </w:r>
      <w:r w:rsidRPr="00E265DE">
        <w:rPr>
          <w:rFonts w:ascii="Calibri" w:eastAsia="Times New Roman" w:hAnsi="Calibri"/>
          <w:b w:val="0"/>
          <w:bCs/>
          <w:i/>
          <w:iCs/>
          <w:color w:val="000000"/>
        </w:rPr>
        <w:t>How has the mainstreaming of environmental norms in World Bank policy changed over time?’</w:t>
      </w:r>
      <w:r w:rsidRPr="00E265DE">
        <w:rPr>
          <w:rFonts w:ascii="Calibri" w:eastAsia="Times New Roman" w:hAnsi="Calibri"/>
          <w:b w:val="0"/>
          <w:bCs/>
          <w:color w:val="000000"/>
        </w:rPr>
        <w:t xml:space="preserve"> To answer this question, special focus has to be placed on the reason why the World Bank adopts these norms. As stated in the introduction, the World Bank has a precedent with creating very up to date environmental policies, utilizing the most recent insights.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Although there is not one clear definition of norms, Katzenstein’s description is one that is often used, which is that norms are ‘collective expectations for the proper behaviour of actors within a given identity’ (Katzenstein, 1996, p. 5). For now, this definition will suffice, as it will be further discussed in the theoretical chapter. In the literature, there has been an extensive debate on how norms are adopted and translated by international organisations, and how they might be contested. Finnemore and Sikkink have written extensively on norm compliance and the so-called life-cycle of norms (Finnemore &amp; Sikkink, 1998). These concepts have been further expanded upon by other authors and have triggered follow-up research into how actors understand norms. Researching how actors understand norms, in general, can be important, as this furthers the insight we have in the norm life-cycle and the entire process of mainstreaming norms. Mainstreaming is the process of normalising a norm. This would mean that a norm is then no longer seen as being ‘new’ or ‘challenging’, but has instead become part of the normal frame of reference when, for example, policymakers are drafting new legislation (Squires, 2005). It should, when fully mainstreamed, become like a reflex, something that is subconsciously and automatically used in all thoughts. When a norm is mainstreamed, it gains in salience. Uncovering this process of how a norm becomes salient and mainstreamed allows, on the one hand, for more efficient agenda-setting and, on the other hand, could assist organisations with explicating their internal biases (Joachim &amp; Schneiker, 2012; Van Kersbergen &amp; Verbeek, 2007). It should be noted that norms are never implemented one-on-one, but that instead actors all have different interpretations of norms. Mainstreaming looks at how these norms are transformed during the process (Joachim &amp; Schneiker, 2012). As organisations tend to translate norms into their ‘own’ terms, illuminating the norm translation and implementation process within an actor such as the World Bank, being a very large actor working on the reduction of the North-South divide, could, in light of the aforementioned, assist to gain further insight into how these norms change over time within an organisation. Furthermore, it might help develop the modus operandi of the World Bank, so that its projects are well nested in the communities which they are aiming to support. Further debate of norm compliance, norm mainstreaming and norm translation literature will be covered in the second chapter of this study.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precedent that the World Bank has with the mainstreaming of environmental norms is potentially of large influence on the way in which this IFI approaches new environmental norms, as this make the IFI more susceptible to such normative frames (Park, 2005a). To further investigate this, certain important documents stemming from different time periods will be examined in chapters five and six. This research primarily focuses on the policies that sprouted in the aftermath of the 1992 Rio Declaration, the 1997 Kyoto Protocol and the Paris Agreement. Through process tracing and content analysis, the underlying mechanisms that lead to mainstreaming within the World Bank will be further exposed. Process tracing is useful due to its systematic approach, which is rather suitable for complex contexts with potentially competing causal explanations (Beach &amp; Pedersen, 2013, p. 68-74). Empirical data can be studied this way, allowing for causal inference after careful evaluation of data. Especially for smaller N-size studies, where there simply isn’t enough data for quantitative methods, process tracing can be particularly useful (Collier, 2011). Process tracing is especially useful when generating new hypotheses or when trying to uncover complex underlying mechanisms. As the name of the method suggests, it is able to track changes over the course of a process, making it useful for studying something qualitatively over time. Given the case being researched in this study, the underlying mechanisms that might have led to the mainstreaming of environmental norms within the World Bank can be investigated thusly. As the main sources of available data are written sources, content analysis of these texts is pivotal to understanding how changes have occurred over time. There is a broad range of texts available, from policy documents to reports on projects, allowing for a thorough analysis of the World Bank’s position and its mainstreaming efforts. The open-endedness of content analysis makes it possible to mix this method with process tracing, as the so-called hermeneutic loop in content analysis allows for Bayesian updating, which process tracing can benefit from (Graue, 2015; Krippendorf, 2012).</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24"/>
        </w:numPr>
        <w:spacing w:line="360" w:lineRule="auto"/>
        <w:textAlignment w:val="baseline"/>
        <w:rPr>
          <w:rFonts w:ascii="Calibri" w:eastAsia="Times New Roman" w:hAnsi="Calibri"/>
          <w:color w:val="000000"/>
        </w:rPr>
      </w:pPr>
      <w:r w:rsidRPr="0040375D">
        <w:rPr>
          <w:rFonts w:ascii="Calibri" w:eastAsia="Times New Roman" w:hAnsi="Calibri"/>
          <w:color w:val="000000"/>
        </w:rPr>
        <w:t>Relevance</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Both from a societal and from a scientific point of view, it can prove to be of significance to look further into the mechanisms at play within the World Bank. The mainstreaming of norms and the norm teaching processes have already been quite extensively discussed in the international relations literature. Exactly how norms are translated, on the other hand, seems to be an element of the field of international relations that only has received attention more recently. This study makes use of tools often used in gender mainstreaming and norms literature, which further develop the understanding of mainstreaming and norm translation (Joachim &amp; Schneiker, 2012; Van Kersbergen &amp; Verbeek, 2007; Acharya, 2004). By applying these tools to environmental topics, this research aims at contributing to the scientific relevance of these instruments by further investigating their explanatory potential.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Reason for the limited treatment of norm translation processes in the literature thus far could be that for in-depth research into many international norms a certain degree of legal knowledge is required. Many treaties make use of elusive, or open, norms. These norms are prone to extensive discussion both in practice and in legal literature. The continental tradition and common law tradition both attribute varying weight to these norms, according to the way they fit into existing, often national, legal structures (Gubby, 2015; Lindenbergh &amp; Schelhaas, 2016; Jansen, Munneke, Van Ommeren &amp; Rutgers, 2011). Norms that stem from international agreements or treaties are very often translated to sublevel laws and policies by legal departments. To fully grasp the practical implications of the use of certain words or phrases in laws and/or policies stemming from these international accords, adequate knowledge of law and legal wording can be deemed a prerequisite. After all, policies and legislations are a rather useful source when researching how norms are translated in practice by organisations.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By tapping further into this field of research, a better understanding of the reasons why international organisations adopt new norms and the way in which these norms are translated into policy can be created. Further studying of how norms are understood is important for a number of reasons. Differences between international organisations with regards to norm adherence and norm acceptance can be better explained through such in-depth studies, and researching the underlying processes eventually allows for comparison thereof. More insight into this process will on the one hand aid with agenda-setting, as it becomes known how certain norms gain salience, and will on the other hand help organisations tackle their internal biases. Furthermore, norm translation may also explain why we often see little change in action by international organisations, due to new norms simply being interpreted in line with existing policies rather than being interpreted as requiring new policies (Acharya, 2004). Translating a new norm into terms that fit within an already existing framework can contribute to the support for a norm within an organisation, but such support can be rather futile when the status quo is upheld (Acharya, 2011, p. 14-25). If the new norm aims at challenging the status quo, it can only be fully effective when it is not reframed into the pre-existing context. By unravelling the pathway that has led to (the promise of) implementation of the Paris Agreement into World Bank policy, more insight is created into the way in which IFI’s make use of (new) norms. It is often assumed that norms are adopted literally, however, such an approach ignores that norms are subject to contestation and adaptation. This study, then, aims at further illuminating the process of norm translation within international financial institutions. Norms shape international organisations, but organisations influence norms as well. Sub-international level actors can be of large influence on how much salience and support there is for a norm. When new norms clash too much with pre-existing national structures, it becomes harder to implement a new norm (Acharya, 2004, p. 242-244). On the other hand, existing structures can also be used to increase the support for a norm (ibid., 2004, p. 244).</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Societally speaking, other IFIs could learn from the way in which the World Bank continues to adhere to the most recent environmental standards. The environment is a subject receiving close review today. The fact that the climate is changing can no longer be ignored. Parallel to the environmental issues that need to be faced is a demand from developing countries to develop, to have modern products and means of production and enough food for their ever-growing populations. A potential means to guide this development into an environmentally friendly and sustainable direction is through the use of economic instruments, such as the loans that are often granted by IFIs to developing countries for large scale projects. By understanding how the World Bank has come to the acceptance of the most recent environmental norms, other multilateral development banks could be enabled to create an organisational structure in which a similar emphasis can be put on environmental issues, leading to the development of a more sustainable world for all.</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1F490E">
      <w:pPr>
        <w:numPr>
          <w:ilvl w:val="0"/>
          <w:numId w:val="10"/>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Theoretical framework</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This study focuses on the process of acceptance and implementation of norms. How new norms sprout is therefore not touched upon, as this comes prior to the acceptance. After the long process of new norms coming into existence and getting enough salience to be picked up by other actors, such as international organisations, adherence to the norms then becomes the next challenge. This can be done in a number of ways, either accepting the norm as it is or by reshaping it to fit into a pre-existing framework. In this chapter, several terms that will be used throughout this research shall be explained first, after which an overview of the literature on norm compliance, norm mainstreaming and norm translation will be presented.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3"/>
        </w:numPr>
        <w:spacing w:line="360" w:lineRule="auto"/>
        <w:textAlignment w:val="baseline"/>
        <w:rPr>
          <w:rFonts w:ascii="Calibri" w:eastAsia="Times New Roman" w:hAnsi="Calibri"/>
          <w:color w:val="000000"/>
        </w:rPr>
      </w:pPr>
      <w:r w:rsidRPr="0040375D">
        <w:rPr>
          <w:rFonts w:ascii="Calibri" w:eastAsia="Times New Roman" w:hAnsi="Calibri"/>
          <w:color w:val="000000"/>
        </w:rPr>
        <w:t>Norms: categories and definitions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Extensive research is done on norms, which calls for a definition of the term. There is a plethora of definitions, which becomes rather clear when looking at earlier literature. This makes it rather hard to define what exactly is being researched when a study focuses on norms (Gibbs, 1965, p. 586). According to Gibbs, three elements that can be seen throughout definitions are </w:t>
      </w:r>
      <w:r w:rsidRPr="00E265DE">
        <w:rPr>
          <w:rFonts w:ascii="Calibri" w:eastAsia="Times New Roman" w:hAnsi="Calibri"/>
          <w:b w:val="0"/>
          <w:bCs/>
          <w:i/>
          <w:iCs/>
          <w:color w:val="000000"/>
        </w:rPr>
        <w:t>collective evaluations</w:t>
      </w:r>
      <w:r w:rsidRPr="00E265DE">
        <w:rPr>
          <w:rFonts w:ascii="Calibri" w:eastAsia="Times New Roman" w:hAnsi="Calibri"/>
          <w:b w:val="0"/>
          <w:bCs/>
          <w:color w:val="000000"/>
        </w:rPr>
        <w:t xml:space="preserve"> of what ought to be</w:t>
      </w:r>
      <w:r w:rsidRPr="00E265DE">
        <w:rPr>
          <w:rFonts w:ascii="Calibri" w:eastAsia="Times New Roman" w:hAnsi="Calibri"/>
          <w:b w:val="0"/>
          <w:bCs/>
          <w:i/>
          <w:iCs/>
          <w:color w:val="000000"/>
        </w:rPr>
        <w:t xml:space="preserve">, collective expectations </w:t>
      </w:r>
      <w:r w:rsidRPr="00E265DE">
        <w:rPr>
          <w:rFonts w:ascii="Calibri" w:eastAsia="Times New Roman" w:hAnsi="Calibri"/>
          <w:b w:val="0"/>
          <w:bCs/>
          <w:color w:val="000000"/>
        </w:rPr>
        <w:t xml:space="preserve">of what will be and </w:t>
      </w:r>
      <w:r w:rsidRPr="00E265DE">
        <w:rPr>
          <w:rFonts w:ascii="Calibri" w:eastAsia="Times New Roman" w:hAnsi="Calibri"/>
          <w:b w:val="0"/>
          <w:bCs/>
          <w:i/>
          <w:iCs/>
          <w:color w:val="000000"/>
        </w:rPr>
        <w:t>reactions to behaviour</w:t>
      </w:r>
      <w:r w:rsidRPr="00E265DE">
        <w:rPr>
          <w:rFonts w:ascii="Calibri" w:eastAsia="Times New Roman" w:hAnsi="Calibri"/>
          <w:b w:val="0"/>
          <w:bCs/>
          <w:color w:val="000000"/>
        </w:rPr>
        <w:t xml:space="preserve"> (ibid., p. 589, p. 594). Bierstedt makes use of similar elements in his definition, stating norms are rules governing our social interactions and are societal expectations (Bierstedt, 1963, p. 222). Elements here are collective expectations and a social aspect implying some sort of assessment of behaviour. Katzenstein describes norms as ‘</w:t>
      </w:r>
      <w:r w:rsidRPr="00E265DE">
        <w:rPr>
          <w:rFonts w:ascii="Calibri" w:eastAsia="Times New Roman" w:hAnsi="Calibri"/>
          <w:b w:val="0"/>
          <w:bCs/>
          <w:i/>
          <w:iCs/>
          <w:color w:val="000000"/>
        </w:rPr>
        <w:t>collective expectations for the proper behaviour of actors within a given identity</w:t>
      </w:r>
      <w:r w:rsidRPr="00E265DE">
        <w:rPr>
          <w:rFonts w:ascii="Calibri" w:eastAsia="Times New Roman" w:hAnsi="Calibri"/>
          <w:b w:val="0"/>
          <w:bCs/>
          <w:color w:val="000000"/>
        </w:rPr>
        <w:t xml:space="preserve">’ (1996, p. 5), which seems to be a definition covering all the elements of the two authors that have been mentioned above, and more. This definition includes </w:t>
      </w:r>
      <w:r w:rsidRPr="00E265DE">
        <w:rPr>
          <w:rFonts w:ascii="Calibri" w:eastAsia="Times New Roman" w:hAnsi="Calibri"/>
          <w:b w:val="0"/>
          <w:bCs/>
          <w:i/>
          <w:iCs/>
          <w:color w:val="000000"/>
        </w:rPr>
        <w:t>collectiveness</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expectations</w:t>
      </w:r>
      <w:r w:rsidRPr="00E265DE">
        <w:rPr>
          <w:rFonts w:ascii="Calibri" w:eastAsia="Times New Roman" w:hAnsi="Calibri"/>
          <w:b w:val="0"/>
          <w:bCs/>
          <w:color w:val="000000"/>
        </w:rPr>
        <w:t xml:space="preserve"> of others, </w:t>
      </w:r>
      <w:r w:rsidRPr="00E265DE">
        <w:rPr>
          <w:rFonts w:ascii="Calibri" w:eastAsia="Times New Roman" w:hAnsi="Calibri"/>
          <w:b w:val="0"/>
          <w:bCs/>
          <w:i/>
          <w:iCs/>
          <w:color w:val="000000"/>
        </w:rPr>
        <w:t>evaluation</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of</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behaviour</w:t>
      </w:r>
      <w:r w:rsidRPr="00E265DE">
        <w:rPr>
          <w:rFonts w:ascii="Calibri" w:eastAsia="Times New Roman" w:hAnsi="Calibri"/>
          <w:b w:val="0"/>
          <w:bCs/>
          <w:color w:val="000000"/>
        </w:rPr>
        <w:t xml:space="preserve"> through labelling of what is proper and what is not, and </w:t>
      </w:r>
      <w:r w:rsidRPr="00E265DE">
        <w:rPr>
          <w:rFonts w:ascii="Calibri" w:eastAsia="Times New Roman" w:hAnsi="Calibri"/>
          <w:b w:val="0"/>
          <w:bCs/>
          <w:i/>
          <w:iCs/>
          <w:color w:val="000000"/>
        </w:rPr>
        <w:t>links norms to a context or identity</w:t>
      </w:r>
      <w:r w:rsidRPr="00E265DE">
        <w:rPr>
          <w:rFonts w:ascii="Calibri" w:eastAsia="Times New Roman" w:hAnsi="Calibri"/>
          <w:b w:val="0"/>
          <w:bCs/>
          <w:color w:val="000000"/>
        </w:rPr>
        <w:t>. Norms are defined by the social context and are used to judge the appropriateness or inappropriateness of certain actions within that context, when using Katzenstein’s definition. However, the context within which a norm exists can have a varying level of generality (Dimitrov, 2005, p.3). This study will use Katzenstein’s definition, as the linking to social context seems to fit best with practice. What is deemed as ‘good’ or ‘bad’ is dependent on many factors, and the weight given to certain norms will also alter according to context.</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There are many types of norms. Gibbs identifies nineteen different types, which will be covered briefly in the following lines. Finnemore and Sikkink also identify different categories, which shall be covered thereafter. In Gibbs’ 1965 text, he distinguishes between norms that are collectively evaluated and those that are not. These classes are further refined based on whether there is a collective or a non-collective expectation regarding the norm. Furthermore norms are distinguished on how likely it that attempts will be made to apply a sanction when an ‘act’ occurs, ranging from low to high (Gibbs, 1965, p. 591). This leads to a plethora of categories ranging from collective conventions, morals, mores, rules and laws to customs and coercive rules and laws. Although a very decent and thorough attempt at structuring the categories of norms, the overload of categories makes it potentially harder to distinguish between norm types.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Finnemore and Sikkink distinguish norms in different manner in their 1998 text, giving a more workable overview of the different types. The first distinction they mention is between regulative and constitutive norms (Finnemore &amp; Sikkink, 1998, p. 891). Regulative norms are aimed at order and constraint, whereas constitutive norms create new ideas, actors, interests or actions. Prescriptive norms are pointed out as well, which focus much more on what </w:t>
      </w:r>
      <w:r w:rsidRPr="00E265DE">
        <w:rPr>
          <w:rFonts w:ascii="Calibri" w:eastAsia="Times New Roman" w:hAnsi="Calibri"/>
          <w:b w:val="0"/>
          <w:bCs/>
          <w:i/>
          <w:iCs/>
          <w:color w:val="000000"/>
        </w:rPr>
        <w:t>ought</w:t>
      </w:r>
      <w:r w:rsidRPr="00E265DE">
        <w:rPr>
          <w:rFonts w:ascii="Calibri" w:eastAsia="Times New Roman" w:hAnsi="Calibri"/>
          <w:b w:val="0"/>
          <w:bCs/>
          <w:color w:val="000000"/>
        </w:rPr>
        <w:t xml:space="preserve"> to be. Norms differ from other rules exactly because of their </w:t>
      </w:r>
      <w:r w:rsidRPr="00E265DE">
        <w:rPr>
          <w:rFonts w:ascii="Calibri" w:eastAsia="Times New Roman" w:hAnsi="Calibri"/>
          <w:b w:val="0"/>
          <w:bCs/>
          <w:i/>
          <w:iCs/>
          <w:color w:val="000000"/>
        </w:rPr>
        <w:t>oughtness</w:t>
      </w:r>
      <w:r w:rsidRPr="00E265DE">
        <w:rPr>
          <w:rFonts w:ascii="Calibri" w:eastAsia="Times New Roman" w:hAnsi="Calibri"/>
          <w:b w:val="0"/>
          <w:bCs/>
          <w:color w:val="000000"/>
        </w:rPr>
        <w:t xml:space="preserve"> (ibid., 1998, p. 891). Context matters when trying to define norms. Norms are shared assessments, but one cannot state there is a fixed amount of actors that is necessary for an assessment to become a norm. Rather, norms are based on context and should rather be seen from within an identity (Katzenstein, 1996; Finnemore &amp; Sikkink, 1998, p. 892).</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Norms are not black-and-white and are not fixed. Instead, norms are rather ambivalent and ambiguous, changing over time and differing between groups, actors and identities (Krook &amp; True, 2012). Although the concept of universal norms is intriguing, in practice this will be hard to work with, as there simply is no such thing as a universally ‘good’ or ‘bad’ norm. This all depends on context.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Scholars have turned to studying how norms are interpreted within a specific context, organisation or identity, which is what norm translation research and literature focus on. By gaining further insight into how a specific actor overcomes the ambivalence of a norm, through applying its own ‘filter’ to the norm, the gap between what the norm prescribes as </w:t>
      </w:r>
      <w:r w:rsidRPr="00E265DE">
        <w:rPr>
          <w:rFonts w:ascii="Calibri" w:eastAsia="Times New Roman" w:hAnsi="Calibri"/>
          <w:b w:val="0"/>
          <w:bCs/>
          <w:i/>
          <w:iCs/>
          <w:color w:val="000000"/>
        </w:rPr>
        <w:t>ought</w:t>
      </w:r>
      <w:r w:rsidRPr="00E265DE">
        <w:rPr>
          <w:rFonts w:ascii="Calibri" w:eastAsia="Times New Roman" w:hAnsi="Calibri"/>
          <w:b w:val="0"/>
          <w:bCs/>
          <w:color w:val="000000"/>
        </w:rPr>
        <w:t xml:space="preserve"> and how the norm is interpreted as </w:t>
      </w:r>
      <w:r w:rsidRPr="00E265DE">
        <w:rPr>
          <w:rFonts w:ascii="Calibri" w:eastAsia="Times New Roman" w:hAnsi="Calibri"/>
          <w:b w:val="0"/>
          <w:bCs/>
          <w:i/>
          <w:iCs/>
          <w:color w:val="000000"/>
        </w:rPr>
        <w:t>is</w:t>
      </w:r>
      <w:r w:rsidRPr="00E265DE">
        <w:rPr>
          <w:rFonts w:ascii="Calibri" w:eastAsia="Times New Roman" w:hAnsi="Calibri"/>
          <w:b w:val="0"/>
          <w:bCs/>
          <w:color w:val="000000"/>
        </w:rPr>
        <w:t xml:space="preserve"> can be bridged. This study aims at contributing to this field of research by looking at how mainstreaming efforts of an organisation have changed over time. Change, in this research, is defined as an alteration in the degree of inclusiveness of environmental norms. An example of this would be a shift from environmental norms as a secondary priority when drafting up new policies to them being a primary and guiding principle. Change can, of course, also work the other way around.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3"/>
        </w:numPr>
        <w:spacing w:line="360" w:lineRule="auto"/>
        <w:textAlignment w:val="baseline"/>
        <w:rPr>
          <w:rFonts w:ascii="Calibri" w:eastAsia="Times New Roman" w:hAnsi="Calibri"/>
          <w:color w:val="000000"/>
        </w:rPr>
      </w:pPr>
      <w:r w:rsidRPr="0040375D">
        <w:rPr>
          <w:rFonts w:ascii="Calibri" w:eastAsia="Times New Roman" w:hAnsi="Calibri"/>
          <w:color w:val="000000"/>
        </w:rPr>
        <w:t>Norm mainstreaming</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this research, another main concept that needs to be explicated is that of mainstreaming. It should be understood as the process in which certain norms become part of the regular thought process when drafting up new policies. This is achieved when these norms are addressed from the start of a process, without their relevance being debated, questioned or doubted in any way beforehand (Squires, 2005). This concept will be further developed below. This paragraph will first briefly cover some norm compliance literature. Although norm compliance is not extensively used in this research, norm mainstreaming builds upon norm compliance and is closely related to it, which is why it is relevant to cover this field in order to pinpoint where exactly norm mainstreaming fits in. The norm life-cycle model by Finnemore and Sikkink is especially useful for this, as it gives a clear image of how a norm can evolve and alter over time (Finnemore &amp; Sikkink, 1998).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theoretical return to norms, sprouted by the likes of Ruggie and Wendt, amongst others, reopened the discussion on how norms themselves change and, more importantly, how they impact other features in the political landscape. One aspect thereof is norm compliance. Norm compliance looks into the mechanisms that invoke organisational behaviour that is in line with these ideational and social phenomena. These mechanisms include, but are not limited to, the microfoundations that underlie these theoretical claims and the context in which such claims need to be evaluated (Ruggie, 1998; Finnemore &amp; Sikkink, 1998, p. 890). Compliance is not the same as conformity. Whereas conformity implies identification with a precise form of expectation, compliance refers to concurring with expectation in a broad range of forms that can be less fixed (Étienne, 2010). Both norm compliance and norm conformity, however, imply internalisation of a norm. This process of internalisation in norm compliance is often described through the use of the so-called </w:t>
      </w:r>
      <w:r w:rsidRPr="00E265DE">
        <w:rPr>
          <w:rFonts w:ascii="Calibri" w:eastAsia="Times New Roman" w:hAnsi="Calibri"/>
          <w:b w:val="0"/>
          <w:bCs/>
          <w:i/>
          <w:iCs/>
          <w:color w:val="000000"/>
        </w:rPr>
        <w:t>norm life-cycle</w:t>
      </w:r>
      <w:r w:rsidRPr="00E265DE">
        <w:rPr>
          <w:rFonts w:ascii="Calibri" w:eastAsia="Times New Roman" w:hAnsi="Calibri"/>
          <w:b w:val="0"/>
          <w:bCs/>
          <w:color w:val="000000"/>
        </w:rPr>
        <w:t xml:space="preserve">, which Finnemore and Sikkink developed (1998, pp. 895-909). Alternative models for the development of norms that are often mentioned are the </w:t>
      </w:r>
      <w:r w:rsidRPr="00E265DE">
        <w:rPr>
          <w:rFonts w:ascii="Calibri" w:eastAsia="Times New Roman" w:hAnsi="Calibri"/>
          <w:b w:val="0"/>
          <w:bCs/>
          <w:i/>
          <w:iCs/>
          <w:color w:val="000000"/>
        </w:rPr>
        <w:t>boomerang model</w:t>
      </w:r>
      <w:r w:rsidRPr="00E265DE">
        <w:rPr>
          <w:rFonts w:ascii="Calibri" w:eastAsia="Times New Roman" w:hAnsi="Calibri"/>
          <w:b w:val="0"/>
          <w:bCs/>
          <w:color w:val="000000"/>
        </w:rPr>
        <w:t xml:space="preserve"> and the </w:t>
      </w:r>
      <w:r w:rsidRPr="00E265DE">
        <w:rPr>
          <w:rFonts w:ascii="Calibri" w:eastAsia="Times New Roman" w:hAnsi="Calibri"/>
          <w:b w:val="0"/>
          <w:bCs/>
          <w:i/>
          <w:iCs/>
          <w:color w:val="000000"/>
        </w:rPr>
        <w:t>spiral model</w:t>
      </w:r>
      <w:r w:rsidRPr="00E265DE">
        <w:rPr>
          <w:rFonts w:ascii="Calibri" w:eastAsia="Times New Roman" w:hAnsi="Calibri"/>
          <w:b w:val="0"/>
          <w:bCs/>
          <w:color w:val="000000"/>
        </w:rPr>
        <w:t xml:space="preserve"> (Keck &amp; Sikkink, 1998b, p. 12; Risse</w:t>
      </w:r>
      <w:r w:rsidRPr="00E265DE">
        <w:rPr>
          <w:rFonts w:ascii="Calibri" w:eastAsia="Times New Roman" w:hAnsi="Calibri"/>
          <w:b w:val="0"/>
          <w:bCs/>
          <w:i/>
          <w:iCs/>
          <w:color w:val="000000"/>
        </w:rPr>
        <w:t xml:space="preserve"> et al.</w:t>
      </w:r>
      <w:r w:rsidRPr="00E265DE">
        <w:rPr>
          <w:rFonts w:ascii="Calibri" w:eastAsia="Times New Roman" w:hAnsi="Calibri"/>
          <w:b w:val="0"/>
          <w:bCs/>
          <w:color w:val="000000"/>
        </w:rPr>
        <w:t xml:space="preserve">, 1999; Joachim &amp; Schneiker, 2012, p. 532-533). Although all three models focus on the emergence and change of models, the </w:t>
      </w:r>
      <w:r w:rsidRPr="00E265DE">
        <w:rPr>
          <w:rFonts w:ascii="Calibri" w:eastAsia="Times New Roman" w:hAnsi="Calibri"/>
          <w:b w:val="0"/>
          <w:bCs/>
          <w:i/>
          <w:iCs/>
          <w:color w:val="000000"/>
        </w:rPr>
        <w:t xml:space="preserve">boomerang model </w:t>
      </w:r>
      <w:r w:rsidRPr="00E265DE">
        <w:rPr>
          <w:rFonts w:ascii="Calibri" w:eastAsia="Times New Roman" w:hAnsi="Calibri"/>
          <w:b w:val="0"/>
          <w:bCs/>
          <w:color w:val="000000"/>
        </w:rPr>
        <w:t xml:space="preserve">is better suited for explaining how norm entrepreneurs aim at getting saliency and the </w:t>
      </w:r>
      <w:r w:rsidRPr="00E265DE">
        <w:rPr>
          <w:rFonts w:ascii="Calibri" w:eastAsia="Times New Roman" w:hAnsi="Calibri"/>
          <w:b w:val="0"/>
          <w:bCs/>
          <w:i/>
          <w:iCs/>
          <w:color w:val="000000"/>
        </w:rPr>
        <w:t>spiral model</w:t>
      </w:r>
      <w:r w:rsidRPr="00E265DE">
        <w:rPr>
          <w:rFonts w:ascii="Calibri" w:eastAsia="Times New Roman" w:hAnsi="Calibri"/>
          <w:b w:val="0"/>
          <w:bCs/>
          <w:color w:val="000000"/>
        </w:rPr>
        <w:t xml:space="preserve"> is better for explaining state compliance from a slightly rationalistic point of view. The process in the </w:t>
      </w:r>
      <w:r w:rsidRPr="00E265DE">
        <w:rPr>
          <w:rFonts w:ascii="Calibri" w:eastAsia="Times New Roman" w:hAnsi="Calibri"/>
          <w:b w:val="0"/>
          <w:bCs/>
          <w:i/>
          <w:iCs/>
          <w:color w:val="000000"/>
        </w:rPr>
        <w:t xml:space="preserve">life-cycle model </w:t>
      </w:r>
      <w:r w:rsidRPr="00E265DE">
        <w:rPr>
          <w:rFonts w:ascii="Calibri" w:eastAsia="Times New Roman" w:hAnsi="Calibri"/>
          <w:b w:val="0"/>
          <w:bCs/>
          <w:color w:val="000000"/>
        </w:rPr>
        <w:t xml:space="preserve">however seems more closely related to norm mainstreaming in international organisations. In this model, three stages are discerned in the process that leads to the acceptance and internalisation of new norms.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w:t>
      </w:r>
      <w:r w:rsidRPr="00E265DE">
        <w:rPr>
          <w:rFonts w:ascii="Calibri" w:eastAsia="Times New Roman" w:hAnsi="Calibri"/>
          <w:b w:val="0"/>
          <w:bCs/>
          <w:i/>
          <w:iCs/>
          <w:color w:val="000000"/>
        </w:rPr>
        <w:t xml:space="preserve"> first stage</w:t>
      </w:r>
      <w:r w:rsidRPr="00E265DE">
        <w:rPr>
          <w:rFonts w:ascii="Calibri" w:eastAsia="Times New Roman" w:hAnsi="Calibri"/>
          <w:b w:val="0"/>
          <w:bCs/>
          <w:color w:val="000000"/>
        </w:rPr>
        <w:t xml:space="preserve"> is the phase in which norm emergence occurs. Norm entrepreneurs arise with a conviction that something needs to change. This is critical, as these entrepreneurs are the ones building new norms, through use of framing (Park, 2005b; Keck &amp; Sikkink, 1998a; Nye &amp; Keohane, 1971). Utilising existing organisations and norms, an attempt is made at proselytizing other actors to join in the conviction that the new norm, which the norm entrepreneur is pushing for, has an intrinsic, added value. New norms never operate in a vacuum, but instead have to contest other, pre-existing norms (Finnemore &amp; Sikkink, 1998, pp. 896-899). Finnemore and Sikkink make use of a more static approach of norms in a dynamic process of norm implementation, in line with constructivist thought. This, however, could also be viewed more discursively. Norms themselves should then be deemed dynamic as well and can change over the course of the life cycle (Krook &amp; True, 2012). Mainstreaming can happen in this phase, but this is not the focus of this research as this phase is more related to norm entrepreneurs.</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w:t>
      </w:r>
      <w:r w:rsidRPr="00E265DE">
        <w:rPr>
          <w:rFonts w:ascii="Calibri" w:eastAsia="Times New Roman" w:hAnsi="Calibri"/>
          <w:b w:val="0"/>
          <w:bCs/>
          <w:i/>
          <w:iCs/>
          <w:color w:val="000000"/>
        </w:rPr>
        <w:t>second stage</w:t>
      </w:r>
      <w:r w:rsidRPr="00E265DE">
        <w:rPr>
          <w:rFonts w:ascii="Calibri" w:eastAsia="Times New Roman" w:hAnsi="Calibri"/>
          <w:b w:val="0"/>
          <w:bCs/>
          <w:color w:val="000000"/>
        </w:rPr>
        <w:t xml:space="preserve"> of the norm life-cycle is reached if enough actors pick up the language created by entrepreneurs. Norms get saliency, which can lead to implementation. Often, norms are then at a point where they have become institutionalised in specific international rules and organisations, which further contributes to the clarification of the norm and of the potential violation thereof. This norm cascade stage, in which a large number of actors picks up on the norm, is characterized by a different dynamic than the first stage, with states becoming the central actors. A norm needs the support of these actors in order for it to gain legitimacy (Finnemore &amp; Sikkink, 1998, p. 900-904). International and transnational norm influences become more important factors at explaining implementation of new norms during this stage, rather than just domestic politics (Ramirez, Soysal &amp; Shanahan, 1997). This is where international organisations also come in. Through socialisation processes, states get an incentive for acting according to new norms, when this grants them praise from other states (Waltz, 1979/2010). At the tipping point, the new norm becomes the standard of appropriateness, thus stimulating all other states to take on this new norm and to internalize it.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During the </w:t>
      </w:r>
      <w:r w:rsidRPr="00E265DE">
        <w:rPr>
          <w:rFonts w:ascii="Calibri" w:eastAsia="Times New Roman" w:hAnsi="Calibri"/>
          <w:b w:val="0"/>
          <w:bCs/>
          <w:i/>
          <w:iCs/>
          <w:color w:val="000000"/>
        </w:rPr>
        <w:t>third stage</w:t>
      </w:r>
      <w:r w:rsidRPr="00E265DE">
        <w:rPr>
          <w:rFonts w:ascii="Calibri" w:eastAsia="Times New Roman" w:hAnsi="Calibri"/>
          <w:b w:val="0"/>
          <w:bCs/>
          <w:color w:val="000000"/>
        </w:rPr>
        <w:t xml:space="preserve">, the norm has transformed from being new to being the standard. This can lead to such wide acceptance of the norm that it is hard to think of a situation in which the norm is not present. It gets, as Finnemore and Sikkink call it, a ‘taken-for-granted’ quality (ibid., 1998, p. 904). The new norm becomes internalised, through laws and other regulations. This regulatory framework is drafted up by decision-making agencies within states, and as such, will reflect the normative biases of the professions that staff such agencies. Professional training socialises people to value certain norms above others, which in turn will be visible in the policies they make. Iterated behaviour and habit are another important mechanism which the authors mention as having an, albeit indirect, effect on the consolidation of norms after a norm cascade. When a norm becomes a habit, it becomes internalised and once internalised it alters behaviour. The entire process of internalisation, then, becomes one that depends on both procedural changes as well as on indirect and evolutionary convergence (ibid., 1998, pp. 905-906).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All in all, there seem to be various explanations for why states conform to certain norms. Étienne gives an overview of the different logics of compliance that have been dominant since the 1990’s (Étienne, 2010). Institutions are often put centre stage in the structuring of compliance processes. Legitimisation of organisations is often linked to degrees of compliance in such texts (North, 1991; Étienne, 2010; Black, 1997). International organisations are in this context often regarded as being norm teachers for states. Therefore, understanding how norms are mainstreamed in these organisations can contribute to a better understanding of how new norms develop. The </w:t>
      </w:r>
      <w:r w:rsidRPr="00E265DE">
        <w:rPr>
          <w:rFonts w:ascii="Calibri" w:eastAsia="Times New Roman" w:hAnsi="Calibri"/>
          <w:b w:val="0"/>
          <w:bCs/>
          <w:i/>
          <w:iCs/>
          <w:color w:val="000000"/>
        </w:rPr>
        <w:t xml:space="preserve">second </w:t>
      </w:r>
      <w:r w:rsidRPr="00E265DE">
        <w:rPr>
          <w:rFonts w:ascii="Calibri" w:eastAsia="Times New Roman" w:hAnsi="Calibri"/>
          <w:b w:val="0"/>
          <w:bCs/>
          <w:color w:val="000000"/>
        </w:rPr>
        <w:t xml:space="preserve">and </w:t>
      </w:r>
      <w:r w:rsidRPr="00E265DE">
        <w:rPr>
          <w:rFonts w:ascii="Calibri" w:eastAsia="Times New Roman" w:hAnsi="Calibri"/>
          <w:b w:val="0"/>
          <w:bCs/>
          <w:i/>
          <w:iCs/>
          <w:color w:val="000000"/>
        </w:rPr>
        <w:t>third stage</w:t>
      </w:r>
      <w:r w:rsidRPr="00E265DE">
        <w:rPr>
          <w:rFonts w:ascii="Calibri" w:eastAsia="Times New Roman" w:hAnsi="Calibri"/>
          <w:b w:val="0"/>
          <w:bCs/>
          <w:color w:val="000000"/>
        </w:rPr>
        <w:t xml:space="preserve"> of the </w:t>
      </w:r>
      <w:r w:rsidRPr="00E265DE">
        <w:rPr>
          <w:rFonts w:ascii="Calibri" w:eastAsia="Times New Roman" w:hAnsi="Calibri"/>
          <w:b w:val="0"/>
          <w:bCs/>
          <w:i/>
          <w:iCs/>
          <w:color w:val="000000"/>
        </w:rPr>
        <w:t>norm life-cycle model</w:t>
      </w:r>
      <w:r w:rsidRPr="00E265DE">
        <w:rPr>
          <w:rFonts w:ascii="Calibri" w:eastAsia="Times New Roman" w:hAnsi="Calibri"/>
          <w:b w:val="0"/>
          <w:bCs/>
          <w:color w:val="000000"/>
        </w:rPr>
        <w:t xml:space="preserve"> seem to allow for international organisations to be of influence. The way in which norms are mainstreamed within such an organisation will have an effect on how it is picked up by other actors as well. Norm translation, which will be covered in the following paragraph, might occur in these stages. Studying this can be of use to see whether or not the status quo is actually challenged and, eventually, altered.</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Mainstreaming is a phenomenon often found in gender literature, which implies the assessing of the implications of any planned policy on a certain topic. In gender literature, the topic being researched is the different implications these policies have on both men and women. A general assumption in mainstreaming theory is that there is a difference between the norm and what is considered to be the mainstream. The element of norm contestation, that is also present in norm compliance literature, returns in mainstreaming. The underlying strive with mainstreaming is to achieve a level of inclusiveness and to respond to an increasingly important demands of diversity (Squires, 2005). The theory should be understood against a background of integration and inclusion. Whereas this has of yet been utilized mostly with regards to the inclusion of specific social groups, the logic could be used to research implications of policy on a plethora of issues, the environment being one. Instead of mainstreaming a gender perspective one would then look at how an environmentalist perspective is being mainstreamed, which means as much as becoming part of the regular thought process when drafting up new rules and legislations. Dalal-Clayton and Bass describe environmental mainstreaming as ‘</w:t>
      </w:r>
      <w:r w:rsidRPr="00E265DE">
        <w:rPr>
          <w:rFonts w:ascii="Calibri" w:eastAsia="Times New Roman" w:hAnsi="Calibri"/>
          <w:b w:val="0"/>
          <w:bCs/>
          <w:i/>
          <w:iCs/>
          <w:color w:val="000000"/>
        </w:rPr>
        <w:t>the informed inclusion of relevant environmental concerns into the decisions of institutions that drive national, local and sectoral development policy, rules, plans, investment and action’</w:t>
      </w:r>
      <w:r w:rsidRPr="00E265DE">
        <w:rPr>
          <w:rFonts w:ascii="Calibri" w:eastAsia="Times New Roman" w:hAnsi="Calibri"/>
          <w:b w:val="0"/>
          <w:bCs/>
          <w:color w:val="000000"/>
        </w:rPr>
        <w:t xml:space="preserve"> (Dalal-Clayton &amp; Bass, 2009, p. 20). This encompasses three main elements. First, that environmental mainstreaming is a deliberate process. Second, that there are multiple routes and outputs that can be targeted. Third, that mainstreaming should take place on multiple levels (Nunan </w:t>
      </w:r>
      <w:r w:rsidRPr="00E265DE">
        <w:rPr>
          <w:rFonts w:ascii="Calibri" w:eastAsia="Times New Roman" w:hAnsi="Calibri"/>
          <w:b w:val="0"/>
          <w:bCs/>
          <w:i/>
          <w:iCs/>
          <w:color w:val="000000"/>
        </w:rPr>
        <w:t>et al.</w:t>
      </w:r>
      <w:r w:rsidRPr="00E265DE">
        <w:rPr>
          <w:rFonts w:ascii="Calibri" w:eastAsia="Times New Roman" w:hAnsi="Calibri"/>
          <w:b w:val="0"/>
          <w:bCs/>
          <w:color w:val="000000"/>
        </w:rPr>
        <w:t>, 2012, p. 263).</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Rather than looking at degrees of norm compliance, mainstreaming is aiming at assessing how norms are translated and transformed by actors during the norm diffusion process (Joachim &amp; Schneiker, 2012, p. 529). Whereas norm compliance literature often treats norms as being fixed, a less static approach, such as being used in norm mainstreaming theory, allows for a better understanding of why norms are accepted or rejected and why interpretations of norms might vary from actor to actor (Van Kersbergen &amp; Verbeek, 2007, p. 221; Finnemore &amp; Sikkink, 1998; Joachim &amp; Schneiker, 2012). This complicates matters, as not only the norm might be vague and fluid, so is the notion of what is to be considered the mainstream (Walby, 2005, p. 322; True, 2015, p. 227-230). Due to this fluidity of the concepts it is rather hard to create clear indicators for adoption of norms. Actors might consider themselves as being compliant, whilst in fact their interpretation of the norm differs little from the status quo (Joachim &amp; Schneiker, 2012, p. 529).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Mainstreaming efforts can be divided into two different approaches. The institutional mainstreaming approach focuses primarily on how mainstreaming policies were adopted in specific organisational contexts (True, 2015, p. 228). Focus of such mainstreaming research lays at the intersection of national politics and global norms that gain saliency in an international context through institutions. Alternatively, one could approach mainstreaming from a discursive perspective, looking at the way in which power relations are produced and reproduced through language and issue-framing by means of mainstreaming. These two approaches are complementary (Cohn, 2008, p. 194; True, 2015).  Compared to norm compliance theory, mainstreaming tends to zoom in more on the underlying principles of why and how actors comply or seem to comply.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mechanisms at play in mainstreaming, that express themselves through changes in processes, are conceptualised in norm mainstreaming as being critical for change in outcomes. When organisations or institutions alter their activities according to a norm, this should eventually lead to an outcome that is in line with the norm (True, 2015). Adoption of the norm itself, without altering activities accordingly, results in a retaining of the status quo. This is why it is not enough to merely look at whether or not an actor has implemented law on the basis of a certain norm or international treaty, but also at how this has been implemented. Differences in implementation will result in differences in outcomes. Especially in environmental mainstreaming, where multiple levels on which norms need to be implemented are of great importance, such differences can lead to severe differences in outcomes (Dalal-Clayton &amp; Bass, 2009; Nunan </w:t>
      </w:r>
      <w:r w:rsidRPr="00E265DE">
        <w:rPr>
          <w:rFonts w:ascii="Calibri" w:eastAsia="Times New Roman" w:hAnsi="Calibri"/>
          <w:b w:val="0"/>
          <w:bCs/>
          <w:i/>
          <w:iCs/>
          <w:color w:val="000000"/>
        </w:rPr>
        <w:t>et al.</w:t>
      </w:r>
      <w:r w:rsidRPr="00E265DE">
        <w:rPr>
          <w:rFonts w:ascii="Calibri" w:eastAsia="Times New Roman" w:hAnsi="Calibri"/>
          <w:b w:val="0"/>
          <w:bCs/>
          <w:color w:val="000000"/>
        </w:rPr>
        <w:t>, 2012).</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This study draws upon both environmental mainstreaming and gender mainstreaming literature for differentiating between different kinds of mainstreaming and how the occurrence thereof can be established. Mainstreaming can be interpreted as as an </w:t>
      </w:r>
      <w:r w:rsidRPr="00E265DE">
        <w:rPr>
          <w:rFonts w:ascii="Calibri" w:eastAsia="Times New Roman" w:hAnsi="Calibri"/>
          <w:b w:val="0"/>
          <w:bCs/>
          <w:i/>
          <w:iCs/>
          <w:color w:val="000000"/>
        </w:rPr>
        <w:t>outcome</w:t>
      </w:r>
      <w:r w:rsidRPr="00E265DE">
        <w:rPr>
          <w:rFonts w:ascii="Calibri" w:eastAsia="Times New Roman" w:hAnsi="Calibri"/>
          <w:b w:val="0"/>
          <w:bCs/>
          <w:color w:val="000000"/>
        </w:rPr>
        <w:t xml:space="preserve">, a </w:t>
      </w:r>
      <w:r w:rsidRPr="00E265DE">
        <w:rPr>
          <w:rFonts w:ascii="Calibri" w:eastAsia="Times New Roman" w:hAnsi="Calibri"/>
          <w:b w:val="0"/>
          <w:bCs/>
          <w:i/>
          <w:iCs/>
          <w:color w:val="000000"/>
        </w:rPr>
        <w:t xml:space="preserve">strategy, </w:t>
      </w:r>
      <w:r w:rsidRPr="00E265DE">
        <w:rPr>
          <w:rFonts w:ascii="Calibri" w:eastAsia="Times New Roman" w:hAnsi="Calibri"/>
          <w:b w:val="0"/>
          <w:bCs/>
          <w:color w:val="000000"/>
        </w:rPr>
        <w:t xml:space="preserve">or as a </w:t>
      </w:r>
      <w:r w:rsidRPr="00E265DE">
        <w:rPr>
          <w:rFonts w:ascii="Calibri" w:eastAsia="Times New Roman" w:hAnsi="Calibri"/>
          <w:b w:val="0"/>
          <w:bCs/>
          <w:i/>
          <w:iCs/>
          <w:color w:val="000000"/>
        </w:rPr>
        <w:t>process</w:t>
      </w:r>
      <w:r w:rsidRPr="00E265DE">
        <w:rPr>
          <w:rFonts w:ascii="Calibri" w:eastAsia="Times New Roman" w:hAnsi="Calibri"/>
          <w:b w:val="0"/>
          <w:bCs/>
          <w:color w:val="000000"/>
        </w:rPr>
        <w:t xml:space="preserve"> (Joachim &amp; Schneiker, 2012, p. 536). There is no consensus amongst (gender) mainstreaming scholars about these concepts however. When viewed as an </w:t>
      </w:r>
      <w:r w:rsidRPr="00E265DE">
        <w:rPr>
          <w:rFonts w:ascii="Calibri" w:eastAsia="Times New Roman" w:hAnsi="Calibri"/>
          <w:b w:val="0"/>
          <w:bCs/>
          <w:i/>
          <w:iCs/>
          <w:color w:val="000000"/>
        </w:rPr>
        <w:t>outcome</w:t>
      </w:r>
      <w:r w:rsidRPr="00E265DE">
        <w:rPr>
          <w:rFonts w:ascii="Calibri" w:eastAsia="Times New Roman" w:hAnsi="Calibri"/>
          <w:b w:val="0"/>
          <w:bCs/>
          <w:color w:val="000000"/>
        </w:rPr>
        <w:t xml:space="preserve">, mainstreaming can be seen as offering transformation or as stimulating agenda-setting and integration (Rees, 1998; Benschop &amp; Verloo, 2006; Squires, 2005). Transformation would be visible in a rather radical change in existing structures, cultures and power relations, whereas agenda-setting would be more visible in a change in policy paradigms (Benschop &amp; Verloo, 2006, p. 31; Joachim &amp; Schneiker, 2012, p. 536-537). Of the three, integration is seen as having the least substantial impact, being more of a rebranding than actual implementation of the mainstreamed norm (Walby, 2005, p. 324). Prior to reaching an outcome, mainstreaming can be seen used as either a </w:t>
      </w:r>
      <w:r w:rsidRPr="00E265DE">
        <w:rPr>
          <w:rFonts w:ascii="Calibri" w:eastAsia="Times New Roman" w:hAnsi="Calibri"/>
          <w:b w:val="0"/>
          <w:bCs/>
          <w:i/>
          <w:iCs/>
          <w:color w:val="000000"/>
        </w:rPr>
        <w:t xml:space="preserve">strategy </w:t>
      </w:r>
      <w:r w:rsidRPr="00E265DE">
        <w:rPr>
          <w:rFonts w:ascii="Calibri" w:eastAsia="Times New Roman" w:hAnsi="Calibri"/>
          <w:b w:val="0"/>
          <w:bCs/>
          <w:color w:val="000000"/>
        </w:rPr>
        <w:t xml:space="preserve">or as a </w:t>
      </w:r>
      <w:r w:rsidRPr="00E265DE">
        <w:rPr>
          <w:rFonts w:ascii="Calibri" w:eastAsia="Times New Roman" w:hAnsi="Calibri"/>
          <w:b w:val="0"/>
          <w:bCs/>
          <w:i/>
          <w:iCs/>
          <w:color w:val="000000"/>
        </w:rPr>
        <w:t>process.</w:t>
      </w:r>
      <w:r w:rsidRPr="00E265DE">
        <w:rPr>
          <w:rFonts w:ascii="Calibri" w:eastAsia="Times New Roman" w:hAnsi="Calibri"/>
          <w:b w:val="0"/>
          <w:bCs/>
          <w:color w:val="000000"/>
        </w:rPr>
        <w:t xml:space="preserve">  Mainstreaming as a </w:t>
      </w:r>
      <w:r w:rsidRPr="00E265DE">
        <w:rPr>
          <w:rFonts w:ascii="Calibri" w:eastAsia="Times New Roman" w:hAnsi="Calibri"/>
          <w:b w:val="0"/>
          <w:bCs/>
          <w:i/>
          <w:iCs/>
          <w:color w:val="000000"/>
        </w:rPr>
        <w:t>strategy</w:t>
      </w:r>
      <w:r w:rsidRPr="00E265DE">
        <w:rPr>
          <w:rFonts w:ascii="Calibri" w:eastAsia="Times New Roman" w:hAnsi="Calibri"/>
          <w:b w:val="0"/>
          <w:bCs/>
          <w:color w:val="000000"/>
        </w:rPr>
        <w:t xml:space="preserve"> aims at altering mindsets thusly that particular types of expertise, institutional preference, bias and systems of knowledge and value become empowered (Koskenniemi, 2010, p. 51). The exact strategy varies from topic to topic, and does not have to be limited to a single strategy. It can, as in gender mainstreaming, also be multiple strategies which complement each other (Booth &amp; Bennett, 2002, p. 434). Lastly, when viewed as a </w:t>
      </w:r>
      <w:r w:rsidRPr="00E265DE">
        <w:rPr>
          <w:rFonts w:ascii="Calibri" w:eastAsia="Times New Roman" w:hAnsi="Calibri"/>
          <w:b w:val="0"/>
          <w:bCs/>
          <w:i/>
          <w:iCs/>
          <w:color w:val="000000"/>
        </w:rPr>
        <w:t>process</w:t>
      </w:r>
      <w:r w:rsidRPr="00E265DE">
        <w:rPr>
          <w:rFonts w:ascii="Calibri" w:eastAsia="Times New Roman" w:hAnsi="Calibri"/>
          <w:b w:val="0"/>
          <w:bCs/>
          <w:color w:val="000000"/>
        </w:rPr>
        <w:t xml:space="preserve">, mainstreaming can be seen as either a political or a technical process, adding knowledge, inclusiveness and expertise to the toolkits of policymakers (Walby, 2005, p. 331). This distinction is rather theoretical however, as in practice a range of actors is involved in the mainstreaming process, ranging from action groups to political figures to scientists (Joachim &amp; Scheiker, 2012). Joachim &amp; Scheiker developed a rather nifty table to describe how certain mainstreaming can be interpreted. They distinguish  between deep and shallow notions of mainstreaming.  This has been used as a basis to determine how certain types of environmental mainstreaming can be differentiated, which can be viewed below in Table 1 in chapter 4 (Joachim &amp; Scheiker, 2012, p. 539).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Studies show that environmental mainstreaming recently has been a deliberate effort, which is often either targeted at vertical integration or horizontal integration (Nunan </w:t>
      </w:r>
      <w:r w:rsidRPr="00E265DE">
        <w:rPr>
          <w:rFonts w:ascii="Calibri" w:eastAsia="Times New Roman" w:hAnsi="Calibri"/>
          <w:b w:val="0"/>
          <w:bCs/>
          <w:i/>
          <w:iCs/>
          <w:color w:val="000000"/>
        </w:rPr>
        <w:t xml:space="preserve">et al., </w:t>
      </w:r>
      <w:r w:rsidRPr="00E265DE">
        <w:rPr>
          <w:rFonts w:ascii="Calibri" w:eastAsia="Times New Roman" w:hAnsi="Calibri"/>
          <w:b w:val="0"/>
          <w:bCs/>
          <w:color w:val="000000"/>
        </w:rPr>
        <w:t xml:space="preserve">2012, p. 267-274). Especially when there is a strong political drive with clear vertical arrangements, environmental mainstreaming can turn out to be effective. Resources and support at the right level are also crucial in achieving this. This mainstreaming is to be deemed a </w:t>
      </w:r>
      <w:r w:rsidRPr="00E265DE">
        <w:rPr>
          <w:rFonts w:ascii="Calibri" w:eastAsia="Times New Roman" w:hAnsi="Calibri"/>
          <w:b w:val="0"/>
          <w:bCs/>
          <w:i/>
          <w:iCs/>
          <w:color w:val="000000"/>
        </w:rPr>
        <w:t>process</w:t>
      </w:r>
      <w:r w:rsidRPr="00E265DE">
        <w:rPr>
          <w:rFonts w:ascii="Calibri" w:eastAsia="Times New Roman" w:hAnsi="Calibri"/>
          <w:b w:val="0"/>
          <w:bCs/>
          <w:color w:val="000000"/>
        </w:rPr>
        <w:t xml:space="preserve">, to link it back to the text above. Vertical integration is rather more of a political process, whereas horizontal integration is more technical. These vertical structures have greater potential of creating saliency through politising the norm but lack knowledge, whereas horizontal structures are more likely to help fuse the norm with technical and analytical expertise. A combination of both political and technical processes, or horizontal and vertical structures, would be ideal for the mainstreaming of an environmental norm, which would contribute to the support of the norm while at the same time allocating the resources required to act on the norm properly (Nunan </w:t>
      </w:r>
      <w:r w:rsidRPr="00E265DE">
        <w:rPr>
          <w:rFonts w:ascii="Calibri" w:eastAsia="Times New Roman" w:hAnsi="Calibri"/>
          <w:b w:val="0"/>
          <w:bCs/>
          <w:i/>
          <w:iCs/>
          <w:color w:val="000000"/>
        </w:rPr>
        <w:t>et al.</w:t>
      </w:r>
      <w:r w:rsidRPr="00E265DE">
        <w:rPr>
          <w:rFonts w:ascii="Calibri" w:eastAsia="Times New Roman" w:hAnsi="Calibri"/>
          <w:b w:val="0"/>
          <w:bCs/>
          <w:color w:val="000000"/>
        </w:rPr>
        <w:t xml:space="preserve">, 2012, p. 275).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outcomes of environmental mainstreaming are placed on a scale by Dalal-Clayton and Bass. They differentiate between having impact upstream, at the policy-level and influencing the allocation of budgets, or having impact downstream, with which they mean on the ground (Dalal-Clayton &amp; Bass, 2009, pp. 77-79). Again, both vertical and horizontal structures are deemed relevant for successful environmental mainstreaming. Looking at this from a mainstreaming as </w:t>
      </w:r>
      <w:r w:rsidRPr="00E265DE">
        <w:rPr>
          <w:rFonts w:ascii="Calibri" w:eastAsia="Times New Roman" w:hAnsi="Calibri"/>
          <w:b w:val="0"/>
          <w:bCs/>
          <w:i/>
          <w:iCs/>
          <w:color w:val="000000"/>
        </w:rPr>
        <w:t>outcome</w:t>
      </w:r>
      <w:r w:rsidRPr="00E265DE">
        <w:rPr>
          <w:rFonts w:ascii="Calibri" w:eastAsia="Times New Roman" w:hAnsi="Calibri"/>
          <w:b w:val="0"/>
          <w:bCs/>
          <w:color w:val="000000"/>
        </w:rPr>
        <w:t xml:space="preserve"> point of view, norms become more and more mainstreamed when they move down from the upstream to the downstream.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3"/>
        </w:numPr>
        <w:spacing w:line="360" w:lineRule="auto"/>
        <w:textAlignment w:val="baseline"/>
        <w:rPr>
          <w:rFonts w:ascii="Calibri" w:eastAsia="Times New Roman" w:hAnsi="Calibri"/>
          <w:color w:val="000000"/>
        </w:rPr>
      </w:pPr>
      <w:r w:rsidRPr="0040375D">
        <w:rPr>
          <w:rFonts w:ascii="Calibri" w:eastAsia="Times New Roman" w:hAnsi="Calibri"/>
          <w:color w:val="000000"/>
        </w:rPr>
        <w:t>Norm translation</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practice, it shows that norms are never really implemented one to one, unless they are regulations from supranational institutions, such as the European Union, that have a binding character and direct effect. In all other cases, whether they are directives or elusively formulated international principles, guidelines or treaties, states and other actors that fall within the effective reach of the legislation will interpret it in different ways. When an actor purposefully interprets the norm according to its own specific needs, one could speak of </w:t>
      </w:r>
      <w:r w:rsidRPr="00E265DE">
        <w:rPr>
          <w:rFonts w:ascii="Calibri" w:eastAsia="Times New Roman" w:hAnsi="Calibri"/>
          <w:b w:val="0"/>
          <w:bCs/>
          <w:i/>
          <w:iCs/>
          <w:color w:val="000000"/>
        </w:rPr>
        <w:t>norm translation</w:t>
      </w:r>
      <w:r w:rsidRPr="00E265DE">
        <w:rPr>
          <w:rFonts w:ascii="Calibri" w:eastAsia="Times New Roman" w:hAnsi="Calibri"/>
          <w:b w:val="0"/>
          <w:bCs/>
          <w:color w:val="000000"/>
        </w:rPr>
        <w:t>. A translation of a norm, then, can be seen as one interpretation of a certain norm within a specific context, thus specifying what is prescribed, tolerated or forbidden (Toury, 1995, p. 55; Brownlie, 1996). By looking at how institutions translate norms, a better insight is gained into the implementation processes at work within organisations. Norm translation in itself might not be an all-out theory, but can be used as a tool that further enlightens how norm diffusion and norm mainstreaming work, by trying to understand the actual practical implications of a certain (suggested) change in policy.</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Acharya states that there are two ways of norm diffusion that can be recognised in literature. The first one is that of </w:t>
      </w:r>
      <w:r w:rsidRPr="00E265DE">
        <w:rPr>
          <w:rFonts w:ascii="Calibri" w:eastAsia="Times New Roman" w:hAnsi="Calibri"/>
          <w:b w:val="0"/>
          <w:bCs/>
          <w:i/>
          <w:iCs/>
          <w:color w:val="000000"/>
        </w:rPr>
        <w:t xml:space="preserve">moral cosmopolitanism. </w:t>
      </w:r>
      <w:r w:rsidRPr="00E265DE">
        <w:rPr>
          <w:rFonts w:ascii="Calibri" w:eastAsia="Times New Roman" w:hAnsi="Calibri"/>
          <w:b w:val="0"/>
          <w:bCs/>
          <w:color w:val="000000"/>
        </w:rPr>
        <w:t xml:space="preserve">This involves </w:t>
      </w:r>
      <w:r w:rsidRPr="00E265DE">
        <w:rPr>
          <w:rFonts w:ascii="Calibri" w:eastAsia="Times New Roman" w:hAnsi="Calibri"/>
          <w:b w:val="0"/>
          <w:bCs/>
          <w:i/>
          <w:iCs/>
          <w:color w:val="000000"/>
        </w:rPr>
        <w:t>cosmopolitan</w:t>
      </w:r>
      <w:r w:rsidRPr="00E265DE">
        <w:rPr>
          <w:rFonts w:ascii="Calibri" w:eastAsia="Times New Roman" w:hAnsi="Calibri"/>
          <w:b w:val="0"/>
          <w:bCs/>
          <w:color w:val="000000"/>
        </w:rPr>
        <w:t xml:space="preserve"> or </w:t>
      </w:r>
      <w:r w:rsidRPr="00E265DE">
        <w:rPr>
          <w:rFonts w:ascii="Calibri" w:eastAsia="Times New Roman" w:hAnsi="Calibri"/>
          <w:b w:val="0"/>
          <w:bCs/>
          <w:i/>
          <w:iCs/>
          <w:color w:val="000000"/>
        </w:rPr>
        <w:t xml:space="preserve">universal norms, </w:t>
      </w:r>
      <w:r w:rsidRPr="00E265DE">
        <w:rPr>
          <w:rFonts w:ascii="Calibri" w:eastAsia="Times New Roman" w:hAnsi="Calibri"/>
          <w:b w:val="0"/>
          <w:bCs/>
          <w:color w:val="000000"/>
        </w:rPr>
        <w:t xml:space="preserve">which are spread by </w:t>
      </w:r>
      <w:r w:rsidRPr="00E265DE">
        <w:rPr>
          <w:rFonts w:ascii="Calibri" w:eastAsia="Times New Roman" w:hAnsi="Calibri"/>
          <w:b w:val="0"/>
          <w:bCs/>
          <w:i/>
          <w:iCs/>
          <w:color w:val="000000"/>
        </w:rPr>
        <w:t>transnational actors</w:t>
      </w:r>
      <w:r w:rsidRPr="00E265DE">
        <w:rPr>
          <w:rFonts w:ascii="Calibri" w:eastAsia="Times New Roman" w:hAnsi="Calibri"/>
          <w:b w:val="0"/>
          <w:bCs/>
          <w:color w:val="000000"/>
        </w:rPr>
        <w:t xml:space="preserve"> and builds mostly on </w:t>
      </w:r>
      <w:r w:rsidRPr="00E265DE">
        <w:rPr>
          <w:rFonts w:ascii="Calibri" w:eastAsia="Times New Roman" w:hAnsi="Calibri"/>
          <w:b w:val="0"/>
          <w:bCs/>
          <w:i/>
          <w:iCs/>
          <w:color w:val="000000"/>
        </w:rPr>
        <w:t>conversation</w:t>
      </w:r>
      <w:r w:rsidRPr="00E265DE">
        <w:rPr>
          <w:rFonts w:ascii="Calibri" w:eastAsia="Times New Roman" w:hAnsi="Calibri"/>
          <w:b w:val="0"/>
          <w:bCs/>
          <w:color w:val="000000"/>
        </w:rPr>
        <w:t xml:space="preserve"> instead of contestation</w:t>
      </w:r>
      <w:r w:rsidRPr="00E265DE">
        <w:rPr>
          <w:rFonts w:ascii="Calibri" w:eastAsia="Times New Roman" w:hAnsi="Calibri"/>
          <w:b w:val="0"/>
          <w:bCs/>
          <w:i/>
          <w:iCs/>
          <w:color w:val="000000"/>
        </w:rPr>
        <w:t xml:space="preserve"> </w:t>
      </w:r>
      <w:r w:rsidRPr="00E265DE">
        <w:rPr>
          <w:rFonts w:ascii="Calibri" w:eastAsia="Times New Roman" w:hAnsi="Calibri"/>
          <w:b w:val="0"/>
          <w:bCs/>
          <w:color w:val="000000"/>
        </w:rPr>
        <w:t>(Acharya, 2004, pp. 240-242; Acharya, 2011, pp. 9-11)</w:t>
      </w:r>
      <w:r w:rsidRPr="00E265DE">
        <w:rPr>
          <w:rFonts w:ascii="Calibri" w:eastAsia="Times New Roman" w:hAnsi="Calibri"/>
          <w:b w:val="0"/>
          <w:bCs/>
          <w:i/>
          <w:iCs/>
          <w:color w:val="000000"/>
        </w:rPr>
        <w:t>.</w:t>
      </w:r>
      <w:r w:rsidRPr="00E265DE">
        <w:rPr>
          <w:rFonts w:ascii="Calibri" w:eastAsia="Times New Roman" w:hAnsi="Calibri"/>
          <w:b w:val="0"/>
          <w:bCs/>
          <w:color w:val="000000"/>
        </w:rPr>
        <w:t xml:space="preserve"> This view bolsters a dichotomous concept of right and wrong, as resistance to cosmopolitan norms is deemed to be immoral, illegitimate or both. As Acharya points out, this dichotomy implies that global norms are good whereas local norms would be wrong. Given this rather explicit bias of </w:t>
      </w:r>
      <w:r w:rsidRPr="00E265DE">
        <w:rPr>
          <w:rFonts w:ascii="Calibri" w:eastAsia="Times New Roman" w:hAnsi="Calibri"/>
          <w:b w:val="0"/>
          <w:bCs/>
          <w:i/>
          <w:iCs/>
          <w:color w:val="000000"/>
        </w:rPr>
        <w:t xml:space="preserve">moral cosmopolitanism, </w:t>
      </w:r>
      <w:r w:rsidRPr="00E265DE">
        <w:rPr>
          <w:rFonts w:ascii="Calibri" w:eastAsia="Times New Roman" w:hAnsi="Calibri"/>
          <w:b w:val="0"/>
          <w:bCs/>
          <w:color w:val="000000"/>
        </w:rPr>
        <w:t xml:space="preserve">it is not all that surprising that this concept has been met with a contrasting view on norm diffusion. This second perspective on norm diffusion is called norm localisation, and moves beyond international prescriptions, rather stressing how domestic organisational, political and cultural variables influence the implementation and acceptance of new global norms (Acharya, 2004, p. 243; Acharya, 2011, pp. 11-14). This ‘local’ filter does not merely occur within states. Legro points out that for (international) organisations their organisational culture has a similar effect, where the patterns of assumption, ideas and beliefs within an organisation act </w:t>
      </w:r>
      <w:r w:rsidRPr="00E265DE">
        <w:rPr>
          <w:rFonts w:ascii="Calibri" w:eastAsia="Times New Roman" w:hAnsi="Calibri"/>
          <w:b w:val="0"/>
          <w:bCs/>
          <w:i/>
          <w:iCs/>
          <w:color w:val="000000"/>
        </w:rPr>
        <w:t>‘as a heuristic filter for perceptions and calculations’</w:t>
      </w:r>
      <w:r w:rsidRPr="00E265DE">
        <w:rPr>
          <w:rFonts w:ascii="Calibri" w:eastAsia="Times New Roman" w:hAnsi="Calibri"/>
          <w:b w:val="0"/>
          <w:bCs/>
          <w:color w:val="000000"/>
        </w:rPr>
        <w:t xml:space="preserve">  which organisations employ when faced with outside norms (Legro, 1997, pp. 33-35). Norm localisation focuses rather much on states transforming or fitting global norms into their own local norms. As this is rather state-focused, the scope of the term might be a bit too limited. After all, the phenomenon occurs in multiple actors. Therefore, the term </w:t>
      </w:r>
      <w:r w:rsidRPr="00E265DE">
        <w:rPr>
          <w:rFonts w:ascii="Calibri" w:eastAsia="Times New Roman" w:hAnsi="Calibri"/>
          <w:b w:val="0"/>
          <w:bCs/>
          <w:i/>
          <w:iCs/>
          <w:color w:val="000000"/>
        </w:rPr>
        <w:t>norm translation</w:t>
      </w:r>
      <w:r w:rsidRPr="00E265DE">
        <w:rPr>
          <w:rFonts w:ascii="Calibri" w:eastAsia="Times New Roman" w:hAnsi="Calibri"/>
          <w:b w:val="0"/>
          <w:bCs/>
          <w:color w:val="000000"/>
        </w:rPr>
        <w:t xml:space="preserve"> is used in this study, being a more general term for this phenomenon (Zimmermann, 2016).</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One way of translating norms is by matching the global norms that have come to expression in new treaties or legislation with pre-existing lower level or internal rules and regulations, depending on the actor. Acharya sees this connecting of pre-existing lower level norms to external norm-sets, also known as </w:t>
      </w:r>
      <w:r w:rsidRPr="00E265DE">
        <w:rPr>
          <w:rFonts w:ascii="Calibri" w:eastAsia="Times New Roman" w:hAnsi="Calibri"/>
          <w:b w:val="0"/>
          <w:bCs/>
          <w:i/>
          <w:iCs/>
          <w:color w:val="000000"/>
        </w:rPr>
        <w:t xml:space="preserve">grafting </w:t>
      </w:r>
      <w:r w:rsidRPr="00E265DE">
        <w:rPr>
          <w:rFonts w:ascii="Calibri" w:eastAsia="Times New Roman" w:hAnsi="Calibri"/>
          <w:b w:val="0"/>
          <w:bCs/>
          <w:color w:val="000000"/>
        </w:rPr>
        <w:t xml:space="preserve">or as </w:t>
      </w:r>
      <w:r w:rsidRPr="00E265DE">
        <w:rPr>
          <w:rFonts w:ascii="Calibri" w:eastAsia="Times New Roman" w:hAnsi="Calibri"/>
          <w:b w:val="0"/>
          <w:bCs/>
          <w:i/>
          <w:iCs/>
          <w:color w:val="000000"/>
        </w:rPr>
        <w:t>incremental norm transplantation</w:t>
      </w:r>
      <w:r w:rsidRPr="00E265DE">
        <w:rPr>
          <w:rFonts w:ascii="Calibri" w:eastAsia="Times New Roman" w:hAnsi="Calibri"/>
          <w:b w:val="0"/>
          <w:bCs/>
          <w:color w:val="000000"/>
        </w:rPr>
        <w:t xml:space="preserve">, as a way through which actors can create support for a global norm, but also as a way to bypass elements of new norms that do not seem to fit with pre-existing structures (Acharya, 2004. p. 244; Zimmermann, 2016, p. 105; Farrell, 2001). The practical implication thereof would be that there could be no actual change in policy, as pre-existing law, policy or regulation does not necessarily will be altered. Localisation is a rather broad term for scholars such as Acharya and Zwingel, who see everything between rejection and adoption linked to this </w:t>
      </w:r>
      <w:r w:rsidRPr="00E265DE">
        <w:rPr>
          <w:rFonts w:ascii="Calibri" w:eastAsia="Times New Roman" w:hAnsi="Calibri"/>
          <w:b w:val="0"/>
          <w:bCs/>
          <w:i/>
          <w:iCs/>
          <w:color w:val="000000"/>
        </w:rPr>
        <w:t xml:space="preserve">grafting </w:t>
      </w:r>
      <w:r w:rsidRPr="00E265DE">
        <w:rPr>
          <w:rFonts w:ascii="Calibri" w:eastAsia="Times New Roman" w:hAnsi="Calibri"/>
          <w:b w:val="0"/>
          <w:bCs/>
          <w:color w:val="000000"/>
        </w:rPr>
        <w:t xml:space="preserve">as such (Zimmermann, 2016, p. 105). The alternative that can be recognised in literature is that of scholars granting special normative value to localisation. Translating norms would give these norms more saliency and greater effect, due to their improved fit within local context (Merry, 2006, p. 1; Zimmermann, 2016). Another method would be to alter the weight an actor gives to certain terms or prescriptive clauses. By interpreting them differently, another perceived outcome can be achieved.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Zimmerman has developed a different conceptual approach to norm translation. This approach allows for distinguishing of norm translation in three steps. First, how norms are translated into </w:t>
      </w:r>
      <w:r w:rsidRPr="00E265DE">
        <w:rPr>
          <w:rFonts w:ascii="Calibri" w:eastAsia="Times New Roman" w:hAnsi="Calibri"/>
          <w:b w:val="0"/>
          <w:bCs/>
          <w:i/>
          <w:iCs/>
          <w:color w:val="000000"/>
        </w:rPr>
        <w:t>discourse</w:t>
      </w:r>
      <w:r w:rsidRPr="00E265DE">
        <w:rPr>
          <w:rFonts w:ascii="Calibri" w:eastAsia="Times New Roman" w:hAnsi="Calibri"/>
          <w:b w:val="0"/>
          <w:bCs/>
          <w:color w:val="000000"/>
        </w:rPr>
        <w:t xml:space="preserve">. Second, how they are translated into </w:t>
      </w:r>
      <w:r w:rsidRPr="00E265DE">
        <w:rPr>
          <w:rFonts w:ascii="Calibri" w:eastAsia="Times New Roman" w:hAnsi="Calibri"/>
          <w:b w:val="0"/>
          <w:bCs/>
          <w:i/>
          <w:iCs/>
          <w:color w:val="000000"/>
        </w:rPr>
        <w:t>law</w:t>
      </w:r>
      <w:r w:rsidRPr="00E265DE">
        <w:rPr>
          <w:rFonts w:ascii="Calibri" w:eastAsia="Times New Roman" w:hAnsi="Calibri"/>
          <w:b w:val="0"/>
          <w:bCs/>
          <w:color w:val="000000"/>
        </w:rPr>
        <w:t xml:space="preserve">, and third, how they are then translated into </w:t>
      </w:r>
      <w:r w:rsidRPr="00E265DE">
        <w:rPr>
          <w:rFonts w:ascii="Calibri" w:eastAsia="Times New Roman" w:hAnsi="Calibri"/>
          <w:b w:val="0"/>
          <w:bCs/>
          <w:i/>
          <w:iCs/>
          <w:color w:val="000000"/>
        </w:rPr>
        <w:t>implementation</w:t>
      </w:r>
      <w:r w:rsidRPr="00E265DE">
        <w:rPr>
          <w:rFonts w:ascii="Calibri" w:eastAsia="Times New Roman" w:hAnsi="Calibri"/>
          <w:b w:val="0"/>
          <w:bCs/>
          <w:color w:val="000000"/>
        </w:rPr>
        <w:t xml:space="preserve"> (Zimmermann, 2016, p. 105). By distinguishing these categories, translation outcomes can be described more accurately. Using the category system Zimmermann has created, it is possible to analyse what has led to the acceptance or rejection of a norm that might at first glance seem to be unconventional for an organisation or a state. There are various possible outcomes for norm diffusion in Zimmermann’s model, being full acceptance along the lines of the international interpretation of the norm, rejection of the norm all together, acceptance of a norm that has been translated into terms that fit with pre-existing frameworks, or something in between such as decoupling (ibid., 2016, pp. 105-107).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It is debatable whether or not norm translation only applies to those parties that purposefully alter new norms according to their own needs. A party could also translate a norm to a certain frame, in order for it to gain more saliency. This would link back more to norm entrepreneurship or norm teaching. When an influential actor wants to push a norm, it can do so by linking it to for example an economic frame.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1F490E">
      <w:pPr>
        <w:numPr>
          <w:ilvl w:val="0"/>
          <w:numId w:val="11"/>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Methodology</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This chapter will first cover the case selection, explaining why the World Bank is an institution that stands out against other international financial institutions. The precedent the World Bank has with environmental norms makes it stand out against other IFIs. For this reason it could be seen either as a deviant case, as it is different from the others, or as a typical case. This will be further discussed in the first paragraph. Next, the chapter will move to discussion of the methods used in this study, being process tracing analysis and content analysis. Process tracing is useful for this case study due to its systematic approach, which is well suited for researching complex contexts in which there could be competing causal explanations (Beach &amp; Pedersen, 2013, p. 68-74). Given the the underlying mechanisms of the case, which might have led to the mainstreaming of environmental norms within the World Bank, process tracing seems to be a well-suited method. Especially for smaller N-size studies this method is rather useful (Collier, 2011). When generating new hypotheses or when trying to uncover complex underlying mechanisms process tracing analysis can prove to be insightful. The method allows for qualitative studying of concepts over time.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main body of the studied data will be written sources, for which content analysis seems to be a well-suited method. The potential changing of the World Bank’s mainstreaming efforts over time can then be studied. As already stated in the introduction to this study, the open-endedness of content analysis makes it possible to mix this method with process tracing, as the so-called hermeneutic loop in content analysis allows for Bayesian updating, which process tracing can benefit from (Graue, 2015; Krippendorf, 2012). Content analysis also allows for studying whether norm translation has taken place within the World Bank with regard to environmental norms. This could then give insight into the way in which the World Bank uses norms within the context of the organisation.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5"/>
        </w:numPr>
        <w:spacing w:line="360" w:lineRule="auto"/>
        <w:textAlignment w:val="baseline"/>
        <w:rPr>
          <w:rFonts w:ascii="Calibri" w:eastAsia="Times New Roman" w:hAnsi="Calibri"/>
          <w:color w:val="000000"/>
        </w:rPr>
      </w:pPr>
      <w:r w:rsidRPr="0040375D">
        <w:rPr>
          <w:rFonts w:ascii="Calibri" w:eastAsia="Times New Roman" w:hAnsi="Calibri"/>
          <w:color w:val="000000"/>
        </w:rPr>
        <w:t>Case justification</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this thesis a case study into the adoption of the Paris Agreement by the World Bank will be conducted, to further research how the World Bank comes to the implementation of new environmental norms. As stated earlier, the Paris Agreement is ground-breaking in that it is the first international environmental agreement that is signed by every country in the world. It pushes for harder standards, with the aim of counteracting the ongoing processes of global warming and environmental deterioration. The World Bank has a precedent with focussing policy on environmental norms since the early 1990s. This is rather eccentric; as financial institutions are not historically know to be all that green. The World Bank can be seen as a global leader in its field, setting standards for other IFI’s and leading by example. By looking at how this precedent influences the way in which environmental norms are read by the World Bank, research into norm implementation, norm tailoring and norm adherence is further advanced. The World Bank can, for the purpose of this study, either be seen as a deviant case or as a typical case, depending on the approach one takes. It is a deviant case when compared to the other IFIs, regarding the speed with which it updates its policies. Deviant cases are typically unusual occurrences or outliers. Studying a deviant case can grant a deeper understanding of why a certain phenomenon occurs (Gerring, 2008; Wicks, 2010). In case of the World Bank, the phenomenon being studied would be its tendency to update environmental policies very quickly, which can potentially be related to the level of mainstreaming of environmental norms that has occured within the World Bank. On the other hand, it is to be deemed a most likely case for analytical purposes. When wanting to uncover certain elements within an IFI that lead to mainstreaming of environmental norms, such as precedent, the World Bank is an excellent ‘most likely’-case, as it is one of the leading development banks and as it makes use of a very up to date environmental policy (Gerring, 2008, pp. 650-653). As stated in the introduction, not every IFI is as active with the updating of its policies. In comparison, the World Bank over-performs relative to the other IFI’s. A deviant case is most often used when trying to generate new hypotheses, which could be what this study will eventually result in. A most-likely, or typical, case is on the other hand useful for hypothesis-testing, as it is representative in and by itself (Gerring, 2008, pp. 648-650). By seeing the World Bank as a most-likely case in this study, for analytical purposes, it is possible to test whether or not general mainstreaming assumptions apply to this organisation. If it so happens that this is not the case, new hypotheses could be generated based on the research done.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World Bank actively assesses the environmental impact of projects which it finances is actively and loans are not disbursed when the environmental criteria set by the World Bank are not met. These factors contribute to the World Bank being a role model for both states and other IFIs. Looking more closely at the way in which the World Bank implements its environmental policies can offer important insights when trying to understand the way in which environmental issues are tackled by IFI’s.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research focuses on a presumed change in World Bank policy over time. The timeframe of this study starts around the Rio Declaration in 1992, past the Kyoto Protocol of 1997 and moves on up and until the acceptance and implementation of the Paris Agreement of 2016. The Rio Declaration and Kyoto Protocol are utilized as historical pinpoints, in order to be able to witness whether or not a change in the importance of environmental norms is visible in the Paris Agreement, relative to these two prior documents. To put these declarations into perspective, some historic context will be given by roughly outlining the World Bank’s efforts prior to the Rio Declaration of 1992. This timeframe has been selected because Rio can be seen as the first major, international agreement on the environment. As the Paris Agreement is the most recent international document on this topic, this has been chosen as an endpoint for the timeframe. The inclusion of the Paris Agreement in this research can be justified by noting that it is the most recent environmental treaty, which gives it the potential to be more relevant than older treaties and protocols due to the inclusion of recent insights into the agreement. The Paris Agreement is refreshing, in that it is the first major environmental treaty that has been signed by every country in the world. As of yet, almost every country is willing to ratify the Agreement and adhere to it (The Guardian, 2017). Also, the Paris Agreement is a move forward from the 1992 Rio Declaration and the 1997 Kyoto Protocol in terms of content, pushing for harder and stricter benchmarks with regards to the environment.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5"/>
        </w:numPr>
        <w:spacing w:line="360" w:lineRule="auto"/>
        <w:textAlignment w:val="baseline"/>
        <w:rPr>
          <w:rFonts w:ascii="Calibri" w:eastAsia="Times New Roman" w:hAnsi="Calibri"/>
          <w:color w:val="000000"/>
        </w:rPr>
      </w:pPr>
      <w:r w:rsidRPr="0040375D">
        <w:rPr>
          <w:rFonts w:ascii="Calibri" w:eastAsia="Times New Roman" w:hAnsi="Calibri"/>
          <w:color w:val="000000"/>
        </w:rPr>
        <w:t>Process tracing</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Process tracing – sometimes also referred to as causal-process observation –, as a tool, is especially useful when trying to analyse within-case, based on qualitative data (Freedman, 2008). It might even be considered the central within-case research method in political science. The method focuses on analysis of the empirical foundations of qualitative research. Proper understanding of underlying mechanisms is necessary for proper causal inference from observational data. Key to process tracing is making use of systematic means of examining diagnostic evidence that has been selected based on a research question and one or several hypotheses, through which the research question should be, to an extent, answerable (Bennett &amp; Checkel, 2014, pp. 3-8; Collier, 2011, p. 823; Freedman, 2008).</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Although originating in psychology, process tracing is not merely limited to analysis of individual level decision-making. George and Bennett have made clear how process tracing is very well suited for structural or macro-level inferences as well (George &amp; Bennett, 2005, p. 142, p. 241). Nonetheless, qualitative research methods in political science are in need of further refining, as Collier notices, because in recent years there has especially been an innovation in the refining of quantitative analysis tools for causal inference (2011, pp. 828-829). This has led to debates on the usefulness of qualitative tools such as process tracing. In this context it should be noted, however, that quantitative tools often lack the possibility of thoroughly researching the processes underlying individual cases or a small-N selection of cases. Process tracing should not be done away with so easily, then, as it is a type of scientific inquiry in its own right (Freedman, 2008).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Within the field of political sciences, process tracing can be especially useful as a tool when trying to identify new political and social phenomena that need to be described systematically. Also, due to its focus on within-case data and causal mechanisms, this method is very well suited for both the testing and generating of hypotheses. When dealing with deviant cases, as might well be so in this research, a method such as process tracing, which is very well suited for hypothesis-generating, can turn out to be very insightful (Gerring, 2008, pp. 650-653). Not only does this insight into the causal mechanisms of a case give rise to potential for testing and generating hypothesis, it also provides further information that, in turn, can be useful in larger scale quantitative research. Furthermore, qualitative research provides an alternative means to addressing challenging problems that quantitative research often faces, such as spuriousness, selection bias and reciprocal causation (Collier, 2011, p. 824). Especially when combining process tracing with Bayesian logic, as suggested by Bennett, it proves to be a tool that is able to analyse specific cases to a very detailed level. Although Bayesian analysis does not quite have the same theory-generating abilities as process tracing has, it does offer additional means of generalizing from a qualitative case, thus opening up possibilities to cross-over from qualitative to quantitative, and vice versa (Bennett, 2008, pp. 708-710, pp. 719-720).</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Whereas quantitative methods do have certain downsides that qualitative methods such as process tracing might tackle, it is of course rather obvious that process tracing has significant downsides as well. Potential problems that can occur are the risk of missing variables, unclear or incorrect causal inferences, measurement issues and the tackling of probabilistic relationships – which is harder to do qualitatively than quantitatively (Collier, 2011, pp. 828-829). It can also prove to be difficult to start with process tracing; therefore it is often suggested to begin such analyses with a narrative and to sequence events chronologically. Based on this timeline, then, the appropriate tests for causal inference could be identified (ibid., 2011). Before being able to do a process tracing analysis, one should make sure that the operationalisation of the subject or subjects of the analysis is spot on. Careful description is of the utmost importance with this method (Collier, 2011; Mahoney, 2010). Collier, Laporte and Seawright have given an excellent overview on forming concepts and categorical variables in their contribution to the </w:t>
      </w:r>
      <w:r w:rsidRPr="00E265DE">
        <w:rPr>
          <w:rFonts w:ascii="Calibri" w:eastAsia="Times New Roman" w:hAnsi="Calibri"/>
          <w:b w:val="0"/>
          <w:bCs/>
          <w:i/>
          <w:iCs/>
          <w:color w:val="000000"/>
        </w:rPr>
        <w:t xml:space="preserve">Oxford Handbook on Political Methodology </w:t>
      </w:r>
      <w:r w:rsidRPr="00E265DE">
        <w:rPr>
          <w:rFonts w:ascii="Calibri" w:eastAsia="Times New Roman" w:hAnsi="Calibri"/>
          <w:b w:val="0"/>
          <w:bCs/>
          <w:color w:val="000000"/>
        </w:rPr>
        <w:t xml:space="preserve">(2008). Mahoney notes, furthermore, that it is not only important to carefully describe all the concepts used, but to also pay close attention to the sequences of the independent, intervening and dependent variables (2010, pp. 126-128, p. 133).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It can be difficult to make causal inferences from observational data. Many of the underlying process of quantitative research need to be further explicated through qualitative research. To overturn hypotheses, certain tools and tests are a necessity (Collier, Brady &amp; Seawright, 2004). In recent literature, it seems that the </w:t>
      </w:r>
      <w:r w:rsidRPr="00E265DE">
        <w:rPr>
          <w:rFonts w:ascii="Calibri" w:eastAsia="Times New Roman" w:hAnsi="Calibri"/>
          <w:b w:val="0"/>
          <w:bCs/>
          <w:i/>
          <w:iCs/>
          <w:color w:val="000000"/>
        </w:rPr>
        <w:t>straw-in-the-wind</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 xml:space="preserve">test, </w:t>
      </w:r>
      <w:r w:rsidRPr="00E265DE">
        <w:rPr>
          <w:rFonts w:ascii="Calibri" w:eastAsia="Times New Roman" w:hAnsi="Calibri"/>
          <w:b w:val="0"/>
          <w:bCs/>
          <w:color w:val="000000"/>
        </w:rPr>
        <w:t xml:space="preserve">the </w:t>
      </w:r>
      <w:r w:rsidRPr="00E265DE">
        <w:rPr>
          <w:rFonts w:ascii="Calibri" w:eastAsia="Times New Roman" w:hAnsi="Calibri"/>
          <w:b w:val="0"/>
          <w:bCs/>
          <w:i/>
          <w:iCs/>
          <w:color w:val="000000"/>
        </w:rPr>
        <w:t>hoop test</w:t>
      </w:r>
      <w:r w:rsidRPr="00E265DE">
        <w:rPr>
          <w:rFonts w:ascii="Calibri" w:eastAsia="Times New Roman" w:hAnsi="Calibri"/>
          <w:b w:val="0"/>
          <w:bCs/>
          <w:color w:val="000000"/>
        </w:rPr>
        <w:t xml:space="preserve">, the </w:t>
      </w:r>
      <w:r w:rsidRPr="00E265DE">
        <w:rPr>
          <w:rFonts w:ascii="Calibri" w:eastAsia="Times New Roman" w:hAnsi="Calibri"/>
          <w:b w:val="0"/>
          <w:bCs/>
          <w:i/>
          <w:iCs/>
          <w:color w:val="000000"/>
        </w:rPr>
        <w:t>smoking gun</w:t>
      </w:r>
      <w:r w:rsidRPr="00E265DE">
        <w:rPr>
          <w:rFonts w:ascii="Calibri" w:eastAsia="Times New Roman" w:hAnsi="Calibri"/>
          <w:b w:val="0"/>
          <w:bCs/>
          <w:color w:val="000000"/>
        </w:rPr>
        <w:t xml:space="preserve"> test and the </w:t>
      </w:r>
      <w:r w:rsidRPr="00E265DE">
        <w:rPr>
          <w:rFonts w:ascii="Calibri" w:eastAsia="Times New Roman" w:hAnsi="Calibri"/>
          <w:b w:val="0"/>
          <w:bCs/>
          <w:i/>
          <w:iCs/>
          <w:color w:val="000000"/>
        </w:rPr>
        <w:t>doubly decisive</w:t>
      </w:r>
      <w:r w:rsidRPr="00E265DE">
        <w:rPr>
          <w:rFonts w:ascii="Calibri" w:eastAsia="Times New Roman" w:hAnsi="Calibri"/>
          <w:b w:val="0"/>
          <w:bCs/>
          <w:color w:val="000000"/>
        </w:rPr>
        <w:t xml:space="preserve"> test are most often referred to when writing about causal inference tests in qualitative research. The </w:t>
      </w:r>
      <w:r w:rsidRPr="00E265DE">
        <w:rPr>
          <w:rFonts w:ascii="Calibri" w:eastAsia="Times New Roman" w:hAnsi="Calibri"/>
          <w:b w:val="0"/>
          <w:bCs/>
          <w:i/>
          <w:iCs/>
          <w:color w:val="000000"/>
        </w:rPr>
        <w:t>straw-in-the-wind</w:t>
      </w:r>
      <w:r w:rsidRPr="00E265DE">
        <w:rPr>
          <w:rFonts w:ascii="Calibri" w:eastAsia="Times New Roman" w:hAnsi="Calibri"/>
          <w:b w:val="0"/>
          <w:bCs/>
          <w:color w:val="000000"/>
        </w:rPr>
        <w:t xml:space="preserve"> test is a test that, if passed, is both insufficient and unnecessary to confirm a hypothesis. It is the weakest of the four tests. The causal relationship found does not confirm the hypothesis. Failing this test merely weakens the hypothesis, it does not eliminate it. Therefore, logically, a successful </w:t>
      </w:r>
      <w:r w:rsidRPr="00E265DE">
        <w:rPr>
          <w:rFonts w:ascii="Calibri" w:eastAsia="Times New Roman" w:hAnsi="Calibri"/>
          <w:b w:val="0"/>
          <w:bCs/>
          <w:i/>
          <w:iCs/>
          <w:color w:val="000000"/>
        </w:rPr>
        <w:t>straw-in-the-wind</w:t>
      </w:r>
      <w:r w:rsidRPr="00E265DE">
        <w:rPr>
          <w:rFonts w:ascii="Calibri" w:eastAsia="Times New Roman" w:hAnsi="Calibri"/>
          <w:b w:val="0"/>
          <w:bCs/>
          <w:color w:val="000000"/>
        </w:rPr>
        <w:t xml:space="preserve"> test has rather little impact on how probable rival hypotheses are. The </w:t>
      </w:r>
      <w:r w:rsidRPr="00E265DE">
        <w:rPr>
          <w:rFonts w:ascii="Calibri" w:eastAsia="Times New Roman" w:hAnsi="Calibri"/>
          <w:b w:val="0"/>
          <w:bCs/>
          <w:i/>
          <w:iCs/>
          <w:color w:val="000000"/>
        </w:rPr>
        <w:t>hoop</w:t>
      </w:r>
      <w:r w:rsidRPr="00E265DE">
        <w:rPr>
          <w:rFonts w:ascii="Calibri" w:eastAsia="Times New Roman" w:hAnsi="Calibri"/>
          <w:b w:val="0"/>
          <w:bCs/>
          <w:color w:val="000000"/>
        </w:rPr>
        <w:t xml:space="preserve"> test results in concluding something is an insufficient but necessary criterion for a certain hypothesis. Passing it affirms ones hypothesis regarding a specific causal relationship, but does not confirm it. Failing a </w:t>
      </w:r>
      <w:r w:rsidRPr="00E265DE">
        <w:rPr>
          <w:rFonts w:ascii="Calibri" w:eastAsia="Times New Roman" w:hAnsi="Calibri"/>
          <w:b w:val="0"/>
          <w:bCs/>
          <w:i/>
          <w:iCs/>
          <w:color w:val="000000"/>
        </w:rPr>
        <w:t>hoop</w:t>
      </w:r>
      <w:r w:rsidRPr="00E265DE">
        <w:rPr>
          <w:rFonts w:ascii="Calibri" w:eastAsia="Times New Roman" w:hAnsi="Calibri"/>
          <w:b w:val="0"/>
          <w:bCs/>
          <w:color w:val="000000"/>
        </w:rPr>
        <w:t xml:space="preserve"> test, however, eliminates a criterion. The effect on rival hypotheses, then, is present but only slightly. Thirdly, the </w:t>
      </w:r>
      <w:r w:rsidRPr="00E265DE">
        <w:rPr>
          <w:rFonts w:ascii="Calibri" w:eastAsia="Times New Roman" w:hAnsi="Calibri"/>
          <w:b w:val="0"/>
          <w:bCs/>
          <w:i/>
          <w:iCs/>
          <w:color w:val="000000"/>
        </w:rPr>
        <w:t xml:space="preserve">smoking gun </w:t>
      </w:r>
      <w:r w:rsidRPr="00E265DE">
        <w:rPr>
          <w:rFonts w:ascii="Calibri" w:eastAsia="Times New Roman" w:hAnsi="Calibri"/>
          <w:b w:val="0"/>
          <w:bCs/>
          <w:color w:val="000000"/>
        </w:rPr>
        <w:t xml:space="preserve">test is, in contrast to the </w:t>
      </w:r>
      <w:r w:rsidRPr="00E265DE">
        <w:rPr>
          <w:rFonts w:ascii="Calibri" w:eastAsia="Times New Roman" w:hAnsi="Calibri"/>
          <w:b w:val="0"/>
          <w:bCs/>
          <w:i/>
          <w:iCs/>
          <w:color w:val="000000"/>
        </w:rPr>
        <w:t xml:space="preserve">hoop </w:t>
      </w:r>
      <w:r w:rsidRPr="00E265DE">
        <w:rPr>
          <w:rFonts w:ascii="Calibri" w:eastAsia="Times New Roman" w:hAnsi="Calibri"/>
          <w:b w:val="0"/>
          <w:bCs/>
          <w:color w:val="000000"/>
        </w:rPr>
        <w:t xml:space="preserve">test, a test that results in a sufficient, but unnecessary criterion. Passing it does confirm ones hypothesis. Failing it only weakens the hypothesis to a certain extent. Passing a </w:t>
      </w:r>
      <w:r w:rsidRPr="00E265DE">
        <w:rPr>
          <w:rFonts w:ascii="Calibri" w:eastAsia="Times New Roman" w:hAnsi="Calibri"/>
          <w:b w:val="0"/>
          <w:bCs/>
          <w:i/>
          <w:iCs/>
          <w:color w:val="000000"/>
        </w:rPr>
        <w:t xml:space="preserve">smoking gun </w:t>
      </w:r>
      <w:r w:rsidRPr="00E265DE">
        <w:rPr>
          <w:rFonts w:ascii="Calibri" w:eastAsia="Times New Roman" w:hAnsi="Calibri"/>
          <w:b w:val="0"/>
          <w:bCs/>
          <w:color w:val="000000"/>
        </w:rPr>
        <w:t xml:space="preserve">test significantly weakens rival hypotheses, as the causal relationship found seems to be sufficient. Failing it, on the other hand only strengthens rival hypotheses somewhat, as the investigated causal relationship is deemed to be unnecessary. The last test that is often distinguished is the </w:t>
      </w:r>
      <w:r w:rsidRPr="00E265DE">
        <w:rPr>
          <w:rFonts w:ascii="Calibri" w:eastAsia="Times New Roman" w:hAnsi="Calibri"/>
          <w:b w:val="0"/>
          <w:bCs/>
          <w:i/>
          <w:iCs/>
          <w:color w:val="000000"/>
        </w:rPr>
        <w:t>doubly decisive</w:t>
      </w:r>
      <w:r w:rsidRPr="00E265DE">
        <w:rPr>
          <w:rFonts w:ascii="Calibri" w:eastAsia="Times New Roman" w:hAnsi="Calibri"/>
          <w:b w:val="0"/>
          <w:bCs/>
          <w:color w:val="000000"/>
        </w:rPr>
        <w:t xml:space="preserve"> test. This test is the strongest of the four, having both high certainty and high uniqueness. Passing this test confirms a hypothesis whilst simultaneously eliminating others, because the causal relationship found is both sufficient and necessary. Failing it eliminates the specific hypothesis that is being tested. The impact on rival hypotheses is significant, as passing this test substantially weakens, or even eliminates, other hypotheses, whereas failing it strengthens all rival hypotheses (Collier, 2011; Mahoney, 2010).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Mahoney further distinguishes the </w:t>
      </w:r>
      <w:r w:rsidRPr="00E265DE">
        <w:rPr>
          <w:rFonts w:ascii="Calibri" w:eastAsia="Times New Roman" w:hAnsi="Calibri"/>
          <w:b w:val="0"/>
          <w:bCs/>
          <w:i/>
          <w:iCs/>
          <w:color w:val="000000"/>
        </w:rPr>
        <w:t xml:space="preserve">auxiliary outcome </w:t>
      </w:r>
      <w:r w:rsidRPr="00E265DE">
        <w:rPr>
          <w:rFonts w:ascii="Calibri" w:eastAsia="Times New Roman" w:hAnsi="Calibri"/>
          <w:b w:val="0"/>
          <w:bCs/>
          <w:color w:val="000000"/>
        </w:rPr>
        <w:t xml:space="preserve">test. This test is best suited for secondary outcomes that make the ideas about the central process more plausible. Often, </w:t>
      </w:r>
      <w:r w:rsidRPr="00E265DE">
        <w:rPr>
          <w:rFonts w:ascii="Calibri" w:eastAsia="Times New Roman" w:hAnsi="Calibri"/>
          <w:b w:val="0"/>
          <w:bCs/>
          <w:i/>
          <w:iCs/>
          <w:color w:val="000000"/>
        </w:rPr>
        <w:t xml:space="preserve">straw-in-the-wind </w:t>
      </w:r>
      <w:r w:rsidRPr="00E265DE">
        <w:rPr>
          <w:rFonts w:ascii="Calibri" w:eastAsia="Times New Roman" w:hAnsi="Calibri"/>
          <w:b w:val="0"/>
          <w:bCs/>
          <w:color w:val="000000"/>
        </w:rPr>
        <w:t xml:space="preserve">tests are generated in the aftermath of </w:t>
      </w:r>
      <w:r w:rsidRPr="00E265DE">
        <w:rPr>
          <w:rFonts w:ascii="Calibri" w:eastAsia="Times New Roman" w:hAnsi="Calibri"/>
          <w:b w:val="0"/>
          <w:bCs/>
          <w:i/>
          <w:iCs/>
          <w:color w:val="000000"/>
        </w:rPr>
        <w:t xml:space="preserve">auxiliary outcome </w:t>
      </w:r>
      <w:r w:rsidRPr="00E265DE">
        <w:rPr>
          <w:rFonts w:ascii="Calibri" w:eastAsia="Times New Roman" w:hAnsi="Calibri"/>
          <w:b w:val="0"/>
          <w:bCs/>
          <w:color w:val="000000"/>
        </w:rPr>
        <w:t xml:space="preserve">tests (Mahoney, 2010).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Process tracing will allow for researching the underlying mechanisms in the World Bank that have led to the mainstreaming of environmental norms. As a complex contexts with potentially competing causal explanations, this method will be well suited for this case (Beach &amp; Pedersen, 2013, p. 68-74). Linking back to the case type, which could either be regarded as deviant or as most-likely, process tracing analysis can complement both methods well. This study opts for approaching the World Bank as a most-likely case. This is mainly a case that is well-suited for hypothesis testing. Although process tracing analysis is more often utilised for cases that are hypothesis generating, the fact that the World Bank is rather unique when compared to other IFIs calls for in-depth studying of how the World Bank has developed its focus on the environment. Furthermore, process tracing is well suited for qualitative studies that focus on a period of time, which is what this study does.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5"/>
        </w:numPr>
        <w:spacing w:line="360" w:lineRule="auto"/>
        <w:textAlignment w:val="baseline"/>
        <w:rPr>
          <w:rFonts w:ascii="Calibri" w:eastAsia="Times New Roman" w:hAnsi="Calibri"/>
          <w:color w:val="000000"/>
        </w:rPr>
      </w:pPr>
      <w:r w:rsidRPr="0040375D">
        <w:rPr>
          <w:rFonts w:ascii="Calibri" w:eastAsia="Times New Roman" w:hAnsi="Calibri"/>
          <w:color w:val="000000"/>
        </w:rPr>
        <w:t>Content analysis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Content analysis is a means of basic analysis to gain insights into speech, text or screen, by ‘counting’ what can be seen (Treadwell, 2014). Although originally a quantitative technique, it can be used for qualitative data as well (Franzosi, 2008). Various definitions of content analysis have been put forward in literature. White and Marsh (2006, pp. 23-27), citing Krippendorff, state that content analysis is a technique that can be used to make replicable and valid inferences from texts or other content, which are seen within their context.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Qualitative content analysis is deemed to be inductive research, therefore, there is no specific need for hypotheses. Open-ended questions can be used, allowing for alteration of the questions being asked as research progresses (Graue, 2015, p. 11). This process, in which the research is redefined, recontextualized and reinterpreted along the way, is described as a hermeneutic loop (Krippendorff, 2012, p. 23).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All in all, content analysis is a useful reduction tool, allowing for systematic and replicable interpretation of texts or other meaningful matter, by reducing the substance into categories, based on coding (Stemler, 2001, p. 137). Because the coding manual is often added as an annex to research, the interpretations used can be exposed. This helps to prevent a major downside of content analysis, namely its sensitivity to researcher-specific interpretations. Other downsides of the method are risks of latent content, leading to invalid conclusions based on too little data. Furthermore, there is often a risk of researchers tending to analyse that which is measurable, instead of that which is important. This often occurs when data on a certain subject is rather scarce (Bryman &amp; Bell, 2015, pp. 312-316).</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To perform content analysis, certain key steps need to be adhered to. Firstly, data needs to be collected (Graue, 2015, p. 11). This can be done in a number of ways, depending on the data being used. In this study, written documents are the main source of data, thus collection of data takes place by collecting and selecting said documents. Secondly, the collected data needs to be reduced to manageable proportions that still retain substantive meaning. This is often done through categorisation and coding of the collected data (Schutt, 2012, pp. 326-328). Thirdly, in order to draw conclusions, the data must be clearly displayed. The coding of the data, therefore, is a crucial element that cannot be skipped, as it assures that the observations and resulting conclusions are to be deemed reliable (White &amp; Marsh, 2006, pp. 36-39). Fourthly, and last, the entire research process comes together in the conclusion. This conclusion should not merely limit itself to findings based on the coded data, but also include certain information about the credibility of the sources used (Schutt, 2012, pp. 330-331).</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Similar to content analysis, at first glance, is discourse analysis which is why it is good to illustrate the differences between both methods. Discourse analysis is often described as being language in use, as language within a context. It is the part of language that is intricately related to the structure of the language (Gee, 2014, pp. 16-19). Of course, the text analysed in content analysis cannot be seen without its context, but the context is of less importance for the analysis itself. This means less emphasis is placed upon the sequence of sentences and the way in which sentences relate to each other. Alternatively, focus is mainly placed on what language is used and how often certain phenomena are mentioned (Krippendorff, 2012).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Whereas the tools of inquiry for discourse analysis look at different styles of language and their contexts, focussing mainly on intertextuality, content analysis on the other hand looks at texts individually. This does not mean that there is no intertextuality, as context is not irrelevant, but only that this is given less emphasis. Discourse analysis has a tendency of also including many unwritten elements into the context (Gee, 2014, pp. 46-46; Hutchby &amp; Wooffit, 2008, pp. 138-145; Kendall &amp; Wickham, 1999, p. 42). These symbols and rituals that occur within a research population are, however, rather hard to measure and to account for. Therefore, given the limits and aims of this research, an initial study is first made merely into written accounts, leaving out most of the unwritten context, in terms of traditions, symbols and rituals of the organisation as a separate element of the study of the written sources. This does leave out the context in which a verbal or written act is taken, limiting the scope of the analysis.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Besides having a different scope, discourse analysis and content analysis are often used for different types of research questions. Discourse analysis has a tendency of working well with research questions that try to grasp implicit meanings. Content analysis, on the other hand, has a more predefined framework, in which it operates. Research questions that work well with content analysis often have fewer blanks that need to be filled in as the research progresses (Krippendorff, 2012; Schutt, 2012; Bryman &amp; Bell, 2015). As said before, this does increase the risk of measuring that which is measurable, instead of that which actually should be measured. On the other hand, this allows for more topic specific filtering of the data, therefore reducing the total amount of data. Especially, this reduction of the total amount of data is useful when conducting initial studies into a certain topic.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use of content analysis will supplement the process tracing analysis. The open-ended nature of content analysis allows for combining of this method with other methods. The hermeneutic loop, which allows for recontextualisation and reinterpretation fits well with the idea of Bayesian updating (Graue, 2015; Krippendorf, 2012). In a most-likely case, the World Bank possibly classifying as such, content analysis enables the testing of hypothesis through topic specific filtering on environmental mainstreaming. Not many studies have yet been conducted into the World Bank’s mainstreaming of environmental norms. A study such as this could point out whether or not a certain effect is witnessable. Further research, for example through discourse analysis, could than turn out to be very useful in establishing what exactly the trigger of said effect is. Content analysis will allow for limiting of the data for this research to data containing either environmental policies or language, by applying a broad range of initial search terms to, primarily, the World Bank database.</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5"/>
        </w:numPr>
        <w:spacing w:line="360" w:lineRule="auto"/>
        <w:textAlignment w:val="baseline"/>
        <w:rPr>
          <w:rFonts w:ascii="Calibri" w:eastAsia="Times New Roman" w:hAnsi="Calibri"/>
          <w:color w:val="000000"/>
        </w:rPr>
      </w:pPr>
      <w:r w:rsidRPr="0040375D">
        <w:rPr>
          <w:rFonts w:ascii="Calibri" w:eastAsia="Times New Roman" w:hAnsi="Calibri"/>
          <w:color w:val="000000"/>
        </w:rPr>
        <w:t>Data justification</w:t>
      </w:r>
    </w:p>
    <w:p w:rsidR="00E265DE" w:rsidRPr="00E265DE" w:rsidRDefault="00E265DE" w:rsidP="0040375D">
      <w:pPr>
        <w:spacing w:line="360" w:lineRule="auto"/>
        <w:rPr>
          <w:rFonts w:ascii="Times New Roman" w:eastAsia="Times New Roman" w:hAnsi="Times New Roman"/>
          <w:b w:val="0"/>
          <w:bCs/>
          <w:sz w:val="24"/>
          <w:szCs w:val="24"/>
        </w:rPr>
      </w:pPr>
    </w:p>
    <w:p w:rsidR="0040375D" w:rsidRDefault="00E265DE" w:rsidP="0040375D">
      <w:pPr>
        <w:spacing w:line="360" w:lineRule="auto"/>
        <w:rPr>
          <w:rFonts w:ascii="Calibri" w:eastAsia="Times New Roman" w:hAnsi="Calibri"/>
          <w:b w:val="0"/>
          <w:bCs/>
          <w:color w:val="000000"/>
        </w:rPr>
      </w:pPr>
      <w:r w:rsidRPr="00E265DE">
        <w:rPr>
          <w:rFonts w:ascii="Calibri" w:eastAsia="Times New Roman" w:hAnsi="Calibri"/>
          <w:b w:val="0"/>
          <w:bCs/>
          <w:color w:val="000000"/>
        </w:rPr>
        <w:t>Data used in this study will be international treaties and first-hand publications on World Bank policy. The World Bank publishes quite some reports on its own policy, assessing and analysing it. To complement these self-reflective studies conducted by the World Bank, various reports on actual projects will also be assessed. An overview of the reports studied can be found in Annex I. The data ranges from early 2016 until 2018, allowing for studying of potential changes in the policy leading up to and after the Paris Agreement. The changes that the World Bank mentions in its self-assessments focusing on earlier periods are quite often already based on the World Bank’s own reports and studies of countries, therefore, for the earlier time periods these self-assessing publications will be primarily used to analyse the mainstreaming by the World Bank. Content analysis of the data will allow for a close reading of what underlying factors might have contributed to environmental mainstreaming within the World Bank.</w:t>
      </w:r>
    </w:p>
    <w:p w:rsidR="0040375D" w:rsidRDefault="0040375D">
      <w:pPr>
        <w:suppressAutoHyphens w:val="0"/>
        <w:spacing w:after="200" w:line="276" w:lineRule="auto"/>
        <w:jc w:val="left"/>
        <w:rPr>
          <w:rFonts w:ascii="Calibri" w:eastAsia="Times New Roman" w:hAnsi="Calibri"/>
          <w:b w:val="0"/>
          <w:bCs/>
          <w:color w:val="000000"/>
        </w:rPr>
      </w:pPr>
      <w:r>
        <w:rPr>
          <w:rFonts w:ascii="Calibri" w:eastAsia="Times New Roman" w:hAnsi="Calibri"/>
          <w:b w:val="0"/>
          <w:bCs/>
          <w:color w:val="000000"/>
        </w:rPr>
        <w:br w:type="page"/>
      </w:r>
    </w:p>
    <w:p w:rsidR="00E265DE" w:rsidRPr="00E265DE" w:rsidRDefault="00E265DE" w:rsidP="001F490E">
      <w:pPr>
        <w:numPr>
          <w:ilvl w:val="0"/>
          <w:numId w:val="12"/>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Operationalisation</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implementation of new policies in any organisation or state happens within a context in which many variables can be of influence on the eventual result. There also is not just one way of being green. Environmentalism is not inherently at odds with any of the grand theories, such as neo-liberalism of socialism. Therefore, to be able to conclude whether or not the mainstreaming of environmental norms within the World Bank has changed over time, the assessment criteria need to be defined. These have been touched upon in the second chapter, but will be given more substance in paragraph 4.2.</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40375D" w:rsidP="0040375D">
      <w:pPr>
        <w:spacing w:line="360" w:lineRule="auto"/>
        <w:textAlignment w:val="baseline"/>
        <w:rPr>
          <w:rFonts w:ascii="Calibri" w:eastAsia="Times New Roman" w:hAnsi="Calibri"/>
          <w:color w:val="000000"/>
        </w:rPr>
      </w:pPr>
      <w:r>
        <w:rPr>
          <w:rFonts w:ascii="Calibri" w:eastAsia="Times New Roman" w:hAnsi="Calibri"/>
          <w:color w:val="000000"/>
        </w:rPr>
        <w:t xml:space="preserve">4.1. </w:t>
      </w:r>
      <w:r w:rsidR="00E265DE" w:rsidRPr="00E265DE">
        <w:rPr>
          <w:rFonts w:ascii="Calibri" w:eastAsia="Times New Roman" w:hAnsi="Calibri"/>
          <w:color w:val="000000"/>
        </w:rPr>
        <w:t>Hypothesis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expectation is that over time, the World Bank has increasingly mainstreamed environmental norms. This would show through a shift from more economically based thinking towards more environmental thinking. As stated earlier, environmentalism is not inherently at odds with liberal thought, so a full, 100% shift is not to be expected. However, the importance of environmental norms in policies can increase. This change in importance would be visible through the several policy instruments that are applied and through, for example, loan conditions.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i/>
          <w:iCs/>
          <w:color w:val="000000"/>
        </w:rPr>
        <w:t>H</w:t>
      </w:r>
      <w:r w:rsidRPr="00E265DE">
        <w:rPr>
          <w:rFonts w:ascii="Calibri" w:eastAsia="Times New Roman" w:hAnsi="Calibri"/>
          <w:b w:val="0"/>
          <w:bCs/>
          <w:i/>
          <w:iCs/>
          <w:color w:val="000000"/>
          <w:sz w:val="13"/>
          <w:szCs w:val="13"/>
          <w:vertAlign w:val="subscript"/>
        </w:rPr>
        <w:t>0</w:t>
      </w:r>
      <w:r w:rsidRPr="00E265DE">
        <w:rPr>
          <w:rFonts w:ascii="Calibri" w:eastAsia="Times New Roman" w:hAnsi="Calibri"/>
          <w:b w:val="0"/>
          <w:bCs/>
          <w:i/>
          <w:iCs/>
          <w:color w:val="000000"/>
        </w:rPr>
        <w:t xml:space="preserve"> is that environmental norms have not become more important in World Bank policy over time.</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i/>
          <w:iCs/>
          <w:color w:val="000000"/>
        </w:rPr>
        <w:t>H</w:t>
      </w:r>
      <w:r w:rsidRPr="00E265DE">
        <w:rPr>
          <w:rFonts w:ascii="Calibri" w:eastAsia="Times New Roman" w:hAnsi="Calibri"/>
          <w:b w:val="0"/>
          <w:bCs/>
          <w:i/>
          <w:iCs/>
          <w:color w:val="000000"/>
          <w:sz w:val="13"/>
          <w:szCs w:val="13"/>
          <w:vertAlign w:val="subscript"/>
        </w:rPr>
        <w:t>1</w:t>
      </w:r>
      <w:r w:rsidRPr="00E265DE">
        <w:rPr>
          <w:rFonts w:ascii="Calibri" w:eastAsia="Times New Roman" w:hAnsi="Calibri"/>
          <w:b w:val="0"/>
          <w:bCs/>
          <w:i/>
          <w:iCs/>
          <w:color w:val="000000"/>
        </w:rPr>
        <w:t xml:space="preserve"> is that there is a positive change in World Bank policy over time, meaning that the importance of environmental policies has increased.</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6"/>
        </w:numPr>
        <w:spacing w:line="360" w:lineRule="auto"/>
        <w:textAlignment w:val="baseline"/>
        <w:rPr>
          <w:rFonts w:ascii="Calibri" w:eastAsia="Times New Roman" w:hAnsi="Calibri"/>
          <w:color w:val="000000"/>
        </w:rPr>
      </w:pPr>
      <w:r w:rsidRPr="0040375D">
        <w:rPr>
          <w:rFonts w:ascii="Calibri" w:eastAsia="Times New Roman" w:hAnsi="Calibri"/>
          <w:color w:val="000000"/>
        </w:rPr>
        <w:t>Operationalising criteria</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Two approaches can be taken with regard to mainstreaming. Focus can be placed on how mainstreaming policies were adopted in a specific context, being the institutional approach, or on discourse, looking at how power relations have been produced and reproduced through language and framing (Cohn, 2008; True, 2015). This study most likely does both, as it looks at an institution at the intersection of the national and the global level, that gives salience to environmental norms, but also looks at the way in which these norms are reproduced and, potentially, reframed within the World Bank. As the approaches are not mutually exclusive, and can even be seen as being complementary, this poses no problem (Cohn, 2008).</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Using the model in Table 1, based on Joachim and Schreiker and complemented with the upstream and downstream distinction made by Dalal-Clayton and Bass, various types of mainstreaming as outcome can be distinguished (Joachim &amp; Schreiker, 2012; Dalal-Clayton &amp; Bass, 2009). These outcomes will be reviewed to see how mainstreaming of environmental norms in the World Bank has altered. In terms of mainstreaming as outcome, </w:t>
      </w:r>
      <w:r w:rsidRPr="00E265DE">
        <w:rPr>
          <w:rFonts w:ascii="Calibri" w:eastAsia="Times New Roman" w:hAnsi="Calibri"/>
          <w:b w:val="0"/>
          <w:bCs/>
          <w:i/>
          <w:iCs/>
          <w:color w:val="000000"/>
        </w:rPr>
        <w:t xml:space="preserve">integration </w:t>
      </w:r>
      <w:r w:rsidRPr="00E265DE">
        <w:rPr>
          <w:rFonts w:ascii="Calibri" w:eastAsia="Times New Roman" w:hAnsi="Calibri"/>
          <w:b w:val="0"/>
          <w:bCs/>
          <w:color w:val="000000"/>
        </w:rPr>
        <w:t xml:space="preserve">will have taken place when environmental language is being used and technical expertise is being implemented in processes. </w:t>
      </w:r>
      <w:r w:rsidRPr="00E265DE">
        <w:rPr>
          <w:rFonts w:ascii="Calibri" w:eastAsia="Times New Roman" w:hAnsi="Calibri"/>
          <w:b w:val="0"/>
          <w:bCs/>
          <w:i/>
          <w:iCs/>
          <w:color w:val="000000"/>
        </w:rPr>
        <w:t>Agenda-setting</w:t>
      </w:r>
      <w:r w:rsidRPr="00E265DE">
        <w:rPr>
          <w:rFonts w:ascii="Calibri" w:eastAsia="Times New Roman" w:hAnsi="Calibri"/>
          <w:b w:val="0"/>
          <w:bCs/>
          <w:color w:val="000000"/>
        </w:rPr>
        <w:t xml:space="preserve"> through mainstreaming has occurred when the environmental perspective is more broadly used in the drafting of policies and is, at least, considered and debated during the process.If mainstreaming has led to a </w:t>
      </w:r>
      <w:r w:rsidRPr="00E265DE">
        <w:rPr>
          <w:rFonts w:ascii="Calibri" w:eastAsia="Times New Roman" w:hAnsi="Calibri"/>
          <w:b w:val="0"/>
          <w:bCs/>
          <w:i/>
          <w:iCs/>
          <w:color w:val="000000"/>
        </w:rPr>
        <w:t>transformation</w:t>
      </w:r>
      <w:r w:rsidRPr="00E265DE">
        <w:rPr>
          <w:rFonts w:ascii="Calibri" w:eastAsia="Times New Roman" w:hAnsi="Calibri"/>
          <w:b w:val="0"/>
          <w:bCs/>
          <w:color w:val="000000"/>
        </w:rPr>
        <w:t xml:space="preserve"> in the World Bank, this shows through environmental policies. The shift from upstream to downstream is assessed simultaneously, looking at what actors are involved in processes, whether plans and policies are considered and if these policies eventually will be passed and lead to definitive changes.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i/>
          <w:iCs/>
          <w:color w:val="000000"/>
        </w:rPr>
        <w:t>Table 1: Assessing altering degrees of mainstreaming.</w:t>
      </w:r>
    </w:p>
    <w:tbl>
      <w:tblPr>
        <w:tblW w:w="0" w:type="auto"/>
        <w:tblCellMar>
          <w:top w:w="15" w:type="dxa"/>
          <w:left w:w="15" w:type="dxa"/>
          <w:bottom w:w="15" w:type="dxa"/>
          <w:right w:w="15" w:type="dxa"/>
        </w:tblCellMar>
        <w:tblLook w:val="04A0" w:firstRow="1" w:lastRow="0" w:firstColumn="1" w:lastColumn="0" w:noHBand="0" w:noVBand="1"/>
      </w:tblPr>
      <w:tblGrid>
        <w:gridCol w:w="884"/>
        <w:gridCol w:w="2034"/>
        <w:gridCol w:w="3135"/>
        <w:gridCol w:w="3507"/>
      </w:tblGrid>
      <w:tr w:rsidR="00E265DE" w:rsidRPr="00E265DE" w:rsidTr="0040375D">
        <w:tc>
          <w:tcPr>
            <w:tcW w:w="0" w:type="auto"/>
            <w:tcBorders>
              <w:bottom w:val="single" w:sz="4" w:space="0" w:color="auto"/>
              <w:right w:val="single" w:sz="4" w:space="0" w:color="auto"/>
            </w:tcBorders>
            <w:tcMar>
              <w:top w:w="100" w:type="dxa"/>
              <w:left w:w="100" w:type="dxa"/>
              <w:bottom w:w="100" w:type="dxa"/>
              <w:right w:w="100" w:type="dxa"/>
            </w:tcMar>
            <w:hideMark/>
          </w:tcPr>
          <w:p w:rsidR="00E265DE" w:rsidRPr="0040375D" w:rsidRDefault="0040375D" w:rsidP="0040375D">
            <w:pPr>
              <w:spacing w:line="276" w:lineRule="auto"/>
              <w:jc w:val="left"/>
              <w:rPr>
                <w:rFonts w:asciiTheme="minorHAnsi" w:eastAsia="Times New Roman" w:hAnsiTheme="minorHAnsi"/>
                <w:b w:val="0"/>
                <w:bCs/>
                <w:szCs w:val="20"/>
              </w:rPr>
            </w:pPr>
            <w:r>
              <w:rPr>
                <w:rFonts w:asciiTheme="minorHAnsi" w:eastAsia="Times New Roman" w:hAnsiTheme="minorHAnsi"/>
                <w:b w:val="0"/>
                <w:bCs/>
                <w:szCs w:val="20"/>
              </w:rPr>
              <w:t xml:space="preserve"> </w:t>
            </w:r>
          </w:p>
        </w:tc>
        <w:tc>
          <w:tcPr>
            <w:tcW w:w="0" w:type="auto"/>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i/>
                <w:iCs/>
                <w:color w:val="000000"/>
                <w:szCs w:val="20"/>
              </w:rPr>
              <w:t>Upstream / Integration</w:t>
            </w:r>
          </w:p>
          <w:p w:rsidR="00E265DE" w:rsidRPr="0040375D" w:rsidRDefault="00E265DE" w:rsidP="0040375D">
            <w:pPr>
              <w:spacing w:line="276" w:lineRule="auto"/>
              <w:jc w:val="left"/>
              <w:rPr>
                <w:rFonts w:asciiTheme="minorHAnsi" w:eastAsia="Times New Roman" w:hAnsiTheme="minorHAnsi"/>
                <w:b w:val="0"/>
                <w:bCs/>
                <w:szCs w:val="20"/>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i/>
                <w:iCs/>
                <w:color w:val="000000"/>
                <w:szCs w:val="20"/>
              </w:rPr>
              <w:t>Agenda-setting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i/>
                <w:iCs/>
                <w:color w:val="000000"/>
                <w:szCs w:val="20"/>
              </w:rPr>
              <w:t>Downstream / Transformation</w:t>
            </w:r>
          </w:p>
        </w:tc>
      </w:tr>
      <w:tr w:rsidR="00E265DE" w:rsidRPr="00E265DE" w:rsidTr="0040375D">
        <w:tc>
          <w:tcPr>
            <w:tcW w:w="0" w:type="auto"/>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i/>
                <w:iCs/>
                <w:color w:val="000000"/>
                <w:szCs w:val="20"/>
              </w:rPr>
              <w:t>Strategy</w:t>
            </w:r>
          </w:p>
          <w:p w:rsidR="00E265DE" w:rsidRPr="0040375D" w:rsidRDefault="00E265DE" w:rsidP="0040375D">
            <w:pPr>
              <w:spacing w:after="240" w:line="276" w:lineRule="auto"/>
              <w:jc w:val="left"/>
              <w:rPr>
                <w:rFonts w:asciiTheme="minorHAnsi" w:eastAsia="Times New Roman" w:hAnsiTheme="minorHAnsi"/>
                <w:b w:val="0"/>
                <w:bCs/>
                <w:szCs w:val="20"/>
              </w:rPr>
            </w:pPr>
            <w:r w:rsidRPr="0040375D">
              <w:rPr>
                <w:rFonts w:asciiTheme="minorHAnsi" w:eastAsia="Times New Roman" w:hAnsiTheme="minorHAnsi"/>
                <w:b w:val="0"/>
                <w:bCs/>
                <w:szCs w:val="20"/>
              </w:rPr>
              <w:br/>
            </w:r>
            <w:r w:rsidRPr="0040375D">
              <w:rPr>
                <w:rFonts w:asciiTheme="minorHAnsi" w:eastAsia="Times New Roman" w:hAnsiTheme="minorHAnsi"/>
                <w:b w:val="0"/>
                <w:bCs/>
                <w:szCs w:val="20"/>
              </w:rPr>
              <w:br/>
            </w:r>
            <w:r w:rsidRPr="0040375D">
              <w:rPr>
                <w:rFonts w:asciiTheme="minorHAnsi" w:eastAsia="Times New Roman" w:hAnsiTheme="minorHAnsi"/>
                <w:b w:val="0"/>
                <w:bCs/>
                <w:szCs w:val="20"/>
              </w:rPr>
              <w:br/>
            </w:r>
            <w:r w:rsidRPr="0040375D">
              <w:rPr>
                <w:rFonts w:asciiTheme="minorHAnsi" w:eastAsia="Times New Roman" w:hAnsiTheme="minorHAnsi"/>
                <w:b w:val="0"/>
                <w:bCs/>
                <w:szCs w:val="20"/>
              </w:rPr>
              <w:br/>
            </w:r>
            <w:r w:rsidRPr="0040375D">
              <w:rPr>
                <w:rFonts w:asciiTheme="minorHAnsi" w:eastAsia="Times New Roman" w:hAnsiTheme="minorHAnsi"/>
                <w:b w:val="0"/>
                <w:bCs/>
                <w:szCs w:val="20"/>
              </w:rPr>
              <w:br/>
            </w:r>
            <w:r w:rsidRPr="0040375D">
              <w:rPr>
                <w:rFonts w:asciiTheme="minorHAnsi" w:eastAsia="Times New Roman" w:hAnsiTheme="minorHAnsi"/>
                <w:b w:val="0"/>
                <w:bCs/>
                <w:szCs w:val="20"/>
              </w:rPr>
              <w:br/>
            </w:r>
          </w:p>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i/>
                <w:iCs/>
                <w:color w:val="000000"/>
                <w:szCs w:val="20"/>
              </w:rPr>
              <w:t>Process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Environmental language;</w:t>
            </w:r>
          </w:p>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Interaction of stakeholders, improved involvement of stakeholders</w:t>
            </w:r>
          </w:p>
          <w:p w:rsidR="00E265DE" w:rsidRPr="0040375D" w:rsidRDefault="00E265DE" w:rsidP="0040375D">
            <w:pPr>
              <w:spacing w:after="240" w:line="276" w:lineRule="auto"/>
              <w:jc w:val="left"/>
              <w:rPr>
                <w:rFonts w:asciiTheme="minorHAnsi" w:eastAsia="Times New Roman" w:hAnsiTheme="minorHAnsi"/>
                <w:b w:val="0"/>
                <w:bCs/>
                <w:szCs w:val="20"/>
              </w:rPr>
            </w:pPr>
            <w:r w:rsidRPr="0040375D">
              <w:rPr>
                <w:rFonts w:asciiTheme="minorHAnsi" w:eastAsia="Times New Roman" w:hAnsiTheme="minorHAnsi"/>
                <w:b w:val="0"/>
                <w:bCs/>
                <w:szCs w:val="20"/>
              </w:rPr>
              <w:br/>
            </w:r>
            <w:r w:rsidRPr="0040375D">
              <w:rPr>
                <w:rFonts w:asciiTheme="minorHAnsi" w:eastAsia="Times New Roman" w:hAnsiTheme="minorHAnsi"/>
                <w:b w:val="0"/>
                <w:bCs/>
                <w:szCs w:val="20"/>
              </w:rPr>
              <w:br/>
            </w:r>
            <w:r w:rsidRPr="0040375D">
              <w:rPr>
                <w:rFonts w:asciiTheme="minorHAnsi" w:eastAsia="Times New Roman" w:hAnsiTheme="minorHAnsi"/>
                <w:b w:val="0"/>
                <w:bCs/>
                <w:color w:val="000000"/>
                <w:szCs w:val="20"/>
              </w:rPr>
              <w:t>Technical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Environmental perspective; Policy, plan and budget considerations, increased media coverage, strengthening capacities of institutions through education</w:t>
            </w:r>
          </w:p>
          <w:p w:rsidR="0040375D" w:rsidRDefault="0040375D" w:rsidP="0040375D">
            <w:pPr>
              <w:spacing w:after="240" w:line="276" w:lineRule="auto"/>
              <w:jc w:val="left"/>
              <w:rPr>
                <w:rFonts w:asciiTheme="minorHAnsi" w:eastAsia="Times New Roman" w:hAnsiTheme="minorHAnsi"/>
                <w:b w:val="0"/>
                <w:bCs/>
                <w:szCs w:val="20"/>
              </w:rPr>
            </w:pPr>
          </w:p>
          <w:p w:rsidR="0040375D" w:rsidRPr="0040375D" w:rsidRDefault="0040375D" w:rsidP="0040375D">
            <w:pPr>
              <w:spacing w:after="240" w:line="276" w:lineRule="auto"/>
              <w:jc w:val="left"/>
              <w:rPr>
                <w:rFonts w:asciiTheme="minorHAnsi" w:eastAsia="Times New Roman" w:hAnsiTheme="minorHAnsi"/>
                <w:b w:val="0"/>
                <w:bCs/>
                <w:szCs w:val="20"/>
              </w:rPr>
            </w:pPr>
          </w:p>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Political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Environmental policies;</w:t>
            </w:r>
          </w:p>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Behavioural changes, inclusion of environment in definitive policy, plans and budgets, improved productivity of sustainability and environmental assets, environmental risks managed</w:t>
            </w:r>
          </w:p>
          <w:p w:rsidR="0040375D" w:rsidRDefault="0040375D" w:rsidP="0040375D">
            <w:pPr>
              <w:spacing w:line="276" w:lineRule="auto"/>
              <w:jc w:val="left"/>
              <w:rPr>
                <w:rFonts w:asciiTheme="minorHAnsi" w:eastAsia="Times New Roman" w:hAnsiTheme="minorHAnsi"/>
                <w:b w:val="0"/>
                <w:bCs/>
                <w:color w:val="000000"/>
                <w:szCs w:val="20"/>
              </w:rPr>
            </w:pPr>
          </w:p>
          <w:p w:rsidR="0040375D" w:rsidRDefault="0040375D" w:rsidP="0040375D">
            <w:pPr>
              <w:spacing w:line="276" w:lineRule="auto"/>
              <w:jc w:val="left"/>
              <w:rPr>
                <w:rFonts w:asciiTheme="minorHAnsi" w:eastAsia="Times New Roman" w:hAnsiTheme="minorHAnsi"/>
                <w:b w:val="0"/>
                <w:bCs/>
                <w:color w:val="000000"/>
                <w:szCs w:val="20"/>
              </w:rPr>
            </w:pPr>
          </w:p>
          <w:p w:rsidR="0040375D" w:rsidRDefault="0040375D" w:rsidP="0040375D">
            <w:pPr>
              <w:spacing w:line="276" w:lineRule="auto"/>
              <w:jc w:val="left"/>
              <w:rPr>
                <w:rFonts w:asciiTheme="minorHAnsi" w:eastAsia="Times New Roman" w:hAnsiTheme="minorHAnsi"/>
                <w:b w:val="0"/>
                <w:bCs/>
                <w:color w:val="000000"/>
                <w:szCs w:val="20"/>
              </w:rPr>
            </w:pPr>
          </w:p>
          <w:p w:rsidR="00E265DE" w:rsidRPr="0040375D" w:rsidRDefault="00E265DE" w:rsidP="0040375D">
            <w:pPr>
              <w:spacing w:line="276" w:lineRule="auto"/>
              <w:jc w:val="left"/>
              <w:rPr>
                <w:rFonts w:asciiTheme="minorHAnsi" w:eastAsia="Times New Roman" w:hAnsiTheme="minorHAnsi"/>
                <w:b w:val="0"/>
                <w:bCs/>
                <w:szCs w:val="20"/>
              </w:rPr>
            </w:pPr>
            <w:r w:rsidRPr="0040375D">
              <w:rPr>
                <w:rFonts w:asciiTheme="minorHAnsi" w:eastAsia="Times New Roman" w:hAnsiTheme="minorHAnsi"/>
                <w:b w:val="0"/>
                <w:bCs/>
                <w:color w:val="000000"/>
                <w:szCs w:val="20"/>
              </w:rPr>
              <w:t>(Political and technical)</w:t>
            </w:r>
          </w:p>
        </w:tc>
      </w:tr>
    </w:tbl>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To assess the mainstreaming of environmental norms even further, Zimmermann’s category system will be applied to indicate the extent to which these norms have been implemented over time, and how exactly they have been interpreted or translated (Zimmermann, 2016, p. 106). Three levels are distinguished in this system, against three possible outcomes. First, a norm will translate from the global norm to ‘domestic discourse’, in this case the discourse within the World Bank. The norm can then be rejected, which will show through a contestation of norm; it can be fully adopted, which means it is interpreted in line with the international meaning given to the norm, or; it can be translated to fit within the organisational discourse. The norm will most likely always pass this first level, but a rejection here can be indicative of the norm not being adopted later. The second level is the translation of the norm into policy. Rejection here means no adoption. Full adoption means precisely implementing the international standards. Reshaping at this stage occurs through leaving out, adding on or reinterpreting the international norm when implementing it as a policy. When the policy has been implemented it can again be rejected, which would show through it not being implemented whatsoever. It could of course also be implemented exactly as it has been meant, indicating full adoption. When the implementation differs significantly from the policy, this implies that the implementation has been translated differently. Norm translation will, most likely, have occured in all cases that are not outright rejections or full adoptions. The degree to which this occurs can vary however, and it will be explicitly mentioned in the analysis if this has happened.</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i/>
          <w:iCs/>
          <w:color w:val="000000"/>
        </w:rPr>
        <w:t>Table 2: Category system of norm translation, based on Zimmermann, 2016.</w:t>
      </w:r>
    </w:p>
    <w:tbl>
      <w:tblPr>
        <w:tblW w:w="9072" w:type="dxa"/>
        <w:tblCellMar>
          <w:top w:w="15" w:type="dxa"/>
          <w:left w:w="15" w:type="dxa"/>
          <w:bottom w:w="15" w:type="dxa"/>
          <w:right w:w="15" w:type="dxa"/>
        </w:tblCellMar>
        <w:tblLook w:val="04A0" w:firstRow="1" w:lastRow="0" w:firstColumn="1" w:lastColumn="0" w:noHBand="0" w:noVBand="1"/>
      </w:tblPr>
      <w:tblGrid>
        <w:gridCol w:w="1868"/>
        <w:gridCol w:w="1832"/>
        <w:gridCol w:w="2591"/>
        <w:gridCol w:w="2781"/>
      </w:tblGrid>
      <w:tr w:rsidR="00E265DE" w:rsidRPr="00E265DE" w:rsidTr="0040375D">
        <w:tc>
          <w:tcPr>
            <w:tcW w:w="0" w:type="auto"/>
            <w:tcBorders>
              <w:bottom w:val="single" w:sz="4" w:space="0" w:color="auto"/>
              <w:right w:val="single" w:sz="4" w:space="0" w:color="auto"/>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1"/>
                <w:szCs w:val="24"/>
              </w:rPr>
            </w:pPr>
          </w:p>
        </w:tc>
        <w:tc>
          <w:tcPr>
            <w:tcW w:w="0" w:type="auto"/>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Rejection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1"/>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Full adoption</w:t>
            </w:r>
          </w:p>
        </w:tc>
      </w:tr>
      <w:tr w:rsidR="00E265DE" w:rsidRPr="00E265DE" w:rsidTr="0040375D">
        <w:tc>
          <w:tcPr>
            <w:tcW w:w="0" w:type="auto"/>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1. Translation into organisational discourse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Contestation of the norm and its validity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Norm is fitted to organisational discourse, no contestation of the norm and its validity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Norm is interpreted along the lines of the international community, no contestation of the norm and its validity</w:t>
            </w:r>
          </w:p>
        </w:tc>
      </w:tr>
      <w:tr w:rsidR="00E265DE" w:rsidRPr="00E265DE" w:rsidTr="00E265D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2. Translation into policy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No adoption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Modifying, adding on, leaving out or reshaping in any way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Full adoption of international standards</w:t>
            </w:r>
          </w:p>
        </w:tc>
      </w:tr>
      <w:tr w:rsidR="00E265DE" w:rsidRPr="00E265DE" w:rsidTr="00E265D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3. Translation into implementation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No implementation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Reshaping during implementation, i.e. not applying, being stricter, interpreting differently etc.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265DE" w:rsidRPr="00E265DE" w:rsidRDefault="00E265DE" w:rsidP="0040375D">
            <w:pPr>
              <w:spacing w:line="276" w:lineRule="auto"/>
              <w:jc w:val="left"/>
              <w:rPr>
                <w:rFonts w:ascii="Times New Roman" w:eastAsia="Times New Roman" w:hAnsi="Times New Roman"/>
                <w:b w:val="0"/>
                <w:bCs/>
                <w:sz w:val="24"/>
                <w:szCs w:val="24"/>
              </w:rPr>
            </w:pPr>
            <w:r w:rsidRPr="00E265DE">
              <w:rPr>
                <w:rFonts w:ascii="Calibri" w:eastAsia="Times New Roman" w:hAnsi="Calibri"/>
                <w:b w:val="0"/>
                <w:bCs/>
                <w:color w:val="000000"/>
              </w:rPr>
              <w:t>Full implementation of the policy</w:t>
            </w:r>
          </w:p>
        </w:tc>
      </w:tr>
    </w:tbl>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Successful mainstreaming of environmental norms will have occurred when it has had a transformative effect, changing the organisation, its decisions and the outcomes downstream (Dalan-Clayton &amp; Bass, 2009, p. 78-81). Factors that could indicate potential success are leadership, integration, focus on key sectors in an economy, dialogue and cooperation, ownership, subsidiarity, use of mainstream processes (grafting), transparency and environmental sustainability of the mainstreaming effort (ibid., 2009, p. 81; Acharya, 2004). </w:t>
      </w:r>
    </w:p>
    <w:p w:rsidR="00E265DE" w:rsidRPr="00E265DE" w:rsidRDefault="00E265DE" w:rsidP="0040375D">
      <w:pPr>
        <w:spacing w:line="360" w:lineRule="auto"/>
        <w:rPr>
          <w:rFonts w:ascii="Times New Roman" w:eastAsia="Times New Roman" w:hAnsi="Times New Roman"/>
          <w:b w:val="0"/>
          <w:bCs/>
          <w:sz w:val="24"/>
          <w:szCs w:val="24"/>
        </w:rPr>
      </w:pPr>
    </w:p>
    <w:p w:rsidR="0040375D" w:rsidRDefault="0040375D">
      <w:pPr>
        <w:suppressAutoHyphens w:val="0"/>
        <w:spacing w:after="200" w:line="276" w:lineRule="auto"/>
        <w:jc w:val="left"/>
        <w:rPr>
          <w:rFonts w:ascii="Calibri" w:eastAsia="Times New Roman" w:hAnsi="Calibri"/>
          <w:color w:val="000000"/>
          <w:sz w:val="28"/>
          <w:szCs w:val="28"/>
        </w:rPr>
      </w:pPr>
      <w:r>
        <w:rPr>
          <w:rFonts w:ascii="Calibri" w:eastAsia="Times New Roman" w:hAnsi="Calibri"/>
          <w:color w:val="000000"/>
          <w:sz w:val="28"/>
          <w:szCs w:val="28"/>
        </w:rPr>
        <w:br w:type="page"/>
      </w:r>
    </w:p>
    <w:p w:rsidR="00E265DE" w:rsidRPr="00E265DE" w:rsidRDefault="00E265DE" w:rsidP="001F490E">
      <w:pPr>
        <w:numPr>
          <w:ilvl w:val="0"/>
          <w:numId w:val="13"/>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Empirical study</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This chapter will cover the background of the World Bank’s environmental policies, starting by shortly addressing the period prior to the Rio Declaration, then chronologically covering the international treaties up to and including the Paris Agreement from the perspective of the World Bank, using the texts of the treaties, general background on the treaties and World Bank documentation stemming from that period. For a well-founded analysis of the World Bank’s position on environmental issues, and how its mainstreaming of environmental norms in its policies has changed over the years, some historical context on each international treaty and how the World Bank responded to them is essential.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7"/>
        </w:numPr>
        <w:spacing w:line="360" w:lineRule="auto"/>
        <w:textAlignment w:val="baseline"/>
        <w:rPr>
          <w:rFonts w:ascii="Calibri" w:eastAsia="Times New Roman" w:hAnsi="Calibri"/>
          <w:color w:val="000000"/>
        </w:rPr>
      </w:pPr>
      <w:r w:rsidRPr="0040375D">
        <w:rPr>
          <w:rFonts w:ascii="Calibri" w:eastAsia="Times New Roman" w:hAnsi="Calibri"/>
          <w:color w:val="000000"/>
        </w:rPr>
        <w:t>Historical context</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World Bank has had a precedent with environmental politics since the 1980’s, as external pressures arose that forced the World Bank to ‘green’ its policies. This led to a change in discourse, with green neoliberalism becoming the dominant paradigm at play within the World Bank (Goldman, 2005). This ideological shift towards being green really came to expression for the first time in the wake of the Rio Declaration. In its own words, the World Bank has been mainstreaming the environment since the Rio Earth Summit, with activities specifically targeting the improvement of the environment, through incorporation of environmental norms in the Bank’s activities and by setting up environmental programs for its financial and multilateral investment branches (World Bank, 1995; World Bank, 1997a). World Bank policy was still mainly formulated in economic terms in the time period. Leading up to the Kyoto Protocol, the World Bank started developing a new set of instruments that were still very much market based, but specifically targeted at the environment. Also, environmental data is becoming more important in the decision-making process during this time period, indicating a move away from mere use of environmental language for economic tools and frames towards the application of an environmental perspective. After Kyoto and the follow-up rounds, the documents released by the World Bank prior to and after the Paris Agreement signal that environment has taken a centerstage position within the World Bank’s policy, making use of environmental assessments for almost every action it takes and spreading knowledge on sustainability through various platforms.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7"/>
        </w:numPr>
        <w:spacing w:line="360" w:lineRule="auto"/>
        <w:textAlignment w:val="baseline"/>
        <w:rPr>
          <w:rFonts w:ascii="Calibri" w:eastAsia="Times New Roman" w:hAnsi="Calibri"/>
          <w:color w:val="000000"/>
        </w:rPr>
      </w:pPr>
      <w:r w:rsidRPr="0040375D">
        <w:rPr>
          <w:rFonts w:ascii="Calibri" w:eastAsia="Times New Roman" w:hAnsi="Calibri"/>
          <w:color w:val="000000"/>
        </w:rPr>
        <w:t>Rio Declaration 1992</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 special United Nation Conference on Environment and Development met with 178 Member States, in Rio de Janeiro from 3 to 14 June of 1992 (United Nations, 1997). After the Cold War there was a call for platforms to bring United Nations Member States closer together and allow them to enter into cooperative tackling of development issues. Sustainability soon popped up as one of the issues that could simply not be resolved alone, thus what has informally become known as the Earth Summit was held to bring states together on environmental issues. At the summit attending Member States came to a consensus regarding future sustainable development, which was drafted up in a short document proclaiming 27 principles, and is now better known as the Rio Declaration on Environment and Development, or Rio Declaration in short.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The Earth Summit was, at the time, unprecedented for a UN conference. Its sheer size, the amount of attendants and the topics it addressed were all of a major scale. Besides hosting a forum for Member States, a parallel forum was held for non-governmental organisations, with over 2400 representatives taking part (United Nations, 1997). Not only was the Rio Declaration drafted up during this summit, over 170 attending Member States also signed the United Nations Framework Convention on Climate Change (UNFCCC). Both these documents are at the basis of international cooperation on environmental issues. The UNFCCC has later been expanded upon in the Kyoto Protocol, the Marrakesh Accords, the Doha Amendment and, most recently, the Paris Agreement. Ever since this Earth Summit, the World Bank has been implementing environmental norms into its policies.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 brief overview of the Rio Declaration and the meaning of its contents will now be given, as the World Bank based its policies in the years after 1992 on the principles laid down in this Declaration. Especially noteworthy principles are principles 4, 15 and 16. The fourth principle calls for environmental mainstreaming in development. According to the World Bank, this is what it has been doing ever since that moment (World Bank, 1995; World Bank, 1997a). Principle 15 states that in order to protect the environment, states shall make use of a ‘precautionary approach’, and that lack of full scientific certainty shall not be used as an excuse to postpone ‘cost-effective measures [that] prevent environmental degradation’ (Rio Declaration, 1992). In principle 16, one reads that national authorities shall promote the internalisation of environmental costs, which has become commonly known as the maxim that the polluter should bear the cost of the pollution. These principles leave room for interpretation however. In principle 15 the term ‘precautionary approach’ is very elusive, and not further touched upon in the rest of the Declaration. Also, threats of serious or irreversible damage cannot be ignored based on lack of full scientific evidence, but can alternatively also not be determined without scientific evidence. This leaves wiggle room. The same goes for principle 16. If one needs to uphold due regard for the public interest and cannot distort international trade and investment by taxing the polluter, this implies a possibility to work around the polluter-pays principle.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the UNFCCC, the articles that make up the Convention are less ambiguous, but are again very elusive. Also, the differentiation between countries, in Annex-I, and the resulting differing levels of compliance with the Convention make for a rather hard to work with document all in all.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goals that the Convention sets itself are praiseworthy, but the treaty does not include accompanying enforcement mechanisms. It is not surprising that the World Bank committed itself to Agenda 21 after the 1992, as it was Faced with the complexity of linking environment and development problems. This Agenda gives much clearer guidelines than both the UNFCCC and the Rio Declaration. Agenda 21 is organized around six different themes, being the quality of life, efficient use of natural resources, waste management, management of human settlements, protection of global commons, and sustainable economic growth (World Bank, 1997a, p. 3). When trying to tackle issues related to poverty, land, freshwater and demographic pressures, the World Bank attempts at finding synergies between environment and development in this time period. By improving both the access to resources and the management thereof, the World Bank aims at alleviating poverty whilst at the same time creating environmental understanding (World Bank, 1997a).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Ever since the 1970s the World Bank has increasingly included environmental and social concerns into its policies, which can be expressly seen in internal instructions such as the Operational Manual Statements from 1980 and onward. These Operational Manual Statements were soon after replaced Operational Directives. The Operational Directives 4.00 through 4.12, 4.36 and 4.37 on environmental protection and safeguards, which have been introduced around the Rio Declaration. The biggest change in World Bank policy however, following Rio, is the incorporation of the environment from the start. This is done, after 1992, through the </w:t>
      </w:r>
      <w:r w:rsidRPr="00E265DE">
        <w:rPr>
          <w:rFonts w:ascii="Calibri" w:eastAsia="Times New Roman" w:hAnsi="Calibri"/>
          <w:b w:val="0"/>
          <w:bCs/>
          <w:i/>
          <w:iCs/>
          <w:color w:val="000000"/>
        </w:rPr>
        <w:t>use of markets</w:t>
      </w:r>
      <w:r w:rsidRPr="00E265DE">
        <w:rPr>
          <w:rFonts w:ascii="Calibri" w:eastAsia="Times New Roman" w:hAnsi="Calibri"/>
          <w:b w:val="0"/>
          <w:bCs/>
          <w:color w:val="000000"/>
        </w:rPr>
        <w:t xml:space="preserve">, the </w:t>
      </w:r>
      <w:r w:rsidRPr="00E265DE">
        <w:rPr>
          <w:rFonts w:ascii="Calibri" w:eastAsia="Times New Roman" w:hAnsi="Calibri"/>
          <w:b w:val="0"/>
          <w:bCs/>
          <w:i/>
          <w:iCs/>
          <w:color w:val="000000"/>
        </w:rPr>
        <w:t>creation of markets</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regulations</w:t>
      </w:r>
      <w:r w:rsidRPr="00E265DE">
        <w:rPr>
          <w:rFonts w:ascii="Calibri" w:eastAsia="Times New Roman" w:hAnsi="Calibri"/>
          <w:b w:val="0"/>
          <w:bCs/>
          <w:color w:val="000000"/>
        </w:rPr>
        <w:t xml:space="preserve"> and through </w:t>
      </w:r>
      <w:r w:rsidRPr="00E265DE">
        <w:rPr>
          <w:rFonts w:ascii="Calibri" w:eastAsia="Times New Roman" w:hAnsi="Calibri"/>
          <w:b w:val="0"/>
          <w:bCs/>
          <w:i/>
          <w:iCs/>
          <w:color w:val="000000"/>
        </w:rPr>
        <w:t>engaging the public</w:t>
      </w:r>
      <w:r w:rsidRPr="00E265DE">
        <w:rPr>
          <w:rFonts w:ascii="Calibri" w:eastAsia="Times New Roman" w:hAnsi="Calibri"/>
          <w:b w:val="0"/>
          <w:bCs/>
          <w:color w:val="000000"/>
        </w:rPr>
        <w:t xml:space="preserve">, which all will be further expanded on. All policy instruments after 1992 are aimed at two themes, namely resource management and pollution control (World Bank, 1997a, p. 6). For these instruments to be effective, it is deemed to be of fundamental importance that priorities are set, a level of national ownership is created and that the public is being involved. As both the World Bank’s financial and human resources, although extensive, are limited, it is blatant that certain issues need to be prioritised over others. Governments and organisations cannot simply tackle every issue simultaneously. Following Rio, over 100 countries drafted up National Environmental Action Plans (NEAPs), of which the World Bank has made use to prioritise its actions. By linking its actions to NEAPs, the World Bank aimed at ensuring national ownership of the issues it has been trying to tackle. Without ownership and the participation that comes with it, most strategies or plans remain on paper, and without an effect in the material world (World Bank, 1997a, p. 7). In 1992, most countries did not yet have the institutions in place that are required to monitor compliance with environmental policies, or enforce measures to enact them. Supporting the creation of such institutions has been part of the World Bank agenda in those years.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To attain the environmental goals of the Rio Declaration, the World Bank made use of four primary instruments in the years after 1992. In 1997, it published a book reflecting on its own policies in the past 5 years. These instruments and the policies that have sprouted from them show that the World Bank is starting to make an attempt at using economic language, but still makes use of its mainstream tools and instruments such as markets. This becomes more clear when further assessing the instruments mentioned in this book, against a background of several cases.</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this work, the instrument deemed as creating the most powerful policies, from a green neoliberalist perspective, is the </w:t>
      </w:r>
      <w:r w:rsidRPr="00E265DE">
        <w:rPr>
          <w:rFonts w:ascii="Calibri" w:eastAsia="Times New Roman" w:hAnsi="Calibri"/>
          <w:b w:val="0"/>
          <w:bCs/>
          <w:i/>
          <w:iCs/>
          <w:color w:val="000000"/>
        </w:rPr>
        <w:t>use of markets</w:t>
      </w:r>
      <w:r w:rsidRPr="00E265DE">
        <w:rPr>
          <w:rFonts w:ascii="Calibri" w:eastAsia="Times New Roman" w:hAnsi="Calibri"/>
          <w:b w:val="0"/>
          <w:bCs/>
          <w:color w:val="000000"/>
        </w:rPr>
        <w:t xml:space="preserve">. Markets can be used to give price signals, which in turn can guide and alter the allocation of resources. According to the World Bank, environmental resources were underpriced in two ways in the period prior to Rio and a while thereafter. On the one hand through subsidies that reduce the cost of overexploitation, on the other hand due to a lack of internalisation of the external costs (World Bank, 1997a, p. 7). Using market forces, it would be possible to reduce the economic cost of environmental policy, given a free market economy. Although policies that make use of the market are relatively blunt, they are easy to implement and administer. Second, making use of the market can have fiscal consequences for governments as well. Reduction of subsidies or the increase or creation of an environmental tax can generate quite a lot of money that can be spent in other ways (World Bank, 1997a, p. 10). Examples of policies that fit within this group are the reduction of subsidies, the increase of environmental taxes, the implementation of user fees, implementing performance bonds or deposit-refund systems and to make use of targeted subsidies. Practical use of these tools in the period after Rio can be found all over the world, for example in China, which has reduced subsidies on coal, in the Netherlands, where they have implemented environmental taxes on industrial waste, in Japan and Germany, where they have made use of a combination of taxes and subsidies to manage energy consumption or in Costa Rica, where the damage of ecotourism has been averted to an extent by utilizing user fees (World Bank, 1997a, pp. 21-36).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To be able to make use of market instruments, there has to be a market, however. Lack of market is deemed to be the most persistent and pervasive danger to sustainable developing, according to the World Bank (1997a, p. 11). Through the </w:t>
      </w:r>
      <w:r w:rsidRPr="00E265DE">
        <w:rPr>
          <w:rFonts w:ascii="Calibri" w:eastAsia="Times New Roman" w:hAnsi="Calibri"/>
          <w:b w:val="0"/>
          <w:bCs/>
          <w:i/>
          <w:iCs/>
          <w:color w:val="000000"/>
        </w:rPr>
        <w:t>creation of markets</w:t>
      </w:r>
      <w:r w:rsidRPr="00E265DE">
        <w:rPr>
          <w:rFonts w:ascii="Calibri" w:eastAsia="Times New Roman" w:hAnsi="Calibri"/>
          <w:b w:val="0"/>
          <w:bCs/>
          <w:color w:val="000000"/>
        </w:rPr>
        <w:t>, such a threat can be overcome. Much of the threat of having no market is that there are no boundaries, within which to operate. Through the establishment of property rights, a degree of certainty and an idea of property sprouts amongst people. Instead of being a mere user, one becomes owner, and ownership leads to an incentive of trying to maintain that which you own. The World Bank also deems privatisation and decentralisation as being able to play a major role in moving environmental management out of the hands of governments, that are often not that financially stable, and into the hands of private parties. Private parties, in contrast, have a strong incentive to generate revenue over a longer period of time, and therefore will invest to increase or maintain that revenue (World Bank, 1997a, p. 12). Other tools that might be used to create a market are the trading of permits and rights and the creation of international offset systems, across country borders. These have been actively applied in the years after Rio in, for example, Côte d’Ivoire, where water supplies have been privatised, in Singapore, through the emission of tradable permits for ozone-depleting substances, and across the Americas, by trying to strive for joint implementation through an international offset system (World Bank, 1997a, pp. 37-40).</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Apart from using or creating markets, </w:t>
      </w:r>
      <w:r w:rsidRPr="00E265DE">
        <w:rPr>
          <w:rFonts w:ascii="Calibri" w:eastAsia="Times New Roman" w:hAnsi="Calibri"/>
          <w:b w:val="0"/>
          <w:bCs/>
          <w:i/>
          <w:iCs/>
          <w:color w:val="000000"/>
        </w:rPr>
        <w:t>using regulations</w:t>
      </w:r>
      <w:r w:rsidRPr="00E265DE">
        <w:rPr>
          <w:rFonts w:ascii="Calibri" w:eastAsia="Times New Roman" w:hAnsi="Calibri"/>
          <w:b w:val="0"/>
          <w:bCs/>
          <w:color w:val="000000"/>
        </w:rPr>
        <w:t xml:space="preserve"> is the most common way to tackle environmental problems according to the World Bank in this time period. It should be noted that regulations should be used sparsely, due to the direct and indirect costs that come with regulating (World Bank, 1997a, p. 13). Policymakers favour the use of standards, permits, quotas and bans, as these grant them with a certainty of outcome. Oftentimes it is most effective to combine certain elements of regulation with each other, In Malaysia, for example, a mixture of standards and charges has been applied effectively to reduce water pollution from oil palm production (World Bank, 1997a, pp. 41-42). Especially when there are few pollutants, regulation can be an effective tool. When only a relatively small group needs to be monitored, it is simpler and more cost effective to regulate than to create a market for permits.  The major downside of regulations is their need to be enforced. If regulations are not met with appropriate sanctions when acting in discordance with them, they become empty shells. These sanctions should be proportionate, however, as the World Bank notes that after Rio they are either too soft, having little to no effect, or way to heavy (World Bank, 1997a, p. 13).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Lastly, the World Bank touches upon the instrument of </w:t>
      </w:r>
      <w:r w:rsidRPr="00E265DE">
        <w:rPr>
          <w:rFonts w:ascii="Calibri" w:eastAsia="Times New Roman" w:hAnsi="Calibri"/>
          <w:b w:val="0"/>
          <w:bCs/>
          <w:i/>
          <w:iCs/>
          <w:color w:val="000000"/>
        </w:rPr>
        <w:t>engaging the public</w:t>
      </w:r>
      <w:r w:rsidRPr="00E265DE">
        <w:rPr>
          <w:rFonts w:ascii="Calibri" w:eastAsia="Times New Roman" w:hAnsi="Calibri"/>
          <w:b w:val="0"/>
          <w:bCs/>
          <w:color w:val="000000"/>
        </w:rPr>
        <w:t xml:space="preserve"> in its 1997 text. Governments rarely are norm entrepreneurs. Political leaders often merely respond to the demands of an active part of the population. Trying to engage the public can be achieved either by disclosing information, allowing consumers to make more educated choices and demand for environmentally friendlier goods whilst at the same time monitoring performance of individual firms, or through public participation. Involving the public in discussions over on the environment creates public awareness of certain environmental issues. This also allows for smaller groups to be heard, empowering them through their possibility to speak out. Public participation is a hard thing to build up, and requires much involvement from a plethora of social actors. Once in place, however, it can be both very insightful and very useful when trying to tackle environmental issues (World Bank, 1997a, p. 14). With regard to the information disclosure, one need only look at the increase of labelling in the industry (World Bank, 1997a, pp. 45-47).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World Bank clearly is using some environmental language in this period and is trying to achieve environmental goals through the use of instruments rooted in economic thought. The economic language is predominant, however. This makes it hard to distinguish whether the environmental norms and language are being used to ‘green-wash’ the economic policy, or rather if the economic logic is used to push forward the environmental norms, through framing and grafting. The focus on engagement of the public makes for a seemingly present incentive to not merely use environmental language but to teach environmental norms to a larger public as well.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7"/>
        </w:numPr>
        <w:spacing w:line="360" w:lineRule="auto"/>
        <w:textAlignment w:val="baseline"/>
        <w:rPr>
          <w:rFonts w:ascii="Calibri" w:eastAsia="Times New Roman" w:hAnsi="Calibri"/>
          <w:color w:val="000000"/>
        </w:rPr>
      </w:pPr>
      <w:r w:rsidRPr="0040375D">
        <w:rPr>
          <w:rFonts w:ascii="Calibri" w:eastAsia="Times New Roman" w:hAnsi="Calibri"/>
          <w:color w:val="000000"/>
        </w:rPr>
        <w:t>Kyoto Protocol 1997</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Despite the commitment period being more than a decade away, already in 1997 publications, the World Bank stated that a </w:t>
      </w:r>
      <w:r w:rsidRPr="00E265DE">
        <w:rPr>
          <w:rFonts w:ascii="Calibri" w:eastAsia="Times New Roman" w:hAnsi="Calibri"/>
          <w:b w:val="0"/>
          <w:bCs/>
          <w:i/>
          <w:iCs/>
          <w:color w:val="000000"/>
        </w:rPr>
        <w:t xml:space="preserve">third phase </w:t>
      </w:r>
      <w:r w:rsidRPr="00E265DE">
        <w:rPr>
          <w:rFonts w:ascii="Calibri" w:eastAsia="Times New Roman" w:hAnsi="Calibri"/>
          <w:b w:val="0"/>
          <w:bCs/>
          <w:color w:val="000000"/>
        </w:rPr>
        <w:t xml:space="preserve">of environmental awareness in development had been entered, which they deem as a phase of mainstreaming. The World Bank defines its mainstreaming policy as integrating environment into sector and national strategies, through the re-examination of the bank’s assistance strategies in many fields through a lens of sustainability and incorporation of environmental, economic and social considerations (World Bank, 1997b, p. 5). Although stating that the mainstreaming of sustainability issues in all of the World Bank’s policies is aimed for after Kyoto, it is acknowledged that the transition is not yet complete and there are still things to learn from and improve on, regarding these environmental goals. To achieve this transition towards more sustainability, the World Bank formulated four objectives for its policies after Kyoto, focussing on assisting member states in </w:t>
      </w:r>
      <w:r w:rsidRPr="00E265DE">
        <w:rPr>
          <w:rFonts w:ascii="Calibri" w:eastAsia="Times New Roman" w:hAnsi="Calibri"/>
          <w:b w:val="0"/>
          <w:bCs/>
          <w:i/>
          <w:iCs/>
          <w:color w:val="000000"/>
        </w:rPr>
        <w:t>attaining sound environmental stewardship</w:t>
      </w:r>
      <w:r w:rsidRPr="00E265DE">
        <w:rPr>
          <w:rFonts w:ascii="Calibri" w:eastAsia="Times New Roman" w:hAnsi="Calibri"/>
          <w:b w:val="0"/>
          <w:bCs/>
          <w:color w:val="000000"/>
        </w:rPr>
        <w:t xml:space="preserve">, ensuring that in Bank-financed projects </w:t>
      </w:r>
      <w:r w:rsidRPr="00E265DE">
        <w:rPr>
          <w:rFonts w:ascii="Calibri" w:eastAsia="Times New Roman" w:hAnsi="Calibri"/>
          <w:b w:val="0"/>
          <w:bCs/>
          <w:i/>
          <w:iCs/>
          <w:color w:val="000000"/>
        </w:rPr>
        <w:t>adverse environmental impacts are addressed</w:t>
      </w:r>
      <w:r w:rsidRPr="00E265DE">
        <w:rPr>
          <w:rFonts w:ascii="Calibri" w:eastAsia="Times New Roman" w:hAnsi="Calibri"/>
          <w:b w:val="0"/>
          <w:bCs/>
          <w:color w:val="000000"/>
        </w:rPr>
        <w:t xml:space="preserve">, assisting member states in </w:t>
      </w:r>
      <w:r w:rsidRPr="00E265DE">
        <w:rPr>
          <w:rFonts w:ascii="Calibri" w:eastAsia="Times New Roman" w:hAnsi="Calibri"/>
          <w:b w:val="0"/>
          <w:bCs/>
          <w:i/>
          <w:iCs/>
          <w:color w:val="000000"/>
        </w:rPr>
        <w:t xml:space="preserve">reducing poverty whilst protecting the environment, </w:t>
      </w:r>
      <w:r w:rsidRPr="00E265DE">
        <w:rPr>
          <w:rFonts w:ascii="Calibri" w:eastAsia="Times New Roman" w:hAnsi="Calibri"/>
          <w:b w:val="0"/>
          <w:bCs/>
          <w:color w:val="000000"/>
        </w:rPr>
        <w:t>and</w:t>
      </w:r>
      <w:r w:rsidRPr="00E265DE">
        <w:rPr>
          <w:rFonts w:ascii="Calibri" w:eastAsia="Times New Roman" w:hAnsi="Calibri"/>
          <w:b w:val="0"/>
          <w:bCs/>
          <w:i/>
          <w:iCs/>
          <w:color w:val="000000"/>
        </w:rPr>
        <w:t xml:space="preserve"> addressing global environmental challenges </w:t>
      </w:r>
      <w:r w:rsidRPr="00E265DE">
        <w:rPr>
          <w:rFonts w:ascii="Calibri" w:eastAsia="Times New Roman" w:hAnsi="Calibri"/>
          <w:b w:val="0"/>
          <w:bCs/>
          <w:color w:val="000000"/>
        </w:rPr>
        <w:t xml:space="preserve">through participation in the Global Environment Facility.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This mainstreaming shift has been paired with a new toolkit for achieving World Bank policy as well. Whereas post-Rio the focus was still mainly economic, with little environmental rhetoric in the World Bank’s instruments, post-Kyoto all instruments seem to be more in line with the four objectives mentioned above. A major change, in comparison to the period after Rio, is the increase in use of </w:t>
      </w:r>
      <w:r w:rsidRPr="00E265DE">
        <w:rPr>
          <w:rFonts w:ascii="Calibri" w:eastAsia="Times New Roman" w:hAnsi="Calibri"/>
          <w:b w:val="0"/>
          <w:bCs/>
          <w:i/>
          <w:iCs/>
          <w:color w:val="000000"/>
        </w:rPr>
        <w:t>Environmental Action Plans</w:t>
      </w:r>
      <w:r w:rsidRPr="00E265DE">
        <w:rPr>
          <w:rFonts w:ascii="Calibri" w:eastAsia="Times New Roman" w:hAnsi="Calibri"/>
          <w:b w:val="0"/>
          <w:bCs/>
          <w:color w:val="000000"/>
        </w:rPr>
        <w:t xml:space="preserve"> (EAPs). These plans are country-led, with technical and financial aid from multilateral organisations such as the World Bank. In order for a country to receive such financial support, the World Bank sees an EAP as a prerequisite (World Bank, 1997b, p. 6-7). This, combined with careful project identification, has led to an increase of environmentally driven World Bank supported projects in the years after Kyoto, contributing to the stewardship objective.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addition to providing direct support to countries developing environmental projects, the World Bank has kept the focus it adhered to post-Rio, aiming for all of its lending to be both environmentally and socially benign (ibid., p. 7). The Operational Directives 4.00 through 4.12, 4.36 and 4.37 on environmental protection and safeguards, which were introduced around the Rio Declaration, have been revised and further expanded upon in the years following the signing and ratification of the Kyoto Protocol (World Bank, 2018). Leading up to and following the Kyoto Protocol, the World Bank has steadily increased its amount of Environmental Assessments (EAs), thus addressing adverse environmental effects of projects before granting financing (World Bank, 1997b, p. 10-14). The World Bank requires that an environmental impact assessment is undertaken before it grants loans or commences project work (Stakeholder Forum for a Sustainable Future, 2011, p. 106). Not only has the Bank focused on including an environmental agenda in its policies. By tackling poverty at the same time, the World Bank has been striving for a developmental agenda that is not only reactive to environmental issues but also aims at preventing future problems. Through its developmental agenda, it aims at creating environmental awareness (World Bank, 1997b, p. 15-16).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Interesting in the years following Kyoto is the altering role the World Bank is taking, under influence of the World Trade Organisation (WTO). After the founding of the latter, in 1995, its ties with the World Bank have become ever closer, due to increasing attention for the relationship between trade and environmental regimes (World Bank, 2008, p. 39). This allows for the World Bank to place its focus more on environmental topics, whilst taking trade into account. Both the 1994 Marrakesh Agreement, which lies at the basis of the WTO, and the 1997 Kyoto Protocol, as well as the UNFCCC contain mutually inclusive language, leaving room for both the World Bank and the WTO. Liberalisation of trade, something the World Bank is not unfamiliar with, as seen in the previous paragraph, and the reduction of nontariff barriers in sustainable technologies could result in both an increase in the volume of trade as well as a cleaner environment. Both multilateral organisations cooperate to achieve this (World Bank, 2008, p. 56-70).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Although the Rio Declaration was ground-breaking, at the time, it soon showed that its impact was in fact limited. These limitations can, in hindsight, be contributed to three major factors. Firstly, many governments failed to or did not want to implement the Rio principles in national legislation. Secondly, there was no credible and independent international control on the adherence to the principles of the convention. Thirdly, much of the language used in the Rio Declaration did not translate easily into terms that would be picked up by government treasuries and finance ministries (Lucena &amp; Gummer, 2012). The previous paragraph has shown that the World Bank did try to use an economic language in its own policies, adhering to a green neo-liberal view. However, this did not really trickle down to the members to the Declaration, as this green, economic language is found mostly in Operational Policies, and not in the Rio Declaration.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As support for the view that global warming has to do with human activities kept on growing, so did the realisation that the Rio Declaration and the UNFCCC should be further expanded upon. During the Kyoto Protocol sessions, it was therefore agreed upon that global warming was in fact happening, and that the most likely contributor to this was human-made carbon dioxide emissions. Central to the Kyoto Protocol was the objective to fight global warming by reducing atmospheric greenhouse gas concentrations (Kyoto Protocol, 1997, article 2 and 3). Later, the Kyoto Protocol has been further expanded upon with the Marrakesh Accords of 2001 and the Doha Amendement of 2012.</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Kyoto Protocol introduced a new set of policy instruments, with accompanying means to make sure these tools would be effective. These Kyoto mechanisms are </w:t>
      </w:r>
      <w:r w:rsidRPr="00E265DE">
        <w:rPr>
          <w:rFonts w:ascii="Calibri" w:eastAsia="Times New Roman" w:hAnsi="Calibri"/>
          <w:b w:val="0"/>
          <w:bCs/>
          <w:i/>
          <w:iCs/>
          <w:color w:val="000000"/>
        </w:rPr>
        <w:t xml:space="preserve">international emissions trading, </w:t>
      </w:r>
      <w:r w:rsidRPr="00E265DE">
        <w:rPr>
          <w:rFonts w:ascii="Calibri" w:eastAsia="Times New Roman" w:hAnsi="Calibri"/>
          <w:b w:val="0"/>
          <w:bCs/>
          <w:color w:val="000000"/>
        </w:rPr>
        <w:t xml:space="preserve">a </w:t>
      </w:r>
      <w:r w:rsidRPr="00E265DE">
        <w:rPr>
          <w:rFonts w:ascii="Calibri" w:eastAsia="Times New Roman" w:hAnsi="Calibri"/>
          <w:b w:val="0"/>
          <w:bCs/>
          <w:i/>
          <w:iCs/>
          <w:color w:val="000000"/>
        </w:rPr>
        <w:t>clean development</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mechanism</w:t>
      </w:r>
      <w:r w:rsidRPr="00E265DE">
        <w:rPr>
          <w:rFonts w:ascii="Calibri" w:eastAsia="Times New Roman" w:hAnsi="Calibri"/>
          <w:b w:val="0"/>
          <w:bCs/>
          <w:color w:val="000000"/>
        </w:rPr>
        <w:t xml:space="preserve"> and so called </w:t>
      </w:r>
      <w:r w:rsidRPr="00E265DE">
        <w:rPr>
          <w:rFonts w:ascii="Calibri" w:eastAsia="Times New Roman" w:hAnsi="Calibri"/>
          <w:b w:val="0"/>
          <w:bCs/>
          <w:i/>
          <w:iCs/>
          <w:color w:val="000000"/>
        </w:rPr>
        <w:t>joint implementation</w:t>
      </w:r>
      <w:r w:rsidRPr="00E265DE">
        <w:rPr>
          <w:rFonts w:ascii="Calibri" w:eastAsia="Times New Roman" w:hAnsi="Calibri"/>
          <w:b w:val="0"/>
          <w:bCs/>
          <w:color w:val="000000"/>
        </w:rPr>
        <w:t xml:space="preserve">. To see to it that countries would adhere to the Kyoto Protocol, the UN Climate Change Secretariat in Bonn has taken it upon itself to register, track and record transactions by parties under the mechanism, as well as seeing to it that countries’ emission levels are monitored (UNFCCC, 2018). Parties committed to the Kyoto Protocol have accepted limitations on the amount of emissions they can produce. Although not expressly mentioned in the UNFCCC or the Protocol, from the text of Article 6 of the Kyoto Protocol it follows that these emission rights have been tradable from the start, creating a new market where ‘carbon’ is traded, alongside similar products for other greenhouse gasses that have been created through the Protocol (Ellerman, Jacoby &amp; Decaux, 1998; World Bank, 2007). As the cheapest sources of global carbon dioxide emission reduction are often found in the developing economies, it could be beneficial to let Annex B-countries that need to reduce their greenhouse gas output have access to a substitution mechanism in the form of buying emission rights from non-Annex B countries (Ellerman, Jacoby &amp; Decaux, 1998, p. 5).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w:t>
      </w:r>
      <w:r w:rsidRPr="00E265DE">
        <w:rPr>
          <w:rFonts w:ascii="Calibri" w:eastAsia="Times New Roman" w:hAnsi="Calibri"/>
          <w:b w:val="0"/>
          <w:bCs/>
          <w:i/>
          <w:iCs/>
          <w:color w:val="000000"/>
        </w:rPr>
        <w:t>clean development mechanism</w:t>
      </w:r>
      <w:r w:rsidRPr="00E265DE">
        <w:rPr>
          <w:rFonts w:ascii="Calibri" w:eastAsia="Times New Roman" w:hAnsi="Calibri"/>
          <w:b w:val="0"/>
          <w:bCs/>
          <w:color w:val="000000"/>
        </w:rPr>
        <w:t xml:space="preserve"> and </w:t>
      </w:r>
      <w:r w:rsidRPr="00E265DE">
        <w:rPr>
          <w:rFonts w:ascii="Calibri" w:eastAsia="Times New Roman" w:hAnsi="Calibri"/>
          <w:b w:val="0"/>
          <w:bCs/>
          <w:i/>
          <w:iCs/>
          <w:color w:val="000000"/>
        </w:rPr>
        <w:t>joint implementation</w:t>
      </w:r>
      <w:r w:rsidRPr="00E265DE">
        <w:rPr>
          <w:rFonts w:ascii="Calibri" w:eastAsia="Times New Roman" w:hAnsi="Calibri"/>
          <w:b w:val="0"/>
          <w:bCs/>
          <w:color w:val="000000"/>
        </w:rPr>
        <w:t xml:space="preserve"> work in a similar fashion to the emission trading, by granting (tradable) emission reduction credits to (developing) countries that develop in an environmentally friendly way, through the realisation of emission-reducing projects. Projects by the World Bank have aided countries in obtaining these credits (World Bank, 2007). Not only has the World Bank realised projects aimed at environmentally friendly development, it also has contributed significantly to the carbon emission trading mechanisms and the development of knowledge on that topic, to support countries further (ibid., 2007). It should be noted with the Kyoto Protocol that, although signed in 1997, it took until 2005 to ratify. Secondly, the period in which the emission reduction should be taking place would be the 2008 until 2012 timeframe, which is known as the First Commitment Period.</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Kyoto Protocol was soon followed by the signing of the Marrakesh Accords in 2001. This accord further specified the terms of the UNFCCC and the Protocol, and added additional paragraphs to the text on capacity-building, the transfer and development of technologies, on funding under the Convention and the Protocol and provided guidelines on the implementation of the mechanisms laid out in the earlier treaties (Marrakesh Accords, 2001, p. 5-21; p. 24-26; p. 43-45; p. 48-53, p. 65-69). The role of multilateral organisations in supporting environmentally friendly and sustainable development is expressly mentioned in this text. Especially with regard to the sharing of environmentally sound technologies and the training of officials in environmental management, the Accords help to substantiate paragraphs from predating texts.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In 2012, the Doha Amendment was drafted up, its prime contribution being the addition of new emission targets for the Second Commitment Period (2012-2020), replacing the earlier Annex B to the Protocol.</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overall tone in the timeframe after Kyoto is still economic, with many publications focussing on protecting the environment and achieving sustainability through trade (World Bank, 2008, p. 73-77). Although increasingly using environmental rhetoric, it should be kept in mind that the view the World Bank adheres to is still clearly a green neo-liberal one. This shows in the amount of texts on trade, on using trade and reduction of tariff and nontariff barriers to increase development and on liberalisation of markets and trade. The introduction of the Carbon Market and the expertise the World Bank has gained in this field are also indicative of the continuation of the Bank’s focus on both the economy and the environment.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1F490E">
      <w:pPr>
        <w:pStyle w:val="ListParagraph"/>
        <w:numPr>
          <w:ilvl w:val="1"/>
          <w:numId w:val="37"/>
        </w:numPr>
        <w:spacing w:line="360" w:lineRule="auto"/>
        <w:textAlignment w:val="baseline"/>
        <w:rPr>
          <w:rFonts w:ascii="Calibri" w:eastAsia="Times New Roman" w:hAnsi="Calibri"/>
          <w:color w:val="000000"/>
        </w:rPr>
      </w:pPr>
      <w:r w:rsidRPr="0040375D">
        <w:rPr>
          <w:rFonts w:ascii="Calibri" w:eastAsia="Times New Roman" w:hAnsi="Calibri"/>
          <w:color w:val="000000"/>
        </w:rPr>
        <w:t>Paris Agreement 2016 and onward</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Since November 2016, the World Bank has released a plethora of publications and reports regarding these four main policy topics. A selection thereof has been used for this research, to gain a better understanding of the way in which the World Bank actively employs its instruments. An overview of the researched publications can be found in Annex I, as most only deal with country-specific, empirical data that has been primarily used for the analysis part of this research, but is not quoted or cited otherwise. The methods and instruments used in those reports, however, give an insight into the modus operandi of the World Bank, and the way in which it interprets environmental norms. Regarding the building of climate ambition into development plans of every country, the researched data shows that the World Bank makes use of very in-depth analyses for each country it operates in, but also that it expects countries to make use of extensive environmental analyses themselves. This is not a new trend since the Paris Agreement, as Environmental Action Plans have been mentioned before as part of the World Bank’s policy, but an ever increasing trend is visible. The Open Knowledge Repository of the World Bank holds over 30 years of data and over 1100 publications tagged with an environmental tag, many of which focus on country specifics.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Many of the projects that World Bank realises, and which are coincidentally the topic of many of its publications, take place in developing countries. The preamble to the Paris Agreement states that the specific needs and special circumstances of developing countries need to be recognized and that full account has to be taken for these conditions with regards to the support given to those countries, regarding sustainable development. Also, articles 4, 9, 10 and 11 of the Agreement put specific emphasis on the support developing countries shall get (Paris Agreement, 2016).  The peaking of greenhouse gas emissions should be reached as soon as possible, as can be read in article 4. Paragraph 5 of that article continues with stating that there shall be support for developing countries in achieving this. Paragraph 6 goes on about country specific development plans, containing a climate ambition. In articles 7 and 16 explicit mention is made of the United Nations and its specialized agencies, such as the World Bank. Article 7 encourages organisations such as the World Bank to aid with the adapting actions states are taking, through sharing of information, good practices, experiences, strengthening scientific knowledge and institutional arrangements as well as assisting developing countries in identifying the proper adaptation practices and by helping them increase the durability and effectiveness of their actions (Paris Agreement, 2016). Although not a Party to the Agreement, it flows from article 16 that the World Bank can be represented at sessions of the Conference of the Parties of the Paris Agreement.</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Leading up to the Paris Agreement, over 180 countries submitted Intended Nationally Determined Contributions (INDCs) to the UNFCCC. The World Bank Group works with over 130 of those countries, and has therefore created a Climate Change Action Plan that aids with the integration of climate considerations in the World Bank’s operations, allowing for easier delivery of comprehensive finance packages, knowledge and technical assistance. This, according to the World Bank, aids in the transition towards a low carbon economy and makes countries more climate change resilient (World Bank, 2015; World Bank, 2016b, pp. 2-36). It also shows that the World Bank starts to opt more for a client-driven approach, tapping into demand instead of supplying environmental norms. The Climate Change Action Plan stipulates four priorities for World Bank action.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first priority is the need to </w:t>
      </w:r>
      <w:r w:rsidRPr="00E265DE">
        <w:rPr>
          <w:rFonts w:ascii="Calibri" w:eastAsia="Times New Roman" w:hAnsi="Calibri"/>
          <w:b w:val="0"/>
          <w:bCs/>
          <w:i/>
          <w:iCs/>
          <w:color w:val="000000"/>
        </w:rPr>
        <w:t>support transformative policies and strengthen institutions</w:t>
      </w:r>
      <w:r w:rsidRPr="00E265DE">
        <w:rPr>
          <w:rFonts w:ascii="Calibri" w:eastAsia="Times New Roman" w:hAnsi="Calibri"/>
          <w:b w:val="0"/>
          <w:bCs/>
          <w:color w:val="000000"/>
        </w:rPr>
        <w:t xml:space="preserve">, by mainstreaming climate considerations into policies and budgets, and by continuing its efforts to promote low-carbon an resilient development. The World Bank also focuses on support on mainstreaming NDCs, but this is only viable when there is a demand for that kind of support from a country itself (World Bank, 2016b, p. 10). Through price signals, the World Bank suggests steering public and private investments towards low-emission technologies and projects. Carbon pricing should be used more and more effectively as well (World Bank, 2016b, p. 11-12).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second priority the World Bank points out in its Action Plan is to </w:t>
      </w:r>
      <w:r w:rsidRPr="00E265DE">
        <w:rPr>
          <w:rFonts w:ascii="Calibri" w:eastAsia="Times New Roman" w:hAnsi="Calibri"/>
          <w:b w:val="0"/>
          <w:bCs/>
          <w:i/>
          <w:iCs/>
          <w:color w:val="000000"/>
        </w:rPr>
        <w:t>leverage resources</w:t>
      </w:r>
      <w:r w:rsidRPr="00E265DE">
        <w:rPr>
          <w:rFonts w:ascii="Calibri" w:eastAsia="Times New Roman" w:hAnsi="Calibri"/>
          <w:b w:val="0"/>
          <w:bCs/>
          <w:color w:val="000000"/>
        </w:rPr>
        <w:t xml:space="preserve">. This will require investments in infrastructure, mobilisation of capital and catalysing public and private domestic and international resources through the removal of barriers and the creation of new markets. Especially regarding private capital, it seems there is much to be gained. The World Bank sees leveraging resources also as using financing in a more concessional way (World Bank, 2016b, p. 12-14). Concessional funds are ‘soft loans’. Through the use of these loans, developing countries can be stimulated to engage in sustainable development, without those countries needing to fear for excessive debt and interest payments in the near future.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As the third priority in its Action Plan, the World Bank states the need to </w:t>
      </w:r>
      <w:r w:rsidRPr="00E265DE">
        <w:rPr>
          <w:rFonts w:ascii="Calibri" w:eastAsia="Times New Roman" w:hAnsi="Calibri"/>
          <w:b w:val="0"/>
          <w:bCs/>
          <w:i/>
          <w:iCs/>
          <w:color w:val="000000"/>
        </w:rPr>
        <w:t>scale up climate action</w:t>
      </w:r>
      <w:r w:rsidRPr="00E265DE">
        <w:rPr>
          <w:rFonts w:ascii="Calibri" w:eastAsia="Times New Roman" w:hAnsi="Calibri"/>
          <w:b w:val="0"/>
          <w:bCs/>
          <w:color w:val="000000"/>
        </w:rPr>
        <w:t xml:space="preserve">. It recognizes six high-impact areas, being renewable energy and energy efficiency; sustainable mobility; resilient, low-carbon cities; climate-smart land use; green competitiveness; and, lastly, leaving no-one behind (World Bank, 2016b, p. 18). Actions on these topics will be specified according to the needs of the demanding country. Regarding this priority, both client demand and market conditions are very important for the choices the World Bank makes. As with earlier policy, the World Bank approaches these six high-impact areas through an economic lens. Making use of market mechanisms, country side demand and market conditions allows for an economically efficient allocation of resources, whilst contributing to environmentally friendly and sustainable development.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fourth, and final, priority of the Action Plan is to </w:t>
      </w:r>
      <w:r w:rsidRPr="00E265DE">
        <w:rPr>
          <w:rFonts w:ascii="Calibri" w:eastAsia="Times New Roman" w:hAnsi="Calibri"/>
          <w:b w:val="0"/>
          <w:bCs/>
          <w:i/>
          <w:iCs/>
          <w:color w:val="000000"/>
        </w:rPr>
        <w:t xml:space="preserve">work with others and to align internal processes and organisation. </w:t>
      </w:r>
      <w:r w:rsidRPr="00E265DE">
        <w:rPr>
          <w:rFonts w:ascii="Calibri" w:eastAsia="Times New Roman" w:hAnsi="Calibri"/>
          <w:b w:val="0"/>
          <w:bCs/>
          <w:color w:val="000000"/>
        </w:rPr>
        <w:t xml:space="preserve">Although the World Bank already has many partnerships with NGOs, research communities, businesses and other development actors, it wants to move forward by making more selective and strategic use of those partnerships, ensuring synergies across the field. Next to that, the World Bank will increase the development of strategic relationships with partners active in climate finance (World Bank, 2016b, p. 32). This is very much in line with the statement by the President, aiming for a greening of the finance sector. Again, the policy on transition of the finance sector, and in its wake the financial system, was initially market driven, but is shifting more towards a demand side driven approach (World Bank, 2017b, pp. 27-63). Both through leading by example on the market side and by supporting countries with knowledge and expertise, on the demand side, the World Bank strives for a swift transformation of the financial sector into a more sustainable system (World Bank, 2017b, pp. 79-82).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Not only does the World Bank focus externally to achieve this priority, internally it will strengthen its knowledge base, create new solution packages and further align internal processes (ibid., pp. 33-34; World Bank, 2017b). It should be noted that the World Bank has a treasure trove of data on projects that they have contributed to in some way or form. This empirical data is used extensively to research the best developmental options for varying, country-specific situations. Especially regarding climate-related data, there is no database quite like that of the World Bank. Further development thereof will lead to helping the knowledge and understanding of climate change and its effects on human life increase.</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signing of the Paris Agreement was to take place the next day, which had seen the light of life in the framework of the yearly UNFCCC Climate Change Conferences on measures to be taken after the Second Commitment Period from Doha would end in 2020. For the Paris Agreement it was decided that it would be a new document, not just another amendment to the Kyoto Protocol, in part to underwrite its importance. Despite praising the global effort, the World Bank, by word of the President, also underwrites the urgency to move faster than we are currently doing in our battle against global warming. The words spoken here are very clear; the environment is a top priority for the World Bank. Policy goals up until 2030, which were discussed by the World Bank President during his speech on November 3, 2016, are the </w:t>
      </w:r>
      <w:r w:rsidRPr="00E265DE">
        <w:rPr>
          <w:rFonts w:ascii="Calibri" w:eastAsia="Times New Roman" w:hAnsi="Calibri"/>
          <w:b w:val="0"/>
          <w:bCs/>
          <w:i/>
          <w:iCs/>
          <w:color w:val="000000"/>
        </w:rPr>
        <w:t>building of climate ambition into development plans of every country</w:t>
      </w:r>
      <w:r w:rsidRPr="00E265DE">
        <w:rPr>
          <w:rFonts w:ascii="Calibri" w:eastAsia="Times New Roman" w:hAnsi="Calibri"/>
          <w:b w:val="0"/>
          <w:bCs/>
          <w:color w:val="000000"/>
        </w:rPr>
        <w:t xml:space="preserve">, the </w:t>
      </w:r>
      <w:r w:rsidRPr="00E265DE">
        <w:rPr>
          <w:rFonts w:ascii="Calibri" w:eastAsia="Times New Roman" w:hAnsi="Calibri"/>
          <w:b w:val="0"/>
          <w:bCs/>
          <w:i/>
          <w:iCs/>
          <w:color w:val="000000"/>
        </w:rPr>
        <w:t>acceleration of the transition to clean(er) energy</w:t>
      </w:r>
      <w:r w:rsidRPr="00E265DE">
        <w:rPr>
          <w:rFonts w:ascii="Calibri" w:eastAsia="Times New Roman" w:hAnsi="Calibri"/>
          <w:b w:val="0"/>
          <w:bCs/>
          <w:color w:val="000000"/>
        </w:rPr>
        <w:t xml:space="preserve">, the helping with building </w:t>
      </w:r>
      <w:r w:rsidRPr="00E265DE">
        <w:rPr>
          <w:rFonts w:ascii="Calibri" w:eastAsia="Times New Roman" w:hAnsi="Calibri"/>
          <w:b w:val="0"/>
          <w:bCs/>
          <w:i/>
          <w:iCs/>
          <w:color w:val="000000"/>
        </w:rPr>
        <w:t>resilience to climate shocks</w:t>
      </w:r>
      <w:r w:rsidRPr="00E265DE">
        <w:rPr>
          <w:rFonts w:ascii="Calibri" w:eastAsia="Times New Roman" w:hAnsi="Calibri"/>
          <w:b w:val="0"/>
          <w:bCs/>
          <w:color w:val="000000"/>
        </w:rPr>
        <w:t xml:space="preserve">, and the </w:t>
      </w:r>
      <w:r w:rsidRPr="00E265DE">
        <w:rPr>
          <w:rFonts w:ascii="Calibri" w:eastAsia="Times New Roman" w:hAnsi="Calibri"/>
          <w:b w:val="0"/>
          <w:bCs/>
          <w:i/>
          <w:iCs/>
          <w:color w:val="000000"/>
        </w:rPr>
        <w:t xml:space="preserve">greening of the finance sector </w:t>
      </w:r>
      <w:r w:rsidRPr="00E265DE">
        <w:rPr>
          <w:rFonts w:ascii="Calibri" w:eastAsia="Times New Roman" w:hAnsi="Calibri"/>
          <w:b w:val="0"/>
          <w:bCs/>
          <w:color w:val="000000"/>
        </w:rPr>
        <w:t xml:space="preserve">(World Bank, 2016a).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It should be noted that the World Bank does not try to tackle these goals and priorities one at the time, as often a mix of instruments is required to help a country develop in a sustainable way. Just as synergies are sought for with partners across the board, synergies can be found between the environmental policy topics of the World Bank. A transition to clean energy, for example by building a dam, could also contribute to more resilience to climate shocks, as it could reduce floods in a region. More examples of this will be given in the analysis chapter, with reference to World Bank experiences.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1F490E">
      <w:pPr>
        <w:numPr>
          <w:ilvl w:val="0"/>
          <w:numId w:val="14"/>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Analysis</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This chapter will cover the analysis of the World Bank’s environmental mainstreaming efforts in its policy, assessing cases based on the reports in Annex I for the time period around the Paris Agreement, and using self-assessing World Bank publications for the earlier time periods. Using the criteria as described in chapter 4, the tendencies that occurred in the different time periods being covered by this study will be further assessed. In the three periods of World Bank policy, which have been previously discussed, clear tendencies become visible. Prior to the 1970s, there is no real environmental policy within the World Bank. Under the presidency of McNamara, environmental awareness starts to grow, leading to the first internal documents with environmental policy in the early 1980s (Goldman, 2005; World Bank, 1995; World Bank, 1997b). The reason why the World Bank picks up on this awareness is a bit vague, and cannot be contributed specifically to a single event or action group. Most likely, a combination of factors, amongst which the strong leadership of McNamara and reports such as the Club of Rome report, contributed to growing awareness of environmental norms and the implementation of them within the organisation (Dalal-Clayton &amp; Bass, 2009, p. 71-80). Goldman states that the World Bank coined the term green neo-liberalism in this period (2005).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Rio Declaration follows in 1992. Leading up to this Declaration, the World Bank makes use of primarily market based, supply side approaches to getting environmental norms through. The period around the Rio Declaration is dominated by World Bank policy regarding the environment based on primarily economic principles and logic. Whether this is merely a frame is hard to assess. By using economic logic, grafting the environmental norms in economic terms, it is easier to sell environmental norms to countries, as it is mainly the treasury departments that call the shots on developmental projects (Lucena &amp; Gummer, 2012; Acharya, 2004). Instruments are still aimed mostly at achieving liberal economic goals, but their use is explained in a way that is beginning to include the environment. The awareness within the World Bank does grow rather quickly however, with its own publications already speaking of mainstreaming environmental norms in the second half of the 1990s. This strengthens the idea that environmental norms have landed and nestled within the organisation. Through achieving financial stability, ensuring administrative sustainability, achieving policy integration and by building constituencies for change, the World Bank has aimed at creating an awareness of the environment in other actors and, simultaneously, mainstreaming environment in its own policies in this period (World Bank, 1997a; World Bank, 1997b). The policy focus around the Rio Declaration is still primarily on public actors. It is safe to say that the World Bank has passed the environmental norm compliance phase already prior to the Rio Declaration, and that it has shifted to actively mainstreaming the norm, thus trying to get states to become compliant as well. By initially using a range of instruments that are strongly rooted in liberal economic thought, the World Bank seems to have found a method of selling environmental norms to others that really catches on. In this time period, it seems as though the World Bank does not merely use environmental language. Rather, it drafts environmental policies, tries to inform other actors by building its knowledge database and through education on various topics, and starts to only allocate budgets to projects if these include environmental assessments in the years following 1992. It would seem that the mainstreaming in the first time period, overall, is best described as being </w:t>
      </w:r>
      <w:r w:rsidRPr="00E265DE">
        <w:rPr>
          <w:rFonts w:ascii="Calibri" w:eastAsia="Times New Roman" w:hAnsi="Calibri"/>
          <w:b w:val="0"/>
          <w:bCs/>
          <w:i/>
          <w:iCs/>
          <w:color w:val="000000"/>
        </w:rPr>
        <w:t xml:space="preserve">agenda-setting, </w:t>
      </w:r>
      <w:r w:rsidRPr="00E265DE">
        <w:rPr>
          <w:rFonts w:ascii="Calibri" w:eastAsia="Times New Roman" w:hAnsi="Calibri"/>
          <w:b w:val="0"/>
          <w:bCs/>
          <w:color w:val="000000"/>
        </w:rPr>
        <w:t xml:space="preserve">focused on </w:t>
      </w:r>
      <w:r w:rsidRPr="00E265DE">
        <w:rPr>
          <w:rFonts w:ascii="Calibri" w:eastAsia="Times New Roman" w:hAnsi="Calibri"/>
          <w:b w:val="0"/>
          <w:bCs/>
          <w:i/>
          <w:iCs/>
          <w:color w:val="000000"/>
        </w:rPr>
        <w:t>political process</w:t>
      </w:r>
      <w:r w:rsidRPr="00E265DE">
        <w:rPr>
          <w:rFonts w:ascii="Calibri" w:eastAsia="Times New Roman" w:hAnsi="Calibri"/>
          <w:b w:val="0"/>
          <w:bCs/>
          <w:color w:val="000000"/>
        </w:rPr>
        <w:t xml:space="preserve">, but on </w:t>
      </w:r>
      <w:r w:rsidRPr="00E265DE">
        <w:rPr>
          <w:rFonts w:ascii="Calibri" w:eastAsia="Times New Roman" w:hAnsi="Calibri"/>
          <w:b w:val="0"/>
          <w:bCs/>
          <w:i/>
          <w:iCs/>
          <w:color w:val="000000"/>
        </w:rPr>
        <w:t>technical process</w:t>
      </w:r>
      <w:r w:rsidRPr="00E265DE">
        <w:rPr>
          <w:rFonts w:ascii="Calibri" w:eastAsia="Times New Roman" w:hAnsi="Calibri"/>
          <w:b w:val="0"/>
          <w:bCs/>
          <w:color w:val="000000"/>
        </w:rPr>
        <w:t xml:space="preserve"> as well through education. One could argue that the World Bank is moving towards a </w:t>
      </w:r>
      <w:r w:rsidRPr="00E265DE">
        <w:rPr>
          <w:rFonts w:ascii="Calibri" w:eastAsia="Times New Roman" w:hAnsi="Calibri"/>
          <w:b w:val="0"/>
          <w:bCs/>
          <w:i/>
          <w:iCs/>
          <w:color w:val="000000"/>
        </w:rPr>
        <w:t>transformation</w:t>
      </w:r>
      <w:r w:rsidRPr="00E265DE">
        <w:rPr>
          <w:rFonts w:ascii="Calibri" w:eastAsia="Times New Roman" w:hAnsi="Calibri"/>
          <w:b w:val="0"/>
          <w:bCs/>
          <w:color w:val="000000"/>
        </w:rPr>
        <w:t>, but the behavioural change is still ongoing, as can be seen in the later time periods. The mainstreaming is happening still rather upstream, leading to more participation and high-level considerations and support, but is getting more towards the middle area of the scale, with policies, plans and budgets being drafted and linked to environmental topics and norms. This too seems to indicate that the mainstreaming in this period has not yet reached a transformation all the way quite yet. Reports and studies on countries in this period do include environmental language and policies.</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Regarding norm translation in the first time period, something rather peculiar seems to have occurred. The UNFCCC and the Rio Declaration both did not bolster very concrete norms regarding the way in which environmental and developmental issues are linked and should be tackled. During the translation of this discourse, then, the World Bank adopts it, but adds quite some economic language to the concepts. It seems to do so to make the environmental norms more salient and workable. Its policies are rather economic as well, based on its own interpretation of these environmental norms. These policies are then fully adopted when translated into implementation. This economic frame seems to catch on rather well outside of the World Bank, however, as can be seen in later treaties.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Kyoto Protocol introduced an initial framework of control, checking state compliance with the rules of the UNFCCC, Rio and primarily the Protocol itself. It also introduced another market element to the tackling of environmental issues. The flexibility mechanisms in the Kyoto Protocol allowed for the creation of an international market in greenhouse gas emission rights. The idea of trading emission rights was based on economic logic. The marginal cost of reducing emissions differs, with cheaper reductions being available in some countries and more expensive ones in others. By creating a way in which countries can invest in relatively cheap emission reductions, whilst contributing to their own reduction ‘score’, an economic incentive is created to invest in green projects in developing countries (World Bank, 1997b; World Bank, 2007; World Bank, 2008). As stated before, the grafting of environmental norms through economic logic and language, as done by the World Bank in the earlier time period, seems to have been rather effective. Of course, the potential success thereof cannot simply be contributed to the World Bank, but any potential relation between the two could be linked to a major actor and norm teacher, such as the World Bank, translating environmental norms this way. Speaking to the treasury departments of countries in order for countries to invest in sustainable development also seems to be the foundation of these flexible mechanisms. Within the World Bank’s own publications, the economic lens through which policies were drafted prior to Kyoto still is being used post-Kyoto. However, there is a significant increase in environmental norms and terminology in publications after 1997. Whereas the main instruments post-Rio were the creation and use of markets, drafting of regulation and the engagement of the public, post-Kyoto the instruments are much more in line with the environmental goals the World Bank has committed itself to. To achieve sound environmental stewardship, reduce or prevent adverse climate effects in World Bank financed projects and to reduce poverty whilst protecting the environment, Environmental Action Plans are utilized on a much larger scale post-Kyoto (World Bank, 1997b). Instead of using general, market-based instruments, the World Bank seems to have shifted to fine tuning its operations more to the specifics of a certain country. The increase in environmental norms does not replace the economic norms that have been used previously. Instead, they should be regarded as being complementary, and having become part of the regular thought process, when engaging in new projects or policies. World Bank policies seem to have drastically changed, as the environmental focus has become more important. This shows in policies, in the allocation of budgets, the increase in environmental assessment plans, the spreading of knowledge on managing environmental risks and the focus on sustainable use of environmental assets. This would imply both </w:t>
      </w:r>
      <w:r w:rsidRPr="00E265DE">
        <w:rPr>
          <w:rFonts w:ascii="Calibri" w:eastAsia="Times New Roman" w:hAnsi="Calibri"/>
          <w:b w:val="0"/>
          <w:bCs/>
          <w:i/>
          <w:iCs/>
          <w:color w:val="000000"/>
        </w:rPr>
        <w:t>downstream</w:t>
      </w:r>
      <w:r w:rsidRPr="00E265DE">
        <w:rPr>
          <w:rFonts w:ascii="Calibri" w:eastAsia="Times New Roman" w:hAnsi="Calibri"/>
          <w:b w:val="0"/>
          <w:bCs/>
          <w:color w:val="000000"/>
        </w:rPr>
        <w:t xml:space="preserve"> outcomes and mainstreaming as </w:t>
      </w:r>
      <w:r w:rsidRPr="00E265DE">
        <w:rPr>
          <w:rFonts w:ascii="Calibri" w:eastAsia="Times New Roman" w:hAnsi="Calibri"/>
          <w:b w:val="0"/>
          <w:bCs/>
          <w:i/>
          <w:iCs/>
          <w:color w:val="000000"/>
        </w:rPr>
        <w:t>transformation</w:t>
      </w:r>
      <w:r w:rsidRPr="00E265DE">
        <w:rPr>
          <w:rFonts w:ascii="Calibri" w:eastAsia="Times New Roman" w:hAnsi="Calibri"/>
          <w:b w:val="0"/>
          <w:bCs/>
          <w:color w:val="000000"/>
        </w:rPr>
        <w:t xml:space="preserve">. The self-proclaimed mainstreaming of environmental norms within the World Bank, then, has seemingly taken place in the era around and after the Kyoto Protocol.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It is hard to assess whether or not the World Bank deviates from the intentions of the Kyoto Protocol with its own interpretation of the environmental norms in question. The international discourse has become increasingly economic, compared to the Rio Declaration and the UNFCCC. The norms in the Protocol are still rather elusive but less so than in prior time periods. The World Bank seems to interpret environmental norms, in this period, according to its green neo-liberalist ideology, which is not all that much of a surprise given that the organisation is at the foundations of the praxis of this school of thought. This is not at odd with the discourse, but is also not a full adoption thereof. The explanation of the norms given by the World Bank is relatively broad and further reaching than the general terms used in the international treaty. The similarity of the language in the different documents is the underlying economic tone. Both the emissions trading logic and the World Bank policy approach environmental issues from a liberal, economic perspective. The policies the World Bank implements are in part, representations of international standards but sometimes go above and beyond due to the further reaching interpretation the World Bank gives to environmental norms and how they should be implemented. On the ground, this seems to have been fully adopted in the translation to implementation once again. The additions to the Kyoto Protocol ratified through the Marrakesh Accords and the Doha Amendment have not led to significant alterations in the tone of World Bank policy. This is not all that unexpected, seeing as both have been drafted in the same spirit as the Kyoto Protocol and are closely linked to that treaty.</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During 2015, most countries had been busy drafting Nationally Determined Contributions, in anticipation of the 2016 Paris Agreement. The World Bank used these to create a Climate Change Action Plan. This action plan is, in contrast to earlier policy, much more demand-side. By tapping into the needs and wishes of member states, the World Bank aims at delivering much more effective support on environmentally friendly and sustainable development (World Bank, 2016b). The Paris Agreement itself makes use of a mix of economic and environmental language, with hard benchmarks on environmental norms and mention of the need to transform economic processes to become sustainable and green. Terms related to economy and economic are mentioned less than terms relating to environment, sustainability and emissions.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Whilst economic tools are still predominant in World Bank policy texts, the tone seems to have become more environmentalist in the period prior to and following the Paris Agreement. More mention is made of soft loans, of integral environmental plans, of educating and sharing knowledge to tackle environmental issues, of climate resilience and helping those economies most affected by global warming, and so on. The mainstreaming, although already transformative, has progressed further, with environmental topics becoming even more important. The outcomes of the mainstreaming have reached the downstream, it seems, changing the behaviour of the organisation, of other actors, key patterns and processes of production, influencing the media and public interest groups and resulting in an increase in the production and sustainable use of environmental assets. Experiments with more circular forms of economy take place, moving away from the older economic paradigms of consumption and profit, towards a more sustainable model. Following will be an overview of a selection of cases, with documentation dated after the signing of the Paris Agreement, which will illustrate this point further. The documents used can be found in Annex I.</w:t>
      </w:r>
    </w:p>
    <w:p w:rsidR="00E265DE" w:rsidRPr="00E265DE" w:rsidRDefault="00E265DE" w:rsidP="0040375D">
      <w:pPr>
        <w:spacing w:line="360" w:lineRule="auto"/>
        <w:rPr>
          <w:rFonts w:ascii="Times New Roman" w:eastAsia="Times New Roman" w:hAnsi="Times New Roman"/>
          <w:b w:val="0"/>
          <w:bCs/>
          <w:sz w:val="24"/>
          <w:szCs w:val="24"/>
        </w:rPr>
      </w:pP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A first example of policy in which both economic and environmental logics mix, in World Bank policy,</w:t>
      </w:r>
      <w:r w:rsidR="0040375D">
        <w:rPr>
          <w:rFonts w:asciiTheme="minorHAnsi" w:hAnsiTheme="minorHAnsi"/>
          <w:b w:val="0"/>
        </w:rPr>
        <w:t xml:space="preserve"> </w:t>
      </w:r>
      <w:r w:rsidRPr="0040375D">
        <w:rPr>
          <w:rFonts w:asciiTheme="minorHAnsi" w:hAnsiTheme="minorHAnsi"/>
          <w:b w:val="0"/>
        </w:rPr>
        <w:t>is regarding the impact climate change has on certain regions. In 2016, the World Bank realised, amongst others, several projects in Bangladesh. The Sundarbans are a region of Bangladesh being</w:t>
      </w:r>
      <w:r w:rsidR="0040375D">
        <w:rPr>
          <w:rFonts w:asciiTheme="minorHAnsi" w:hAnsiTheme="minorHAnsi"/>
          <w:b w:val="0"/>
        </w:rPr>
        <w:t xml:space="preserve"> </w:t>
      </w:r>
      <w:r w:rsidRPr="0040375D">
        <w:rPr>
          <w:rFonts w:asciiTheme="minorHAnsi" w:hAnsiTheme="minorHAnsi"/>
          <w:b w:val="0"/>
        </w:rPr>
        <w:t>heavily affected by the effects of climate change. Several reports have been written on this region,</w:t>
      </w:r>
      <w:r w:rsidR="0040375D">
        <w:rPr>
          <w:rFonts w:asciiTheme="minorHAnsi" w:hAnsiTheme="minorHAnsi"/>
          <w:b w:val="0"/>
        </w:rPr>
        <w:t xml:space="preserve"> </w:t>
      </w:r>
      <w:r w:rsidRPr="0040375D">
        <w:rPr>
          <w:rFonts w:asciiTheme="minorHAnsi" w:hAnsiTheme="minorHAnsi"/>
          <w:b w:val="0"/>
        </w:rPr>
        <w:t>suggesting migration, reduction of dangers from natural hazards and alterations to the economy,</w:t>
      </w:r>
      <w:r w:rsidR="0040375D">
        <w:rPr>
          <w:rFonts w:asciiTheme="minorHAnsi" w:hAnsiTheme="minorHAnsi"/>
          <w:b w:val="0"/>
        </w:rPr>
        <w:t xml:space="preserve"> </w:t>
      </w:r>
      <w:r w:rsidRPr="0040375D">
        <w:rPr>
          <w:rFonts w:asciiTheme="minorHAnsi" w:hAnsiTheme="minorHAnsi"/>
          <w:b w:val="0"/>
        </w:rPr>
        <w:t>which is for a large part dependent on fishery, to become more climate resilient. Fishery in the</w:t>
      </w:r>
      <w:r w:rsidR="0040375D">
        <w:rPr>
          <w:rFonts w:asciiTheme="minorHAnsi" w:hAnsiTheme="minorHAnsi"/>
          <w:b w:val="0"/>
        </w:rPr>
        <w:t xml:space="preserve"> </w:t>
      </w:r>
      <w:r w:rsidRPr="0040375D">
        <w:rPr>
          <w:rFonts w:asciiTheme="minorHAnsi" w:hAnsiTheme="minorHAnsi"/>
          <w:b w:val="0"/>
        </w:rPr>
        <w:t>Sundarbans will become increasingly difficult if the salinization of water continues due to rising sea</w:t>
      </w:r>
      <w:r w:rsidR="0040375D">
        <w:rPr>
          <w:rFonts w:asciiTheme="minorHAnsi" w:hAnsiTheme="minorHAnsi"/>
          <w:b w:val="0"/>
        </w:rPr>
        <w:t xml:space="preserve"> </w:t>
      </w:r>
      <w:r w:rsidRPr="0040375D">
        <w:rPr>
          <w:rFonts w:asciiTheme="minorHAnsi" w:hAnsiTheme="minorHAnsi"/>
          <w:b w:val="0"/>
        </w:rPr>
        <w:t>levels, affecting many poor households. Also, the same reports talk about measures to conserve the</w:t>
      </w:r>
      <w:r w:rsidR="0040375D">
        <w:rPr>
          <w:rFonts w:asciiTheme="minorHAnsi" w:hAnsiTheme="minorHAnsi"/>
          <w:b w:val="0"/>
        </w:rPr>
        <w:t xml:space="preserve"> </w:t>
      </w:r>
      <w:r w:rsidRPr="0040375D">
        <w:rPr>
          <w:rFonts w:asciiTheme="minorHAnsi" w:hAnsiTheme="minorHAnsi"/>
          <w:b w:val="0"/>
        </w:rPr>
        <w:t>biodiversity and the mangrove forests the region is famous for. Apart from tackling economic and</w:t>
      </w:r>
      <w:r w:rsidR="0040375D">
        <w:rPr>
          <w:rFonts w:asciiTheme="minorHAnsi" w:hAnsiTheme="minorHAnsi"/>
          <w:b w:val="0"/>
        </w:rPr>
        <w:t xml:space="preserve"> </w:t>
      </w:r>
      <w:r w:rsidRPr="0040375D">
        <w:rPr>
          <w:rFonts w:asciiTheme="minorHAnsi" w:hAnsiTheme="minorHAnsi"/>
          <w:b w:val="0"/>
        </w:rPr>
        <w:t>environmental issues, the World Bank advises strengthening of government agencies, to enhance</w:t>
      </w:r>
      <w:r w:rsidR="0040375D">
        <w:rPr>
          <w:rFonts w:asciiTheme="minorHAnsi" w:hAnsiTheme="minorHAnsi"/>
          <w:b w:val="0"/>
        </w:rPr>
        <w:t xml:space="preserve"> </w:t>
      </w:r>
      <w:r w:rsidRPr="0040375D">
        <w:rPr>
          <w:rFonts w:asciiTheme="minorHAnsi" w:hAnsiTheme="minorHAnsi"/>
          <w:b w:val="0"/>
        </w:rPr>
        <w:t>implementation of the policy suggestions. Because the local economy is so heavily dependent on the</w:t>
      </w:r>
      <w:r w:rsidR="0040375D">
        <w:rPr>
          <w:rFonts w:asciiTheme="minorHAnsi" w:hAnsiTheme="minorHAnsi"/>
          <w:b w:val="0"/>
        </w:rPr>
        <w:t xml:space="preserve"> </w:t>
      </w:r>
      <w:r w:rsidRPr="0040375D">
        <w:rPr>
          <w:rFonts w:asciiTheme="minorHAnsi" w:hAnsiTheme="minorHAnsi"/>
          <w:b w:val="0"/>
        </w:rPr>
        <w:t>aquatic life in the area, it is impossible to tackle one problem without tackling the other as well. Here, the World Bank has reached the downstream outcome of trying to improve sustained income, safety nets and aversion of environment related risks.</w:t>
      </w:r>
    </w:p>
    <w:p w:rsidR="00E265DE" w:rsidRPr="0040375D" w:rsidRDefault="00E265DE" w:rsidP="0040375D">
      <w:pPr>
        <w:spacing w:line="360" w:lineRule="auto"/>
        <w:rPr>
          <w:rFonts w:asciiTheme="minorHAnsi" w:hAnsiTheme="minorHAnsi"/>
          <w:b w:val="0"/>
          <w:sz w:val="24"/>
          <w:szCs w:val="24"/>
        </w:rPr>
      </w:pP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Industrialisation could be taken as a second example where economics and environment are intertwined in the policy texts of the World Bank. Air pollution goes hand in hand with many forms of industrialisation and infrastructure. Of course, there are sustainable alternatives and methods for developing a country’s mobility, trade networks and industries, but these are not always the most readily available or are not the most obvious options for many policy makers. Tehran, the capital of Iran, is a rather typical example of this. Due to many of the sanctions imposed on Iran, not every technology is as available there as it is elsewhere. The nation’s capital is, however, steadily industrialising and the population is using ever more motorised means of transportation. A well-functioning infrastructure is beneficial for the economy of a country, but could lead to smog and an increase in the emission of greenhouse gases. The resulting increase in air pollution can be tackled, according to the World Bank, by looking for sustainable and affordable alternatives, such as replacing heavy duty vehicles and introducing low emission zones on the short-term, with a transition to electric vehicles and an expansion of the public means of transport on a medium to long term. This report, again, indicates a focus on building up the economy, developing Iran further, but at the same time looking for a sustainable way of doing so. In South America, infrastructural increases often lead to damaging of tropical rainforest. The World Bank helps countries in these regions with knowledge and expertise on how to build roads without destroying the environment, thus boosting the economy whilst upholding nature. Again, this knowledge building, risk aversion and the improvement of sustained income indicate that the outcomes of the World Bank’s mainstreaming are downstream and that the mainstreaming has led to a transformation within the organisation.</w:t>
      </w:r>
    </w:p>
    <w:p w:rsidR="00E265DE" w:rsidRPr="0040375D" w:rsidRDefault="00E265DE" w:rsidP="0040375D">
      <w:pPr>
        <w:spacing w:line="360" w:lineRule="auto"/>
        <w:rPr>
          <w:rFonts w:asciiTheme="minorHAnsi" w:hAnsiTheme="minorHAnsi"/>
          <w:b w:val="0"/>
          <w:sz w:val="24"/>
          <w:szCs w:val="24"/>
        </w:rPr>
      </w:pP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Another example where economic and environmental issues mix is in the agricultural sector.</w:t>
      </w:r>
      <w:r w:rsidR="0040375D">
        <w:rPr>
          <w:rFonts w:asciiTheme="minorHAnsi" w:hAnsiTheme="minorHAnsi"/>
          <w:b w:val="0"/>
        </w:rPr>
        <w:t xml:space="preserve"> </w:t>
      </w:r>
      <w:r w:rsidRPr="0040375D">
        <w:rPr>
          <w:rFonts w:asciiTheme="minorHAnsi" w:hAnsiTheme="minorHAnsi"/>
          <w:b w:val="0"/>
        </w:rPr>
        <w:t>Field-burning is a long-standing practice in many regions of the world. Although not beneficial for soil</w:t>
      </w:r>
      <w:r w:rsidR="0040375D">
        <w:rPr>
          <w:rFonts w:asciiTheme="minorHAnsi" w:hAnsiTheme="minorHAnsi"/>
          <w:b w:val="0"/>
        </w:rPr>
        <w:t xml:space="preserve"> </w:t>
      </w:r>
      <w:r w:rsidRPr="0040375D">
        <w:rPr>
          <w:rFonts w:asciiTheme="minorHAnsi" w:hAnsiTheme="minorHAnsi"/>
          <w:b w:val="0"/>
        </w:rPr>
        <w:t>health, air quality and the climate overall, farmers tend to use it because it is convenient. World Bank</w:t>
      </w:r>
      <w:r w:rsidR="0040375D">
        <w:rPr>
          <w:rFonts w:asciiTheme="minorHAnsi" w:hAnsiTheme="minorHAnsi"/>
          <w:b w:val="0"/>
        </w:rPr>
        <w:t xml:space="preserve"> </w:t>
      </w:r>
      <w:r w:rsidRPr="0040375D">
        <w:rPr>
          <w:rFonts w:asciiTheme="minorHAnsi" w:hAnsiTheme="minorHAnsi"/>
          <w:b w:val="0"/>
        </w:rPr>
        <w:t>reports on field-burning indicate that no-till farming and other alternative methods can be more</w:t>
      </w:r>
      <w:r w:rsidR="0040375D">
        <w:rPr>
          <w:rFonts w:asciiTheme="minorHAnsi" w:hAnsiTheme="minorHAnsi"/>
          <w:b w:val="0"/>
        </w:rPr>
        <w:t xml:space="preserve"> </w:t>
      </w:r>
      <w:r w:rsidRPr="0040375D">
        <w:rPr>
          <w:rFonts w:asciiTheme="minorHAnsi" w:hAnsiTheme="minorHAnsi"/>
          <w:b w:val="0"/>
        </w:rPr>
        <w:t>sustainable and more efficient, given a right mix of public support and regulation. The reports on</w:t>
      </w:r>
      <w:r w:rsidR="0040375D">
        <w:rPr>
          <w:rFonts w:asciiTheme="minorHAnsi" w:hAnsiTheme="minorHAnsi"/>
          <w:b w:val="0"/>
        </w:rPr>
        <w:t xml:space="preserve"> </w:t>
      </w:r>
      <w:r w:rsidRPr="0040375D">
        <w:rPr>
          <w:rFonts w:asciiTheme="minorHAnsi" w:hAnsiTheme="minorHAnsi"/>
          <w:b w:val="0"/>
        </w:rPr>
        <w:t>field-burning used in this research were less country-specific, thus have been aimed more at</w:t>
      </w:r>
      <w:r w:rsidR="0040375D">
        <w:rPr>
          <w:rFonts w:asciiTheme="minorHAnsi" w:hAnsiTheme="minorHAnsi"/>
          <w:b w:val="0"/>
        </w:rPr>
        <w:t xml:space="preserve"> </w:t>
      </w:r>
      <w:r w:rsidRPr="0040375D">
        <w:rPr>
          <w:rFonts w:asciiTheme="minorHAnsi" w:hAnsiTheme="minorHAnsi"/>
          <w:b w:val="0"/>
        </w:rPr>
        <w:t>generating and spreading knowledge about certain methods and the effects thereof.  Also in</w:t>
      </w:r>
      <w:r w:rsidR="0040375D">
        <w:rPr>
          <w:rFonts w:asciiTheme="minorHAnsi" w:hAnsiTheme="minorHAnsi"/>
          <w:b w:val="0"/>
        </w:rPr>
        <w:t xml:space="preserve"> </w:t>
      </w:r>
      <w:r w:rsidRPr="0040375D">
        <w:rPr>
          <w:rFonts w:asciiTheme="minorHAnsi" w:hAnsiTheme="minorHAnsi"/>
          <w:b w:val="0"/>
        </w:rPr>
        <w:t>aquaculture a lot of sustainable measure can still be implemented. As of yet, the aquacultural sector</w:t>
      </w:r>
      <w:r w:rsidR="0040375D">
        <w:rPr>
          <w:rFonts w:asciiTheme="minorHAnsi" w:hAnsiTheme="minorHAnsi"/>
          <w:b w:val="0"/>
        </w:rPr>
        <w:t xml:space="preserve"> </w:t>
      </w:r>
      <w:r w:rsidRPr="0040375D">
        <w:rPr>
          <w:rFonts w:asciiTheme="minorHAnsi" w:hAnsiTheme="minorHAnsi"/>
          <w:b w:val="0"/>
        </w:rPr>
        <w:t>pollutes a large amount of soluble water, in the South East Asian region. By improving on the location</w:t>
      </w:r>
      <w:r w:rsidR="0040375D">
        <w:rPr>
          <w:rFonts w:asciiTheme="minorHAnsi" w:hAnsiTheme="minorHAnsi"/>
          <w:b w:val="0"/>
        </w:rPr>
        <w:t xml:space="preserve"> </w:t>
      </w:r>
      <w:r w:rsidRPr="0040375D">
        <w:rPr>
          <w:rFonts w:asciiTheme="minorHAnsi" w:hAnsiTheme="minorHAnsi"/>
          <w:b w:val="0"/>
        </w:rPr>
        <w:t>of the farms, on the farm management and on the treatment of the effluent, the overall</w:t>
      </w:r>
      <w:r w:rsidR="0040375D">
        <w:rPr>
          <w:rFonts w:asciiTheme="minorHAnsi" w:hAnsiTheme="minorHAnsi"/>
          <w:b w:val="0"/>
        </w:rPr>
        <w:t xml:space="preserve"> </w:t>
      </w:r>
      <w:r w:rsidRPr="0040375D">
        <w:rPr>
          <w:rFonts w:asciiTheme="minorHAnsi" w:hAnsiTheme="minorHAnsi"/>
          <w:b w:val="0"/>
        </w:rPr>
        <w:t>environmental impact of aquaculture could be lessened. This is beneficial for the farmers as well, in</w:t>
      </w:r>
      <w:r w:rsidR="0040375D">
        <w:rPr>
          <w:rFonts w:asciiTheme="minorHAnsi" w:hAnsiTheme="minorHAnsi"/>
          <w:b w:val="0"/>
        </w:rPr>
        <w:t xml:space="preserve"> </w:t>
      </w:r>
      <w:r w:rsidRPr="0040375D">
        <w:rPr>
          <w:rFonts w:asciiTheme="minorHAnsi" w:hAnsiTheme="minorHAnsi"/>
          <w:b w:val="0"/>
        </w:rPr>
        <w:t xml:space="preserve">the long run, as they will not deplete their livelihoods if they become more sustainable. </w:t>
      </w: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 xml:space="preserve">As a final example some cases regarding sovereign green bonds and carbon taxation will be briefly reviewed. Very recently, Fiji has released a sovereign green bond, being the first emerging economy to do so. Sovereign green bonds allow for establishing a base for new investors, as well as solidifying a nation’s commitment to the Paris Agreement. Green bonds require some additional education for potential takers however, as there are certain costs with green bonds that are not there when buying regular bonds. The World Bank has supported Fiji in this, and has made a report afterwards to help other emerging economies with the issuing of green bonds. The money raised through such bonds is then invested into sustainable projects in the country. Not everything can be achieved with subsidies, loans and technical support however. Sometimes, a harsher incentive is required to mobilize a sector. Carbon taxation is such an example. The World Bank assists many countries in carbon related questions, due to its experience with both carbon trade and carbon taxation. This could, for example, take away developing countries’ fear of multinationals going forum shopping if the taxes in a certain country are too high. All in all, the link between the economy and the environment with these last two tools should be rather obvious, as both have a direct effect on the economy of a country. These last two examples require little further repetition of the trends that have been mentioned above. All in all, the mainstreaming of the World Bank is rather successful and is very much downstream and transformative. </w:t>
      </w: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 xml:space="preserve">As the Paris Agreement adheres much more to hard benchmarks and a green-liberal language, it seems that there has been relatively little to no norm translation in this time period. Instead, the World Bank issued a statement on the day before the signing of the Paris Agreement that is would comply with it. The discourse is not at odds with how the World Bank has interpreted the Agreement. The policies are in line with the Agreement and the implementation is, in turn, in line with the policy. </w:t>
      </w: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 xml:space="preserve">Clearly, the World Bank has continued its norm mainstreaming and norm tailoring in the period following the Paris Agreement. </w:t>
      </w:r>
    </w:p>
    <w:p w:rsidR="00E265DE" w:rsidRPr="0040375D" w:rsidRDefault="00E265DE" w:rsidP="0040375D">
      <w:pPr>
        <w:spacing w:line="360" w:lineRule="auto"/>
        <w:rPr>
          <w:rFonts w:asciiTheme="minorHAnsi" w:hAnsiTheme="minorHAnsi"/>
          <w:b w:val="0"/>
          <w:sz w:val="24"/>
          <w:szCs w:val="24"/>
        </w:rPr>
      </w:pPr>
    </w:p>
    <w:p w:rsidR="00E265DE" w:rsidRPr="0040375D" w:rsidRDefault="00E265DE" w:rsidP="0040375D">
      <w:pPr>
        <w:spacing w:line="360" w:lineRule="auto"/>
        <w:rPr>
          <w:rFonts w:asciiTheme="minorHAnsi" w:hAnsiTheme="minorHAnsi"/>
          <w:b w:val="0"/>
          <w:sz w:val="24"/>
          <w:szCs w:val="24"/>
        </w:rPr>
      </w:pPr>
      <w:r w:rsidRPr="0040375D">
        <w:rPr>
          <w:rFonts w:asciiTheme="minorHAnsi" w:hAnsiTheme="minorHAnsi"/>
          <w:b w:val="0"/>
        </w:rPr>
        <w:t xml:space="preserve">By grafting environmental norms through economic language, the World Bank has, since it started to implement environmental norms back in the 1970s, never really had to alter its policies in a major way as international treaties started to use similar language. It has, of course, updated its benchmarks and assessment criteria, but has never had to do a 180 degree turn, policywise. Instead, the economic language frame that has been utilised has given the environmental norms more salience, making it easier for other actors to pick up on them. The outlook on economics of the World Bank has of course altered with time, but has remained neo-liberal.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Sustainability is increasingly becoming seen as potentially being profitable, and it is the inclusion of environmental norms into policies of organisations such as the World Bank that contributes to the salience of those norms. Although economic logic has prevailed within the World Bank, environmental norms have increased in importance over the years. After the signing of the Paris Agreement, there is no radical change in the policy of the World Bank, but a trend that is visible is that policy is becoming more focused on the environment, on the one hand, and more and more tailor made on the other hand, to fit the specific needs and demands of a specific country. By tailoring policy more to the demand, it is easier for a state to support environmental norms that are being supported by the World Bank through its projects and financing.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 the early 1970s, the World Bank started to comply more and more with environmental norms. After internalising these, the organisation has taken it upon itself to transfer these norms to its member states, taking on the role of a norm leader or norm entrepreneur. By translating environmental norms in economic terminology and thought, the World Bank has aimed at the creation of sufficient support for the environmental logic. The influence of the World Bank’s interpretation is potentially visible in the general tone of many of the international treaties signed on environment post-Rio, as these all seem to tap into the field of green neo-liberalism as time progresses. In this period, the World Bank seems to push for norms, making the policies it utilizes more supply-side, aimed at getting states to comply with the norms. As regards mainstreaming, the World Bank seems to shift a bit from </w:t>
      </w:r>
      <w:r w:rsidRPr="00E265DE">
        <w:rPr>
          <w:rFonts w:ascii="Calibri" w:eastAsia="Times New Roman" w:hAnsi="Calibri"/>
          <w:b w:val="0"/>
          <w:bCs/>
          <w:i/>
          <w:iCs/>
          <w:color w:val="000000"/>
        </w:rPr>
        <w:t xml:space="preserve">agenda-setting outcomes </w:t>
      </w:r>
      <w:r w:rsidRPr="00E265DE">
        <w:rPr>
          <w:rFonts w:ascii="Calibri" w:eastAsia="Times New Roman" w:hAnsi="Calibri"/>
          <w:b w:val="0"/>
          <w:bCs/>
          <w:color w:val="000000"/>
        </w:rPr>
        <w:t xml:space="preserve">and outcomes that are in between upstream and downstream to a full-fledged </w:t>
      </w:r>
      <w:r w:rsidRPr="00E265DE">
        <w:rPr>
          <w:rFonts w:ascii="Calibri" w:eastAsia="Times New Roman" w:hAnsi="Calibri"/>
          <w:b w:val="0"/>
          <w:bCs/>
          <w:i/>
          <w:iCs/>
          <w:color w:val="000000"/>
        </w:rPr>
        <w:t>transformation</w:t>
      </w:r>
      <w:r w:rsidRPr="00E265DE">
        <w:rPr>
          <w:rFonts w:ascii="Calibri" w:eastAsia="Times New Roman" w:hAnsi="Calibri"/>
          <w:b w:val="0"/>
          <w:bCs/>
          <w:color w:val="000000"/>
        </w:rPr>
        <w:t xml:space="preserve">, with </w:t>
      </w:r>
      <w:r w:rsidRPr="00E265DE">
        <w:rPr>
          <w:rFonts w:ascii="Calibri" w:eastAsia="Times New Roman" w:hAnsi="Calibri"/>
          <w:b w:val="0"/>
          <w:bCs/>
          <w:i/>
          <w:iCs/>
          <w:color w:val="000000"/>
        </w:rPr>
        <w:t>downstream outcomes</w:t>
      </w:r>
      <w:r w:rsidRPr="00E265DE">
        <w:rPr>
          <w:rFonts w:ascii="Calibri" w:eastAsia="Times New Roman" w:hAnsi="Calibri"/>
          <w:b w:val="0"/>
          <w:bCs/>
          <w:color w:val="000000"/>
        </w:rPr>
        <w:t xml:space="preserve"> becoming commonplace.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declarations contain more and more economic language as time progresses and mostly speak in terms of economic cost, the link between poverty and environment, reduction of poverty and the special position of developing countries in the global strive towards less environmental pollution. Whereas Rio still makes use of very illusive principles, after Kyoto, the articles in the treaties become a bit more concrete. Kyoto still uses rather prescriptive, illusive terms but is much more explicit on the steps that should be taken to reduce adverse effects on climate and the environment. The Paris Agreement, then, is even more concrete, making use of concrete benchmarks in the main body of the text. The World Bank uses norm translation more in the earlier periods, where the environmental norms are still rather elusive. The norm translation occurs mostly in the translation from international norm to organisational discourse, and then again from discourse to policy. As the treaties become more concrete, there is less need for translation as the norms in the treaties fit surprisingly well with the green neo-liberal vision of the World Bank.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1F490E">
      <w:pPr>
        <w:numPr>
          <w:ilvl w:val="0"/>
          <w:numId w:val="15"/>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Conclusion</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importance of environmental norms in the World Bank’s policy seems to have increased over time. Especially prior to and following the Rio Declaration, environmental norms have, slowly but surely, taken on a more prominent role within the World Bank’s considerations, up until the point where they have become mainstream around the time of the Kyoto Protocol. This has increased even further leading up to the Paris Agreement, with economic reasoning that has been linked to environmental norms by the World Bank from the start taking on a less prominent role in World Bank policy and operations. This has resulted in that today, no loans are granted or projects are realised, without thoroughly researching and limiting the environmental impact thereof.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World Bank does still use an economic logic, which is not all that strange considering the organisation adheres to economic liberal thought, but it is severely mixed with environmental logic. The green neo-liberalism frame, that the World Bank has developed, seems to have become a frame that has caught on. It might be that such an ideology is inherent to the organisation, and will never really lose its liberal economic aspects. After all, the World Bank is first and foremost a bank. </w:t>
      </w: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Overall, there has been an increase in the importance of environmental norms in World Bank policy over the years, which would allow for acceptance of the hypothesis that there has been a positive change in environmental mainstreaming by the World Bank over time. After the signing of the Paris Agreement, this trend has continued. This is a gradual trend, and therefore the Paris Agreement should not be viewed as some radical turning point within the Bank’s policy. It is possible, however, that since Paris states have become more susceptible to environmental norms. Another visible trend is that the World Bank is shifting more towards demand-side based policies since 2015.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Regarding norm mainstreaming, the research shows that the World Bank has been actively doing so since around the Kyoto Protocol. Today, environmental logic is completely integrated into World Bank policy, as some of the examples in the analysis have shown. Sometimes, this even goes so far that reports seem to become more environmentally focused than economically focused. It could be said that the World Bank has been translating environmental norms as well. In the classic sense, the World Bank has never altered the, rather elusive, international treaties so that it could leave out certain parts, but instead has been adding on to these norms by fitting environmental norms into an economic logic ever since the 1970s. This logic has caught on, as economics speak to states. The impact of this logic by the World Bank on the language of later treaties should not be underestimated, as it seems that by reframing issues in economic terms, countries are more prone to catch onto environmental norms. The World Bank’s norm translation could have contributed to the salience of environmental norms in that way. Further research into this could enlighten the process of norm diffusion from the World Bank to its member states more. </w:t>
      </w:r>
    </w:p>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1F490E">
      <w:pPr>
        <w:numPr>
          <w:ilvl w:val="0"/>
          <w:numId w:val="16"/>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Literature</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A</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Acharya, A. (2004). How ideas spread: Whose norms matter? Norm localization and institutional change in Asian regionalism. </w:t>
      </w:r>
      <w:r w:rsidRPr="00E265DE">
        <w:rPr>
          <w:rFonts w:ascii="Calibri" w:eastAsia="Times New Roman" w:hAnsi="Calibri"/>
          <w:b w:val="0"/>
          <w:bCs/>
          <w:i/>
          <w:iCs/>
          <w:color w:val="000000"/>
        </w:rPr>
        <w:t>International organization, 58</w:t>
      </w:r>
      <w:r w:rsidRPr="00E265DE">
        <w:rPr>
          <w:rFonts w:ascii="Calibri" w:eastAsia="Times New Roman" w:hAnsi="Calibri"/>
          <w:b w:val="0"/>
          <w:bCs/>
          <w:color w:val="000000"/>
        </w:rPr>
        <w:t>(2), pp. 239-275.</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Acharya, A. (2011). </w:t>
      </w:r>
      <w:r w:rsidRPr="00E265DE">
        <w:rPr>
          <w:rFonts w:ascii="Calibri" w:eastAsia="Times New Roman" w:hAnsi="Calibri"/>
          <w:b w:val="0"/>
          <w:bCs/>
          <w:i/>
          <w:iCs/>
          <w:color w:val="000000"/>
        </w:rPr>
        <w:t>Whose ideas matter? Agency and power in Asian regionalism</w:t>
      </w:r>
      <w:r w:rsidRPr="00E265DE">
        <w:rPr>
          <w:rFonts w:ascii="Calibri" w:eastAsia="Times New Roman" w:hAnsi="Calibri"/>
          <w:b w:val="0"/>
          <w:bCs/>
          <w:color w:val="000000"/>
        </w:rPr>
        <w:t>. Cornell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African Development Bank (2004). </w:t>
      </w:r>
      <w:r w:rsidRPr="00E265DE">
        <w:rPr>
          <w:rFonts w:ascii="Calibri" w:eastAsia="Times New Roman" w:hAnsi="Calibri"/>
          <w:b w:val="0"/>
          <w:bCs/>
          <w:i/>
          <w:iCs/>
          <w:color w:val="000000"/>
        </w:rPr>
        <w:t>African Development Bank Group’s Policy on the Environment</w:t>
      </w:r>
      <w:r w:rsidRPr="00E265DE">
        <w:rPr>
          <w:rFonts w:ascii="Calibri" w:eastAsia="Times New Roman" w:hAnsi="Calibri"/>
          <w:b w:val="0"/>
          <w:bCs/>
          <w:color w:val="000000"/>
        </w:rPr>
        <w:t>. Retrieved April 21, 2017, from https://www.afdb.org/fileadmin/uploads/afdb/Documents/Policy-Documents/10000027-EN-BANK-GROUP-POLICY-ON-THE-ENVIRONMENT.PDF.</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B</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Beach, D. &amp; Pedersen, R.B. (2013). </w:t>
      </w:r>
      <w:r w:rsidRPr="00E265DE">
        <w:rPr>
          <w:rFonts w:ascii="Calibri" w:eastAsia="Times New Roman" w:hAnsi="Calibri"/>
          <w:b w:val="0"/>
          <w:bCs/>
          <w:i/>
          <w:iCs/>
          <w:color w:val="000000"/>
        </w:rPr>
        <w:t>Process-Tracing Methods</w:t>
      </w:r>
      <w:r w:rsidRPr="00E265DE">
        <w:rPr>
          <w:rFonts w:ascii="Calibri" w:eastAsia="Times New Roman" w:hAnsi="Calibri"/>
          <w:b w:val="0"/>
          <w:bCs/>
          <w:color w:val="000000"/>
        </w:rPr>
        <w:t>. University of Michigan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Bierstedt, R. (1963). </w:t>
      </w:r>
      <w:r w:rsidRPr="00E265DE">
        <w:rPr>
          <w:rFonts w:ascii="Calibri" w:eastAsia="Times New Roman" w:hAnsi="Calibri"/>
          <w:b w:val="0"/>
          <w:bCs/>
          <w:i/>
          <w:iCs/>
          <w:color w:val="000000"/>
        </w:rPr>
        <w:t>The social order</w:t>
      </w:r>
      <w:r w:rsidRPr="00E265DE">
        <w:rPr>
          <w:rFonts w:ascii="Calibri" w:eastAsia="Times New Roman" w:hAnsi="Calibri"/>
          <w:b w:val="0"/>
          <w:bCs/>
          <w:color w:val="000000"/>
        </w:rPr>
        <w:t>. New York: McGraw-Hill.</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Bennett, A. (2008). Process Tracing: a Bayesian Perspective. In J. Box-Steffensmeier, F. Henry, E. Brady and D. Collier (Eds.), </w:t>
      </w:r>
      <w:r w:rsidRPr="00E265DE">
        <w:rPr>
          <w:rFonts w:ascii="Calibri" w:eastAsia="Times New Roman" w:hAnsi="Calibri"/>
          <w:b w:val="0"/>
          <w:bCs/>
          <w:i/>
          <w:iCs/>
          <w:color w:val="000000"/>
        </w:rPr>
        <w:t xml:space="preserve">The Oxford Handbook of Political Methodology </w:t>
      </w:r>
      <w:r w:rsidRPr="00E265DE">
        <w:rPr>
          <w:rFonts w:ascii="Calibri" w:eastAsia="Times New Roman" w:hAnsi="Calibri"/>
          <w:b w:val="0"/>
          <w:bCs/>
          <w:color w:val="000000"/>
        </w:rPr>
        <w:t xml:space="preserve">(pp. 702-721). Oxford: Oxford University Press. </w:t>
      </w: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 </w:t>
      </w: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Bennett, A., &amp; Checkel, J. T. (Eds.). (2014). </w:t>
      </w:r>
      <w:r w:rsidRPr="00E265DE">
        <w:rPr>
          <w:rFonts w:ascii="Calibri" w:eastAsia="Times New Roman" w:hAnsi="Calibri"/>
          <w:b w:val="0"/>
          <w:bCs/>
          <w:i/>
          <w:iCs/>
          <w:color w:val="000000"/>
        </w:rPr>
        <w:t>Process tracing</w:t>
      </w:r>
      <w:r w:rsidRPr="00E265DE">
        <w:rPr>
          <w:rFonts w:ascii="Calibri" w:eastAsia="Times New Roman" w:hAnsi="Calibri"/>
          <w:b w:val="0"/>
          <w:bCs/>
          <w:color w:val="000000"/>
        </w:rPr>
        <w:t>. Cambridge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Benschop, Y. &amp; Verloo, M. (2006). ‘Sisyphus’ sisters: Can gender mainstreaming escape the genderedness of organisations? </w:t>
      </w:r>
      <w:r w:rsidRPr="00E265DE">
        <w:rPr>
          <w:rFonts w:ascii="Calibri" w:eastAsia="Times New Roman" w:hAnsi="Calibri"/>
          <w:b w:val="0"/>
          <w:bCs/>
          <w:i/>
          <w:iCs/>
          <w:color w:val="000000"/>
        </w:rPr>
        <w:t>Journal of Gender Studies, 15</w:t>
      </w:r>
      <w:r w:rsidRPr="00E265DE">
        <w:rPr>
          <w:rFonts w:ascii="Calibri" w:eastAsia="Times New Roman" w:hAnsi="Calibri"/>
          <w:b w:val="0"/>
          <w:bCs/>
          <w:color w:val="000000"/>
        </w:rPr>
        <w:t>(1), pp. 19-33.</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Black, J. (1997). New institutionalism and naturalism in socio-legal analysis: Institutionalist approaches to regulatory decision making. </w:t>
      </w:r>
      <w:r w:rsidRPr="00E265DE">
        <w:rPr>
          <w:rFonts w:ascii="Calibri" w:eastAsia="Times New Roman" w:hAnsi="Calibri"/>
          <w:b w:val="0"/>
          <w:bCs/>
          <w:i/>
          <w:iCs/>
          <w:color w:val="000000"/>
        </w:rPr>
        <w:t>Law &amp; Policy, 19</w:t>
      </w:r>
      <w:r w:rsidRPr="00E265DE">
        <w:rPr>
          <w:rFonts w:ascii="Calibri" w:eastAsia="Times New Roman" w:hAnsi="Calibri"/>
          <w:b w:val="0"/>
          <w:bCs/>
          <w:color w:val="000000"/>
        </w:rPr>
        <w:t>(1), pp. 51-93.</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Booth, C. &amp; Bennett, C. (2002). Gender mainstreaming in the European Union. </w:t>
      </w:r>
      <w:r w:rsidRPr="00E265DE">
        <w:rPr>
          <w:rFonts w:ascii="Calibri" w:eastAsia="Times New Roman" w:hAnsi="Calibri"/>
          <w:b w:val="0"/>
          <w:bCs/>
          <w:i/>
          <w:iCs/>
          <w:color w:val="000000"/>
        </w:rPr>
        <w:t>European Journal of Women’s Studies, 9</w:t>
      </w:r>
      <w:r w:rsidRPr="00E265DE">
        <w:rPr>
          <w:rFonts w:ascii="Calibri" w:eastAsia="Times New Roman" w:hAnsi="Calibri"/>
          <w:b w:val="0"/>
          <w:bCs/>
          <w:color w:val="000000"/>
        </w:rPr>
        <w:t>(4), pp. 430-446.</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Brownlie, S. (1996). Investigating norms. </w:t>
      </w:r>
      <w:r w:rsidRPr="00E265DE">
        <w:rPr>
          <w:rFonts w:ascii="Calibri" w:eastAsia="Times New Roman" w:hAnsi="Calibri"/>
          <w:b w:val="0"/>
          <w:bCs/>
          <w:color w:val="222222"/>
          <w:shd w:val="clear" w:color="auto" w:fill="FFFFFF"/>
        </w:rPr>
        <w:t xml:space="preserve">In </w:t>
      </w:r>
      <w:r w:rsidRPr="00E265DE">
        <w:rPr>
          <w:rFonts w:ascii="Calibri" w:eastAsia="Times New Roman" w:hAnsi="Calibri"/>
          <w:b w:val="0"/>
          <w:bCs/>
          <w:i/>
          <w:iCs/>
          <w:color w:val="222222"/>
          <w:shd w:val="clear" w:color="auto" w:fill="FFFFFF"/>
        </w:rPr>
        <w:t>Translation and the (Re) location of Meaning. In Jeroen Vandaele (Ed.). Selected Papers of the CETRA Research Seminars in Translation Studies</w:t>
      </w:r>
      <w:r w:rsidRPr="00E265DE">
        <w:rPr>
          <w:rFonts w:ascii="Calibri" w:eastAsia="Times New Roman" w:hAnsi="Calibri"/>
          <w:b w:val="0"/>
          <w:bCs/>
          <w:color w:val="222222"/>
          <w:shd w:val="clear" w:color="auto" w:fill="FFFFFF"/>
        </w:rPr>
        <w:t>(Vol. 1996, pp. 7-21).</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Bryman, A. &amp; Bell, E. (2015)</w:t>
      </w:r>
      <w:r w:rsidRPr="00E265DE">
        <w:rPr>
          <w:rFonts w:ascii="Calibri" w:eastAsia="Times New Roman" w:hAnsi="Calibri"/>
          <w:b w:val="0"/>
          <w:bCs/>
          <w:i/>
          <w:iCs/>
          <w:color w:val="000000"/>
        </w:rPr>
        <w:t>. Business Research Methods</w:t>
      </w:r>
      <w:r w:rsidRPr="00E265DE">
        <w:rPr>
          <w:rFonts w:ascii="Calibri" w:eastAsia="Times New Roman" w:hAnsi="Calibri"/>
          <w:b w:val="0"/>
          <w:bCs/>
          <w:color w:val="000000"/>
        </w:rPr>
        <w:t>. Oxford: Oxford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C</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Cohn, C. (2008). Mainstreaming gender in UN security policy: A path to political transformation? In S.M. Rai &amp; G. Waylen (Eds.), </w:t>
      </w:r>
      <w:r w:rsidRPr="00E265DE">
        <w:rPr>
          <w:rFonts w:ascii="Calibri" w:eastAsia="Times New Roman" w:hAnsi="Calibri"/>
          <w:b w:val="0"/>
          <w:bCs/>
          <w:i/>
          <w:iCs/>
          <w:color w:val="000000"/>
        </w:rPr>
        <w:t xml:space="preserve">Global Governance. Feminist perspectives </w:t>
      </w:r>
      <w:r w:rsidRPr="00E265DE">
        <w:rPr>
          <w:rFonts w:ascii="Calibri" w:eastAsia="Times New Roman" w:hAnsi="Calibri"/>
          <w:b w:val="0"/>
          <w:bCs/>
          <w:color w:val="000000"/>
        </w:rPr>
        <w:t>(pp.185-206). London: Palgrave Macmillan.</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Collier, D., Brady, H.E. &amp; Seawright, J. (2004). Sources of leverage in causal inference: Towards an alternative view of methodology. In H.E. Brady &amp; D. Collier (Eds.), </w:t>
      </w:r>
      <w:r w:rsidRPr="00E265DE">
        <w:rPr>
          <w:rFonts w:ascii="Calibri" w:eastAsia="Times New Roman" w:hAnsi="Calibri"/>
          <w:b w:val="0"/>
          <w:bCs/>
          <w:i/>
          <w:iCs/>
          <w:color w:val="000000"/>
        </w:rPr>
        <w:t xml:space="preserve">Rethinking Social Inquiry: Diverse Tools, Shared Standards </w:t>
      </w:r>
      <w:r w:rsidRPr="00E265DE">
        <w:rPr>
          <w:rFonts w:ascii="Calibri" w:eastAsia="Times New Roman" w:hAnsi="Calibri"/>
          <w:b w:val="0"/>
          <w:bCs/>
          <w:color w:val="000000"/>
        </w:rPr>
        <w:t>(pp. 229-266). Lanham, Md.: Rowman &amp; Littlefield.</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Collier, D. (2011). Understanding process tracing. </w:t>
      </w:r>
      <w:r w:rsidRPr="00E265DE">
        <w:rPr>
          <w:rFonts w:ascii="Calibri" w:eastAsia="Times New Roman" w:hAnsi="Calibri"/>
          <w:b w:val="0"/>
          <w:bCs/>
          <w:i/>
          <w:iCs/>
          <w:color w:val="000000"/>
        </w:rPr>
        <w:t>PS: Political Science &amp; Politics, 44</w:t>
      </w:r>
      <w:r w:rsidRPr="00E265DE">
        <w:rPr>
          <w:rFonts w:ascii="Calibri" w:eastAsia="Times New Roman" w:hAnsi="Calibri"/>
          <w:b w:val="0"/>
          <w:bCs/>
          <w:color w:val="000000"/>
        </w:rPr>
        <w:t>(4), pp. 823-830.</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D</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222222"/>
          <w:shd w:val="clear" w:color="auto" w:fill="FFFFFF"/>
        </w:rPr>
        <w:t xml:space="preserve">Dalal-Clayton, B., &amp; Bass, S. (2009). The challenges of environmental mainstreaming. </w:t>
      </w:r>
      <w:r w:rsidRPr="00E265DE">
        <w:rPr>
          <w:rFonts w:ascii="Calibri" w:eastAsia="Times New Roman" w:hAnsi="Calibri"/>
          <w:b w:val="0"/>
          <w:bCs/>
          <w:i/>
          <w:iCs/>
          <w:color w:val="222222"/>
          <w:shd w:val="clear" w:color="auto" w:fill="FFFFFF"/>
        </w:rPr>
        <w:t>Issues Paper, International Institute for Environment and Development (available at www. environmental-mainstreaming.org)</w:t>
      </w:r>
      <w:r w:rsidRPr="00E265DE">
        <w:rPr>
          <w:rFonts w:ascii="Calibri" w:eastAsia="Times New Roman" w:hAnsi="Calibri"/>
          <w:b w:val="0"/>
          <w:bCs/>
          <w:color w:val="222222"/>
          <w:shd w:val="clear" w:color="auto" w:fill="FFFFFF"/>
        </w:rPr>
        <w:t>.</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Dimitrov, R.S. (2005). Hostage to norms: states, institutions and global forest politics. </w:t>
      </w:r>
      <w:r w:rsidRPr="00E265DE">
        <w:rPr>
          <w:rFonts w:ascii="Calibri" w:eastAsia="Times New Roman" w:hAnsi="Calibri"/>
          <w:b w:val="0"/>
          <w:bCs/>
          <w:i/>
          <w:iCs/>
          <w:color w:val="000000"/>
        </w:rPr>
        <w:t>Global environmental politics, 5</w:t>
      </w:r>
      <w:r w:rsidRPr="00E265DE">
        <w:rPr>
          <w:rFonts w:ascii="Calibri" w:eastAsia="Times New Roman" w:hAnsi="Calibri"/>
          <w:b w:val="0"/>
          <w:bCs/>
          <w:color w:val="000000"/>
        </w:rPr>
        <w:t>(4), pp. 1-24.</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E</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Ellerman, A.D., Jacoby, H.D. &amp; Decaux, A. (1998). </w:t>
      </w:r>
      <w:r w:rsidRPr="00E265DE">
        <w:rPr>
          <w:rFonts w:ascii="Calibri" w:eastAsia="Times New Roman" w:hAnsi="Calibri"/>
          <w:b w:val="0"/>
          <w:bCs/>
          <w:i/>
          <w:iCs/>
          <w:color w:val="000000"/>
        </w:rPr>
        <w:t xml:space="preserve">The effects on developing countries of the Kyoto Protocol and carbon dioxide emissions trading </w:t>
      </w:r>
      <w:r w:rsidRPr="00E265DE">
        <w:rPr>
          <w:rFonts w:ascii="Calibri" w:eastAsia="Times New Roman" w:hAnsi="Calibri"/>
          <w:b w:val="0"/>
          <w:bCs/>
          <w:color w:val="000000"/>
        </w:rPr>
        <w:t>(Policy research working paper no. 2019). Retrieved April 21, 2018 from https://elibrary.worldbank.org/doi/abs/10.1596/1813-9450-2019.</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lang w:val="fr-FR"/>
        </w:rPr>
      </w:pPr>
      <w:r w:rsidRPr="00E265DE">
        <w:rPr>
          <w:rFonts w:ascii="Calibri" w:eastAsia="Times New Roman" w:hAnsi="Calibri"/>
          <w:b w:val="0"/>
          <w:bCs/>
          <w:color w:val="000000"/>
        </w:rPr>
        <w:t xml:space="preserve">Étienne, J. (2010). </w:t>
      </w:r>
      <w:r w:rsidRPr="00E265DE">
        <w:rPr>
          <w:rFonts w:ascii="Calibri" w:eastAsia="Times New Roman" w:hAnsi="Calibri"/>
          <w:b w:val="0"/>
          <w:bCs/>
          <w:color w:val="000000"/>
          <w:lang w:val="fr-FR"/>
        </w:rPr>
        <w:t xml:space="preserve">La conformation des gouvernes. </w:t>
      </w:r>
      <w:r w:rsidRPr="00E265DE">
        <w:rPr>
          <w:rFonts w:ascii="Calibri" w:eastAsia="Times New Roman" w:hAnsi="Calibri"/>
          <w:b w:val="0"/>
          <w:bCs/>
          <w:i/>
          <w:iCs/>
          <w:color w:val="000000"/>
          <w:lang w:val="fr-FR"/>
        </w:rPr>
        <w:t>Revue Française de Science Politique, 60</w:t>
      </w:r>
      <w:r w:rsidRPr="00E265DE">
        <w:rPr>
          <w:rFonts w:ascii="Calibri" w:eastAsia="Times New Roman" w:hAnsi="Calibri"/>
          <w:b w:val="0"/>
          <w:bCs/>
          <w:color w:val="000000"/>
          <w:lang w:val="fr-FR"/>
        </w:rPr>
        <w:t>(3), pp. 493-517.</w:t>
      </w:r>
    </w:p>
    <w:p w:rsidR="00E265DE" w:rsidRPr="00E265DE" w:rsidRDefault="00E265DE" w:rsidP="001179BB">
      <w:pPr>
        <w:spacing w:line="276" w:lineRule="auto"/>
        <w:rPr>
          <w:rFonts w:ascii="Times New Roman" w:eastAsia="Times New Roman" w:hAnsi="Times New Roman"/>
          <w:b w:val="0"/>
          <w:bCs/>
          <w:sz w:val="24"/>
          <w:szCs w:val="24"/>
          <w:lang w:val="fr-FR"/>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European Investment Bank (2013). </w:t>
      </w:r>
      <w:r w:rsidRPr="00E265DE">
        <w:rPr>
          <w:rFonts w:ascii="Calibri" w:eastAsia="Times New Roman" w:hAnsi="Calibri"/>
          <w:b w:val="0"/>
          <w:bCs/>
          <w:i/>
          <w:iCs/>
          <w:color w:val="000000"/>
        </w:rPr>
        <w:t>Environmental and Social Handbook</w:t>
      </w:r>
      <w:r w:rsidRPr="00E265DE">
        <w:rPr>
          <w:rFonts w:ascii="Calibri" w:eastAsia="Times New Roman" w:hAnsi="Calibri"/>
          <w:b w:val="0"/>
          <w:bCs/>
          <w:color w:val="000000"/>
        </w:rPr>
        <w:t>. Retrieved April 21, 2017, from http://www.eib.org/attachments/strategies/environmental_and_social_practices_handbook_en.pdf.</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F</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Farrell, T. (2001). Transnational Norms and Military Development: Constructing Ireland’s Professional Army. </w:t>
      </w:r>
      <w:r w:rsidRPr="00E265DE">
        <w:rPr>
          <w:rFonts w:ascii="Calibri" w:eastAsia="Times New Roman" w:hAnsi="Calibri"/>
          <w:b w:val="0"/>
          <w:bCs/>
          <w:i/>
          <w:iCs/>
          <w:color w:val="000000"/>
        </w:rPr>
        <w:t>European Journal of International Relations, 7</w:t>
      </w:r>
      <w:r w:rsidRPr="00E265DE">
        <w:rPr>
          <w:rFonts w:ascii="Calibri" w:eastAsia="Times New Roman" w:hAnsi="Calibri"/>
          <w:b w:val="0"/>
          <w:bCs/>
          <w:color w:val="000000"/>
        </w:rPr>
        <w:t>(1), pp. 63-102.</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Finnemore, M. &amp; Sikkink, K. (1998). International norm dynamics and political change. </w:t>
      </w:r>
      <w:r w:rsidRPr="00E265DE">
        <w:rPr>
          <w:rFonts w:ascii="Calibri" w:eastAsia="Times New Roman" w:hAnsi="Calibri"/>
          <w:b w:val="0"/>
          <w:bCs/>
          <w:i/>
          <w:iCs/>
          <w:color w:val="000000"/>
        </w:rPr>
        <w:t>International organization, 52</w:t>
      </w:r>
      <w:r w:rsidRPr="00E265DE">
        <w:rPr>
          <w:rFonts w:ascii="Calibri" w:eastAsia="Times New Roman" w:hAnsi="Calibri"/>
          <w:b w:val="0"/>
          <w:bCs/>
          <w:color w:val="000000"/>
        </w:rPr>
        <w:t>(4), pp. 887-917.</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Franzosi, R. (2008). Content Analysis: Objective, Systematic and Quantitative Description of content. </w:t>
      </w:r>
      <w:r w:rsidRPr="00E265DE">
        <w:rPr>
          <w:rFonts w:ascii="Calibri" w:eastAsia="Times New Roman" w:hAnsi="Calibri"/>
          <w:b w:val="0"/>
          <w:bCs/>
          <w:i/>
          <w:iCs/>
          <w:color w:val="000000"/>
        </w:rPr>
        <w:t>Content Analysis, 1</w:t>
      </w:r>
      <w:r w:rsidRPr="00E265DE">
        <w:rPr>
          <w:rFonts w:ascii="Calibri" w:eastAsia="Times New Roman" w:hAnsi="Calibri"/>
          <w:b w:val="0"/>
          <w:bCs/>
          <w:color w:val="000000"/>
        </w:rPr>
        <w:t>.</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Freedman, D. A. (2008). On types of scientific inquiry: The role of qualitative reasoning. In J. Box-Steffensmeier, F. Henry, E. Bray and D. Collies (Eds.), </w:t>
      </w:r>
      <w:r w:rsidRPr="00E265DE">
        <w:rPr>
          <w:rFonts w:ascii="Calibri" w:eastAsia="Times New Roman" w:hAnsi="Calibri"/>
          <w:b w:val="0"/>
          <w:bCs/>
          <w:i/>
          <w:iCs/>
          <w:color w:val="000000"/>
        </w:rPr>
        <w:t xml:space="preserve">The Oxford Handbook of Political Methodology </w:t>
      </w:r>
      <w:r w:rsidRPr="00E265DE">
        <w:rPr>
          <w:rFonts w:ascii="Calibri" w:eastAsia="Times New Roman" w:hAnsi="Calibri"/>
          <w:b w:val="0"/>
          <w:bCs/>
          <w:color w:val="000000"/>
        </w:rPr>
        <w:t>(pp. 300-318). Oxford: Oxford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G</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Gee, J.P. (2014). </w:t>
      </w:r>
      <w:r w:rsidRPr="00E265DE">
        <w:rPr>
          <w:rFonts w:ascii="Calibri" w:eastAsia="Times New Roman" w:hAnsi="Calibri"/>
          <w:b w:val="0"/>
          <w:bCs/>
          <w:i/>
          <w:iCs/>
          <w:color w:val="000000"/>
        </w:rPr>
        <w:t xml:space="preserve">An introduction to discourse analysis: Theory and method. </w:t>
      </w:r>
      <w:r w:rsidRPr="00E265DE">
        <w:rPr>
          <w:rFonts w:ascii="Calibri" w:eastAsia="Times New Roman" w:hAnsi="Calibri"/>
          <w:b w:val="0"/>
          <w:bCs/>
          <w:color w:val="000000"/>
        </w:rPr>
        <w:t>Routledge.</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George, A. L., &amp; Bennett, A. (2005). </w:t>
      </w:r>
      <w:r w:rsidRPr="00E265DE">
        <w:rPr>
          <w:rFonts w:ascii="Calibri" w:eastAsia="Times New Roman" w:hAnsi="Calibri"/>
          <w:b w:val="0"/>
          <w:bCs/>
          <w:i/>
          <w:iCs/>
          <w:color w:val="000000"/>
        </w:rPr>
        <w:t>Case studies and theory development in the social sciences</w:t>
      </w:r>
      <w:r w:rsidRPr="00E265DE">
        <w:rPr>
          <w:rFonts w:ascii="Calibri" w:eastAsia="Times New Roman" w:hAnsi="Calibri"/>
          <w:b w:val="0"/>
          <w:bCs/>
          <w:color w:val="000000"/>
        </w:rPr>
        <w:t>. MIT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Gerring, J. (2008). Case Selection for Case-Study Analysis: Qualitative and Quantitative Techniques. In J. Box-Steffensmeier, F. Henry, E. Brady and D. Collier (Eds.), </w:t>
      </w:r>
      <w:r w:rsidRPr="00E265DE">
        <w:rPr>
          <w:rFonts w:ascii="Calibri" w:eastAsia="Times New Roman" w:hAnsi="Calibri"/>
          <w:b w:val="0"/>
          <w:bCs/>
          <w:i/>
          <w:iCs/>
          <w:color w:val="000000"/>
        </w:rPr>
        <w:t xml:space="preserve">The Oxford Handbook of Political Methodology </w:t>
      </w:r>
      <w:r w:rsidRPr="00E265DE">
        <w:rPr>
          <w:rFonts w:ascii="Calibri" w:eastAsia="Times New Roman" w:hAnsi="Calibri"/>
          <w:b w:val="0"/>
          <w:bCs/>
          <w:color w:val="000000"/>
        </w:rPr>
        <w:t xml:space="preserve">(pp. 645-684). Oxford: Oxford University Press.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Gibbs, J.P. (1965). Norms: the problem of definition and classification. </w:t>
      </w:r>
      <w:r w:rsidRPr="00E265DE">
        <w:rPr>
          <w:rFonts w:ascii="Calibri" w:eastAsia="Times New Roman" w:hAnsi="Calibri"/>
          <w:b w:val="0"/>
          <w:bCs/>
          <w:i/>
          <w:iCs/>
          <w:color w:val="000000"/>
        </w:rPr>
        <w:t>American Journal of Sociology, 70</w:t>
      </w:r>
      <w:r w:rsidRPr="00E265DE">
        <w:rPr>
          <w:rFonts w:ascii="Calibri" w:eastAsia="Times New Roman" w:hAnsi="Calibri"/>
          <w:b w:val="0"/>
          <w:bCs/>
          <w:color w:val="000000"/>
        </w:rPr>
        <w:t>(5), pp. 586-594.</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Goldman, M. (2005). </w:t>
      </w:r>
      <w:r w:rsidRPr="00E265DE">
        <w:rPr>
          <w:rFonts w:ascii="Calibri" w:eastAsia="Times New Roman" w:hAnsi="Calibri"/>
          <w:b w:val="0"/>
          <w:bCs/>
          <w:i/>
          <w:iCs/>
          <w:color w:val="000000"/>
        </w:rPr>
        <w:t>Imperial nature: The World Bank and struggles for social justice in the age of globalization.</w:t>
      </w:r>
      <w:r w:rsidRPr="00E265DE">
        <w:rPr>
          <w:rFonts w:ascii="Calibri" w:eastAsia="Times New Roman" w:hAnsi="Calibri"/>
          <w:b w:val="0"/>
          <w:bCs/>
          <w:color w:val="000000"/>
        </w:rPr>
        <w:t xml:space="preserve"> New Haven, CT:</w:t>
      </w:r>
      <w:r w:rsidRPr="00E265DE">
        <w:rPr>
          <w:rFonts w:ascii="Calibri" w:eastAsia="Times New Roman" w:hAnsi="Calibri"/>
          <w:b w:val="0"/>
          <w:bCs/>
          <w:i/>
          <w:iCs/>
          <w:color w:val="000000"/>
        </w:rPr>
        <w:t xml:space="preserve"> </w:t>
      </w:r>
      <w:r w:rsidRPr="00E265DE">
        <w:rPr>
          <w:rFonts w:ascii="Calibri" w:eastAsia="Times New Roman" w:hAnsi="Calibri"/>
          <w:b w:val="0"/>
          <w:bCs/>
          <w:color w:val="000000"/>
        </w:rPr>
        <w:t xml:space="preserve">Yale University Press.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Graue, C. (2015). Qualitative Data Analysis. </w:t>
      </w:r>
      <w:r w:rsidRPr="00E265DE">
        <w:rPr>
          <w:rFonts w:ascii="Calibri" w:eastAsia="Times New Roman" w:hAnsi="Calibri"/>
          <w:b w:val="0"/>
          <w:bCs/>
          <w:i/>
          <w:iCs/>
          <w:color w:val="000000"/>
        </w:rPr>
        <w:t>International Journal of Sales, Retail &amp; Marketing, 4</w:t>
      </w:r>
      <w:r w:rsidRPr="00E265DE">
        <w:rPr>
          <w:rFonts w:ascii="Calibri" w:eastAsia="Times New Roman" w:hAnsi="Calibri"/>
          <w:b w:val="0"/>
          <w:bCs/>
          <w:color w:val="000000"/>
        </w:rPr>
        <w:t>(9), pp. 5-14.</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Gubby, H. (2016). </w:t>
      </w:r>
      <w:r w:rsidRPr="00E265DE">
        <w:rPr>
          <w:rFonts w:ascii="Calibri" w:eastAsia="Times New Roman" w:hAnsi="Calibri"/>
          <w:b w:val="0"/>
          <w:bCs/>
          <w:i/>
          <w:iCs/>
          <w:color w:val="000000"/>
        </w:rPr>
        <w:t xml:space="preserve">English legal terminology. Legal concepts in language. </w:t>
      </w:r>
      <w:r w:rsidRPr="00E265DE">
        <w:rPr>
          <w:rFonts w:ascii="Calibri" w:eastAsia="Times New Roman" w:hAnsi="Calibri"/>
          <w:b w:val="0"/>
          <w:bCs/>
          <w:color w:val="000000"/>
        </w:rPr>
        <w:t>Den Haag: Boom Juridisch.</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H</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Hutchby, I &amp; Wooffitt, R. (2008). </w:t>
      </w:r>
      <w:r w:rsidRPr="00E265DE">
        <w:rPr>
          <w:rFonts w:ascii="Calibri" w:eastAsia="Times New Roman" w:hAnsi="Calibri"/>
          <w:b w:val="0"/>
          <w:bCs/>
          <w:i/>
          <w:iCs/>
          <w:color w:val="000000"/>
        </w:rPr>
        <w:t>Conversation analysis</w:t>
      </w:r>
      <w:r w:rsidRPr="00E265DE">
        <w:rPr>
          <w:rFonts w:ascii="Calibri" w:eastAsia="Times New Roman" w:hAnsi="Calibri"/>
          <w:b w:val="0"/>
          <w:bCs/>
          <w:color w:val="000000"/>
        </w:rPr>
        <w:t>. Cambridge: Polity.</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I</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ING. (2018). </w:t>
      </w:r>
      <w:r w:rsidRPr="00E265DE">
        <w:rPr>
          <w:rFonts w:ascii="Calibri" w:eastAsia="Times New Roman" w:hAnsi="Calibri"/>
          <w:b w:val="0"/>
          <w:bCs/>
          <w:i/>
          <w:iCs/>
          <w:color w:val="000000"/>
        </w:rPr>
        <w:t xml:space="preserve">ABN AMRO, ING and Rabobank launch finance guidelines for circular economy. </w:t>
      </w:r>
      <w:r w:rsidRPr="00E265DE">
        <w:rPr>
          <w:rFonts w:ascii="Calibri" w:eastAsia="Times New Roman" w:hAnsi="Calibri"/>
          <w:b w:val="0"/>
          <w:bCs/>
          <w:color w:val="000000"/>
        </w:rPr>
        <w:t xml:space="preserve">Retrieved August 12, 2018, from https://www.ing.com/Newsroom/All-news/ABN-AMRO-ING-and-Rabobank-launch-finance-guidelines-for-circular-economy.htm.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Inter-American Development Bank (2006). </w:t>
      </w:r>
      <w:r w:rsidRPr="00E265DE">
        <w:rPr>
          <w:rFonts w:ascii="Calibri" w:eastAsia="Times New Roman" w:hAnsi="Calibri"/>
          <w:b w:val="0"/>
          <w:bCs/>
          <w:i/>
          <w:iCs/>
          <w:color w:val="000000"/>
        </w:rPr>
        <w:t xml:space="preserve">Environment and Safeguards Compliance Policy. </w:t>
      </w:r>
      <w:r w:rsidRPr="00E265DE">
        <w:rPr>
          <w:rFonts w:ascii="Calibri" w:eastAsia="Times New Roman" w:hAnsi="Calibri"/>
          <w:b w:val="0"/>
          <w:bCs/>
          <w:color w:val="000000"/>
        </w:rPr>
        <w:t xml:space="preserve">Retrieved April 20, 2017, from http://idbdocs.iadb.org/wsdocs/getdocument.aspx?docnum=665902.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Inter-American Development Bank (2015). </w:t>
      </w:r>
      <w:r w:rsidRPr="00E265DE">
        <w:rPr>
          <w:rFonts w:ascii="Calibri" w:eastAsia="Times New Roman" w:hAnsi="Calibri"/>
          <w:b w:val="0"/>
          <w:bCs/>
          <w:i/>
          <w:iCs/>
          <w:color w:val="000000"/>
        </w:rPr>
        <w:t>Climate Change Sector Framework Document</w:t>
      </w:r>
      <w:r w:rsidRPr="00E265DE">
        <w:rPr>
          <w:rFonts w:ascii="Calibri" w:eastAsia="Times New Roman" w:hAnsi="Calibri"/>
          <w:b w:val="0"/>
          <w:bCs/>
          <w:color w:val="000000"/>
        </w:rPr>
        <w:t>. Retrieved April 20, 2017, from http://idbdocs.iadb.org/wsdocs/getdocument.aspx?docnum=40013909.</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lang w:val="nl-NL"/>
        </w:rPr>
      </w:pPr>
      <w:r w:rsidRPr="00E265DE">
        <w:rPr>
          <w:rFonts w:ascii="Calibri" w:eastAsia="Times New Roman" w:hAnsi="Calibri"/>
          <w:color w:val="000000"/>
          <w:lang w:val="nl-NL"/>
        </w:rPr>
        <w:t>J</w:t>
      </w:r>
    </w:p>
    <w:p w:rsidR="00E265DE" w:rsidRPr="00E265DE" w:rsidRDefault="00E265DE" w:rsidP="001179BB">
      <w:pPr>
        <w:spacing w:line="276" w:lineRule="auto"/>
        <w:rPr>
          <w:rFonts w:ascii="Times New Roman" w:eastAsia="Times New Roman" w:hAnsi="Times New Roman"/>
          <w:b w:val="0"/>
          <w:bCs/>
          <w:sz w:val="24"/>
          <w:szCs w:val="24"/>
          <w:lang w:val="nl-NL"/>
        </w:rPr>
      </w:pPr>
    </w:p>
    <w:p w:rsidR="00E265DE" w:rsidRPr="00E265DE" w:rsidRDefault="00E265DE" w:rsidP="001179BB">
      <w:pPr>
        <w:spacing w:line="276" w:lineRule="auto"/>
        <w:rPr>
          <w:rFonts w:ascii="Times New Roman" w:eastAsia="Times New Roman" w:hAnsi="Times New Roman"/>
          <w:b w:val="0"/>
          <w:bCs/>
          <w:sz w:val="24"/>
          <w:szCs w:val="24"/>
          <w:lang w:val="nl-NL"/>
        </w:rPr>
      </w:pPr>
      <w:r w:rsidRPr="00E265DE">
        <w:rPr>
          <w:rFonts w:ascii="Calibri" w:eastAsia="Times New Roman" w:hAnsi="Calibri"/>
          <w:b w:val="0"/>
          <w:bCs/>
          <w:color w:val="000000"/>
          <w:lang w:val="nl-NL"/>
        </w:rPr>
        <w:t xml:space="preserve">Jansen, C.E.G., Munneke, S., Van Ommeren, F. &amp; Rutgers, J. (2011). </w:t>
      </w:r>
      <w:r w:rsidRPr="00E265DE">
        <w:rPr>
          <w:rFonts w:ascii="Calibri" w:eastAsia="Times New Roman" w:hAnsi="Calibri"/>
          <w:b w:val="0"/>
          <w:bCs/>
          <w:i/>
          <w:iCs/>
          <w:color w:val="000000"/>
          <w:lang w:val="nl-NL"/>
        </w:rPr>
        <w:t>Zorgplichten in publiek- en privaatrecht</w:t>
      </w:r>
      <w:r w:rsidRPr="00E265DE">
        <w:rPr>
          <w:rFonts w:ascii="Calibri" w:eastAsia="Times New Roman" w:hAnsi="Calibri"/>
          <w:b w:val="0"/>
          <w:bCs/>
          <w:color w:val="000000"/>
          <w:lang w:val="nl-NL"/>
        </w:rPr>
        <w:t>. Den Haag: Boom Juridisch.</w:t>
      </w:r>
    </w:p>
    <w:p w:rsidR="00E265DE" w:rsidRPr="00E265DE" w:rsidRDefault="00E265DE" w:rsidP="001179BB">
      <w:pPr>
        <w:spacing w:line="276" w:lineRule="auto"/>
        <w:rPr>
          <w:rFonts w:ascii="Times New Roman" w:eastAsia="Times New Roman" w:hAnsi="Times New Roman"/>
          <w:b w:val="0"/>
          <w:bCs/>
          <w:sz w:val="24"/>
          <w:szCs w:val="24"/>
          <w:lang w:val="nl-NL"/>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lang w:val="nl-NL"/>
        </w:rPr>
        <w:t xml:space="preserve">Joachim, J. &amp; Schneiker, A. (2012) Changing discourses, changing practices? </w:t>
      </w:r>
      <w:r w:rsidRPr="00E265DE">
        <w:rPr>
          <w:rFonts w:ascii="Calibri" w:eastAsia="Times New Roman" w:hAnsi="Calibri"/>
          <w:b w:val="0"/>
          <w:bCs/>
          <w:color w:val="000000"/>
        </w:rPr>
        <w:t xml:space="preserve">Gender mainstreaming and security. </w:t>
      </w:r>
      <w:r w:rsidRPr="00E265DE">
        <w:rPr>
          <w:rFonts w:ascii="Calibri" w:eastAsia="Times New Roman" w:hAnsi="Calibri"/>
          <w:b w:val="0"/>
          <w:bCs/>
          <w:i/>
          <w:iCs/>
          <w:color w:val="000000"/>
        </w:rPr>
        <w:t>Comparative European Politics, 10</w:t>
      </w:r>
      <w:r w:rsidRPr="00E265DE">
        <w:rPr>
          <w:rFonts w:ascii="Calibri" w:eastAsia="Times New Roman" w:hAnsi="Calibri"/>
          <w:b w:val="0"/>
          <w:bCs/>
          <w:color w:val="000000"/>
        </w:rPr>
        <w:t>(5), pp. 528-563.</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K</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Katzenstein, P.J. (Ed.). (1996). </w:t>
      </w:r>
      <w:r w:rsidRPr="00E265DE">
        <w:rPr>
          <w:rFonts w:ascii="Calibri" w:eastAsia="Times New Roman" w:hAnsi="Calibri"/>
          <w:b w:val="0"/>
          <w:bCs/>
          <w:i/>
          <w:iCs/>
          <w:color w:val="000000"/>
        </w:rPr>
        <w:t xml:space="preserve">The culture of national security: Norms and identity in world politics. </w:t>
      </w:r>
      <w:r w:rsidRPr="00E265DE">
        <w:rPr>
          <w:rFonts w:ascii="Calibri" w:eastAsia="Times New Roman" w:hAnsi="Calibri"/>
          <w:b w:val="0"/>
          <w:bCs/>
          <w:color w:val="000000"/>
        </w:rPr>
        <w:t xml:space="preserve">Columbia University Press.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Keck, M.E. &amp; Sikkink, K. (1998a). Transnational advocacy networks in the movement of society. </w:t>
      </w:r>
      <w:r w:rsidRPr="00E265DE">
        <w:rPr>
          <w:rFonts w:ascii="Calibri" w:eastAsia="Times New Roman" w:hAnsi="Calibri"/>
          <w:b w:val="0"/>
          <w:bCs/>
          <w:i/>
          <w:iCs/>
          <w:color w:val="000000"/>
        </w:rPr>
        <w:t xml:space="preserve">The social movement society: Contentious politics for a new century, </w:t>
      </w:r>
      <w:r w:rsidRPr="00E265DE">
        <w:rPr>
          <w:rFonts w:ascii="Calibri" w:eastAsia="Times New Roman" w:hAnsi="Calibri"/>
          <w:b w:val="0"/>
          <w:bCs/>
          <w:color w:val="000000"/>
        </w:rPr>
        <w:t>pp. 217-238.</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Keck, M.E. &amp; Sikkink, K. (1998b). </w:t>
      </w:r>
      <w:r w:rsidRPr="00E265DE">
        <w:rPr>
          <w:rFonts w:ascii="Calibri" w:eastAsia="Times New Roman" w:hAnsi="Calibri"/>
          <w:b w:val="0"/>
          <w:bCs/>
          <w:i/>
          <w:iCs/>
          <w:color w:val="000000"/>
        </w:rPr>
        <w:t xml:space="preserve">Activists beyond borders: Advocacy networks in global politics. </w:t>
      </w:r>
      <w:r w:rsidRPr="00E265DE">
        <w:rPr>
          <w:rFonts w:ascii="Calibri" w:eastAsia="Times New Roman" w:hAnsi="Calibri"/>
          <w:b w:val="0"/>
          <w:bCs/>
          <w:color w:val="000000"/>
        </w:rPr>
        <w:t>Ithaca, New York: Cornell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Kendall, G. &amp; Wickham, G. (1999). </w:t>
      </w:r>
      <w:r w:rsidRPr="00E265DE">
        <w:rPr>
          <w:rFonts w:ascii="Calibri" w:eastAsia="Times New Roman" w:hAnsi="Calibri"/>
          <w:b w:val="0"/>
          <w:bCs/>
          <w:i/>
          <w:iCs/>
          <w:color w:val="000000"/>
        </w:rPr>
        <w:t>Using Foucault’s Methods</w:t>
      </w:r>
      <w:r w:rsidRPr="00E265DE">
        <w:rPr>
          <w:rFonts w:ascii="Calibri" w:eastAsia="Times New Roman" w:hAnsi="Calibri"/>
          <w:b w:val="0"/>
          <w:bCs/>
          <w:color w:val="000000"/>
        </w:rPr>
        <w:t>. Thousand Oaks: SAGE.</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Koskenniemi, M. (2010). Human Rights mainstreaming as a strategy for institutional power. </w:t>
      </w:r>
      <w:r w:rsidRPr="00E265DE">
        <w:rPr>
          <w:rFonts w:ascii="Calibri" w:eastAsia="Times New Roman" w:hAnsi="Calibri"/>
          <w:b w:val="0"/>
          <w:bCs/>
          <w:i/>
          <w:iCs/>
          <w:color w:val="000000"/>
        </w:rPr>
        <w:t>Humanity: an international journal of human rights, humanitarianism and development, 1</w:t>
      </w:r>
      <w:r w:rsidRPr="00E265DE">
        <w:rPr>
          <w:rFonts w:ascii="Calibri" w:eastAsia="Times New Roman" w:hAnsi="Calibri"/>
          <w:b w:val="0"/>
          <w:bCs/>
          <w:color w:val="000000"/>
        </w:rPr>
        <w:t>(1), pp. 47-58.</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Kyoto Protocol. (</w:t>
      </w:r>
      <w:r w:rsidRPr="00E265DE">
        <w:rPr>
          <w:rFonts w:ascii="Calibri" w:eastAsia="Times New Roman" w:hAnsi="Calibri"/>
          <w:b w:val="0"/>
          <w:bCs/>
          <w:i/>
          <w:iCs/>
          <w:color w:val="000000"/>
        </w:rPr>
        <w:t>December 11, 1997</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Kyoto protocol to the United Nations Framework Convention on Climate Change</w:t>
      </w:r>
      <w:r w:rsidRPr="00E265DE">
        <w:rPr>
          <w:rFonts w:ascii="Calibri" w:eastAsia="Times New Roman" w:hAnsi="Calibri"/>
          <w:b w:val="0"/>
          <w:bCs/>
          <w:color w:val="000000"/>
        </w:rPr>
        <w:t xml:space="preserve">. Retrieved on May 17, 2018 from https://unfccc.int/resource/docs/convkp/kpeng.pdf.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Krippendorff, K. (2012). </w:t>
      </w:r>
      <w:r w:rsidRPr="00E265DE">
        <w:rPr>
          <w:rFonts w:ascii="Calibri" w:eastAsia="Times New Roman" w:hAnsi="Calibri"/>
          <w:b w:val="0"/>
          <w:bCs/>
          <w:i/>
          <w:iCs/>
          <w:color w:val="000000"/>
        </w:rPr>
        <w:t>Content analysis: An introduction to its methodology</w:t>
      </w:r>
      <w:r w:rsidRPr="00E265DE">
        <w:rPr>
          <w:rFonts w:ascii="Calibri" w:eastAsia="Times New Roman" w:hAnsi="Calibri"/>
          <w:b w:val="0"/>
          <w:bCs/>
          <w:color w:val="000000"/>
        </w:rPr>
        <w:t xml:space="preserve">. Thousand Oaks: SAGE Publications.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Krook, M.L. &amp; True, J. (2012). Rethinking the life cycle of international norms: The United Nations and the global promotion of gender equality. </w:t>
      </w:r>
      <w:r w:rsidRPr="00E265DE">
        <w:rPr>
          <w:rFonts w:ascii="Calibri" w:eastAsia="Times New Roman" w:hAnsi="Calibri"/>
          <w:b w:val="0"/>
          <w:bCs/>
          <w:i/>
          <w:iCs/>
          <w:color w:val="000000"/>
        </w:rPr>
        <w:t>European Journal of International Relations, 18</w:t>
      </w:r>
      <w:r w:rsidRPr="00E265DE">
        <w:rPr>
          <w:rFonts w:ascii="Calibri" w:eastAsia="Times New Roman" w:hAnsi="Calibri"/>
          <w:b w:val="0"/>
          <w:bCs/>
          <w:color w:val="000000"/>
        </w:rPr>
        <w:t>(1), pp. 103-127.</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L</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Legro, J.W. (1997). Which norms matter? Revisiting the “failure” of internationalism. </w:t>
      </w:r>
      <w:r w:rsidRPr="00E265DE">
        <w:rPr>
          <w:rFonts w:ascii="Calibri" w:eastAsia="Times New Roman" w:hAnsi="Calibri"/>
          <w:b w:val="0"/>
          <w:bCs/>
          <w:i/>
          <w:iCs/>
          <w:color w:val="000000"/>
        </w:rPr>
        <w:t>International Organization, 51</w:t>
      </w:r>
      <w:r w:rsidRPr="00E265DE">
        <w:rPr>
          <w:rFonts w:ascii="Calibri" w:eastAsia="Times New Roman" w:hAnsi="Calibri"/>
          <w:b w:val="0"/>
          <w:bCs/>
          <w:color w:val="000000"/>
        </w:rPr>
        <w:t>(1), pp. 31-63.</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Lindenbergh, S.D. &amp; Schelhaas, H.N. (2016). </w:t>
      </w:r>
      <w:r w:rsidRPr="00E265DE">
        <w:rPr>
          <w:rFonts w:ascii="Calibri" w:eastAsia="Times New Roman" w:hAnsi="Calibri"/>
          <w:b w:val="0"/>
          <w:bCs/>
          <w:i/>
          <w:iCs/>
          <w:color w:val="000000"/>
        </w:rPr>
        <w:t>Precies privaatrecht</w:t>
      </w:r>
      <w:r w:rsidRPr="00E265DE">
        <w:rPr>
          <w:rFonts w:ascii="Calibri" w:eastAsia="Times New Roman" w:hAnsi="Calibri"/>
          <w:b w:val="0"/>
          <w:bCs/>
          <w:color w:val="000000"/>
        </w:rPr>
        <w:t>. Den Haag: Boom Juridisch.</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Lucena, C &amp; Gummer, J. (2012, 12 June). Why Rio failed in the past and how it can succeed this time. </w:t>
      </w:r>
      <w:r w:rsidRPr="00E265DE">
        <w:rPr>
          <w:rFonts w:ascii="Calibri" w:eastAsia="Times New Roman" w:hAnsi="Calibri"/>
          <w:b w:val="0"/>
          <w:bCs/>
          <w:i/>
          <w:iCs/>
          <w:color w:val="000000"/>
        </w:rPr>
        <w:t>The Guardian</w:t>
      </w:r>
      <w:r w:rsidRPr="00E265DE">
        <w:rPr>
          <w:rFonts w:ascii="Calibri" w:eastAsia="Times New Roman" w:hAnsi="Calibri"/>
          <w:b w:val="0"/>
          <w:bCs/>
          <w:color w:val="000000"/>
        </w:rPr>
        <w:t>. Retrieved 20 June 2018, from https://www.theguardian.com/environment/2012/jun/12/rio20-agenda-politicians-john-gummer.</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M</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Mahoney, J. (2010). After KKV: The new methodology to qualitative research. </w:t>
      </w:r>
      <w:r w:rsidRPr="00E265DE">
        <w:rPr>
          <w:rFonts w:ascii="Calibri" w:eastAsia="Times New Roman" w:hAnsi="Calibri"/>
          <w:b w:val="0"/>
          <w:bCs/>
          <w:i/>
          <w:iCs/>
          <w:color w:val="000000"/>
        </w:rPr>
        <w:t>World Politics, 62</w:t>
      </w:r>
      <w:r w:rsidRPr="00E265DE">
        <w:rPr>
          <w:rFonts w:ascii="Calibri" w:eastAsia="Times New Roman" w:hAnsi="Calibri"/>
          <w:b w:val="0"/>
          <w:bCs/>
          <w:color w:val="000000"/>
        </w:rPr>
        <w:t xml:space="preserve">(1), pp. 120-147.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Marrakesh Accords. (</w:t>
      </w:r>
      <w:r w:rsidRPr="00E265DE">
        <w:rPr>
          <w:rFonts w:ascii="Calibri" w:eastAsia="Times New Roman" w:hAnsi="Calibri"/>
          <w:b w:val="0"/>
          <w:bCs/>
          <w:i/>
          <w:iCs/>
          <w:color w:val="000000"/>
        </w:rPr>
        <w:t>October 29-November 10, 2001)</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FCCC/CP/2001/13/Add.1</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Report of the conference of the parties on its seventh session, held at Marrakesh from October 29 to November 10 2001.</w:t>
      </w:r>
      <w:r w:rsidRPr="00E265DE">
        <w:rPr>
          <w:rFonts w:ascii="Calibri" w:eastAsia="Times New Roman" w:hAnsi="Calibri"/>
          <w:b w:val="0"/>
          <w:bCs/>
          <w:color w:val="000000"/>
        </w:rPr>
        <w:t xml:space="preserve"> Retrieved on July 1, 2018, from https://unfccc.int/resource/docs/cop7/13a01.pdf.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Merry, S.E. (2006). </w:t>
      </w:r>
      <w:r w:rsidRPr="00E265DE">
        <w:rPr>
          <w:rFonts w:ascii="Calibri" w:eastAsia="Times New Roman" w:hAnsi="Calibri"/>
          <w:b w:val="0"/>
          <w:bCs/>
          <w:i/>
          <w:iCs/>
          <w:color w:val="000000"/>
        </w:rPr>
        <w:t xml:space="preserve">Human Rights and Gender Violence. Translating international law into local justice. </w:t>
      </w:r>
      <w:r w:rsidRPr="00E265DE">
        <w:rPr>
          <w:rFonts w:ascii="Calibri" w:eastAsia="Times New Roman" w:hAnsi="Calibri"/>
          <w:b w:val="0"/>
          <w:bCs/>
          <w:color w:val="000000"/>
        </w:rPr>
        <w:t>Chicago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Moser, C. (2006). Has gender mainstreaming failed? A comment on international development agency experiences in the South. </w:t>
      </w:r>
      <w:r w:rsidRPr="00E265DE">
        <w:rPr>
          <w:rFonts w:ascii="Calibri" w:eastAsia="Times New Roman" w:hAnsi="Calibri"/>
          <w:b w:val="0"/>
          <w:bCs/>
          <w:i/>
          <w:iCs/>
          <w:color w:val="000000"/>
        </w:rPr>
        <w:t>International Feminist Journal of Politics, 7</w:t>
      </w:r>
      <w:r w:rsidRPr="00E265DE">
        <w:rPr>
          <w:rFonts w:ascii="Calibri" w:eastAsia="Times New Roman" w:hAnsi="Calibri"/>
          <w:b w:val="0"/>
          <w:bCs/>
          <w:color w:val="000000"/>
        </w:rPr>
        <w:t>(4), pp. 576-590.</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N</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North, D.C. (1991). Institutions. </w:t>
      </w:r>
      <w:r w:rsidRPr="00E265DE">
        <w:rPr>
          <w:rFonts w:ascii="Calibri" w:eastAsia="Times New Roman" w:hAnsi="Calibri"/>
          <w:b w:val="0"/>
          <w:bCs/>
          <w:i/>
          <w:iCs/>
          <w:color w:val="000000"/>
        </w:rPr>
        <w:t>Journal of Economic Perspectives, 5</w:t>
      </w:r>
      <w:r w:rsidRPr="00E265DE">
        <w:rPr>
          <w:rFonts w:ascii="Calibri" w:eastAsia="Times New Roman" w:hAnsi="Calibri"/>
          <w:b w:val="0"/>
          <w:bCs/>
          <w:color w:val="000000"/>
        </w:rPr>
        <w:t>(1), pp. 97-112.</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Nunan, F., Campbell, A. &amp; Foster, E. (2012). Environmental mainstreaming: the organisational challenges of policy integration. </w:t>
      </w:r>
      <w:r w:rsidRPr="00E265DE">
        <w:rPr>
          <w:rFonts w:ascii="Calibri" w:eastAsia="Times New Roman" w:hAnsi="Calibri"/>
          <w:b w:val="0"/>
          <w:bCs/>
          <w:i/>
          <w:iCs/>
          <w:color w:val="000000"/>
        </w:rPr>
        <w:t>Public Administration and Development, 32</w:t>
      </w:r>
      <w:r w:rsidRPr="00E265DE">
        <w:rPr>
          <w:rFonts w:ascii="Calibri" w:eastAsia="Times New Roman" w:hAnsi="Calibri"/>
          <w:b w:val="0"/>
          <w:bCs/>
          <w:color w:val="000000"/>
        </w:rPr>
        <w:t>(3), pp. 262-277.</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Nye, J.S. &amp; Keohane, R.O. (1971). Transnational relations and world politics: An introduction. </w:t>
      </w:r>
      <w:r w:rsidRPr="00E265DE">
        <w:rPr>
          <w:rFonts w:ascii="Calibri" w:eastAsia="Times New Roman" w:hAnsi="Calibri"/>
          <w:b w:val="0"/>
          <w:bCs/>
          <w:i/>
          <w:iCs/>
          <w:color w:val="000000"/>
        </w:rPr>
        <w:t>International Organization, 25</w:t>
      </w:r>
      <w:r w:rsidRPr="00E265DE">
        <w:rPr>
          <w:rFonts w:ascii="Calibri" w:eastAsia="Times New Roman" w:hAnsi="Calibri"/>
          <w:b w:val="0"/>
          <w:bCs/>
          <w:color w:val="000000"/>
        </w:rPr>
        <w:t>(3), pp. 329-349.</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P</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Paris Agreement. (</w:t>
      </w:r>
      <w:r w:rsidRPr="00E265DE">
        <w:rPr>
          <w:rFonts w:ascii="Calibri" w:eastAsia="Times New Roman" w:hAnsi="Calibri"/>
          <w:b w:val="0"/>
          <w:bCs/>
          <w:i/>
          <w:iCs/>
          <w:color w:val="000000"/>
        </w:rPr>
        <w:t>November 4, 2016</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Paris Agreement</w:t>
      </w:r>
      <w:r w:rsidRPr="00E265DE">
        <w:rPr>
          <w:rFonts w:ascii="Calibri" w:eastAsia="Times New Roman" w:hAnsi="Calibri"/>
          <w:b w:val="0"/>
          <w:bCs/>
          <w:color w:val="000000"/>
        </w:rPr>
        <w:t xml:space="preserve">. Retrieved on June17, 2018 from https://unfccc.int/sites/default/files/english_paris_agreement.pdf.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Park, S. (2005a). Norm diffusion within international organisations: a case study on the World Bank. </w:t>
      </w:r>
      <w:r w:rsidRPr="00E265DE">
        <w:rPr>
          <w:rFonts w:ascii="Calibri" w:eastAsia="Times New Roman" w:hAnsi="Calibri"/>
          <w:b w:val="0"/>
          <w:bCs/>
          <w:i/>
          <w:iCs/>
          <w:color w:val="000000"/>
        </w:rPr>
        <w:t>Journal of International Relations and Development, 8</w:t>
      </w:r>
      <w:r w:rsidRPr="00E265DE">
        <w:rPr>
          <w:rFonts w:ascii="Calibri" w:eastAsia="Times New Roman" w:hAnsi="Calibri"/>
          <w:b w:val="0"/>
          <w:bCs/>
          <w:color w:val="000000"/>
        </w:rPr>
        <w:t>(2), pp. 111-141.</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Park, S. (2005b) How transnational environmental advocacy networks socialize international financial institutions: A case study of the international finance corporation. </w:t>
      </w:r>
      <w:r w:rsidRPr="00E265DE">
        <w:rPr>
          <w:rFonts w:ascii="Calibri" w:eastAsia="Times New Roman" w:hAnsi="Calibri"/>
          <w:b w:val="0"/>
          <w:bCs/>
          <w:i/>
          <w:iCs/>
          <w:color w:val="000000"/>
        </w:rPr>
        <w:t>Global Environmental Politics</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5</w:t>
      </w:r>
      <w:r w:rsidRPr="00E265DE">
        <w:rPr>
          <w:rFonts w:ascii="Calibri" w:eastAsia="Times New Roman" w:hAnsi="Calibri"/>
          <w:b w:val="0"/>
          <w:bCs/>
          <w:color w:val="000000"/>
        </w:rPr>
        <w:t>(4), pp. 95-119.</w:t>
      </w:r>
    </w:p>
    <w:p w:rsidR="00E265DE" w:rsidRPr="00E265DE" w:rsidRDefault="00E265DE" w:rsidP="001179BB">
      <w:pPr>
        <w:spacing w:after="240"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R</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Ramirez, F., Soysal, Y. &amp; Shanahan, S. (1997). The Changing Logic of Political Citizenship: Cross-National Acquisition of Women’s Suffrage Rights, 1890-1990. </w:t>
      </w:r>
      <w:r w:rsidRPr="00E265DE">
        <w:rPr>
          <w:rFonts w:ascii="Calibri" w:eastAsia="Times New Roman" w:hAnsi="Calibri"/>
          <w:b w:val="0"/>
          <w:bCs/>
          <w:i/>
          <w:iCs/>
          <w:color w:val="000000"/>
        </w:rPr>
        <w:t>American Sociological Review 62</w:t>
      </w:r>
      <w:r w:rsidRPr="00E265DE">
        <w:rPr>
          <w:rFonts w:ascii="Calibri" w:eastAsia="Times New Roman" w:hAnsi="Calibri"/>
          <w:b w:val="0"/>
          <w:bCs/>
          <w:color w:val="000000"/>
        </w:rPr>
        <w:t xml:space="preserve">(5), pp. 735-745.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Rees, T. (1998). </w:t>
      </w:r>
      <w:r w:rsidRPr="00E265DE">
        <w:rPr>
          <w:rFonts w:ascii="Calibri" w:eastAsia="Times New Roman" w:hAnsi="Calibri"/>
          <w:b w:val="0"/>
          <w:bCs/>
          <w:i/>
          <w:iCs/>
          <w:color w:val="000000"/>
        </w:rPr>
        <w:t>Mainstreaming Equality in the European Union: Education, Training and Labour.</w:t>
      </w:r>
      <w:r w:rsidRPr="00E265DE">
        <w:rPr>
          <w:rFonts w:ascii="Calibri" w:eastAsia="Times New Roman" w:hAnsi="Calibri"/>
          <w:b w:val="0"/>
          <w:bCs/>
          <w:color w:val="000000"/>
        </w:rPr>
        <w:t xml:space="preserve"> London, New York: Routledge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Rio Declaration. (</w:t>
      </w:r>
      <w:r w:rsidRPr="00E265DE">
        <w:rPr>
          <w:rFonts w:ascii="Calibri" w:eastAsia="Times New Roman" w:hAnsi="Calibri"/>
          <w:b w:val="0"/>
          <w:bCs/>
          <w:i/>
          <w:iCs/>
          <w:color w:val="000000"/>
        </w:rPr>
        <w:t>June 3-14, 1992</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A/CONF.151/26 (Vol. I)</w:t>
      </w:r>
      <w:r w:rsidRPr="00E265DE">
        <w:rPr>
          <w:rFonts w:ascii="Calibri" w:eastAsia="Times New Roman" w:hAnsi="Calibri"/>
          <w:b w:val="0"/>
          <w:bCs/>
          <w:color w:val="000000"/>
        </w:rPr>
        <w:t xml:space="preserve">. Retrieved on April 19, 2018 from https://www.un.org/documents/ga/conf151/aconf15126-1annex1.htm.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lang w:val="nl-NL"/>
        </w:rPr>
        <w:t xml:space="preserve">Risse, T., Ropp, S.C. &amp; Sikkink, K. (Eds.). </w:t>
      </w:r>
      <w:r w:rsidRPr="00E265DE">
        <w:rPr>
          <w:rFonts w:ascii="Calibri" w:eastAsia="Times New Roman" w:hAnsi="Calibri"/>
          <w:b w:val="0"/>
          <w:bCs/>
          <w:color w:val="000000"/>
        </w:rPr>
        <w:t xml:space="preserve">(1999). </w:t>
      </w:r>
      <w:r w:rsidRPr="00E265DE">
        <w:rPr>
          <w:rFonts w:ascii="Calibri" w:eastAsia="Times New Roman" w:hAnsi="Calibri"/>
          <w:b w:val="0"/>
          <w:bCs/>
          <w:i/>
          <w:iCs/>
          <w:color w:val="000000"/>
        </w:rPr>
        <w:t>The power of human rights: International norms and domestic change</w:t>
      </w:r>
      <w:r w:rsidRPr="00E265DE">
        <w:rPr>
          <w:rFonts w:ascii="Calibri" w:eastAsia="Times New Roman" w:hAnsi="Calibri"/>
          <w:b w:val="0"/>
          <w:bCs/>
          <w:color w:val="000000"/>
        </w:rPr>
        <w:t>. Cambridge: Cambridge University Press.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Schutt, R.K. (2012). </w:t>
      </w:r>
      <w:r w:rsidRPr="00E265DE">
        <w:rPr>
          <w:rFonts w:ascii="Calibri" w:eastAsia="Times New Roman" w:hAnsi="Calibri"/>
          <w:b w:val="0"/>
          <w:bCs/>
          <w:i/>
          <w:iCs/>
          <w:color w:val="000000"/>
        </w:rPr>
        <w:t>Investigating the social world. The process and practice of research.</w:t>
      </w:r>
      <w:r w:rsidRPr="00E265DE">
        <w:rPr>
          <w:rFonts w:ascii="Calibri" w:eastAsia="Times New Roman" w:hAnsi="Calibri"/>
          <w:b w:val="0"/>
          <w:bCs/>
          <w:color w:val="000000"/>
        </w:rPr>
        <w:t xml:space="preserve"> Thousand Oaks: SAGE Publications.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Skjærseth, J.B., Stokke, O.S., &amp; Wettestad, J. (2006). Soft law, hard law, and effective implementation of international environmental norms. </w:t>
      </w:r>
      <w:r w:rsidRPr="00E265DE">
        <w:rPr>
          <w:rFonts w:ascii="Calibri" w:eastAsia="Times New Roman" w:hAnsi="Calibri"/>
          <w:b w:val="0"/>
          <w:bCs/>
          <w:i/>
          <w:iCs/>
          <w:color w:val="000000"/>
        </w:rPr>
        <w:t>Global Environmental Politics</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6</w:t>
      </w:r>
      <w:r w:rsidRPr="00E265DE">
        <w:rPr>
          <w:rFonts w:ascii="Calibri" w:eastAsia="Times New Roman" w:hAnsi="Calibri"/>
          <w:b w:val="0"/>
          <w:bCs/>
          <w:color w:val="000000"/>
        </w:rPr>
        <w:t>(3), pp. 104-120.</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Squires, J. (2005). Is mainstreaming transformative? Theorizing mainstreaming in the context of diversity and deliberation. </w:t>
      </w:r>
      <w:r w:rsidRPr="00E265DE">
        <w:rPr>
          <w:rFonts w:ascii="Calibri" w:eastAsia="Times New Roman" w:hAnsi="Calibri"/>
          <w:b w:val="0"/>
          <w:bCs/>
          <w:i/>
          <w:iCs/>
          <w:color w:val="000000"/>
        </w:rPr>
        <w:t>Social politics: International studies in gender, state &amp; society</w:t>
      </w:r>
      <w:r w:rsidRPr="00E265DE">
        <w:rPr>
          <w:rFonts w:ascii="Calibri" w:eastAsia="Times New Roman" w:hAnsi="Calibri"/>
          <w:b w:val="0"/>
          <w:bCs/>
          <w:color w:val="000000"/>
        </w:rPr>
        <w:t xml:space="preserve">, </w:t>
      </w:r>
      <w:r w:rsidRPr="00E265DE">
        <w:rPr>
          <w:rFonts w:ascii="Calibri" w:eastAsia="Times New Roman" w:hAnsi="Calibri"/>
          <w:b w:val="0"/>
          <w:bCs/>
          <w:i/>
          <w:iCs/>
          <w:color w:val="000000"/>
        </w:rPr>
        <w:t>12</w:t>
      </w:r>
      <w:r w:rsidRPr="00E265DE">
        <w:rPr>
          <w:rFonts w:ascii="Calibri" w:eastAsia="Times New Roman" w:hAnsi="Calibri"/>
          <w:b w:val="0"/>
          <w:bCs/>
          <w:color w:val="000000"/>
        </w:rPr>
        <w:t xml:space="preserve">(3), pp. 366-388.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Stakeholder Forum for a Sustainable Future. (2011). </w:t>
      </w:r>
      <w:r w:rsidRPr="00E265DE">
        <w:rPr>
          <w:rFonts w:ascii="Calibri" w:eastAsia="Times New Roman" w:hAnsi="Calibri"/>
          <w:b w:val="0"/>
          <w:bCs/>
          <w:i/>
          <w:iCs/>
          <w:color w:val="000000"/>
        </w:rPr>
        <w:t xml:space="preserve">Review of Implementation of the Rio Principles. </w:t>
      </w:r>
      <w:r w:rsidRPr="00E265DE">
        <w:rPr>
          <w:rFonts w:ascii="Calibri" w:eastAsia="Times New Roman" w:hAnsi="Calibri"/>
          <w:b w:val="0"/>
          <w:bCs/>
          <w:color w:val="000000"/>
        </w:rPr>
        <w:t xml:space="preserve">Retrieved June 20, 2018, from https://sustainabledevelopment.un.org/content/documents/1127rioprinciples.pdf.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Stemler, S. (2001). An overview of content analysis. </w:t>
      </w:r>
      <w:r w:rsidRPr="00E265DE">
        <w:rPr>
          <w:rFonts w:ascii="Calibri" w:eastAsia="Times New Roman" w:hAnsi="Calibri"/>
          <w:b w:val="0"/>
          <w:bCs/>
          <w:i/>
          <w:iCs/>
          <w:color w:val="000000"/>
        </w:rPr>
        <w:t>Practical Assessment, Research &amp; Evaluation, 7</w:t>
      </w:r>
      <w:r w:rsidRPr="00E265DE">
        <w:rPr>
          <w:rFonts w:ascii="Calibri" w:eastAsia="Times New Roman" w:hAnsi="Calibri"/>
          <w:b w:val="0"/>
          <w:bCs/>
          <w:color w:val="000000"/>
        </w:rPr>
        <w:t>(17), pp. 137-146.</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T</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Guardian (2015). </w:t>
      </w:r>
      <w:r w:rsidRPr="00E265DE">
        <w:rPr>
          <w:rFonts w:ascii="Calibri" w:eastAsia="Times New Roman" w:hAnsi="Calibri"/>
          <w:b w:val="0"/>
          <w:bCs/>
          <w:i/>
          <w:iCs/>
          <w:color w:val="000000"/>
        </w:rPr>
        <w:t xml:space="preserve">Paris climate talks: Developed countries must do more than reduce emissions. </w:t>
      </w:r>
      <w:r w:rsidRPr="00E265DE">
        <w:rPr>
          <w:rFonts w:ascii="Calibri" w:eastAsia="Times New Roman" w:hAnsi="Calibri"/>
          <w:b w:val="0"/>
          <w:bCs/>
          <w:color w:val="000000"/>
        </w:rPr>
        <w:t>Retrieved April 11, 2017, from https://www.theguardian.com/environment/2015/nov/23/paris-climate-talks-developed-countries-must-do-more-than-reduce-emissions.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The Guardian (2017). </w:t>
      </w:r>
      <w:r w:rsidRPr="00E265DE">
        <w:rPr>
          <w:rFonts w:ascii="Calibri" w:eastAsia="Times New Roman" w:hAnsi="Calibri"/>
          <w:b w:val="0"/>
          <w:bCs/>
          <w:i/>
          <w:iCs/>
          <w:color w:val="000000"/>
        </w:rPr>
        <w:t xml:space="preserve">Syria signs Paris climate agreement and leaves US isolated. </w:t>
      </w:r>
      <w:r w:rsidRPr="00E265DE">
        <w:rPr>
          <w:rFonts w:ascii="Calibri" w:eastAsia="Times New Roman" w:hAnsi="Calibri"/>
          <w:b w:val="0"/>
          <w:bCs/>
          <w:color w:val="000000"/>
        </w:rPr>
        <w:t xml:space="preserve">Retrieved November 21, 2017, from https://www.theguardian.com/environment/2017/nov/07/syria-signs-paris-climate-agreement-and-leaves-us-isolated.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Toury, G. (1995). </w:t>
      </w:r>
      <w:r w:rsidRPr="00E265DE">
        <w:rPr>
          <w:rFonts w:ascii="Calibri" w:eastAsia="Times New Roman" w:hAnsi="Calibri"/>
          <w:b w:val="0"/>
          <w:bCs/>
          <w:i/>
          <w:iCs/>
          <w:color w:val="000000"/>
        </w:rPr>
        <w:t xml:space="preserve">Descriptive Translation Studies and Beyond. </w:t>
      </w:r>
      <w:r w:rsidRPr="00E265DE">
        <w:rPr>
          <w:rFonts w:ascii="Calibri" w:eastAsia="Times New Roman" w:hAnsi="Calibri"/>
          <w:b w:val="0"/>
          <w:bCs/>
          <w:color w:val="000000"/>
        </w:rPr>
        <w:t xml:space="preserve">Philadelphia, Pennsylvania: John Benjamins.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Treadwell, D. (2014). </w:t>
      </w:r>
      <w:r w:rsidRPr="00E265DE">
        <w:rPr>
          <w:rFonts w:ascii="Calibri" w:eastAsia="Times New Roman" w:hAnsi="Calibri"/>
          <w:b w:val="0"/>
          <w:bCs/>
          <w:i/>
          <w:iCs/>
          <w:color w:val="000000"/>
        </w:rPr>
        <w:t>Introducing Communication Research. Paths of Inquiry.</w:t>
      </w:r>
      <w:r w:rsidRPr="00E265DE">
        <w:rPr>
          <w:rFonts w:ascii="Calibri" w:eastAsia="Times New Roman" w:hAnsi="Calibri"/>
          <w:b w:val="0"/>
          <w:bCs/>
          <w:color w:val="000000"/>
        </w:rPr>
        <w:t xml:space="preserve"> Thousand Oaks: SAGE Publications.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True, J. (2015). Mainstreaming gender in international institutions. In L.J. Shepard (Ed.), </w:t>
      </w:r>
      <w:r w:rsidRPr="00E265DE">
        <w:rPr>
          <w:rFonts w:ascii="Calibri" w:eastAsia="Times New Roman" w:hAnsi="Calibri"/>
          <w:b w:val="0"/>
          <w:bCs/>
          <w:i/>
          <w:iCs/>
          <w:color w:val="000000"/>
        </w:rPr>
        <w:t>Gender Matters in Global Politics: A feminist introduction to international relations</w:t>
      </w:r>
      <w:r w:rsidRPr="00E265DE">
        <w:rPr>
          <w:rFonts w:ascii="Calibri" w:eastAsia="Times New Roman" w:hAnsi="Calibri"/>
          <w:b w:val="0"/>
          <w:bCs/>
          <w:color w:val="000000"/>
        </w:rPr>
        <w:t xml:space="preserve"> (pp. 227-239). New York: Routledge.</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U</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United Nations. (1997). </w:t>
      </w:r>
      <w:r w:rsidRPr="00E265DE">
        <w:rPr>
          <w:rFonts w:ascii="Calibri" w:eastAsia="Times New Roman" w:hAnsi="Calibri"/>
          <w:b w:val="0"/>
          <w:bCs/>
          <w:i/>
          <w:iCs/>
          <w:color w:val="000000"/>
        </w:rPr>
        <w:t xml:space="preserve">United Nations Briefing Notes </w:t>
      </w:r>
      <w:r w:rsidRPr="00E265DE">
        <w:rPr>
          <w:rFonts w:ascii="Calibri" w:eastAsia="Times New Roman" w:hAnsi="Calibri"/>
          <w:b w:val="0"/>
          <w:bCs/>
          <w:color w:val="000000"/>
        </w:rPr>
        <w:t xml:space="preserve">(Online). Retrieved on April 19, 2018 from http://www.un.org/geninfo/bp/worconf.html.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UNFCCC. (1992). </w:t>
      </w:r>
      <w:r w:rsidRPr="00E265DE">
        <w:rPr>
          <w:rFonts w:ascii="Calibri" w:eastAsia="Times New Roman" w:hAnsi="Calibri"/>
          <w:b w:val="0"/>
          <w:bCs/>
          <w:i/>
          <w:iCs/>
          <w:color w:val="000000"/>
        </w:rPr>
        <w:t xml:space="preserve">FCCC/INFORMAL/84. </w:t>
      </w:r>
      <w:r w:rsidRPr="00E265DE">
        <w:rPr>
          <w:rFonts w:ascii="Calibri" w:eastAsia="Times New Roman" w:hAnsi="Calibri"/>
          <w:b w:val="0"/>
          <w:bCs/>
          <w:color w:val="000000"/>
        </w:rPr>
        <w:t xml:space="preserve">Retrieved on April 19, 2018 from https://unfccc.int/resource/docs/convkp/conveng.pdf.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UNFCCC. (2018). </w:t>
      </w:r>
      <w:r w:rsidRPr="00E265DE">
        <w:rPr>
          <w:rFonts w:ascii="Calibri" w:eastAsia="Times New Roman" w:hAnsi="Calibri"/>
          <w:b w:val="0"/>
          <w:bCs/>
          <w:i/>
          <w:iCs/>
          <w:color w:val="000000"/>
        </w:rPr>
        <w:t>Kyoto Protocol.</w:t>
      </w:r>
      <w:r w:rsidRPr="00E265DE">
        <w:rPr>
          <w:rFonts w:ascii="Calibri" w:eastAsia="Times New Roman" w:hAnsi="Calibri"/>
          <w:b w:val="0"/>
          <w:bCs/>
          <w:color w:val="000000"/>
        </w:rPr>
        <w:t xml:space="preserve"> Retrieved on June 20, 2018 from https://unfccc.int/process/the-kyoto-protocol.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lang w:val="nl-NL"/>
        </w:rPr>
      </w:pPr>
      <w:r w:rsidRPr="00E265DE">
        <w:rPr>
          <w:rFonts w:ascii="Calibri" w:eastAsia="Times New Roman" w:hAnsi="Calibri"/>
          <w:color w:val="000000"/>
          <w:lang w:val="nl-NL"/>
        </w:rPr>
        <w:t>V</w:t>
      </w:r>
    </w:p>
    <w:p w:rsidR="00E265DE" w:rsidRPr="00E265DE" w:rsidRDefault="00E265DE" w:rsidP="001179BB">
      <w:pPr>
        <w:spacing w:line="276" w:lineRule="auto"/>
        <w:rPr>
          <w:rFonts w:ascii="Times New Roman" w:eastAsia="Times New Roman" w:hAnsi="Times New Roman"/>
          <w:b w:val="0"/>
          <w:bCs/>
          <w:sz w:val="24"/>
          <w:szCs w:val="24"/>
          <w:lang w:val="nl-NL"/>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lang w:val="nl-NL"/>
        </w:rPr>
        <w:t xml:space="preserve">Van Kersbergen, K. &amp; Verbeek, B. (2007). </w:t>
      </w:r>
      <w:r w:rsidRPr="00E265DE">
        <w:rPr>
          <w:rFonts w:ascii="Calibri" w:eastAsia="Times New Roman" w:hAnsi="Calibri"/>
          <w:b w:val="0"/>
          <w:bCs/>
          <w:color w:val="000000"/>
        </w:rPr>
        <w:t xml:space="preserve">The politics of international norms: Subsidiarity and the imperfect competence regime of the European Union. </w:t>
      </w:r>
      <w:r w:rsidRPr="00E265DE">
        <w:rPr>
          <w:rFonts w:ascii="Calibri" w:eastAsia="Times New Roman" w:hAnsi="Calibri"/>
          <w:b w:val="0"/>
          <w:bCs/>
          <w:i/>
          <w:iCs/>
          <w:color w:val="000000"/>
        </w:rPr>
        <w:t>European Journal of International Relations, 13</w:t>
      </w:r>
      <w:r w:rsidRPr="00E265DE">
        <w:rPr>
          <w:rFonts w:ascii="Calibri" w:eastAsia="Times New Roman" w:hAnsi="Calibri"/>
          <w:b w:val="0"/>
          <w:bCs/>
          <w:color w:val="000000"/>
        </w:rPr>
        <w:t>(2), pp. 217-238.</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W</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Walby, S. (2005). Gender mainstreaming: Productive tensions in theory and practice. </w:t>
      </w:r>
      <w:r w:rsidRPr="00E265DE">
        <w:rPr>
          <w:rFonts w:ascii="Calibri" w:eastAsia="Times New Roman" w:hAnsi="Calibri"/>
          <w:b w:val="0"/>
          <w:bCs/>
          <w:i/>
          <w:iCs/>
          <w:color w:val="000000"/>
        </w:rPr>
        <w:t>Social Politics: International Studies in Gender, State &amp; Society, 12</w:t>
      </w:r>
      <w:r w:rsidRPr="00E265DE">
        <w:rPr>
          <w:rFonts w:ascii="Calibri" w:eastAsia="Times New Roman" w:hAnsi="Calibri"/>
          <w:b w:val="0"/>
          <w:bCs/>
          <w:color w:val="000000"/>
        </w:rPr>
        <w:t xml:space="preserve">(3), pp. 321-343.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Waltz, K.N. (2010). </w:t>
      </w:r>
      <w:r w:rsidRPr="00E265DE">
        <w:rPr>
          <w:rFonts w:ascii="Calibri" w:eastAsia="Times New Roman" w:hAnsi="Calibri"/>
          <w:b w:val="0"/>
          <w:bCs/>
          <w:i/>
          <w:iCs/>
          <w:color w:val="000000"/>
        </w:rPr>
        <w:t>Theory of International Politics</w:t>
      </w:r>
      <w:r w:rsidRPr="00E265DE">
        <w:rPr>
          <w:rFonts w:ascii="Calibri" w:eastAsia="Times New Roman" w:hAnsi="Calibri"/>
          <w:b w:val="0"/>
          <w:bCs/>
          <w:color w:val="000000"/>
        </w:rPr>
        <w:t xml:space="preserve">. Long Grove: Waveland Press. (Original work published 1979).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White, M.D. &amp; Marsh, E.E. (2006). Content analysis: a flexible methodology. </w:t>
      </w:r>
      <w:r w:rsidRPr="00E265DE">
        <w:rPr>
          <w:rFonts w:ascii="Calibri" w:eastAsia="Times New Roman" w:hAnsi="Calibri"/>
          <w:b w:val="0"/>
          <w:bCs/>
          <w:i/>
          <w:iCs/>
          <w:color w:val="000000"/>
        </w:rPr>
        <w:t>Library trends, 55</w:t>
      </w:r>
      <w:r w:rsidRPr="00E265DE">
        <w:rPr>
          <w:rFonts w:ascii="Calibri" w:eastAsia="Times New Roman" w:hAnsi="Calibri"/>
          <w:b w:val="0"/>
          <w:bCs/>
          <w:color w:val="000000"/>
        </w:rPr>
        <w:t xml:space="preserve">(1), pp. 22-45.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Wicks, D. (2010). Deviant Case Analysis. In A.J. Mills, G. Durepos &amp; E. Wiebe (Eds), </w:t>
      </w:r>
      <w:r w:rsidRPr="00E265DE">
        <w:rPr>
          <w:rFonts w:ascii="Calibri" w:eastAsia="Times New Roman" w:hAnsi="Calibri"/>
          <w:b w:val="0"/>
          <w:bCs/>
          <w:i/>
          <w:iCs/>
          <w:color w:val="000000"/>
        </w:rPr>
        <w:t>Encyclopedia of Case Study Research</w:t>
      </w:r>
      <w:r w:rsidRPr="00E265DE">
        <w:rPr>
          <w:rFonts w:ascii="Calibri" w:eastAsia="Times New Roman" w:hAnsi="Calibri"/>
          <w:b w:val="0"/>
          <w:bCs/>
          <w:color w:val="000000"/>
        </w:rPr>
        <w:t xml:space="preserve"> (pp. 290-291). Thousand Oaks, California: Sage Publications.</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(1995). </w:t>
      </w:r>
      <w:r w:rsidRPr="00E265DE">
        <w:rPr>
          <w:rFonts w:ascii="Calibri" w:eastAsia="Times New Roman" w:hAnsi="Calibri"/>
          <w:b w:val="0"/>
          <w:bCs/>
          <w:i/>
          <w:iCs/>
          <w:color w:val="000000"/>
        </w:rPr>
        <w:t xml:space="preserve">Mainstreaming the environment: the World Bank Group and the environment since the Rio Earth Summit. </w:t>
      </w:r>
      <w:r w:rsidRPr="00E265DE">
        <w:rPr>
          <w:rFonts w:ascii="Calibri" w:eastAsia="Times New Roman" w:hAnsi="Calibri"/>
          <w:b w:val="0"/>
          <w:bCs/>
          <w:color w:val="000000"/>
        </w:rPr>
        <w:t>Washington, D.C.: World Bank.</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(1997a). </w:t>
      </w:r>
      <w:r w:rsidRPr="00E265DE">
        <w:rPr>
          <w:rFonts w:ascii="Calibri" w:eastAsia="Times New Roman" w:hAnsi="Calibri"/>
          <w:b w:val="0"/>
          <w:bCs/>
          <w:i/>
          <w:iCs/>
          <w:color w:val="000000"/>
        </w:rPr>
        <w:t>Five Years after Rio. Innovations in Environmental Policy.</w:t>
      </w:r>
      <w:r w:rsidRPr="00E265DE">
        <w:rPr>
          <w:rFonts w:ascii="Calibri" w:eastAsia="Times New Roman" w:hAnsi="Calibri"/>
          <w:b w:val="0"/>
          <w:bCs/>
          <w:color w:val="000000"/>
        </w:rPr>
        <w:t xml:space="preserve"> Washington, D.C.: World Bank.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(1997b). </w:t>
      </w:r>
      <w:r w:rsidRPr="00E265DE">
        <w:rPr>
          <w:rFonts w:ascii="Calibri" w:eastAsia="Times New Roman" w:hAnsi="Calibri"/>
          <w:b w:val="0"/>
          <w:bCs/>
          <w:i/>
          <w:iCs/>
          <w:color w:val="000000"/>
        </w:rPr>
        <w:t xml:space="preserve">Introduction to Environmental and Social Assessments and Procedures for World-Bank Financed Projects. </w:t>
      </w:r>
      <w:r w:rsidRPr="00E265DE">
        <w:rPr>
          <w:rFonts w:ascii="Calibri" w:eastAsia="Times New Roman" w:hAnsi="Calibri"/>
          <w:b w:val="0"/>
          <w:bCs/>
          <w:color w:val="000000"/>
        </w:rPr>
        <w:t>Washington D.C.: World Bank.</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(2007). </w:t>
      </w:r>
      <w:r w:rsidRPr="00E265DE">
        <w:rPr>
          <w:rFonts w:ascii="Calibri" w:eastAsia="Times New Roman" w:hAnsi="Calibri"/>
          <w:b w:val="0"/>
          <w:bCs/>
          <w:i/>
          <w:iCs/>
          <w:color w:val="000000"/>
        </w:rPr>
        <w:t xml:space="preserve">10 years of experience in Carbon Finance. Insights from working with the Kyoto mechanism. </w:t>
      </w:r>
      <w:r w:rsidRPr="00E265DE">
        <w:rPr>
          <w:rFonts w:ascii="Calibri" w:eastAsia="Times New Roman" w:hAnsi="Calibri"/>
          <w:b w:val="0"/>
          <w:bCs/>
          <w:color w:val="000000"/>
        </w:rPr>
        <w:t xml:space="preserve">Washington, D.C.: World Bank.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(2008). </w:t>
      </w:r>
      <w:r w:rsidRPr="00E265DE">
        <w:rPr>
          <w:rFonts w:ascii="Calibri" w:eastAsia="Times New Roman" w:hAnsi="Calibri"/>
          <w:b w:val="0"/>
          <w:bCs/>
          <w:i/>
          <w:iCs/>
          <w:color w:val="000000"/>
        </w:rPr>
        <w:t>International trade and climate change. Economic, legal and institutional perspectives.</w:t>
      </w:r>
      <w:r w:rsidRPr="00E265DE">
        <w:rPr>
          <w:rFonts w:ascii="Calibri" w:eastAsia="Times New Roman" w:hAnsi="Calibri"/>
          <w:b w:val="0"/>
          <w:bCs/>
          <w:color w:val="000000"/>
        </w:rPr>
        <w:t xml:space="preserve"> Washington, D.C.: World Bank.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(2015). </w:t>
      </w:r>
      <w:r w:rsidRPr="00E265DE">
        <w:rPr>
          <w:rFonts w:ascii="Calibri" w:eastAsia="Times New Roman" w:hAnsi="Calibri"/>
          <w:b w:val="0"/>
          <w:bCs/>
          <w:i/>
          <w:iCs/>
          <w:color w:val="000000"/>
        </w:rPr>
        <w:t xml:space="preserve">‘Historic’ Paris Agreement paves way for World Bank to help countries deliver on climate commitments. </w:t>
      </w:r>
      <w:r w:rsidRPr="00E265DE">
        <w:rPr>
          <w:rFonts w:ascii="Calibri" w:eastAsia="Times New Roman" w:hAnsi="Calibri"/>
          <w:b w:val="0"/>
          <w:bCs/>
          <w:color w:val="000000"/>
        </w:rPr>
        <w:t xml:space="preserve">Retrieved July 19, 2018, from http://www.worldbank.org/en/news/feature/2015/12/12/paris-agreement-paves-way-for-world-bank-group-helping-countries-deliver-on-climate-commitments.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(2016a). </w:t>
      </w:r>
      <w:r w:rsidRPr="00E265DE">
        <w:rPr>
          <w:rFonts w:ascii="Calibri" w:eastAsia="Times New Roman" w:hAnsi="Calibri"/>
          <w:b w:val="0"/>
          <w:bCs/>
          <w:i/>
          <w:iCs/>
          <w:color w:val="000000"/>
        </w:rPr>
        <w:t xml:space="preserve">Statement from World Bank Group President Jim Yong Kim on the Entry into Force of the Paris Climate Change Agreement. </w:t>
      </w:r>
      <w:r w:rsidRPr="00E265DE">
        <w:rPr>
          <w:rFonts w:ascii="Calibri" w:eastAsia="Times New Roman" w:hAnsi="Calibri"/>
          <w:b w:val="0"/>
          <w:bCs/>
          <w:color w:val="000000"/>
        </w:rPr>
        <w:t xml:space="preserve">Retrieved April 20, 2017, from http://www.worldbank.org/en/news/press-release/2016/11/03/statement-from-world-bank-group-president-jim-yong-kim-on-the-entry-into-force-of-the-paris-climate-change-agreement.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(2016b). </w:t>
      </w:r>
      <w:r w:rsidRPr="00E265DE">
        <w:rPr>
          <w:rFonts w:ascii="Calibri" w:eastAsia="Times New Roman" w:hAnsi="Calibri"/>
          <w:b w:val="0"/>
          <w:bCs/>
          <w:i/>
          <w:iCs/>
          <w:color w:val="000000"/>
        </w:rPr>
        <w:t>World Bank Group climate change action plan.</w:t>
      </w:r>
      <w:r w:rsidRPr="00E265DE">
        <w:rPr>
          <w:rFonts w:ascii="Calibri" w:eastAsia="Times New Roman" w:hAnsi="Calibri"/>
          <w:b w:val="0"/>
          <w:bCs/>
          <w:color w:val="000000"/>
        </w:rPr>
        <w:t xml:space="preserve"> Washington, D.C.: World Bank.</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(2017a). </w:t>
      </w:r>
      <w:r w:rsidRPr="00E265DE">
        <w:rPr>
          <w:rFonts w:ascii="Calibri" w:eastAsia="Times New Roman" w:hAnsi="Calibri"/>
          <w:b w:val="0"/>
          <w:bCs/>
          <w:i/>
          <w:iCs/>
          <w:color w:val="000000"/>
        </w:rPr>
        <w:t>Global Reach Map.</w:t>
      </w:r>
      <w:r w:rsidRPr="00E265DE">
        <w:rPr>
          <w:rFonts w:ascii="Calibri" w:eastAsia="Times New Roman" w:hAnsi="Calibri"/>
          <w:b w:val="0"/>
          <w:bCs/>
          <w:color w:val="000000"/>
        </w:rPr>
        <w:t xml:space="preserve"> Retrieved April 11, 2017, from http://maps.worldbank.org/p2e/mcmap/map.html?code=&amp;level=&amp;indicatorcode=0553&amp;title=Global&amp;org=ibrd.</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(2017b). </w:t>
      </w:r>
      <w:r w:rsidRPr="00E265DE">
        <w:rPr>
          <w:rFonts w:ascii="Calibri" w:eastAsia="Times New Roman" w:hAnsi="Calibri"/>
          <w:b w:val="0"/>
          <w:bCs/>
          <w:i/>
          <w:iCs/>
          <w:color w:val="000000"/>
        </w:rPr>
        <w:t>Roadmap for a sustainable financial system.</w:t>
      </w:r>
      <w:r w:rsidRPr="00E265DE">
        <w:rPr>
          <w:rFonts w:ascii="Calibri" w:eastAsia="Times New Roman" w:hAnsi="Calibri"/>
          <w:b w:val="0"/>
          <w:bCs/>
          <w:color w:val="000000"/>
        </w:rPr>
        <w:t xml:space="preserve"> Retrieved July 20, 2018, from http://documents.worldbank.org/curated/en/903601510548466486/pdf/121283-12-11-2017-15-33-33-RoadmapforaSustainableFinancialSystem.pdf.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Bank (2018). </w:t>
      </w:r>
      <w:r w:rsidRPr="00E265DE">
        <w:rPr>
          <w:rFonts w:ascii="Calibri" w:eastAsia="Times New Roman" w:hAnsi="Calibri"/>
          <w:b w:val="0"/>
          <w:bCs/>
          <w:i/>
          <w:iCs/>
          <w:color w:val="000000"/>
        </w:rPr>
        <w:t>Policies and Procedures.</w:t>
      </w:r>
      <w:r w:rsidRPr="00E265DE">
        <w:rPr>
          <w:rFonts w:ascii="Calibri" w:eastAsia="Times New Roman" w:hAnsi="Calibri"/>
          <w:b w:val="0"/>
          <w:bCs/>
          <w:color w:val="000000"/>
        </w:rPr>
        <w:t xml:space="preserve"> Retrieved July 1, 2018 from https://policies.worldbank.org/sites/ppf3/Pages/Manuals/Operational%20Manual.aspx. </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World Resources Institute (2013, March 6). </w:t>
      </w:r>
      <w:r w:rsidRPr="00E265DE">
        <w:rPr>
          <w:rFonts w:ascii="Calibri" w:eastAsia="Times New Roman" w:hAnsi="Calibri"/>
          <w:b w:val="0"/>
          <w:bCs/>
          <w:i/>
          <w:iCs/>
          <w:color w:val="000000"/>
        </w:rPr>
        <w:t xml:space="preserve">Developed Nations Must Reduce Emissions by Half by 2020, Says New Study. </w:t>
      </w:r>
      <w:r w:rsidRPr="00E265DE">
        <w:rPr>
          <w:rFonts w:ascii="Calibri" w:eastAsia="Times New Roman" w:hAnsi="Calibri"/>
          <w:b w:val="0"/>
          <w:bCs/>
          <w:color w:val="000000"/>
        </w:rPr>
        <w:t>Retrieved April 11, 2017, from http://www.wri.org/blog/2013/03/developed-nations-must-reduce-emissions-half-2020-says-new-study-0.</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color w:val="000000"/>
        </w:rPr>
        <w:t>Z</w:t>
      </w:r>
    </w:p>
    <w:p w:rsidR="00E265DE" w:rsidRPr="00E265DE" w:rsidRDefault="00E265DE" w:rsidP="001179BB">
      <w:pPr>
        <w:spacing w:line="276" w:lineRule="auto"/>
        <w:rPr>
          <w:rFonts w:ascii="Times New Roman" w:eastAsia="Times New Roman" w:hAnsi="Times New Roman"/>
          <w:b w:val="0"/>
          <w:bCs/>
          <w:sz w:val="24"/>
          <w:szCs w:val="24"/>
        </w:rPr>
      </w:pPr>
    </w:p>
    <w:p w:rsidR="00E265DE" w:rsidRPr="00E265DE" w:rsidRDefault="00E265DE" w:rsidP="001179BB">
      <w:pPr>
        <w:spacing w:line="276" w:lineRule="auto"/>
        <w:rPr>
          <w:rFonts w:ascii="Times New Roman" w:eastAsia="Times New Roman" w:hAnsi="Times New Roman"/>
          <w:b w:val="0"/>
          <w:bCs/>
          <w:sz w:val="24"/>
          <w:szCs w:val="24"/>
        </w:rPr>
      </w:pPr>
      <w:r w:rsidRPr="00E265DE">
        <w:rPr>
          <w:rFonts w:ascii="Calibri" w:eastAsia="Times New Roman" w:hAnsi="Calibri"/>
          <w:b w:val="0"/>
          <w:bCs/>
          <w:color w:val="000000"/>
        </w:rPr>
        <w:t xml:space="preserve">Zimmermann, L. (2016). Same Same of Different? Norm Diffusion Between Resistance, Compliance, and Localization in Post-conflict States. </w:t>
      </w:r>
      <w:r w:rsidRPr="00E265DE">
        <w:rPr>
          <w:rFonts w:ascii="Calibri" w:eastAsia="Times New Roman" w:hAnsi="Calibri"/>
          <w:b w:val="0"/>
          <w:bCs/>
          <w:i/>
          <w:iCs/>
          <w:color w:val="000000"/>
        </w:rPr>
        <w:t>International Studies Perspectives, 17</w:t>
      </w:r>
      <w:r w:rsidRPr="00E265DE">
        <w:rPr>
          <w:rFonts w:ascii="Calibri" w:eastAsia="Times New Roman" w:hAnsi="Calibri"/>
          <w:b w:val="0"/>
          <w:bCs/>
          <w:color w:val="000000"/>
        </w:rPr>
        <w:t>(1), pp. 98-115.</w:t>
      </w:r>
    </w:p>
    <w:p w:rsidR="001179BB" w:rsidRDefault="001179BB">
      <w:pPr>
        <w:suppressAutoHyphens w:val="0"/>
        <w:spacing w:after="200" w:line="276" w:lineRule="auto"/>
        <w:jc w:val="left"/>
        <w:rPr>
          <w:rFonts w:ascii="Calibri" w:eastAsia="Times New Roman" w:hAnsi="Calibri"/>
          <w:color w:val="000000"/>
          <w:sz w:val="28"/>
          <w:szCs w:val="28"/>
        </w:rPr>
      </w:pPr>
      <w:r>
        <w:rPr>
          <w:rFonts w:ascii="Calibri" w:eastAsia="Times New Roman" w:hAnsi="Calibri"/>
          <w:color w:val="000000"/>
          <w:sz w:val="28"/>
          <w:szCs w:val="28"/>
        </w:rPr>
        <w:br w:type="page"/>
      </w:r>
    </w:p>
    <w:p w:rsidR="00E265DE" w:rsidRPr="00E265DE" w:rsidRDefault="00E265DE" w:rsidP="001F490E">
      <w:pPr>
        <w:numPr>
          <w:ilvl w:val="0"/>
          <w:numId w:val="17"/>
        </w:numPr>
        <w:spacing w:line="360" w:lineRule="auto"/>
        <w:textAlignment w:val="baseline"/>
        <w:rPr>
          <w:rFonts w:ascii="Calibri" w:eastAsia="Times New Roman" w:hAnsi="Calibri"/>
          <w:color w:val="000000"/>
          <w:sz w:val="28"/>
          <w:szCs w:val="28"/>
        </w:rPr>
      </w:pPr>
      <w:r w:rsidRPr="00E265DE">
        <w:rPr>
          <w:rFonts w:ascii="Calibri" w:eastAsia="Times New Roman" w:hAnsi="Calibri"/>
          <w:color w:val="000000"/>
          <w:sz w:val="28"/>
          <w:szCs w:val="28"/>
        </w:rPr>
        <w:t>Annex</w:t>
      </w:r>
    </w:p>
    <w:p w:rsidR="00E265DE" w:rsidRPr="00E265DE" w:rsidRDefault="00E265DE" w:rsidP="0040375D">
      <w:pPr>
        <w:spacing w:line="360" w:lineRule="auto"/>
        <w:rPr>
          <w:rFonts w:ascii="Times New Roman" w:eastAsia="Times New Roman" w:hAnsi="Times New Roman"/>
          <w:b w:val="0"/>
          <w:bCs/>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9576"/>
      </w:tblGrid>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jc w:val="center"/>
              <w:rPr>
                <w:rFonts w:ascii="Times New Roman" w:eastAsia="Times New Roman" w:hAnsi="Times New Roman"/>
                <w:b w:val="0"/>
                <w:bCs/>
                <w:sz w:val="24"/>
                <w:szCs w:val="24"/>
              </w:rPr>
            </w:pPr>
            <w:r w:rsidRPr="00E265DE">
              <w:rPr>
                <w:rFonts w:ascii="Calibri" w:eastAsia="Times New Roman" w:hAnsi="Calibri"/>
                <w:color w:val="000000"/>
              </w:rPr>
              <w:t>ANNEX I – selection of used World Bank publications on environment (selection since 2016)</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Environment: biodiversity</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little green data book 2017 (2017-07-10)</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Biodiversity offsets: a user guide (2016-10)</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Minimizing ecological damage from road improvement in tropical forests (2016-09)</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little green data book 2016 (2016-06-15)</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Economic boom or ecologic doom?: using spatial analysis to reconcile road development with forest conservation (2016-05-20)</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Strategy for adapting to climate change and conserving biodiversity in the Bangladesh Sundarbans (2016-05-14)</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Impact of climate change and aquatic salinization on fish habitats and poor communities in southwest coastal Bangladesh and Bagladesh Sundarbans (2016-03)</w:t>
            </w:r>
          </w:p>
          <w:p w:rsidR="00E265DE" w:rsidRPr="00E265DE" w:rsidRDefault="00E265DE" w:rsidP="001F490E">
            <w:pPr>
              <w:numPr>
                <w:ilvl w:val="0"/>
                <w:numId w:val="18"/>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An overview of agricultural pollution in the Philippines: the fisheries sector 2016</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Environment: brown issues and health</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Air pollution in Tehran: health costs, sources and policies (2018-04)</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Field burning (2018-03-23)</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Livestock wastes (2018-03-23)</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Household electrification and indoor air pollution (2017-11)</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Particulate matter and labor supply: the role of caregiving and non-linearities (2017-11)</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Disease control priorities, third edition: volume 7. Injury prevention and environmental health (2017-10-25)</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nexus of energy supply and human health (2017-06)</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Evaluating the potential returns to investing in green urban development in Durban (2017-04)</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Environmental assessment (2017-04)</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Manure management: an overview and assessment of policy instruments in the Netherlands (2017)</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Aquaculture pollution: an overview of issues with a focus on China, Vietnam and the Philippines (2017)</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An overview of agricultural pollution in Vietnam: the livestock sector (2017)</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cost of air pollution: strengthening the economic case for action (2016-09-08)</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Sustainable financing and policy models for municipal composting (2016-09)</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Can environmental policy reduce infant mortality?: evidence from the ganga pollution cases (2016-08)</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Methodology for valuing the health impacts of air pollution: discussion of challenges and proposed solutions (2016-06-23)</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Air pollution: evidence from the gulf environmental partnership and action program (2016-03)</w:t>
            </w:r>
          </w:p>
          <w:p w:rsidR="00E265DE" w:rsidRPr="00E265DE" w:rsidRDefault="00E265DE" w:rsidP="001F490E">
            <w:pPr>
              <w:numPr>
                <w:ilvl w:val="0"/>
                <w:numId w:val="19"/>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Contextual design an promotion of clean biomass stoves: the case of the Indonesia clean stove initiative (2016)</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Environment: carbon policy and trading</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Where is the carbon tax after thirty years of research? (2018-06)</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State and trends of carbon pricing 2018 (2018-05-22)</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Paris Climate Agreement and the global economy: winners and losers (2018-04)</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Blockchain and emerging digital technologies for enhancing post-2020 climate markets (2018-03)</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Thirsty energy: modelling the water-energy nexus in china (2018-03)</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When starting with the most expensive option makes sense: optimal timing, cost and sectoral allocation of abatement investment (2018-03)</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Effect of climate policies on labor markets in developing countries: review of the evidence and directions for future research (2018-02)</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Regional carbon pricing for international maritime transport: challenges and opportunities for global geographical coverage (2018-01)</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Does collective action sequester carbon? Evidence from the Nepal community forestry program (2018-01)</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State and trends of carbon pricing 2017 (2017-11)</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Understanding the interactions between emissions trading systems and renewable energy standards using a multi-regional CGE model of China (2017-08)</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World Bank CCS program activities in South Africa: results and lessons learned (2017-07)</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Overview of World Bank CCUS program activities in Mexico (2017-07)</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World Bank CCS program activities in Botswana – results an lessons learned (2017-07)</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growing role of minerals and metals for a low carbon future (2017-06-30)</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Carbon pricing watch 2017 (2017-05-22)</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 guide to greenhouse gas benchmarking for climate policy instruments (2017-04)</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Integration of carbon tax and carbon budgets in South Africa (2017-03-01)</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Carbon tax guide: a handbook for policy makers (2017-03)</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Climate investment opportunities in South Asia (2017)</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 case study on the development of technical guidelines for greenhouse gas reporting in South Africa (2016-12)</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Experience in developing legislation to support South Africa’s mandatory GHG emissions reporting program an national inventory data flow (2016-12)</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Pursuing an innovative development pathway: understanding China’s NDC (2016-11)</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Emissions trading registries: guidance on regulation, development and administration (2016-10)</w:t>
            </w:r>
          </w:p>
          <w:p w:rsidR="00E265DE" w:rsidRPr="00E265DE" w:rsidRDefault="00E265DE" w:rsidP="001F490E">
            <w:pPr>
              <w:numPr>
                <w:ilvl w:val="0"/>
                <w:numId w:val="20"/>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State and trends of carbon pricing 2016 (2016-10)</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lang w:val="fr-FR"/>
              </w:rPr>
            </w:pPr>
            <w:r w:rsidRPr="00E265DE">
              <w:rPr>
                <w:rFonts w:ascii="Calibri" w:eastAsia="Times New Roman" w:hAnsi="Calibri"/>
                <w:color w:val="000000"/>
                <w:lang w:val="fr-FR"/>
              </w:rPr>
              <w:t>Environment: climate change and environment</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Building back better: achieving resilience through stronger, faster and more inclusive post-disaster (2018-06-18)</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Kingdom of Morocco systematic country diagnostic: governing towards efficiency, equity, education an endurance (2018-06)</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An incomplete transition: overcoming the legacy of exclusion in South Africa (2018-04-30)</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Approaches to REDD+ Nesting: lessons learned from country experiences (2018-04-13)</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Incorporating environmental, social and governance factors into fixed income investment (2018-04)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Strengthening conflict sensitive approaches to climate change in MENA (2018-04)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Supporting road network vulnerability assessments in Pacific Island Countries (2018-04)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Republic of Liberia from growth to development: priorities for sustainably reducing poverty an achieving middle-income status by 2030 (2018-04)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Results and performance of the World Bank Group 2017: an independent evaluation (2018-03-07)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Safety nets and natural disaster mitigation: evidence from cyclone Phailin in Odisha (2018-03)</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An international framework for eco-industrial parks (2017-12)</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Burundi country environmental analysis: understanding the environment within the dynamics of a complex world – linkages to fragility, conflict, and climate change (2017-11-01)</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Managing climate change risks in Africa – a global perspective (2017-11)</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Accelerating climate-resilient and low-carbon development: second progress report on the implementation of the Africa Climate Business Plan (2017-11)</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Tracing back the weather origins of human welfare: evidence from Mozambique (2017-08)</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Jordan economic monitor, spring 2017: the green economic boost (2017-06-01)</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Results-based climate finance in practice: delivering climate finance for low-carbon development (2017-05)</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Igniting climate entrepreneurship in Morocco findings from the climate entrepreneurship and innovation ecosystem diagnostic (2017-04)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World Development indicators 2017 (2017-04)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State of knowledge on climate change, water, and economics (2017-04)</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Challenges in assessing the costs of household cooking energy in lower-income countries (2017-03)</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South Asia climate change risks in water management: climate risks and solutions – adaptation framework for water resources planning, development, and management in South Asia (2017)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Implementing nature based flood protection: principles and implementation guidance (2017)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Geographic hotspots for World Bank action on climate change and health (2017)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World Bank Group approach and action plan for climate change and health (2017)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Unbreakable: building the resilience of the poor in the face of natural disasters (2017)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Climate-smart healthcare: low-carbon and resilience strategies for the health sector (2017)</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Biodiversity offsets: a user guide (2016-10)</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Green incentives for climate competitive industries: a practitioner’s handbook (2016)</w:t>
            </w:r>
          </w:p>
          <w:p w:rsidR="00E265DE" w:rsidRPr="00E265DE" w:rsidRDefault="00E265DE" w:rsidP="001F490E">
            <w:pPr>
              <w:numPr>
                <w:ilvl w:val="0"/>
                <w:numId w:val="21"/>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Shock waves: managing the impacts of climate change on poverty (2016)</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Environment: climate change impacts</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Groundswell: preparing for internal climate migration (2018-03-19)</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South Asia’s hot spots: the impact of temperature and precipitation changes on living standards (2018)</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Quantitative analysis of the impact of floods in Bolivia (2017-12)</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impact of hurricane strikes on short-term local economic activity: evidence from nightlight images in the Dominican Republic (2017-12)</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Resilience or resignation: facing droughts and floods in rural, poor Bolivia (2017-12)</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Extractive industries in forest landscapes: options for synergy with REDD+ and development of standards in the Democratic Republic of Congo (2017-12)</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macroeconomic impact of future water scarcity: an assessment of alternative scenarios (2017-11)</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Toward integrated disaster risk management in Vietnam: recommendations based on the drought and saltwater intrusion crises and the case for investing in longer-term resilience (2017-10-13)</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Climate vulnerability assessment: making Fiji climate resilient (2017-10-01)</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Natural disaster damage indices based on remotely sensed data: an application to Indonesia (2017-09)</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impact of aquatic salinization on fish habitats and poor communities in a changing climate: evidence from Southwest Coastal Bangladesh (2017-09)</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Climate change and Disaster management (2017-08-01)</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Climate resilience in Africa: the role of cooperation around transboundary waters (2017-06-27)</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Simulating the macroeconomic impact of future water scarcity (2017-02-08)</w:t>
            </w:r>
          </w:p>
          <w:p w:rsidR="00E265DE" w:rsidRPr="00E265DE" w:rsidRDefault="00E265DE" w:rsidP="001F490E">
            <w:pPr>
              <w:numPr>
                <w:ilvl w:val="0"/>
                <w:numId w:val="22"/>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Physical impacts of climate change on water resources (2017-02-08)</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40375D">
            <w:pPr>
              <w:spacing w:line="360" w:lineRule="auto"/>
              <w:rPr>
                <w:rFonts w:ascii="Times New Roman" w:eastAsia="Times New Roman" w:hAnsi="Times New Roman"/>
                <w:b w:val="0"/>
                <w:bCs/>
                <w:sz w:val="24"/>
                <w:szCs w:val="24"/>
              </w:rPr>
            </w:pPr>
          </w:p>
          <w:p w:rsidR="00E265DE" w:rsidRPr="00E265DE" w:rsidRDefault="00E265DE" w:rsidP="0040375D">
            <w:pPr>
              <w:spacing w:line="360" w:lineRule="auto"/>
              <w:rPr>
                <w:rFonts w:ascii="Times New Roman" w:eastAsia="Times New Roman" w:hAnsi="Times New Roman"/>
                <w:b w:val="0"/>
                <w:bCs/>
                <w:sz w:val="24"/>
                <w:szCs w:val="24"/>
              </w:rPr>
            </w:pPr>
            <w:r w:rsidRPr="00E265DE">
              <w:rPr>
                <w:rFonts w:ascii="Calibri" w:eastAsia="Times New Roman" w:hAnsi="Calibri"/>
                <w:color w:val="000000"/>
              </w:rPr>
              <w:t>Climate finance</w:t>
            </w:r>
          </w:p>
        </w:tc>
      </w:tr>
      <w:tr w:rsidR="00E265DE" w:rsidRPr="00E265DE" w:rsidTr="00E265D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65DE" w:rsidRPr="00E265DE" w:rsidRDefault="00E265DE" w:rsidP="001F490E">
            <w:pPr>
              <w:numPr>
                <w:ilvl w:val="0"/>
                <w:numId w:val="23"/>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The changing wealth of nations 2018: building a sustainable future (2018)</w:t>
            </w:r>
          </w:p>
          <w:p w:rsidR="00E265DE" w:rsidRPr="00E265DE" w:rsidRDefault="00E265DE" w:rsidP="001F490E">
            <w:pPr>
              <w:numPr>
                <w:ilvl w:val="0"/>
                <w:numId w:val="23"/>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Roadmap for a sustainable financial system (2017-11-01)</w:t>
            </w:r>
          </w:p>
          <w:p w:rsidR="00E265DE" w:rsidRPr="00E265DE" w:rsidRDefault="00E265DE" w:rsidP="001F490E">
            <w:pPr>
              <w:numPr>
                <w:ilvl w:val="0"/>
                <w:numId w:val="23"/>
              </w:numPr>
              <w:spacing w:line="360" w:lineRule="auto"/>
              <w:textAlignment w:val="baseline"/>
              <w:rPr>
                <w:rFonts w:ascii="Calibri" w:eastAsia="Times New Roman" w:hAnsi="Calibri"/>
                <w:b w:val="0"/>
                <w:bCs/>
                <w:color w:val="000000"/>
              </w:rPr>
            </w:pPr>
            <w:r w:rsidRPr="00E265DE">
              <w:rPr>
                <w:rFonts w:ascii="Calibri" w:eastAsia="Times New Roman" w:hAnsi="Calibri"/>
                <w:b w:val="0"/>
                <w:bCs/>
                <w:color w:val="000000"/>
              </w:rPr>
              <w:t>Guidance for sovereign green bond issuers: with lessons from Fiji’s first emerging economy sovereign green bond (2018)</w:t>
            </w:r>
          </w:p>
        </w:tc>
      </w:tr>
    </w:tbl>
    <w:p w:rsidR="00ED4D00" w:rsidRPr="00E265DE" w:rsidRDefault="00ED4D00" w:rsidP="0040375D">
      <w:pPr>
        <w:spacing w:line="360" w:lineRule="auto"/>
      </w:pPr>
    </w:p>
    <w:sectPr w:rsidR="00ED4D00" w:rsidRPr="00E265DE" w:rsidSect="00E265DE">
      <w:headerReference w:type="default" r:id="rId9"/>
      <w:footerReference w:type="default" r:id="rId1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490E" w:rsidRDefault="001F490E" w:rsidP="00E265DE">
      <w:pPr>
        <w:spacing w:line="240" w:lineRule="auto"/>
      </w:pPr>
      <w:r>
        <w:separator/>
      </w:r>
    </w:p>
  </w:endnote>
  <w:endnote w:type="continuationSeparator" w:id="0">
    <w:p w:rsidR="001F490E" w:rsidRDefault="001F490E" w:rsidP="00E265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4459408"/>
      <w:docPartObj>
        <w:docPartGallery w:val="Page Numbers (Bottom of Page)"/>
        <w:docPartUnique/>
      </w:docPartObj>
    </w:sdtPr>
    <w:sdtEndPr>
      <w:rPr>
        <w:noProof/>
      </w:rPr>
    </w:sdtEndPr>
    <w:sdtContent>
      <w:p w:rsidR="00E265DE" w:rsidRDefault="00E265DE">
        <w:pPr>
          <w:pStyle w:val="Footer"/>
          <w:jc w:val="right"/>
        </w:pPr>
        <w:r>
          <w:fldChar w:fldCharType="begin"/>
        </w:r>
        <w:r>
          <w:instrText xml:space="preserve"> PAGE   \* MERGEFORMAT </w:instrText>
        </w:r>
        <w:r>
          <w:fldChar w:fldCharType="separate"/>
        </w:r>
        <w:r w:rsidR="001179BB">
          <w:rPr>
            <w:noProof/>
          </w:rPr>
          <w:t>54</w:t>
        </w:r>
        <w:r>
          <w:rPr>
            <w:noProof/>
          </w:rPr>
          <w:fldChar w:fldCharType="end"/>
        </w:r>
      </w:p>
    </w:sdtContent>
  </w:sdt>
  <w:p w:rsidR="00E265DE" w:rsidRDefault="00E265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490E" w:rsidRDefault="001F490E" w:rsidP="00E265DE">
      <w:pPr>
        <w:spacing w:line="240" w:lineRule="auto"/>
      </w:pPr>
      <w:r>
        <w:separator/>
      </w:r>
    </w:p>
  </w:footnote>
  <w:footnote w:type="continuationSeparator" w:id="0">
    <w:p w:rsidR="001F490E" w:rsidRDefault="001F490E" w:rsidP="00E265D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65DE" w:rsidRPr="00E265DE" w:rsidRDefault="00E265DE">
    <w:pPr>
      <w:pStyle w:val="Header"/>
      <w:rPr>
        <w:sz w:val="18"/>
      </w:rPr>
    </w:pPr>
    <w:r w:rsidRPr="00E265DE">
      <w:rPr>
        <w:sz w:val="18"/>
      </w:rPr>
      <w:t>MASTER THES</w:t>
    </w:r>
    <w:r>
      <w:rPr>
        <w:sz w:val="18"/>
      </w:rPr>
      <w:t>IS IN INTERNATIONAL RELATIONS /</w:t>
    </w:r>
    <w:r w:rsidRPr="00E265DE">
      <w:rPr>
        <w:sz w:val="18"/>
      </w:rPr>
      <w:t xml:space="preserve"> N. </w:t>
    </w:r>
    <w:r>
      <w:rPr>
        <w:sz w:val="18"/>
      </w:rPr>
      <w:t xml:space="preserve">KUSTERS / </w:t>
    </w:r>
    <w:r w:rsidRPr="00E265DE">
      <w:rPr>
        <w:sz w:val="18"/>
      </w:rPr>
      <w:t>S4234650</w:t>
    </w:r>
    <w:r>
      <w:rPr>
        <w:sz w:val="18"/>
      </w:rPr>
      <w:t xml:space="preserve"> / RADBOUD UNIVERSITY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71D6C"/>
    <w:multiLevelType w:val="multilevel"/>
    <w:tmpl w:val="BD5A9B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6763F9"/>
    <w:multiLevelType w:val="multilevel"/>
    <w:tmpl w:val="9EC6C214"/>
    <w:name w:val="LL_NumA"/>
    <w:lvl w:ilvl="0">
      <w:start w:val="1"/>
      <w:numFmt w:val="lowerLetter"/>
      <w:pStyle w:val="LLNuma"/>
      <w:lvlText w:val="(%1)"/>
      <w:lvlJc w:val="left"/>
      <w:pPr>
        <w:tabs>
          <w:tab w:val="num" w:pos="851"/>
        </w:tabs>
        <w:ind w:left="851" w:hanging="851"/>
      </w:pPr>
      <w:rPr>
        <w:rFonts w:hint="default"/>
      </w:rPr>
    </w:lvl>
    <w:lvl w:ilvl="1">
      <w:start w:val="1"/>
      <w:numFmt w:val="lowerRoman"/>
      <w:lvlText w:val="(%2)"/>
      <w:lvlJc w:val="left"/>
      <w:pPr>
        <w:tabs>
          <w:tab w:val="num" w:pos="1418"/>
        </w:tabs>
        <w:ind w:left="1418" w:hanging="567"/>
      </w:pPr>
      <w:rPr>
        <w:rFonts w:hint="default"/>
      </w:rPr>
    </w:lvl>
    <w:lvl w:ilvl="2">
      <w:start w:val="1"/>
      <w:numFmt w:val="bullet"/>
      <w:lvlText w:val="-"/>
      <w:lvlJc w:val="left"/>
      <w:pPr>
        <w:tabs>
          <w:tab w:val="num" w:pos="1985"/>
        </w:tabs>
        <w:ind w:left="1985" w:hanging="567"/>
      </w:pPr>
      <w:rPr>
        <w:rFonts w:ascii="Garamond" w:hAnsi="Garamond" w:hint="default"/>
      </w:rPr>
    </w:lvl>
    <w:lvl w:ilvl="3">
      <w:start w:val="1"/>
      <w:numFmt w:val="bullet"/>
      <w:lvlText w:val="-"/>
      <w:lvlJc w:val="left"/>
      <w:pPr>
        <w:tabs>
          <w:tab w:val="num" w:pos="2552"/>
        </w:tabs>
        <w:ind w:left="2552" w:hanging="567"/>
      </w:pPr>
      <w:rPr>
        <w:rFonts w:ascii="Garamond" w:hAnsi="Garamond" w:hint="default"/>
      </w:rPr>
    </w:lvl>
    <w:lvl w:ilvl="4">
      <w:start w:val="1"/>
      <w:numFmt w:val="bullet"/>
      <w:lvlText w:val="-"/>
      <w:lvlJc w:val="left"/>
      <w:pPr>
        <w:tabs>
          <w:tab w:val="num" w:pos="3119"/>
        </w:tabs>
        <w:ind w:left="3119" w:hanging="567"/>
      </w:pPr>
      <w:rPr>
        <w:rFonts w:ascii="Garamond" w:hAnsi="Garamond"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
    <w:nsid w:val="04C771D6"/>
    <w:multiLevelType w:val="multilevel"/>
    <w:tmpl w:val="D11CB3C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2D2E95"/>
    <w:multiLevelType w:val="multilevel"/>
    <w:tmpl w:val="9796CA7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8A1379"/>
    <w:multiLevelType w:val="multilevel"/>
    <w:tmpl w:val="740422F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0B1164D"/>
    <w:multiLevelType w:val="multilevel"/>
    <w:tmpl w:val="7256AD5E"/>
    <w:name w:val="LL_Dash"/>
    <w:lvl w:ilvl="0">
      <w:start w:val="1"/>
      <w:numFmt w:val="bullet"/>
      <w:pStyle w:val="LLDash1"/>
      <w:lvlText w:val=""/>
      <w:lvlJc w:val="left"/>
      <w:pPr>
        <w:tabs>
          <w:tab w:val="num" w:pos="851"/>
        </w:tabs>
        <w:ind w:left="851" w:hanging="851"/>
      </w:pPr>
      <w:rPr>
        <w:rFonts w:ascii="Symbol" w:hAnsi="Symbol" w:hint="default"/>
        <w:color w:val="auto"/>
      </w:rPr>
    </w:lvl>
    <w:lvl w:ilvl="1">
      <w:start w:val="1"/>
      <w:numFmt w:val="bullet"/>
      <w:pStyle w:val="LLDash2"/>
      <w:lvlText w:val=""/>
      <w:lvlJc w:val="left"/>
      <w:pPr>
        <w:tabs>
          <w:tab w:val="num" w:pos="1418"/>
        </w:tabs>
        <w:ind w:left="1418" w:hanging="567"/>
      </w:pPr>
      <w:rPr>
        <w:rFonts w:ascii="Symbol" w:hAnsi="Symbol" w:hint="default"/>
        <w:color w:val="auto"/>
      </w:rPr>
    </w:lvl>
    <w:lvl w:ilvl="2">
      <w:start w:val="1"/>
      <w:numFmt w:val="bullet"/>
      <w:pStyle w:val="LLDash3"/>
      <w:lvlText w:val=""/>
      <w:lvlJc w:val="left"/>
      <w:pPr>
        <w:tabs>
          <w:tab w:val="num" w:pos="1985"/>
        </w:tabs>
        <w:ind w:left="1985" w:hanging="567"/>
      </w:pPr>
      <w:rPr>
        <w:rFonts w:ascii="Symbol" w:hAnsi="Symbol" w:hint="default"/>
        <w:color w:val="auto"/>
      </w:rPr>
    </w:lvl>
    <w:lvl w:ilvl="3">
      <w:start w:val="1"/>
      <w:numFmt w:val="bullet"/>
      <w:pStyle w:val="LLDash4"/>
      <w:lvlText w:val=""/>
      <w:lvlJc w:val="left"/>
      <w:pPr>
        <w:tabs>
          <w:tab w:val="num" w:pos="2552"/>
        </w:tabs>
        <w:ind w:left="2552" w:hanging="567"/>
      </w:pPr>
      <w:rPr>
        <w:rFonts w:ascii="Symbol" w:hAnsi="Symbol" w:hint="default"/>
        <w:color w:val="auto"/>
      </w:rPr>
    </w:lvl>
    <w:lvl w:ilvl="4">
      <w:start w:val="1"/>
      <w:numFmt w:val="bullet"/>
      <w:pStyle w:val="LLDash5"/>
      <w:lvlText w:val=""/>
      <w:lvlJc w:val="left"/>
      <w:pPr>
        <w:tabs>
          <w:tab w:val="num" w:pos="3119"/>
        </w:tabs>
        <w:ind w:left="3119" w:hanging="567"/>
      </w:pPr>
      <w:rPr>
        <w:rFonts w:ascii="Symbol" w:hAnsi="Symbol" w:hint="default"/>
        <w:color w:val="auto"/>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6">
    <w:nsid w:val="13316445"/>
    <w:multiLevelType w:val="multilevel"/>
    <w:tmpl w:val="D9949A2C"/>
    <w:lvl w:ilvl="0">
      <w:start w:val="3"/>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13CC36E5"/>
    <w:multiLevelType w:val="multilevel"/>
    <w:tmpl w:val="453205D6"/>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67E0703"/>
    <w:multiLevelType w:val="multilevel"/>
    <w:tmpl w:val="DE2617E2"/>
    <w:name w:val="LL_Num123ab"/>
    <w:lvl w:ilvl="0">
      <w:start w:val="1"/>
      <w:numFmt w:val="decimal"/>
      <w:pStyle w:val="LLNum123ab1"/>
      <w:lvlText w:val="%1"/>
      <w:lvlJc w:val="left"/>
      <w:pPr>
        <w:tabs>
          <w:tab w:val="num" w:pos="851"/>
        </w:tabs>
        <w:ind w:left="851" w:hanging="851"/>
      </w:pPr>
      <w:rPr>
        <w:rFonts w:hint="default"/>
      </w:rPr>
    </w:lvl>
    <w:lvl w:ilvl="1">
      <w:start w:val="1"/>
      <w:numFmt w:val="lowerLetter"/>
      <w:pStyle w:val="LLNum123ab2"/>
      <w:lvlText w:val="(%2)"/>
      <w:lvlJc w:val="left"/>
      <w:pPr>
        <w:tabs>
          <w:tab w:val="num" w:pos="1418"/>
        </w:tabs>
        <w:ind w:left="1418" w:hanging="567"/>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9">
    <w:nsid w:val="1B745491"/>
    <w:multiLevelType w:val="multilevel"/>
    <w:tmpl w:val="F6CEC48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C4E17C8"/>
    <w:multiLevelType w:val="multilevel"/>
    <w:tmpl w:val="FB3A771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AA82F04"/>
    <w:multiLevelType w:val="multilevel"/>
    <w:tmpl w:val="B36E2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2E6546"/>
    <w:multiLevelType w:val="multilevel"/>
    <w:tmpl w:val="D19E50CA"/>
    <w:lvl w:ilvl="0">
      <w:start w:val="4"/>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30F27CE6"/>
    <w:multiLevelType w:val="multilevel"/>
    <w:tmpl w:val="A8B6B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1CF081E"/>
    <w:multiLevelType w:val="multilevel"/>
    <w:tmpl w:val="461CF15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62D1BD4"/>
    <w:multiLevelType w:val="multilevel"/>
    <w:tmpl w:val="A5A640B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6867335"/>
    <w:multiLevelType w:val="multilevel"/>
    <w:tmpl w:val="FD649E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7A61CF9"/>
    <w:multiLevelType w:val="multilevel"/>
    <w:tmpl w:val="4D1EDD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C327BCA"/>
    <w:multiLevelType w:val="multilevel"/>
    <w:tmpl w:val="9F864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3107F97"/>
    <w:multiLevelType w:val="multilevel"/>
    <w:tmpl w:val="3AB8F2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43CD530A"/>
    <w:multiLevelType w:val="multilevel"/>
    <w:tmpl w:val="BFF227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46C52D06"/>
    <w:multiLevelType w:val="multilevel"/>
    <w:tmpl w:val="E132EAC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89F4CE1"/>
    <w:multiLevelType w:val="multilevel"/>
    <w:tmpl w:val="1C2AC41C"/>
    <w:name w:val="LL_NumdefA"/>
    <w:lvl w:ilvl="0">
      <w:start w:val="1"/>
      <w:numFmt w:val="lowerLetter"/>
      <w:pStyle w:val="LLNumDefa"/>
      <w:lvlText w:val="(%1)"/>
      <w:lvlJc w:val="left"/>
      <w:pPr>
        <w:tabs>
          <w:tab w:val="num" w:pos="851"/>
        </w:tabs>
        <w:ind w:left="851" w:hanging="851"/>
      </w:pPr>
      <w:rPr>
        <w:rFonts w:hint="default"/>
      </w:rPr>
    </w:lvl>
    <w:lvl w:ilvl="1">
      <w:start w:val="1"/>
      <w:numFmt w:val="lowerRoman"/>
      <w:lvlText w:val="(%2)"/>
      <w:lvlJc w:val="left"/>
      <w:pPr>
        <w:tabs>
          <w:tab w:val="num" w:pos="1418"/>
        </w:tabs>
        <w:ind w:left="1418" w:hanging="567"/>
      </w:pPr>
      <w:rPr>
        <w:rFonts w:hint="default"/>
      </w:rPr>
    </w:lvl>
    <w:lvl w:ilvl="2">
      <w:start w:val="1"/>
      <w:numFmt w:val="bullet"/>
      <w:lvlText w:val="-"/>
      <w:lvlJc w:val="left"/>
      <w:pPr>
        <w:tabs>
          <w:tab w:val="num" w:pos="1985"/>
        </w:tabs>
        <w:ind w:left="1985" w:hanging="567"/>
      </w:pPr>
      <w:rPr>
        <w:rFonts w:ascii="Garamond" w:hAnsi="Garamond" w:hint="default"/>
      </w:rPr>
    </w:lvl>
    <w:lvl w:ilvl="3">
      <w:start w:val="1"/>
      <w:numFmt w:val="bullet"/>
      <w:lvlText w:val="-"/>
      <w:lvlJc w:val="left"/>
      <w:pPr>
        <w:tabs>
          <w:tab w:val="num" w:pos="2552"/>
        </w:tabs>
        <w:ind w:left="2552" w:hanging="567"/>
      </w:pPr>
      <w:rPr>
        <w:rFonts w:ascii="Garamond" w:hAnsi="Garamond"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23">
    <w:nsid w:val="4CB91956"/>
    <w:multiLevelType w:val="multilevel"/>
    <w:tmpl w:val="F7FC415E"/>
    <w:name w:val="LL_NumIndentA"/>
    <w:lvl w:ilvl="0">
      <w:start w:val="1"/>
      <w:numFmt w:val="lowerLetter"/>
      <w:pStyle w:val="LLNumIndenta"/>
      <w:lvlText w:val="(%1)"/>
      <w:lvlJc w:val="left"/>
      <w:pPr>
        <w:tabs>
          <w:tab w:val="num" w:pos="1418"/>
        </w:tabs>
        <w:ind w:left="1418" w:hanging="567"/>
      </w:pPr>
      <w:rPr>
        <w:rFonts w:hint="default"/>
      </w:rPr>
    </w:lvl>
    <w:lvl w:ilvl="1">
      <w:start w:val="1"/>
      <w:numFmt w:val="lowerRoman"/>
      <w:lvlText w:val="(%2)"/>
      <w:lvlJc w:val="left"/>
      <w:pPr>
        <w:tabs>
          <w:tab w:val="num" w:pos="1985"/>
        </w:tabs>
        <w:ind w:left="1985" w:hanging="567"/>
      </w:pPr>
      <w:rPr>
        <w:rFonts w:hint="default"/>
      </w:rPr>
    </w:lvl>
    <w:lvl w:ilvl="2">
      <w:start w:val="1"/>
      <w:numFmt w:val="bullet"/>
      <w:lvlText w:val="-"/>
      <w:lvlJc w:val="left"/>
      <w:pPr>
        <w:tabs>
          <w:tab w:val="num" w:pos="2552"/>
        </w:tabs>
        <w:ind w:left="2552" w:hanging="567"/>
      </w:pPr>
      <w:rPr>
        <w:rFonts w:ascii="Garamond" w:hAnsi="Garamond" w:hint="default"/>
      </w:rPr>
    </w:lvl>
    <w:lvl w:ilvl="3">
      <w:start w:val="1"/>
      <w:numFmt w:val="bullet"/>
      <w:lvlText w:val="-"/>
      <w:lvlJc w:val="left"/>
      <w:pPr>
        <w:tabs>
          <w:tab w:val="num" w:pos="3119"/>
        </w:tabs>
        <w:ind w:left="3119" w:hanging="567"/>
      </w:pPr>
      <w:rPr>
        <w:rFonts w:ascii="Garamond" w:hAnsi="Garamond" w:hint="default"/>
      </w:rPr>
    </w:lvl>
    <w:lvl w:ilvl="4">
      <w:start w:val="1"/>
      <w:numFmt w:val="bullet"/>
      <w:lvlText w:val="-"/>
      <w:lvlJc w:val="left"/>
      <w:pPr>
        <w:tabs>
          <w:tab w:val="num" w:pos="3686"/>
        </w:tabs>
        <w:ind w:left="3686" w:hanging="567"/>
      </w:pPr>
      <w:rPr>
        <w:rFonts w:ascii="Garamond" w:hAnsi="Garamond"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24">
    <w:nsid w:val="4D4224B3"/>
    <w:multiLevelType w:val="multilevel"/>
    <w:tmpl w:val="3572C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8D475D2"/>
    <w:multiLevelType w:val="multilevel"/>
    <w:tmpl w:val="AE101B4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BE93960"/>
    <w:multiLevelType w:val="multilevel"/>
    <w:tmpl w:val="BA223670"/>
    <w:lvl w:ilvl="0">
      <w:start w:val="1"/>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6109561C"/>
    <w:multiLevelType w:val="multilevel"/>
    <w:tmpl w:val="7076C7E6"/>
    <w:lvl w:ilvl="0">
      <w:start w:val="5"/>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nsid w:val="65122B67"/>
    <w:multiLevelType w:val="multilevel"/>
    <w:tmpl w:val="B736149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8030D00"/>
    <w:multiLevelType w:val="multilevel"/>
    <w:tmpl w:val="D87E0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8497D14"/>
    <w:multiLevelType w:val="multilevel"/>
    <w:tmpl w:val="90185F9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8DB6784"/>
    <w:multiLevelType w:val="multilevel"/>
    <w:tmpl w:val="E028DA58"/>
    <w:lvl w:ilvl="0">
      <w:start w:val="2"/>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2">
    <w:nsid w:val="6B9C2135"/>
    <w:multiLevelType w:val="multilevel"/>
    <w:tmpl w:val="54C80A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BFE50C0"/>
    <w:multiLevelType w:val="multilevel"/>
    <w:tmpl w:val="2ED62EBA"/>
    <w:name w:val="LLHeading"/>
    <w:lvl w:ilvl="0">
      <w:start w:val="1"/>
      <w:numFmt w:val="decimal"/>
      <w:pStyle w:val="LLHeading1"/>
      <w:lvlText w:val="%1"/>
      <w:lvlJc w:val="left"/>
      <w:pPr>
        <w:tabs>
          <w:tab w:val="num" w:pos="851"/>
        </w:tabs>
        <w:ind w:left="851" w:hanging="851"/>
      </w:pPr>
      <w:rPr>
        <w:rFonts w:hint="default"/>
      </w:rPr>
    </w:lvl>
    <w:lvl w:ilvl="1">
      <w:start w:val="1"/>
      <w:numFmt w:val="decimal"/>
      <w:pStyle w:val="LLHeading2"/>
      <w:lvlText w:val="%1.%2"/>
      <w:lvlJc w:val="left"/>
      <w:pPr>
        <w:tabs>
          <w:tab w:val="num" w:pos="851"/>
        </w:tabs>
        <w:ind w:left="851" w:hanging="851"/>
      </w:pPr>
      <w:rPr>
        <w:rFonts w:hint="default"/>
      </w:rPr>
    </w:lvl>
    <w:lvl w:ilvl="2">
      <w:start w:val="1"/>
      <w:numFmt w:val="decimal"/>
      <w:pStyle w:val="LLHeading3"/>
      <w:lvlText w:val="%1.%2.%3"/>
      <w:lvlJc w:val="left"/>
      <w:pPr>
        <w:tabs>
          <w:tab w:val="num" w:pos="851"/>
        </w:tabs>
        <w:ind w:left="851" w:hanging="851"/>
      </w:pPr>
      <w:rPr>
        <w:rFonts w:hint="default"/>
      </w:rPr>
    </w:lvl>
    <w:lvl w:ilvl="3">
      <w:start w:val="1"/>
      <w:numFmt w:val="decimal"/>
      <w:pStyle w:val="LLHeading4"/>
      <w:lvlText w:val="%1.%2.%3.%4"/>
      <w:lvlJc w:val="left"/>
      <w:pPr>
        <w:tabs>
          <w:tab w:val="num" w:pos="851"/>
        </w:tabs>
        <w:ind w:left="851" w:hanging="851"/>
      </w:pPr>
      <w:rPr>
        <w:rFonts w:hint="default"/>
      </w:rPr>
    </w:lvl>
    <w:lvl w:ilvl="4">
      <w:start w:val="1"/>
      <w:numFmt w:val="decimal"/>
      <w:pStyle w:val="LLHeading5"/>
      <w:lvlText w:val="%1.%2.%3.%4.%5"/>
      <w:lvlJc w:val="left"/>
      <w:pPr>
        <w:tabs>
          <w:tab w:val="num" w:pos="851"/>
        </w:tabs>
        <w:ind w:left="851" w:hanging="851"/>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34">
    <w:nsid w:val="70F77153"/>
    <w:multiLevelType w:val="multilevel"/>
    <w:tmpl w:val="7ABAB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1483812"/>
    <w:multiLevelType w:val="multilevel"/>
    <w:tmpl w:val="9A0C6A6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6">
    <w:nsid w:val="717727BF"/>
    <w:multiLevelType w:val="multilevel"/>
    <w:tmpl w:val="FF76189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7392987"/>
    <w:multiLevelType w:val="multilevel"/>
    <w:tmpl w:val="C3F66AB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8D13CA1"/>
    <w:multiLevelType w:val="multilevel"/>
    <w:tmpl w:val="25044E98"/>
    <w:name w:val="LL_HeadingBlue"/>
    <w:lvl w:ilvl="0">
      <w:start w:val="1"/>
      <w:numFmt w:val="decimal"/>
      <w:pStyle w:val="LLHeadingblue1"/>
      <w:lvlText w:val="%1"/>
      <w:lvlJc w:val="left"/>
      <w:pPr>
        <w:tabs>
          <w:tab w:val="num" w:pos="851"/>
        </w:tabs>
        <w:ind w:left="851" w:hanging="851"/>
      </w:pPr>
      <w:rPr>
        <w:rFonts w:ascii="Arial" w:hAnsi="Arial" w:hint="default"/>
        <w:b/>
        <w:i w:val="0"/>
        <w:color w:val="111F63"/>
        <w:sz w:val="24"/>
      </w:rPr>
    </w:lvl>
    <w:lvl w:ilvl="1">
      <w:start w:val="1"/>
      <w:numFmt w:val="decimal"/>
      <w:pStyle w:val="LLHeadingblue2"/>
      <w:lvlText w:val="%1.%2"/>
      <w:lvlJc w:val="left"/>
      <w:pPr>
        <w:tabs>
          <w:tab w:val="num" w:pos="851"/>
        </w:tabs>
        <w:ind w:left="851" w:hanging="851"/>
      </w:pPr>
      <w:rPr>
        <w:rFonts w:hint="default"/>
      </w:rPr>
    </w:lvl>
    <w:lvl w:ilvl="2">
      <w:start w:val="1"/>
      <w:numFmt w:val="decimal"/>
      <w:pStyle w:val="LLHeadingblue3"/>
      <w:lvlText w:val="%1.%2.%3"/>
      <w:lvlJc w:val="left"/>
      <w:pPr>
        <w:tabs>
          <w:tab w:val="num" w:pos="851"/>
        </w:tabs>
        <w:ind w:left="851" w:hanging="851"/>
      </w:pPr>
      <w:rPr>
        <w:rFonts w:hint="default"/>
        <w:b w:val="0"/>
        <w:i w:val="0"/>
      </w:rPr>
    </w:lvl>
    <w:lvl w:ilvl="3">
      <w:start w:val="1"/>
      <w:numFmt w:val="decimal"/>
      <w:pStyle w:val="LLHeadingblue4"/>
      <w:lvlText w:val="%1.%2.%3.%4"/>
      <w:lvlJc w:val="left"/>
      <w:pPr>
        <w:tabs>
          <w:tab w:val="num" w:pos="851"/>
        </w:tabs>
        <w:ind w:left="851" w:hanging="851"/>
      </w:pPr>
      <w:rPr>
        <w:rFonts w:hint="default"/>
      </w:rPr>
    </w:lvl>
    <w:lvl w:ilvl="4">
      <w:start w:val="1"/>
      <w:numFmt w:val="decimal"/>
      <w:pStyle w:val="LLHeadingblue5"/>
      <w:lvlText w:val="%1.%2.%3.%4.%5"/>
      <w:lvlJc w:val="left"/>
      <w:pPr>
        <w:tabs>
          <w:tab w:val="num" w:pos="851"/>
        </w:tabs>
        <w:ind w:left="851" w:hanging="851"/>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9">
    <w:nsid w:val="7CB326EE"/>
    <w:multiLevelType w:val="multilevel"/>
    <w:tmpl w:val="65528D9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35"/>
  </w:num>
  <w:num w:numId="2">
    <w:abstractNumId w:val="21"/>
    <w:lvlOverride w:ilvl="0">
      <w:lvl w:ilvl="0">
        <w:numFmt w:val="decimal"/>
        <w:lvlText w:val="%1."/>
        <w:lvlJc w:val="left"/>
      </w:lvl>
    </w:lvlOverride>
  </w:num>
  <w:num w:numId="3">
    <w:abstractNumId w:val="9"/>
    <w:lvlOverride w:ilvl="0">
      <w:lvl w:ilvl="0">
        <w:numFmt w:val="decimal"/>
        <w:lvlText w:val="%1."/>
        <w:lvlJc w:val="left"/>
      </w:lvl>
    </w:lvlOverride>
  </w:num>
  <w:num w:numId="4">
    <w:abstractNumId w:val="15"/>
    <w:lvlOverride w:ilvl="0">
      <w:lvl w:ilvl="0">
        <w:numFmt w:val="decimal"/>
        <w:lvlText w:val="%1."/>
        <w:lvlJc w:val="left"/>
      </w:lvl>
    </w:lvlOverride>
  </w:num>
  <w:num w:numId="5">
    <w:abstractNumId w:val="7"/>
    <w:lvlOverride w:ilvl="0">
      <w:lvl w:ilvl="0">
        <w:numFmt w:val="decimal"/>
        <w:lvlText w:val="%1."/>
        <w:lvlJc w:val="left"/>
      </w:lvl>
    </w:lvlOverride>
  </w:num>
  <w:num w:numId="6">
    <w:abstractNumId w:val="10"/>
    <w:lvlOverride w:ilvl="0">
      <w:lvl w:ilvl="0">
        <w:numFmt w:val="decimal"/>
        <w:lvlText w:val="%1."/>
        <w:lvlJc w:val="left"/>
      </w:lvl>
    </w:lvlOverride>
  </w:num>
  <w:num w:numId="7">
    <w:abstractNumId w:val="2"/>
    <w:lvlOverride w:ilvl="0">
      <w:lvl w:ilvl="0">
        <w:numFmt w:val="decimal"/>
        <w:lvlText w:val="%1."/>
        <w:lvlJc w:val="left"/>
      </w:lvl>
    </w:lvlOverride>
  </w:num>
  <w:num w:numId="8">
    <w:abstractNumId w:val="28"/>
    <w:lvlOverride w:ilvl="0">
      <w:lvl w:ilvl="0">
        <w:numFmt w:val="decimal"/>
        <w:lvlText w:val="%1."/>
        <w:lvlJc w:val="left"/>
      </w:lvl>
    </w:lvlOverride>
  </w:num>
  <w:num w:numId="9">
    <w:abstractNumId w:val="32"/>
  </w:num>
  <w:num w:numId="10">
    <w:abstractNumId w:val="16"/>
    <w:lvlOverride w:ilvl="0">
      <w:lvl w:ilvl="0">
        <w:numFmt w:val="decimal"/>
        <w:lvlText w:val="%1."/>
        <w:lvlJc w:val="left"/>
      </w:lvl>
    </w:lvlOverride>
  </w:num>
  <w:num w:numId="11">
    <w:abstractNumId w:val="37"/>
    <w:lvlOverride w:ilvl="0">
      <w:lvl w:ilvl="0">
        <w:numFmt w:val="decimal"/>
        <w:lvlText w:val="%1."/>
        <w:lvlJc w:val="left"/>
      </w:lvl>
    </w:lvlOverride>
  </w:num>
  <w:num w:numId="12">
    <w:abstractNumId w:val="0"/>
    <w:lvlOverride w:ilvl="0">
      <w:lvl w:ilvl="0">
        <w:numFmt w:val="decimal"/>
        <w:lvlText w:val="%1."/>
        <w:lvlJc w:val="left"/>
      </w:lvl>
    </w:lvlOverride>
  </w:num>
  <w:num w:numId="13">
    <w:abstractNumId w:val="3"/>
    <w:lvlOverride w:ilvl="0">
      <w:lvl w:ilvl="0">
        <w:numFmt w:val="decimal"/>
        <w:lvlText w:val="%1."/>
        <w:lvlJc w:val="left"/>
      </w:lvl>
    </w:lvlOverride>
  </w:num>
  <w:num w:numId="14">
    <w:abstractNumId w:val="30"/>
    <w:lvlOverride w:ilvl="0">
      <w:lvl w:ilvl="0">
        <w:numFmt w:val="decimal"/>
        <w:lvlText w:val="%1."/>
        <w:lvlJc w:val="left"/>
      </w:lvl>
    </w:lvlOverride>
  </w:num>
  <w:num w:numId="15">
    <w:abstractNumId w:val="25"/>
    <w:lvlOverride w:ilvl="0">
      <w:lvl w:ilvl="0">
        <w:numFmt w:val="decimal"/>
        <w:lvlText w:val="%1."/>
        <w:lvlJc w:val="left"/>
      </w:lvl>
    </w:lvlOverride>
  </w:num>
  <w:num w:numId="16">
    <w:abstractNumId w:val="36"/>
    <w:lvlOverride w:ilvl="0">
      <w:lvl w:ilvl="0">
        <w:numFmt w:val="decimal"/>
        <w:lvlText w:val="%1."/>
        <w:lvlJc w:val="left"/>
      </w:lvl>
    </w:lvlOverride>
  </w:num>
  <w:num w:numId="17">
    <w:abstractNumId w:val="14"/>
    <w:lvlOverride w:ilvl="0">
      <w:lvl w:ilvl="0">
        <w:numFmt w:val="decimal"/>
        <w:lvlText w:val="%1."/>
        <w:lvlJc w:val="left"/>
      </w:lvl>
    </w:lvlOverride>
  </w:num>
  <w:num w:numId="18">
    <w:abstractNumId w:val="11"/>
  </w:num>
  <w:num w:numId="19">
    <w:abstractNumId w:val="13"/>
  </w:num>
  <w:num w:numId="20">
    <w:abstractNumId w:val="34"/>
  </w:num>
  <w:num w:numId="21">
    <w:abstractNumId w:val="24"/>
  </w:num>
  <w:num w:numId="22">
    <w:abstractNumId w:val="18"/>
  </w:num>
  <w:num w:numId="23">
    <w:abstractNumId w:val="29"/>
  </w:num>
  <w:num w:numId="24">
    <w:abstractNumId w:val="17"/>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num>
  <w:num w:numId="27">
    <w:abstractNumId w:val="1"/>
  </w:num>
  <w:num w:numId="28">
    <w:abstractNumId w:val="23"/>
  </w:num>
  <w:num w:numId="29">
    <w:abstractNumId w:val="38"/>
  </w:num>
  <w:num w:numId="30">
    <w:abstractNumId w:val="8"/>
  </w:num>
  <w:num w:numId="31">
    <w:abstractNumId w:val="5"/>
  </w:num>
  <w:num w:numId="32">
    <w:abstractNumId w:val="26"/>
  </w:num>
  <w:num w:numId="33">
    <w:abstractNumId w:val="4"/>
  </w:num>
  <w:num w:numId="34">
    <w:abstractNumId w:val="31"/>
  </w:num>
  <w:num w:numId="35">
    <w:abstractNumId w:val="20"/>
  </w:num>
  <w:num w:numId="36">
    <w:abstractNumId w:val="39"/>
  </w:num>
  <w:num w:numId="37">
    <w:abstractNumId w:val="19"/>
  </w:num>
  <w:num w:numId="38">
    <w:abstractNumId w:val="6"/>
  </w:num>
  <w:num w:numId="39">
    <w:abstractNumId w:val="12"/>
  </w:num>
  <w:num w:numId="40">
    <w:abstractNumId w:val="2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846"/>
    <w:rsid w:val="00081F26"/>
    <w:rsid w:val="000933C0"/>
    <w:rsid w:val="000D1328"/>
    <w:rsid w:val="000E38C0"/>
    <w:rsid w:val="00101B87"/>
    <w:rsid w:val="00101C9B"/>
    <w:rsid w:val="001179BB"/>
    <w:rsid w:val="001A4CBB"/>
    <w:rsid w:val="001C2C9E"/>
    <w:rsid w:val="001F490E"/>
    <w:rsid w:val="00216B02"/>
    <w:rsid w:val="0024491D"/>
    <w:rsid w:val="00244ED7"/>
    <w:rsid w:val="002827A7"/>
    <w:rsid w:val="002874CE"/>
    <w:rsid w:val="00294D2F"/>
    <w:rsid w:val="003013E4"/>
    <w:rsid w:val="003815C5"/>
    <w:rsid w:val="0038326F"/>
    <w:rsid w:val="0040375D"/>
    <w:rsid w:val="00466F35"/>
    <w:rsid w:val="005A5EFE"/>
    <w:rsid w:val="00610ABF"/>
    <w:rsid w:val="0065291D"/>
    <w:rsid w:val="0067461F"/>
    <w:rsid w:val="007A0873"/>
    <w:rsid w:val="007A70BF"/>
    <w:rsid w:val="00867786"/>
    <w:rsid w:val="008777C1"/>
    <w:rsid w:val="008819F1"/>
    <w:rsid w:val="008C3ABB"/>
    <w:rsid w:val="008D0846"/>
    <w:rsid w:val="008E5ECA"/>
    <w:rsid w:val="0092174F"/>
    <w:rsid w:val="00940D78"/>
    <w:rsid w:val="009805CD"/>
    <w:rsid w:val="00A54405"/>
    <w:rsid w:val="00B10FE1"/>
    <w:rsid w:val="00C64C13"/>
    <w:rsid w:val="00CE503E"/>
    <w:rsid w:val="00D1499F"/>
    <w:rsid w:val="00DE3BBE"/>
    <w:rsid w:val="00DF1F06"/>
    <w:rsid w:val="00DF5D7C"/>
    <w:rsid w:val="00E265DE"/>
    <w:rsid w:val="00E530F1"/>
    <w:rsid w:val="00E5700C"/>
    <w:rsid w:val="00E7268C"/>
    <w:rsid w:val="00ED4D00"/>
    <w:rsid w:val="00F45D8B"/>
    <w:rsid w:val="00F476A8"/>
    <w:rsid w:val="00F6415C"/>
    <w:rsid w:val="00F70623"/>
    <w:rsid w:val="00F92558"/>
    <w:rsid w:val="00FA1292"/>
    <w:rsid w:val="00FA6E19"/>
    <w:rsid w:val="00FB7297"/>
    <w:rsid w:val="00FC79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bCs/>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75D"/>
    <w:pPr>
      <w:suppressAutoHyphens/>
      <w:spacing w:after="0" w:line="280" w:lineRule="atLeast"/>
      <w:jc w:val="both"/>
    </w:pPr>
    <w:rPr>
      <w:rFonts w:eastAsia="Calibri" w:cs="Times New Roman"/>
      <w:b/>
      <w:bCs w:val="0"/>
      <w:sz w:val="20"/>
    </w:rPr>
  </w:style>
  <w:style w:type="paragraph" w:styleId="Heading1">
    <w:name w:val="heading 1"/>
    <w:basedOn w:val="Normal"/>
    <w:next w:val="Normal"/>
    <w:link w:val="Heading1Char"/>
    <w:uiPriority w:val="9"/>
    <w:qFormat/>
    <w:rsid w:val="0040375D"/>
    <w:pPr>
      <w:keepNext/>
      <w:spacing w:before="240" w:after="60"/>
      <w:outlineLvl w:val="0"/>
    </w:pPr>
    <w:rPr>
      <w:rFonts w:ascii="Cambria" w:eastAsia="Times New Roman" w:hAnsi="Cambria"/>
      <w:b w:val="0"/>
      <w:bCs/>
      <w:kern w:val="32"/>
      <w:sz w:val="32"/>
      <w:szCs w:val="32"/>
      <w:lang w:eastAsia="x-none"/>
    </w:rPr>
  </w:style>
  <w:style w:type="paragraph" w:styleId="Heading2">
    <w:name w:val="heading 2"/>
    <w:basedOn w:val="Normal"/>
    <w:next w:val="Normal"/>
    <w:link w:val="Heading2Char"/>
    <w:uiPriority w:val="9"/>
    <w:qFormat/>
    <w:rsid w:val="0040375D"/>
    <w:pPr>
      <w:keepNext/>
      <w:spacing w:before="240" w:after="60"/>
      <w:outlineLvl w:val="1"/>
    </w:pPr>
    <w:rPr>
      <w:rFonts w:ascii="Cambria" w:eastAsia="Times New Roman" w:hAnsi="Cambria"/>
      <w:b w:val="0"/>
      <w:bCs/>
      <w:i/>
      <w:iCs/>
      <w:sz w:val="28"/>
      <w:szCs w:val="28"/>
      <w:lang w:eastAsia="x-none"/>
    </w:rPr>
  </w:style>
  <w:style w:type="paragraph" w:styleId="Heading3">
    <w:name w:val="heading 3"/>
    <w:basedOn w:val="Normal"/>
    <w:next w:val="Normal"/>
    <w:link w:val="Heading3Char"/>
    <w:uiPriority w:val="9"/>
    <w:qFormat/>
    <w:rsid w:val="0040375D"/>
    <w:pPr>
      <w:keepNext/>
      <w:spacing w:before="240" w:after="60"/>
      <w:outlineLvl w:val="2"/>
    </w:pPr>
    <w:rPr>
      <w:rFonts w:ascii="Cambria" w:eastAsia="Times New Roman" w:hAnsi="Cambria"/>
      <w:b w:val="0"/>
      <w:bCs/>
      <w:sz w:val="26"/>
      <w:szCs w:val="26"/>
      <w:lang w:eastAsia="x-none"/>
    </w:rPr>
  </w:style>
  <w:style w:type="character" w:default="1" w:styleId="DefaultParagraphFont">
    <w:name w:val="Default Paragraph Font"/>
    <w:uiPriority w:val="1"/>
    <w:semiHidden/>
    <w:unhideWhenUsed/>
    <w:rsid w:val="0040375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40375D"/>
  </w:style>
  <w:style w:type="paragraph" w:styleId="NormalWeb">
    <w:name w:val="Normal (Web)"/>
    <w:basedOn w:val="Normal"/>
    <w:uiPriority w:val="99"/>
    <w:unhideWhenUsed/>
    <w:rsid w:val="008D0846"/>
    <w:pPr>
      <w:spacing w:before="100" w:beforeAutospacing="1" w:after="100" w:afterAutospacing="1" w:line="240" w:lineRule="auto"/>
    </w:pPr>
    <w:rPr>
      <w:rFonts w:ascii="Times New Roman" w:eastAsia="Times New Roman" w:hAnsi="Times New Roman"/>
      <w:b w:val="0"/>
      <w:bCs/>
      <w:sz w:val="24"/>
      <w:szCs w:val="24"/>
    </w:rPr>
  </w:style>
  <w:style w:type="paragraph" w:styleId="NoSpacing">
    <w:name w:val="No Spacing"/>
    <w:uiPriority w:val="1"/>
    <w:qFormat/>
    <w:rsid w:val="008D0846"/>
    <w:pPr>
      <w:spacing w:after="0" w:line="240" w:lineRule="auto"/>
    </w:pPr>
  </w:style>
  <w:style w:type="paragraph" w:styleId="ListParagraph">
    <w:name w:val="List Paragraph"/>
    <w:basedOn w:val="Normal"/>
    <w:uiPriority w:val="34"/>
    <w:qFormat/>
    <w:rsid w:val="00E265DE"/>
    <w:pPr>
      <w:ind w:left="720"/>
      <w:contextualSpacing/>
    </w:pPr>
  </w:style>
  <w:style w:type="paragraph" w:styleId="Header">
    <w:name w:val="header"/>
    <w:basedOn w:val="Normal"/>
    <w:link w:val="HeaderChar"/>
    <w:uiPriority w:val="99"/>
    <w:unhideWhenUsed/>
    <w:rsid w:val="0040375D"/>
    <w:pPr>
      <w:tabs>
        <w:tab w:val="center" w:pos="4536"/>
        <w:tab w:val="right" w:pos="9072"/>
      </w:tabs>
    </w:pPr>
  </w:style>
  <w:style w:type="character" w:customStyle="1" w:styleId="HeaderChar">
    <w:name w:val="Header Char"/>
    <w:link w:val="Header"/>
    <w:uiPriority w:val="99"/>
    <w:rsid w:val="0040375D"/>
    <w:rPr>
      <w:rFonts w:eastAsia="Calibri" w:cs="Times New Roman"/>
      <w:b/>
      <w:bCs w:val="0"/>
      <w:sz w:val="20"/>
      <w:lang w:val="nl-NL"/>
    </w:rPr>
  </w:style>
  <w:style w:type="paragraph" w:styleId="Footer">
    <w:name w:val="footer"/>
    <w:basedOn w:val="Normal"/>
    <w:link w:val="FooterChar"/>
    <w:uiPriority w:val="99"/>
    <w:unhideWhenUsed/>
    <w:rsid w:val="0040375D"/>
    <w:pPr>
      <w:tabs>
        <w:tab w:val="center" w:pos="4321"/>
        <w:tab w:val="right" w:pos="8641"/>
      </w:tabs>
    </w:pPr>
    <w:rPr>
      <w:sz w:val="16"/>
    </w:rPr>
  </w:style>
  <w:style w:type="character" w:customStyle="1" w:styleId="FooterChar">
    <w:name w:val="Footer Char"/>
    <w:link w:val="Footer"/>
    <w:uiPriority w:val="99"/>
    <w:rsid w:val="0040375D"/>
    <w:rPr>
      <w:rFonts w:eastAsia="Calibri" w:cs="Times New Roman"/>
      <w:b/>
      <w:bCs w:val="0"/>
      <w:sz w:val="16"/>
      <w:lang w:val="nl-NL"/>
    </w:rPr>
  </w:style>
  <w:style w:type="character" w:customStyle="1" w:styleId="Heading1Char">
    <w:name w:val="Heading 1 Char"/>
    <w:link w:val="Heading1"/>
    <w:uiPriority w:val="9"/>
    <w:rsid w:val="0040375D"/>
    <w:rPr>
      <w:rFonts w:ascii="Cambria" w:eastAsia="Times New Roman" w:hAnsi="Cambria" w:cs="Times New Roman"/>
      <w:kern w:val="32"/>
      <w:sz w:val="32"/>
      <w:szCs w:val="32"/>
      <w:lang w:val="nl-NL" w:eastAsia="x-none"/>
    </w:rPr>
  </w:style>
  <w:style w:type="character" w:customStyle="1" w:styleId="Heading2Char">
    <w:name w:val="Heading 2 Char"/>
    <w:link w:val="Heading2"/>
    <w:uiPriority w:val="9"/>
    <w:rsid w:val="0040375D"/>
    <w:rPr>
      <w:rFonts w:ascii="Cambria" w:eastAsia="Times New Roman" w:hAnsi="Cambria" w:cs="Times New Roman"/>
      <w:i/>
      <w:iCs/>
      <w:sz w:val="28"/>
      <w:szCs w:val="28"/>
      <w:lang w:val="nl-NL" w:eastAsia="x-none"/>
    </w:rPr>
  </w:style>
  <w:style w:type="character" w:customStyle="1" w:styleId="Heading3Char">
    <w:name w:val="Heading 3 Char"/>
    <w:link w:val="Heading3"/>
    <w:uiPriority w:val="9"/>
    <w:rsid w:val="0040375D"/>
    <w:rPr>
      <w:rFonts w:ascii="Cambria" w:eastAsia="Times New Roman" w:hAnsi="Cambria" w:cs="Times New Roman"/>
      <w:sz w:val="26"/>
      <w:szCs w:val="26"/>
      <w:lang w:val="nl-NL" w:eastAsia="x-none"/>
    </w:rPr>
  </w:style>
  <w:style w:type="paragraph" w:customStyle="1" w:styleId="LLNormal">
    <w:name w:val="LL_Normal"/>
    <w:basedOn w:val="Normal"/>
    <w:qFormat/>
    <w:rsid w:val="0040375D"/>
    <w:pPr>
      <w:spacing w:after="200"/>
    </w:pPr>
  </w:style>
  <w:style w:type="paragraph" w:customStyle="1" w:styleId="LLNormalIndent">
    <w:name w:val="LL_NormalIndent"/>
    <w:basedOn w:val="LLNormal"/>
    <w:qFormat/>
    <w:rsid w:val="0040375D"/>
    <w:pPr>
      <w:ind w:left="851"/>
    </w:pPr>
  </w:style>
  <w:style w:type="paragraph" w:customStyle="1" w:styleId="LLCitation">
    <w:name w:val="LL_Citation"/>
    <w:basedOn w:val="LLNormal"/>
    <w:qFormat/>
    <w:rsid w:val="0040375D"/>
    <w:pPr>
      <w:ind w:left="1418" w:right="851"/>
    </w:pPr>
    <w:rPr>
      <w:i/>
    </w:rPr>
  </w:style>
  <w:style w:type="paragraph" w:customStyle="1" w:styleId="LLNumDefa">
    <w:name w:val="LL_NumDef (a)"/>
    <w:basedOn w:val="LLNormal"/>
    <w:qFormat/>
    <w:rsid w:val="0040375D"/>
    <w:pPr>
      <w:numPr>
        <w:numId w:val="25"/>
      </w:numPr>
      <w:spacing w:after="0"/>
    </w:pPr>
  </w:style>
  <w:style w:type="paragraph" w:customStyle="1" w:styleId="LLSpecStyle">
    <w:name w:val="LL_SpecStyle"/>
    <w:basedOn w:val="Normal"/>
    <w:qFormat/>
    <w:rsid w:val="0040375D"/>
    <w:pPr>
      <w:tabs>
        <w:tab w:val="left" w:pos="5670"/>
        <w:tab w:val="right" w:pos="7088"/>
        <w:tab w:val="left" w:pos="7371"/>
        <w:tab w:val="right" w:pos="8789"/>
      </w:tabs>
    </w:pPr>
  </w:style>
  <w:style w:type="paragraph" w:customStyle="1" w:styleId="LLHeading1">
    <w:name w:val="LLHeading 1"/>
    <w:basedOn w:val="LLNormal"/>
    <w:qFormat/>
    <w:rsid w:val="0040375D"/>
    <w:pPr>
      <w:keepNext/>
      <w:numPr>
        <w:numId w:val="26"/>
      </w:numPr>
      <w:outlineLvl w:val="0"/>
    </w:pPr>
    <w:rPr>
      <w:b w:val="0"/>
    </w:rPr>
  </w:style>
  <w:style w:type="paragraph" w:customStyle="1" w:styleId="LLHeading2">
    <w:name w:val="LLHeading 2"/>
    <w:basedOn w:val="LLNormal"/>
    <w:qFormat/>
    <w:rsid w:val="0040375D"/>
    <w:pPr>
      <w:numPr>
        <w:ilvl w:val="1"/>
        <w:numId w:val="26"/>
      </w:numPr>
      <w:ind w:left="850" w:hanging="850"/>
      <w:outlineLvl w:val="1"/>
    </w:pPr>
  </w:style>
  <w:style w:type="paragraph" w:customStyle="1" w:styleId="LLHeading3">
    <w:name w:val="LLHeading 3"/>
    <w:basedOn w:val="LLNormal"/>
    <w:qFormat/>
    <w:rsid w:val="0040375D"/>
    <w:pPr>
      <w:numPr>
        <w:ilvl w:val="2"/>
        <w:numId w:val="26"/>
      </w:numPr>
      <w:ind w:left="850" w:hanging="850"/>
      <w:outlineLvl w:val="2"/>
    </w:pPr>
  </w:style>
  <w:style w:type="paragraph" w:customStyle="1" w:styleId="LLHeading4">
    <w:name w:val="LLHeading 4"/>
    <w:basedOn w:val="LLNormal"/>
    <w:qFormat/>
    <w:rsid w:val="0040375D"/>
    <w:pPr>
      <w:numPr>
        <w:ilvl w:val="3"/>
        <w:numId w:val="26"/>
      </w:numPr>
      <w:ind w:left="850" w:hanging="850"/>
      <w:outlineLvl w:val="3"/>
    </w:pPr>
  </w:style>
  <w:style w:type="paragraph" w:customStyle="1" w:styleId="LLHeading5">
    <w:name w:val="LLHeading 5"/>
    <w:basedOn w:val="LLNormal"/>
    <w:qFormat/>
    <w:rsid w:val="0040375D"/>
    <w:pPr>
      <w:numPr>
        <w:ilvl w:val="4"/>
        <w:numId w:val="26"/>
      </w:numPr>
      <w:ind w:left="850" w:hanging="850"/>
      <w:outlineLvl w:val="4"/>
    </w:pPr>
  </w:style>
  <w:style w:type="paragraph" w:styleId="TOC1">
    <w:name w:val="toc 1"/>
    <w:basedOn w:val="Normal"/>
    <w:next w:val="Normal"/>
    <w:rsid w:val="0040375D"/>
    <w:pPr>
      <w:tabs>
        <w:tab w:val="right" w:leader="dot" w:pos="9639"/>
      </w:tabs>
      <w:ind w:left="851" w:hanging="851"/>
    </w:pPr>
    <w:rPr>
      <w:rFonts w:eastAsia="Times New Roman" w:cs="Arial"/>
      <w:caps/>
      <w:noProof/>
      <w:szCs w:val="24"/>
      <w:lang w:val="en-GB" w:eastAsia="nl-NL"/>
    </w:rPr>
  </w:style>
  <w:style w:type="paragraph" w:styleId="TOC2">
    <w:name w:val="toc 2"/>
    <w:basedOn w:val="Normal"/>
    <w:next w:val="Normal"/>
    <w:rsid w:val="0040375D"/>
    <w:pPr>
      <w:tabs>
        <w:tab w:val="right" w:leader="dot" w:pos="9639"/>
      </w:tabs>
      <w:ind w:left="851" w:hanging="851"/>
    </w:pPr>
    <w:rPr>
      <w:rFonts w:eastAsia="Times New Roman" w:cs="Arial"/>
      <w:noProof/>
      <w:szCs w:val="24"/>
      <w:lang w:val="en-GB" w:eastAsia="nl-NL"/>
    </w:rPr>
  </w:style>
  <w:style w:type="paragraph" w:styleId="TOC3">
    <w:name w:val="toc 3"/>
    <w:basedOn w:val="Normal"/>
    <w:next w:val="Normal"/>
    <w:rsid w:val="0040375D"/>
    <w:pPr>
      <w:tabs>
        <w:tab w:val="right" w:leader="dot" w:pos="9639"/>
      </w:tabs>
      <w:ind w:left="851" w:hanging="851"/>
    </w:pPr>
    <w:rPr>
      <w:rFonts w:eastAsia="Times New Roman" w:cs="Arial"/>
      <w:noProof/>
      <w:szCs w:val="24"/>
      <w:lang w:val="en-GB" w:eastAsia="nl-NL"/>
    </w:rPr>
  </w:style>
  <w:style w:type="paragraph" w:styleId="TOC4">
    <w:name w:val="toc 4"/>
    <w:basedOn w:val="Normal"/>
    <w:next w:val="Normal"/>
    <w:rsid w:val="0040375D"/>
    <w:pPr>
      <w:tabs>
        <w:tab w:val="right" w:leader="dot" w:pos="9639"/>
      </w:tabs>
      <w:ind w:left="851" w:hanging="851"/>
    </w:pPr>
    <w:rPr>
      <w:rFonts w:eastAsia="Times New Roman" w:cs="Arial"/>
      <w:noProof/>
      <w:szCs w:val="24"/>
      <w:lang w:val="en-GB" w:eastAsia="nl-NL"/>
    </w:rPr>
  </w:style>
  <w:style w:type="paragraph" w:styleId="TOC5">
    <w:name w:val="toc 5"/>
    <w:basedOn w:val="Normal"/>
    <w:next w:val="Normal"/>
    <w:rsid w:val="0040375D"/>
    <w:pPr>
      <w:tabs>
        <w:tab w:val="right" w:leader="dot" w:pos="9639"/>
      </w:tabs>
      <w:ind w:left="851" w:hanging="851"/>
    </w:pPr>
    <w:rPr>
      <w:rFonts w:eastAsia="Times New Roman" w:cs="Arial"/>
      <w:noProof/>
      <w:szCs w:val="24"/>
      <w:lang w:val="en-GB" w:eastAsia="nl-NL"/>
    </w:rPr>
  </w:style>
  <w:style w:type="character" w:styleId="Hyperlink">
    <w:name w:val="Hyperlink"/>
    <w:uiPriority w:val="99"/>
    <w:unhideWhenUsed/>
    <w:rsid w:val="0040375D"/>
    <w:rPr>
      <w:color w:val="0000FF"/>
      <w:u w:val="single"/>
    </w:rPr>
  </w:style>
  <w:style w:type="character" w:styleId="FootnoteReference">
    <w:name w:val="footnote reference"/>
    <w:rsid w:val="0040375D"/>
    <w:rPr>
      <w:vertAlign w:val="superscript"/>
      <w:lang w:val="nl-NL"/>
    </w:rPr>
  </w:style>
  <w:style w:type="paragraph" w:styleId="TOC6">
    <w:name w:val="toc 6"/>
    <w:basedOn w:val="Normal"/>
    <w:next w:val="Normal"/>
    <w:rsid w:val="0040375D"/>
    <w:pPr>
      <w:tabs>
        <w:tab w:val="right" w:leader="dot" w:pos="9639"/>
      </w:tabs>
      <w:ind w:left="851" w:hanging="851"/>
    </w:pPr>
  </w:style>
  <w:style w:type="paragraph" w:styleId="TOC7">
    <w:name w:val="toc 7"/>
    <w:basedOn w:val="Normal"/>
    <w:next w:val="Normal"/>
    <w:rsid w:val="0040375D"/>
    <w:pPr>
      <w:tabs>
        <w:tab w:val="right" w:leader="dot" w:pos="9639"/>
      </w:tabs>
      <w:ind w:left="851" w:hanging="851"/>
    </w:pPr>
  </w:style>
  <w:style w:type="paragraph" w:styleId="TOC8">
    <w:name w:val="toc 8"/>
    <w:basedOn w:val="Normal"/>
    <w:next w:val="Normal"/>
    <w:rsid w:val="0040375D"/>
    <w:pPr>
      <w:tabs>
        <w:tab w:val="right" w:leader="dot" w:pos="9639"/>
      </w:tabs>
      <w:ind w:left="851" w:hanging="851"/>
    </w:pPr>
  </w:style>
  <w:style w:type="paragraph" w:styleId="TOC9">
    <w:name w:val="toc 9"/>
    <w:basedOn w:val="Normal"/>
    <w:next w:val="Normal"/>
    <w:rsid w:val="0040375D"/>
    <w:pPr>
      <w:tabs>
        <w:tab w:val="right" w:leader="dot" w:pos="9639"/>
      </w:tabs>
      <w:ind w:left="851" w:hanging="851"/>
    </w:pPr>
  </w:style>
  <w:style w:type="paragraph" w:styleId="FootnoteText">
    <w:name w:val="footnote text"/>
    <w:basedOn w:val="Normal"/>
    <w:link w:val="FootnoteTextChar"/>
    <w:rsid w:val="0040375D"/>
    <w:pPr>
      <w:keepLines/>
      <w:tabs>
        <w:tab w:val="left" w:pos="284"/>
      </w:tabs>
      <w:spacing w:line="240" w:lineRule="auto"/>
      <w:ind w:left="284" w:hanging="284"/>
    </w:pPr>
    <w:rPr>
      <w:rFonts w:eastAsia="Times New Roman" w:cs="Arial"/>
      <w:sz w:val="16"/>
      <w:szCs w:val="20"/>
      <w:lang w:val="en-GB" w:eastAsia="nl-NL"/>
    </w:rPr>
  </w:style>
  <w:style w:type="character" w:customStyle="1" w:styleId="FootnoteTextChar">
    <w:name w:val="Footnote Text Char"/>
    <w:basedOn w:val="DefaultParagraphFont"/>
    <w:link w:val="FootnoteText"/>
    <w:rsid w:val="0040375D"/>
    <w:rPr>
      <w:rFonts w:eastAsia="Times New Roman" w:cs="Arial"/>
      <w:b/>
      <w:bCs w:val="0"/>
      <w:sz w:val="16"/>
      <w:szCs w:val="20"/>
      <w:lang w:val="en-GB" w:eastAsia="nl-NL"/>
    </w:rPr>
  </w:style>
  <w:style w:type="paragraph" w:customStyle="1" w:styleId="LLNuma">
    <w:name w:val="LL_Num(a)"/>
    <w:basedOn w:val="LLNormal"/>
    <w:qFormat/>
    <w:rsid w:val="0040375D"/>
    <w:pPr>
      <w:numPr>
        <w:numId w:val="27"/>
      </w:numPr>
    </w:pPr>
  </w:style>
  <w:style w:type="paragraph" w:customStyle="1" w:styleId="LLNumIndenta">
    <w:name w:val="LL_NumIndent(a)"/>
    <w:basedOn w:val="LLNormal"/>
    <w:qFormat/>
    <w:rsid w:val="0040375D"/>
    <w:pPr>
      <w:numPr>
        <w:numId w:val="28"/>
      </w:numPr>
    </w:pPr>
  </w:style>
  <w:style w:type="paragraph" w:customStyle="1" w:styleId="LLHeadingblue1">
    <w:name w:val="LL_Heading blue 1"/>
    <w:basedOn w:val="LLNormal"/>
    <w:rsid w:val="0040375D"/>
    <w:pPr>
      <w:keepNext/>
      <w:numPr>
        <w:numId w:val="29"/>
      </w:numPr>
      <w:spacing w:before="360" w:after="280"/>
      <w:outlineLvl w:val="0"/>
    </w:pPr>
    <w:rPr>
      <w:b w:val="0"/>
      <w:caps/>
      <w:color w:val="111F63"/>
      <w:sz w:val="24"/>
    </w:rPr>
  </w:style>
  <w:style w:type="paragraph" w:customStyle="1" w:styleId="LLHeadingblue2">
    <w:name w:val="LL_Heading blue 2"/>
    <w:basedOn w:val="LLNormal"/>
    <w:rsid w:val="0040375D"/>
    <w:pPr>
      <w:keepNext/>
      <w:numPr>
        <w:ilvl w:val="1"/>
        <w:numId w:val="29"/>
      </w:numPr>
      <w:outlineLvl w:val="1"/>
    </w:pPr>
    <w:rPr>
      <w:b w:val="0"/>
    </w:rPr>
  </w:style>
  <w:style w:type="paragraph" w:customStyle="1" w:styleId="LLHeadingblue3">
    <w:name w:val="LL_Heading blue 3"/>
    <w:basedOn w:val="LLNormal"/>
    <w:rsid w:val="0040375D"/>
    <w:pPr>
      <w:keepNext/>
      <w:numPr>
        <w:ilvl w:val="2"/>
        <w:numId w:val="29"/>
      </w:numPr>
      <w:outlineLvl w:val="2"/>
    </w:pPr>
    <w:rPr>
      <w:i/>
    </w:rPr>
  </w:style>
  <w:style w:type="paragraph" w:customStyle="1" w:styleId="LLHeadingblue4">
    <w:name w:val="LL_Heading blue 4"/>
    <w:basedOn w:val="LLNormal"/>
    <w:qFormat/>
    <w:rsid w:val="0040375D"/>
    <w:pPr>
      <w:numPr>
        <w:ilvl w:val="3"/>
        <w:numId w:val="29"/>
      </w:numPr>
      <w:outlineLvl w:val="3"/>
    </w:pPr>
  </w:style>
  <w:style w:type="paragraph" w:customStyle="1" w:styleId="LLHeadingblue5">
    <w:name w:val="LL_Heading blue 5"/>
    <w:basedOn w:val="LLNormal"/>
    <w:qFormat/>
    <w:rsid w:val="0040375D"/>
    <w:pPr>
      <w:numPr>
        <w:ilvl w:val="4"/>
        <w:numId w:val="29"/>
      </w:numPr>
      <w:outlineLvl w:val="4"/>
    </w:pPr>
  </w:style>
  <w:style w:type="paragraph" w:customStyle="1" w:styleId="LLNum123ab1">
    <w:name w:val="LL_Num123ab 1"/>
    <w:basedOn w:val="LLNormal"/>
    <w:qFormat/>
    <w:rsid w:val="0040375D"/>
    <w:pPr>
      <w:numPr>
        <w:numId w:val="30"/>
      </w:numPr>
      <w:spacing w:after="0"/>
    </w:pPr>
  </w:style>
  <w:style w:type="paragraph" w:customStyle="1" w:styleId="LLNum123ab2">
    <w:name w:val="LL_Num123ab 2"/>
    <w:basedOn w:val="LLNormal"/>
    <w:qFormat/>
    <w:rsid w:val="0040375D"/>
    <w:pPr>
      <w:numPr>
        <w:ilvl w:val="1"/>
        <w:numId w:val="30"/>
      </w:numPr>
      <w:spacing w:after="0"/>
    </w:pPr>
  </w:style>
  <w:style w:type="paragraph" w:customStyle="1" w:styleId="LLDash1">
    <w:name w:val="LL_Dash 1"/>
    <w:basedOn w:val="LLNormal"/>
    <w:qFormat/>
    <w:rsid w:val="0040375D"/>
    <w:pPr>
      <w:numPr>
        <w:numId w:val="31"/>
      </w:numPr>
      <w:spacing w:after="0"/>
    </w:pPr>
  </w:style>
  <w:style w:type="paragraph" w:customStyle="1" w:styleId="LLDash2">
    <w:name w:val="LL_Dash 2"/>
    <w:basedOn w:val="LLNormal"/>
    <w:qFormat/>
    <w:rsid w:val="0040375D"/>
    <w:pPr>
      <w:numPr>
        <w:ilvl w:val="1"/>
        <w:numId w:val="31"/>
      </w:numPr>
      <w:spacing w:after="0"/>
    </w:pPr>
  </w:style>
  <w:style w:type="paragraph" w:customStyle="1" w:styleId="LLDash3">
    <w:name w:val="LL_Dash 3"/>
    <w:basedOn w:val="LLNormal"/>
    <w:qFormat/>
    <w:rsid w:val="0040375D"/>
    <w:pPr>
      <w:numPr>
        <w:ilvl w:val="2"/>
        <w:numId w:val="31"/>
      </w:numPr>
      <w:spacing w:after="0"/>
    </w:pPr>
  </w:style>
  <w:style w:type="paragraph" w:customStyle="1" w:styleId="LLDash4">
    <w:name w:val="LL_Dash 4"/>
    <w:basedOn w:val="LLNormal"/>
    <w:qFormat/>
    <w:rsid w:val="0040375D"/>
    <w:pPr>
      <w:numPr>
        <w:ilvl w:val="3"/>
        <w:numId w:val="31"/>
      </w:numPr>
      <w:spacing w:after="0"/>
    </w:pPr>
  </w:style>
  <w:style w:type="paragraph" w:customStyle="1" w:styleId="LLDash5">
    <w:name w:val="LL_Dash 5"/>
    <w:basedOn w:val="LLNormal"/>
    <w:qFormat/>
    <w:rsid w:val="0040375D"/>
    <w:pPr>
      <w:numPr>
        <w:ilvl w:val="4"/>
        <w:numId w:val="31"/>
      </w:num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bCs/>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75D"/>
    <w:pPr>
      <w:suppressAutoHyphens/>
      <w:spacing w:after="0" w:line="280" w:lineRule="atLeast"/>
      <w:jc w:val="both"/>
    </w:pPr>
    <w:rPr>
      <w:rFonts w:eastAsia="Calibri" w:cs="Times New Roman"/>
      <w:b/>
      <w:bCs w:val="0"/>
      <w:sz w:val="20"/>
    </w:rPr>
  </w:style>
  <w:style w:type="paragraph" w:styleId="Heading1">
    <w:name w:val="heading 1"/>
    <w:basedOn w:val="Normal"/>
    <w:next w:val="Normal"/>
    <w:link w:val="Heading1Char"/>
    <w:uiPriority w:val="9"/>
    <w:qFormat/>
    <w:rsid w:val="0040375D"/>
    <w:pPr>
      <w:keepNext/>
      <w:spacing w:before="240" w:after="60"/>
      <w:outlineLvl w:val="0"/>
    </w:pPr>
    <w:rPr>
      <w:rFonts w:ascii="Cambria" w:eastAsia="Times New Roman" w:hAnsi="Cambria"/>
      <w:b w:val="0"/>
      <w:bCs/>
      <w:kern w:val="32"/>
      <w:sz w:val="32"/>
      <w:szCs w:val="32"/>
      <w:lang w:eastAsia="x-none"/>
    </w:rPr>
  </w:style>
  <w:style w:type="paragraph" w:styleId="Heading2">
    <w:name w:val="heading 2"/>
    <w:basedOn w:val="Normal"/>
    <w:next w:val="Normal"/>
    <w:link w:val="Heading2Char"/>
    <w:uiPriority w:val="9"/>
    <w:qFormat/>
    <w:rsid w:val="0040375D"/>
    <w:pPr>
      <w:keepNext/>
      <w:spacing w:before="240" w:after="60"/>
      <w:outlineLvl w:val="1"/>
    </w:pPr>
    <w:rPr>
      <w:rFonts w:ascii="Cambria" w:eastAsia="Times New Roman" w:hAnsi="Cambria"/>
      <w:b w:val="0"/>
      <w:bCs/>
      <w:i/>
      <w:iCs/>
      <w:sz w:val="28"/>
      <w:szCs w:val="28"/>
      <w:lang w:eastAsia="x-none"/>
    </w:rPr>
  </w:style>
  <w:style w:type="paragraph" w:styleId="Heading3">
    <w:name w:val="heading 3"/>
    <w:basedOn w:val="Normal"/>
    <w:next w:val="Normal"/>
    <w:link w:val="Heading3Char"/>
    <w:uiPriority w:val="9"/>
    <w:qFormat/>
    <w:rsid w:val="0040375D"/>
    <w:pPr>
      <w:keepNext/>
      <w:spacing w:before="240" w:after="60"/>
      <w:outlineLvl w:val="2"/>
    </w:pPr>
    <w:rPr>
      <w:rFonts w:ascii="Cambria" w:eastAsia="Times New Roman" w:hAnsi="Cambria"/>
      <w:b w:val="0"/>
      <w:bCs/>
      <w:sz w:val="26"/>
      <w:szCs w:val="26"/>
      <w:lang w:eastAsia="x-none"/>
    </w:rPr>
  </w:style>
  <w:style w:type="character" w:default="1" w:styleId="DefaultParagraphFont">
    <w:name w:val="Default Paragraph Font"/>
    <w:uiPriority w:val="1"/>
    <w:semiHidden/>
    <w:unhideWhenUsed/>
    <w:rsid w:val="0040375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40375D"/>
  </w:style>
  <w:style w:type="paragraph" w:styleId="NormalWeb">
    <w:name w:val="Normal (Web)"/>
    <w:basedOn w:val="Normal"/>
    <w:uiPriority w:val="99"/>
    <w:unhideWhenUsed/>
    <w:rsid w:val="008D0846"/>
    <w:pPr>
      <w:spacing w:before="100" w:beforeAutospacing="1" w:after="100" w:afterAutospacing="1" w:line="240" w:lineRule="auto"/>
    </w:pPr>
    <w:rPr>
      <w:rFonts w:ascii="Times New Roman" w:eastAsia="Times New Roman" w:hAnsi="Times New Roman"/>
      <w:b w:val="0"/>
      <w:bCs/>
      <w:sz w:val="24"/>
      <w:szCs w:val="24"/>
    </w:rPr>
  </w:style>
  <w:style w:type="paragraph" w:styleId="NoSpacing">
    <w:name w:val="No Spacing"/>
    <w:uiPriority w:val="1"/>
    <w:qFormat/>
    <w:rsid w:val="008D0846"/>
    <w:pPr>
      <w:spacing w:after="0" w:line="240" w:lineRule="auto"/>
    </w:pPr>
  </w:style>
  <w:style w:type="paragraph" w:styleId="ListParagraph">
    <w:name w:val="List Paragraph"/>
    <w:basedOn w:val="Normal"/>
    <w:uiPriority w:val="34"/>
    <w:qFormat/>
    <w:rsid w:val="00E265DE"/>
    <w:pPr>
      <w:ind w:left="720"/>
      <w:contextualSpacing/>
    </w:pPr>
  </w:style>
  <w:style w:type="paragraph" w:styleId="Header">
    <w:name w:val="header"/>
    <w:basedOn w:val="Normal"/>
    <w:link w:val="HeaderChar"/>
    <w:uiPriority w:val="99"/>
    <w:unhideWhenUsed/>
    <w:rsid w:val="0040375D"/>
    <w:pPr>
      <w:tabs>
        <w:tab w:val="center" w:pos="4536"/>
        <w:tab w:val="right" w:pos="9072"/>
      </w:tabs>
    </w:pPr>
  </w:style>
  <w:style w:type="character" w:customStyle="1" w:styleId="HeaderChar">
    <w:name w:val="Header Char"/>
    <w:link w:val="Header"/>
    <w:uiPriority w:val="99"/>
    <w:rsid w:val="0040375D"/>
    <w:rPr>
      <w:rFonts w:eastAsia="Calibri" w:cs="Times New Roman"/>
      <w:b/>
      <w:bCs w:val="0"/>
      <w:sz w:val="20"/>
      <w:lang w:val="nl-NL"/>
    </w:rPr>
  </w:style>
  <w:style w:type="paragraph" w:styleId="Footer">
    <w:name w:val="footer"/>
    <w:basedOn w:val="Normal"/>
    <w:link w:val="FooterChar"/>
    <w:uiPriority w:val="99"/>
    <w:unhideWhenUsed/>
    <w:rsid w:val="0040375D"/>
    <w:pPr>
      <w:tabs>
        <w:tab w:val="center" w:pos="4321"/>
        <w:tab w:val="right" w:pos="8641"/>
      </w:tabs>
    </w:pPr>
    <w:rPr>
      <w:sz w:val="16"/>
    </w:rPr>
  </w:style>
  <w:style w:type="character" w:customStyle="1" w:styleId="FooterChar">
    <w:name w:val="Footer Char"/>
    <w:link w:val="Footer"/>
    <w:uiPriority w:val="99"/>
    <w:rsid w:val="0040375D"/>
    <w:rPr>
      <w:rFonts w:eastAsia="Calibri" w:cs="Times New Roman"/>
      <w:b/>
      <w:bCs w:val="0"/>
      <w:sz w:val="16"/>
      <w:lang w:val="nl-NL"/>
    </w:rPr>
  </w:style>
  <w:style w:type="character" w:customStyle="1" w:styleId="Heading1Char">
    <w:name w:val="Heading 1 Char"/>
    <w:link w:val="Heading1"/>
    <w:uiPriority w:val="9"/>
    <w:rsid w:val="0040375D"/>
    <w:rPr>
      <w:rFonts w:ascii="Cambria" w:eastAsia="Times New Roman" w:hAnsi="Cambria" w:cs="Times New Roman"/>
      <w:kern w:val="32"/>
      <w:sz w:val="32"/>
      <w:szCs w:val="32"/>
      <w:lang w:val="nl-NL" w:eastAsia="x-none"/>
    </w:rPr>
  </w:style>
  <w:style w:type="character" w:customStyle="1" w:styleId="Heading2Char">
    <w:name w:val="Heading 2 Char"/>
    <w:link w:val="Heading2"/>
    <w:uiPriority w:val="9"/>
    <w:rsid w:val="0040375D"/>
    <w:rPr>
      <w:rFonts w:ascii="Cambria" w:eastAsia="Times New Roman" w:hAnsi="Cambria" w:cs="Times New Roman"/>
      <w:i/>
      <w:iCs/>
      <w:sz w:val="28"/>
      <w:szCs w:val="28"/>
      <w:lang w:val="nl-NL" w:eastAsia="x-none"/>
    </w:rPr>
  </w:style>
  <w:style w:type="character" w:customStyle="1" w:styleId="Heading3Char">
    <w:name w:val="Heading 3 Char"/>
    <w:link w:val="Heading3"/>
    <w:uiPriority w:val="9"/>
    <w:rsid w:val="0040375D"/>
    <w:rPr>
      <w:rFonts w:ascii="Cambria" w:eastAsia="Times New Roman" w:hAnsi="Cambria" w:cs="Times New Roman"/>
      <w:sz w:val="26"/>
      <w:szCs w:val="26"/>
      <w:lang w:val="nl-NL" w:eastAsia="x-none"/>
    </w:rPr>
  </w:style>
  <w:style w:type="paragraph" w:customStyle="1" w:styleId="LLNormal">
    <w:name w:val="LL_Normal"/>
    <w:basedOn w:val="Normal"/>
    <w:qFormat/>
    <w:rsid w:val="0040375D"/>
    <w:pPr>
      <w:spacing w:after="200"/>
    </w:pPr>
  </w:style>
  <w:style w:type="paragraph" w:customStyle="1" w:styleId="LLNormalIndent">
    <w:name w:val="LL_NormalIndent"/>
    <w:basedOn w:val="LLNormal"/>
    <w:qFormat/>
    <w:rsid w:val="0040375D"/>
    <w:pPr>
      <w:ind w:left="851"/>
    </w:pPr>
  </w:style>
  <w:style w:type="paragraph" w:customStyle="1" w:styleId="LLCitation">
    <w:name w:val="LL_Citation"/>
    <w:basedOn w:val="LLNormal"/>
    <w:qFormat/>
    <w:rsid w:val="0040375D"/>
    <w:pPr>
      <w:ind w:left="1418" w:right="851"/>
    </w:pPr>
    <w:rPr>
      <w:i/>
    </w:rPr>
  </w:style>
  <w:style w:type="paragraph" w:customStyle="1" w:styleId="LLNumDefa">
    <w:name w:val="LL_NumDef (a)"/>
    <w:basedOn w:val="LLNormal"/>
    <w:qFormat/>
    <w:rsid w:val="0040375D"/>
    <w:pPr>
      <w:numPr>
        <w:numId w:val="25"/>
      </w:numPr>
      <w:spacing w:after="0"/>
    </w:pPr>
  </w:style>
  <w:style w:type="paragraph" w:customStyle="1" w:styleId="LLSpecStyle">
    <w:name w:val="LL_SpecStyle"/>
    <w:basedOn w:val="Normal"/>
    <w:qFormat/>
    <w:rsid w:val="0040375D"/>
    <w:pPr>
      <w:tabs>
        <w:tab w:val="left" w:pos="5670"/>
        <w:tab w:val="right" w:pos="7088"/>
        <w:tab w:val="left" w:pos="7371"/>
        <w:tab w:val="right" w:pos="8789"/>
      </w:tabs>
    </w:pPr>
  </w:style>
  <w:style w:type="paragraph" w:customStyle="1" w:styleId="LLHeading1">
    <w:name w:val="LLHeading 1"/>
    <w:basedOn w:val="LLNormal"/>
    <w:qFormat/>
    <w:rsid w:val="0040375D"/>
    <w:pPr>
      <w:keepNext/>
      <w:numPr>
        <w:numId w:val="26"/>
      </w:numPr>
      <w:outlineLvl w:val="0"/>
    </w:pPr>
    <w:rPr>
      <w:b w:val="0"/>
    </w:rPr>
  </w:style>
  <w:style w:type="paragraph" w:customStyle="1" w:styleId="LLHeading2">
    <w:name w:val="LLHeading 2"/>
    <w:basedOn w:val="LLNormal"/>
    <w:qFormat/>
    <w:rsid w:val="0040375D"/>
    <w:pPr>
      <w:numPr>
        <w:ilvl w:val="1"/>
        <w:numId w:val="26"/>
      </w:numPr>
      <w:ind w:left="850" w:hanging="850"/>
      <w:outlineLvl w:val="1"/>
    </w:pPr>
  </w:style>
  <w:style w:type="paragraph" w:customStyle="1" w:styleId="LLHeading3">
    <w:name w:val="LLHeading 3"/>
    <w:basedOn w:val="LLNormal"/>
    <w:qFormat/>
    <w:rsid w:val="0040375D"/>
    <w:pPr>
      <w:numPr>
        <w:ilvl w:val="2"/>
        <w:numId w:val="26"/>
      </w:numPr>
      <w:ind w:left="850" w:hanging="850"/>
      <w:outlineLvl w:val="2"/>
    </w:pPr>
  </w:style>
  <w:style w:type="paragraph" w:customStyle="1" w:styleId="LLHeading4">
    <w:name w:val="LLHeading 4"/>
    <w:basedOn w:val="LLNormal"/>
    <w:qFormat/>
    <w:rsid w:val="0040375D"/>
    <w:pPr>
      <w:numPr>
        <w:ilvl w:val="3"/>
        <w:numId w:val="26"/>
      </w:numPr>
      <w:ind w:left="850" w:hanging="850"/>
      <w:outlineLvl w:val="3"/>
    </w:pPr>
  </w:style>
  <w:style w:type="paragraph" w:customStyle="1" w:styleId="LLHeading5">
    <w:name w:val="LLHeading 5"/>
    <w:basedOn w:val="LLNormal"/>
    <w:qFormat/>
    <w:rsid w:val="0040375D"/>
    <w:pPr>
      <w:numPr>
        <w:ilvl w:val="4"/>
        <w:numId w:val="26"/>
      </w:numPr>
      <w:ind w:left="850" w:hanging="850"/>
      <w:outlineLvl w:val="4"/>
    </w:pPr>
  </w:style>
  <w:style w:type="paragraph" w:styleId="TOC1">
    <w:name w:val="toc 1"/>
    <w:basedOn w:val="Normal"/>
    <w:next w:val="Normal"/>
    <w:rsid w:val="0040375D"/>
    <w:pPr>
      <w:tabs>
        <w:tab w:val="right" w:leader="dot" w:pos="9639"/>
      </w:tabs>
      <w:ind w:left="851" w:hanging="851"/>
    </w:pPr>
    <w:rPr>
      <w:rFonts w:eastAsia="Times New Roman" w:cs="Arial"/>
      <w:caps/>
      <w:noProof/>
      <w:szCs w:val="24"/>
      <w:lang w:val="en-GB" w:eastAsia="nl-NL"/>
    </w:rPr>
  </w:style>
  <w:style w:type="paragraph" w:styleId="TOC2">
    <w:name w:val="toc 2"/>
    <w:basedOn w:val="Normal"/>
    <w:next w:val="Normal"/>
    <w:rsid w:val="0040375D"/>
    <w:pPr>
      <w:tabs>
        <w:tab w:val="right" w:leader="dot" w:pos="9639"/>
      </w:tabs>
      <w:ind w:left="851" w:hanging="851"/>
    </w:pPr>
    <w:rPr>
      <w:rFonts w:eastAsia="Times New Roman" w:cs="Arial"/>
      <w:noProof/>
      <w:szCs w:val="24"/>
      <w:lang w:val="en-GB" w:eastAsia="nl-NL"/>
    </w:rPr>
  </w:style>
  <w:style w:type="paragraph" w:styleId="TOC3">
    <w:name w:val="toc 3"/>
    <w:basedOn w:val="Normal"/>
    <w:next w:val="Normal"/>
    <w:rsid w:val="0040375D"/>
    <w:pPr>
      <w:tabs>
        <w:tab w:val="right" w:leader="dot" w:pos="9639"/>
      </w:tabs>
      <w:ind w:left="851" w:hanging="851"/>
    </w:pPr>
    <w:rPr>
      <w:rFonts w:eastAsia="Times New Roman" w:cs="Arial"/>
      <w:noProof/>
      <w:szCs w:val="24"/>
      <w:lang w:val="en-GB" w:eastAsia="nl-NL"/>
    </w:rPr>
  </w:style>
  <w:style w:type="paragraph" w:styleId="TOC4">
    <w:name w:val="toc 4"/>
    <w:basedOn w:val="Normal"/>
    <w:next w:val="Normal"/>
    <w:rsid w:val="0040375D"/>
    <w:pPr>
      <w:tabs>
        <w:tab w:val="right" w:leader="dot" w:pos="9639"/>
      </w:tabs>
      <w:ind w:left="851" w:hanging="851"/>
    </w:pPr>
    <w:rPr>
      <w:rFonts w:eastAsia="Times New Roman" w:cs="Arial"/>
      <w:noProof/>
      <w:szCs w:val="24"/>
      <w:lang w:val="en-GB" w:eastAsia="nl-NL"/>
    </w:rPr>
  </w:style>
  <w:style w:type="paragraph" w:styleId="TOC5">
    <w:name w:val="toc 5"/>
    <w:basedOn w:val="Normal"/>
    <w:next w:val="Normal"/>
    <w:rsid w:val="0040375D"/>
    <w:pPr>
      <w:tabs>
        <w:tab w:val="right" w:leader="dot" w:pos="9639"/>
      </w:tabs>
      <w:ind w:left="851" w:hanging="851"/>
    </w:pPr>
    <w:rPr>
      <w:rFonts w:eastAsia="Times New Roman" w:cs="Arial"/>
      <w:noProof/>
      <w:szCs w:val="24"/>
      <w:lang w:val="en-GB" w:eastAsia="nl-NL"/>
    </w:rPr>
  </w:style>
  <w:style w:type="character" w:styleId="Hyperlink">
    <w:name w:val="Hyperlink"/>
    <w:uiPriority w:val="99"/>
    <w:unhideWhenUsed/>
    <w:rsid w:val="0040375D"/>
    <w:rPr>
      <w:color w:val="0000FF"/>
      <w:u w:val="single"/>
    </w:rPr>
  </w:style>
  <w:style w:type="character" w:styleId="FootnoteReference">
    <w:name w:val="footnote reference"/>
    <w:rsid w:val="0040375D"/>
    <w:rPr>
      <w:vertAlign w:val="superscript"/>
      <w:lang w:val="nl-NL"/>
    </w:rPr>
  </w:style>
  <w:style w:type="paragraph" w:styleId="TOC6">
    <w:name w:val="toc 6"/>
    <w:basedOn w:val="Normal"/>
    <w:next w:val="Normal"/>
    <w:rsid w:val="0040375D"/>
    <w:pPr>
      <w:tabs>
        <w:tab w:val="right" w:leader="dot" w:pos="9639"/>
      </w:tabs>
      <w:ind w:left="851" w:hanging="851"/>
    </w:pPr>
  </w:style>
  <w:style w:type="paragraph" w:styleId="TOC7">
    <w:name w:val="toc 7"/>
    <w:basedOn w:val="Normal"/>
    <w:next w:val="Normal"/>
    <w:rsid w:val="0040375D"/>
    <w:pPr>
      <w:tabs>
        <w:tab w:val="right" w:leader="dot" w:pos="9639"/>
      </w:tabs>
      <w:ind w:left="851" w:hanging="851"/>
    </w:pPr>
  </w:style>
  <w:style w:type="paragraph" w:styleId="TOC8">
    <w:name w:val="toc 8"/>
    <w:basedOn w:val="Normal"/>
    <w:next w:val="Normal"/>
    <w:rsid w:val="0040375D"/>
    <w:pPr>
      <w:tabs>
        <w:tab w:val="right" w:leader="dot" w:pos="9639"/>
      </w:tabs>
      <w:ind w:left="851" w:hanging="851"/>
    </w:pPr>
  </w:style>
  <w:style w:type="paragraph" w:styleId="TOC9">
    <w:name w:val="toc 9"/>
    <w:basedOn w:val="Normal"/>
    <w:next w:val="Normal"/>
    <w:rsid w:val="0040375D"/>
    <w:pPr>
      <w:tabs>
        <w:tab w:val="right" w:leader="dot" w:pos="9639"/>
      </w:tabs>
      <w:ind w:left="851" w:hanging="851"/>
    </w:pPr>
  </w:style>
  <w:style w:type="paragraph" w:styleId="FootnoteText">
    <w:name w:val="footnote text"/>
    <w:basedOn w:val="Normal"/>
    <w:link w:val="FootnoteTextChar"/>
    <w:rsid w:val="0040375D"/>
    <w:pPr>
      <w:keepLines/>
      <w:tabs>
        <w:tab w:val="left" w:pos="284"/>
      </w:tabs>
      <w:spacing w:line="240" w:lineRule="auto"/>
      <w:ind w:left="284" w:hanging="284"/>
    </w:pPr>
    <w:rPr>
      <w:rFonts w:eastAsia="Times New Roman" w:cs="Arial"/>
      <w:sz w:val="16"/>
      <w:szCs w:val="20"/>
      <w:lang w:val="en-GB" w:eastAsia="nl-NL"/>
    </w:rPr>
  </w:style>
  <w:style w:type="character" w:customStyle="1" w:styleId="FootnoteTextChar">
    <w:name w:val="Footnote Text Char"/>
    <w:basedOn w:val="DefaultParagraphFont"/>
    <w:link w:val="FootnoteText"/>
    <w:rsid w:val="0040375D"/>
    <w:rPr>
      <w:rFonts w:eastAsia="Times New Roman" w:cs="Arial"/>
      <w:b/>
      <w:bCs w:val="0"/>
      <w:sz w:val="16"/>
      <w:szCs w:val="20"/>
      <w:lang w:val="en-GB" w:eastAsia="nl-NL"/>
    </w:rPr>
  </w:style>
  <w:style w:type="paragraph" w:customStyle="1" w:styleId="LLNuma">
    <w:name w:val="LL_Num(a)"/>
    <w:basedOn w:val="LLNormal"/>
    <w:qFormat/>
    <w:rsid w:val="0040375D"/>
    <w:pPr>
      <w:numPr>
        <w:numId w:val="27"/>
      </w:numPr>
    </w:pPr>
  </w:style>
  <w:style w:type="paragraph" w:customStyle="1" w:styleId="LLNumIndenta">
    <w:name w:val="LL_NumIndent(a)"/>
    <w:basedOn w:val="LLNormal"/>
    <w:qFormat/>
    <w:rsid w:val="0040375D"/>
    <w:pPr>
      <w:numPr>
        <w:numId w:val="28"/>
      </w:numPr>
    </w:pPr>
  </w:style>
  <w:style w:type="paragraph" w:customStyle="1" w:styleId="LLHeadingblue1">
    <w:name w:val="LL_Heading blue 1"/>
    <w:basedOn w:val="LLNormal"/>
    <w:rsid w:val="0040375D"/>
    <w:pPr>
      <w:keepNext/>
      <w:numPr>
        <w:numId w:val="29"/>
      </w:numPr>
      <w:spacing w:before="360" w:after="280"/>
      <w:outlineLvl w:val="0"/>
    </w:pPr>
    <w:rPr>
      <w:b w:val="0"/>
      <w:caps/>
      <w:color w:val="111F63"/>
      <w:sz w:val="24"/>
    </w:rPr>
  </w:style>
  <w:style w:type="paragraph" w:customStyle="1" w:styleId="LLHeadingblue2">
    <w:name w:val="LL_Heading blue 2"/>
    <w:basedOn w:val="LLNormal"/>
    <w:rsid w:val="0040375D"/>
    <w:pPr>
      <w:keepNext/>
      <w:numPr>
        <w:ilvl w:val="1"/>
        <w:numId w:val="29"/>
      </w:numPr>
      <w:outlineLvl w:val="1"/>
    </w:pPr>
    <w:rPr>
      <w:b w:val="0"/>
    </w:rPr>
  </w:style>
  <w:style w:type="paragraph" w:customStyle="1" w:styleId="LLHeadingblue3">
    <w:name w:val="LL_Heading blue 3"/>
    <w:basedOn w:val="LLNormal"/>
    <w:rsid w:val="0040375D"/>
    <w:pPr>
      <w:keepNext/>
      <w:numPr>
        <w:ilvl w:val="2"/>
        <w:numId w:val="29"/>
      </w:numPr>
      <w:outlineLvl w:val="2"/>
    </w:pPr>
    <w:rPr>
      <w:i/>
    </w:rPr>
  </w:style>
  <w:style w:type="paragraph" w:customStyle="1" w:styleId="LLHeadingblue4">
    <w:name w:val="LL_Heading blue 4"/>
    <w:basedOn w:val="LLNormal"/>
    <w:qFormat/>
    <w:rsid w:val="0040375D"/>
    <w:pPr>
      <w:numPr>
        <w:ilvl w:val="3"/>
        <w:numId w:val="29"/>
      </w:numPr>
      <w:outlineLvl w:val="3"/>
    </w:pPr>
  </w:style>
  <w:style w:type="paragraph" w:customStyle="1" w:styleId="LLHeadingblue5">
    <w:name w:val="LL_Heading blue 5"/>
    <w:basedOn w:val="LLNormal"/>
    <w:qFormat/>
    <w:rsid w:val="0040375D"/>
    <w:pPr>
      <w:numPr>
        <w:ilvl w:val="4"/>
        <w:numId w:val="29"/>
      </w:numPr>
      <w:outlineLvl w:val="4"/>
    </w:pPr>
  </w:style>
  <w:style w:type="paragraph" w:customStyle="1" w:styleId="LLNum123ab1">
    <w:name w:val="LL_Num123ab 1"/>
    <w:basedOn w:val="LLNormal"/>
    <w:qFormat/>
    <w:rsid w:val="0040375D"/>
    <w:pPr>
      <w:numPr>
        <w:numId w:val="30"/>
      </w:numPr>
      <w:spacing w:after="0"/>
    </w:pPr>
  </w:style>
  <w:style w:type="paragraph" w:customStyle="1" w:styleId="LLNum123ab2">
    <w:name w:val="LL_Num123ab 2"/>
    <w:basedOn w:val="LLNormal"/>
    <w:qFormat/>
    <w:rsid w:val="0040375D"/>
    <w:pPr>
      <w:numPr>
        <w:ilvl w:val="1"/>
        <w:numId w:val="30"/>
      </w:numPr>
      <w:spacing w:after="0"/>
    </w:pPr>
  </w:style>
  <w:style w:type="paragraph" w:customStyle="1" w:styleId="LLDash1">
    <w:name w:val="LL_Dash 1"/>
    <w:basedOn w:val="LLNormal"/>
    <w:qFormat/>
    <w:rsid w:val="0040375D"/>
    <w:pPr>
      <w:numPr>
        <w:numId w:val="31"/>
      </w:numPr>
      <w:spacing w:after="0"/>
    </w:pPr>
  </w:style>
  <w:style w:type="paragraph" w:customStyle="1" w:styleId="LLDash2">
    <w:name w:val="LL_Dash 2"/>
    <w:basedOn w:val="LLNormal"/>
    <w:qFormat/>
    <w:rsid w:val="0040375D"/>
    <w:pPr>
      <w:numPr>
        <w:ilvl w:val="1"/>
        <w:numId w:val="31"/>
      </w:numPr>
      <w:spacing w:after="0"/>
    </w:pPr>
  </w:style>
  <w:style w:type="paragraph" w:customStyle="1" w:styleId="LLDash3">
    <w:name w:val="LL_Dash 3"/>
    <w:basedOn w:val="LLNormal"/>
    <w:qFormat/>
    <w:rsid w:val="0040375D"/>
    <w:pPr>
      <w:numPr>
        <w:ilvl w:val="2"/>
        <w:numId w:val="31"/>
      </w:numPr>
      <w:spacing w:after="0"/>
    </w:pPr>
  </w:style>
  <w:style w:type="paragraph" w:customStyle="1" w:styleId="LLDash4">
    <w:name w:val="LL_Dash 4"/>
    <w:basedOn w:val="LLNormal"/>
    <w:qFormat/>
    <w:rsid w:val="0040375D"/>
    <w:pPr>
      <w:numPr>
        <w:ilvl w:val="3"/>
        <w:numId w:val="31"/>
      </w:numPr>
      <w:spacing w:after="0"/>
    </w:pPr>
  </w:style>
  <w:style w:type="paragraph" w:customStyle="1" w:styleId="LLDash5">
    <w:name w:val="LL_Dash 5"/>
    <w:basedOn w:val="LLNormal"/>
    <w:qFormat/>
    <w:rsid w:val="0040375D"/>
    <w:pPr>
      <w:numPr>
        <w:ilvl w:val="4"/>
        <w:numId w:val="31"/>
      </w:num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768297">
      <w:bodyDiv w:val="1"/>
      <w:marLeft w:val="0"/>
      <w:marRight w:val="0"/>
      <w:marTop w:val="0"/>
      <w:marBottom w:val="0"/>
      <w:divBdr>
        <w:top w:val="none" w:sz="0" w:space="0" w:color="auto"/>
        <w:left w:val="none" w:sz="0" w:space="0" w:color="auto"/>
        <w:bottom w:val="none" w:sz="0" w:space="0" w:color="auto"/>
        <w:right w:val="none" w:sz="0" w:space="0" w:color="auto"/>
      </w:divBdr>
      <w:divsChild>
        <w:div w:id="625083340">
          <w:marLeft w:val="0"/>
          <w:marRight w:val="0"/>
          <w:marTop w:val="0"/>
          <w:marBottom w:val="0"/>
          <w:divBdr>
            <w:top w:val="none" w:sz="0" w:space="0" w:color="auto"/>
            <w:left w:val="none" w:sz="0" w:space="0" w:color="auto"/>
            <w:bottom w:val="none" w:sz="0" w:space="0" w:color="auto"/>
            <w:right w:val="none" w:sz="0" w:space="0" w:color="auto"/>
          </w:divBdr>
        </w:div>
      </w:divsChild>
    </w:div>
    <w:div w:id="1581402963">
      <w:bodyDiv w:val="1"/>
      <w:marLeft w:val="0"/>
      <w:marRight w:val="0"/>
      <w:marTop w:val="0"/>
      <w:marBottom w:val="0"/>
      <w:divBdr>
        <w:top w:val="none" w:sz="0" w:space="0" w:color="auto"/>
        <w:left w:val="none" w:sz="0" w:space="0" w:color="auto"/>
        <w:bottom w:val="none" w:sz="0" w:space="0" w:color="auto"/>
        <w:right w:val="none" w:sz="0" w:space="0" w:color="auto"/>
      </w:divBdr>
      <w:divsChild>
        <w:div w:id="1324623350">
          <w:marLeft w:val="0"/>
          <w:marRight w:val="0"/>
          <w:marTop w:val="0"/>
          <w:marBottom w:val="0"/>
          <w:divBdr>
            <w:top w:val="none" w:sz="0" w:space="0" w:color="auto"/>
            <w:left w:val="none" w:sz="0" w:space="0" w:color="auto"/>
            <w:bottom w:val="none" w:sz="0" w:space="0" w:color="auto"/>
            <w:right w:val="none" w:sz="0" w:space="0" w:color="auto"/>
          </w:divBdr>
        </w:div>
      </w:divsChild>
    </w:div>
    <w:div w:id="1969847484">
      <w:bodyDiv w:val="1"/>
      <w:marLeft w:val="0"/>
      <w:marRight w:val="0"/>
      <w:marTop w:val="0"/>
      <w:marBottom w:val="0"/>
      <w:divBdr>
        <w:top w:val="none" w:sz="0" w:space="0" w:color="auto"/>
        <w:left w:val="none" w:sz="0" w:space="0" w:color="auto"/>
        <w:bottom w:val="none" w:sz="0" w:space="0" w:color="auto"/>
        <w:right w:val="none" w:sz="0" w:space="0" w:color="auto"/>
      </w:divBdr>
      <w:divsChild>
        <w:div w:id="8604313">
          <w:marLeft w:val="-108"/>
          <w:marRight w:val="0"/>
          <w:marTop w:val="0"/>
          <w:marBottom w:val="0"/>
          <w:divBdr>
            <w:top w:val="none" w:sz="0" w:space="0" w:color="auto"/>
            <w:left w:val="none" w:sz="0" w:space="0" w:color="auto"/>
            <w:bottom w:val="none" w:sz="0" w:space="0" w:color="auto"/>
            <w:right w:val="none" w:sz="0" w:space="0" w:color="auto"/>
          </w:divBdr>
        </w:div>
        <w:div w:id="1161189918">
          <w:marLeft w:val="0"/>
          <w:marRight w:val="0"/>
          <w:marTop w:val="0"/>
          <w:marBottom w:val="0"/>
          <w:divBdr>
            <w:top w:val="none" w:sz="0" w:space="0" w:color="auto"/>
            <w:left w:val="none" w:sz="0" w:space="0" w:color="auto"/>
            <w:bottom w:val="none" w:sz="0" w:space="0" w:color="auto"/>
            <w:right w:val="none" w:sz="0" w:space="0" w:color="auto"/>
          </w:divBdr>
        </w:div>
        <w:div w:id="1427379859">
          <w:marLeft w:val="0"/>
          <w:marRight w:val="0"/>
          <w:marTop w:val="0"/>
          <w:marBottom w:val="0"/>
          <w:divBdr>
            <w:top w:val="none" w:sz="0" w:space="0" w:color="auto"/>
            <w:left w:val="none" w:sz="0" w:space="0" w:color="auto"/>
            <w:bottom w:val="none" w:sz="0" w:space="0" w:color="auto"/>
            <w:right w:val="none" w:sz="0" w:space="0" w:color="auto"/>
          </w:divBdr>
        </w:div>
        <w:div w:id="812867786">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D7AE28-DDB8-497C-9F70-F2B8B6342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24616</Words>
  <Characters>140312</Characters>
  <Application>Microsoft Office Word</Application>
  <DocSecurity>0</DocSecurity>
  <Lines>1169</Lines>
  <Paragraphs>329</Paragraphs>
  <ScaleCrop>false</ScaleCrop>
  <HeadingPairs>
    <vt:vector size="2" baseType="variant">
      <vt:variant>
        <vt:lpstr>Title</vt:lpstr>
      </vt:variant>
      <vt:variant>
        <vt:i4>1</vt:i4>
      </vt:variant>
    </vt:vector>
  </HeadingPairs>
  <TitlesOfParts>
    <vt:vector size="1" baseType="lpstr">
      <vt:lpstr/>
    </vt:vector>
  </TitlesOfParts>
  <Company>Loyens &amp; Loeff</Company>
  <LinksUpToDate>false</LinksUpToDate>
  <CharactersWithSpaces>164599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Nanne Kusters</dc:creator>
  <cp:keywords/>
  <dc:description/>
  <cp:lastModifiedBy/>
  <cp:revision>1</cp:revision>
  <dcterms:created xsi:type="dcterms:W3CDTF">2018-08-17T11:31:00Z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StylesCopied">
    <vt:lpwstr>2</vt:lpwstr>
  </property>
</Properties>
</file>