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1C78D2" w14:textId="106782F0" w:rsidR="00144A88" w:rsidRPr="00D82AA0" w:rsidRDefault="00F8401B" w:rsidP="00F8401B">
      <w:pPr>
        <w:pStyle w:val="Titel"/>
        <w:spacing w:line="360" w:lineRule="auto"/>
        <w:rPr>
          <w:lang w:val="en-US"/>
        </w:rPr>
      </w:pPr>
      <w:r w:rsidRPr="00F8401B">
        <w:rPr>
          <w:lang w:val="en-US"/>
        </w:rPr>
        <w:t>Eu influence in transnistria</w:t>
      </w:r>
    </w:p>
    <w:p w14:paraId="4A1E130B" w14:textId="15185FD7" w:rsidR="00B8212B" w:rsidRPr="00D82AA0" w:rsidRDefault="00B8212B" w:rsidP="00BF7FCE">
      <w:pPr>
        <w:pStyle w:val="Ondertitel"/>
        <w:numPr>
          <w:ilvl w:val="0"/>
          <w:numId w:val="0"/>
        </w:numPr>
        <w:rPr>
          <w:lang w:val="en-US"/>
        </w:rPr>
      </w:pPr>
      <w:r w:rsidRPr="00D82AA0">
        <w:rPr>
          <w:lang w:val="en-US"/>
        </w:rPr>
        <w:t>An analysis of the ways in which the EU influences the conflict between Moldova and Transnistria through the use of border policies and geopolitics</w:t>
      </w:r>
    </w:p>
    <w:p w14:paraId="621C78D3" w14:textId="77777777" w:rsidR="0053213C" w:rsidRPr="00D82AA0" w:rsidRDefault="0053213C" w:rsidP="00A865EB">
      <w:pPr>
        <w:pStyle w:val="Ondertitel"/>
        <w:rPr>
          <w:lang w:val="en-US"/>
        </w:rPr>
      </w:pPr>
      <w:r w:rsidRPr="00D82AA0">
        <w:rPr>
          <w:lang w:val="en-US"/>
        </w:rPr>
        <w:t>Daan Ackema</w:t>
      </w:r>
    </w:p>
    <w:p w14:paraId="621C78D5" w14:textId="492295C3" w:rsidR="0053213C" w:rsidRPr="00D82AA0" w:rsidRDefault="007C2251" w:rsidP="00A865EB">
      <w:pPr>
        <w:rPr>
          <w:lang w:val="en-US"/>
        </w:rPr>
      </w:pPr>
      <w:r w:rsidRPr="00D82AA0">
        <w:rPr>
          <w:noProof/>
          <w:lang w:eastAsia="nl-NL"/>
        </w:rPr>
        <w:drawing>
          <wp:inline distT="0" distB="0" distL="0" distR="0" wp14:anchorId="0B14017B" wp14:editId="4F7A3AA7">
            <wp:extent cx="5579745" cy="2782433"/>
            <wp:effectExtent l="0" t="0" r="1905" b="0"/>
            <wp:docPr id="5" name="Picture 5" descr="Afbeeldingsresultaat voor Transnistria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Transnistria EU"/>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79745" cy="2782433"/>
                    </a:xfrm>
                    <a:prstGeom prst="rect">
                      <a:avLst/>
                    </a:prstGeom>
                    <a:noFill/>
                    <a:ln>
                      <a:noFill/>
                    </a:ln>
                  </pic:spPr>
                </pic:pic>
              </a:graphicData>
            </a:graphic>
          </wp:inline>
        </w:drawing>
      </w:r>
      <w:bookmarkStart w:id="0" w:name="_GoBack"/>
      <w:bookmarkEnd w:id="0"/>
    </w:p>
    <w:p w14:paraId="621C78D6" w14:textId="77777777" w:rsidR="0053213C" w:rsidRPr="00D82AA0" w:rsidRDefault="0053213C" w:rsidP="00A865EB">
      <w:pPr>
        <w:rPr>
          <w:lang w:val="en-US"/>
        </w:rPr>
      </w:pPr>
    </w:p>
    <w:p w14:paraId="621C78D7" w14:textId="77777777" w:rsidR="0053213C" w:rsidRPr="00D82AA0" w:rsidRDefault="0053213C" w:rsidP="00A865EB">
      <w:pPr>
        <w:rPr>
          <w:lang w:val="en-US"/>
        </w:rPr>
      </w:pPr>
    </w:p>
    <w:p w14:paraId="621C78E6" w14:textId="0D1C57B3" w:rsidR="0053213C" w:rsidRPr="00D82AA0" w:rsidRDefault="0053213C" w:rsidP="00A865EB">
      <w:pPr>
        <w:rPr>
          <w:lang w:val="en-US"/>
        </w:rPr>
      </w:pPr>
      <w:r w:rsidRPr="008E13AE">
        <w:rPr>
          <w:noProof/>
          <w:lang w:val="en-US"/>
        </w:rPr>
        <w:t>Bachelorthesis</w:t>
      </w:r>
      <w:r w:rsidRPr="00D82AA0">
        <w:rPr>
          <w:lang w:val="en-US"/>
        </w:rPr>
        <w:t xml:space="preserve"> Geography, Environment and Planning (GPE)</w:t>
      </w:r>
    </w:p>
    <w:p w14:paraId="621C78E7" w14:textId="490DAA3B" w:rsidR="0053213C" w:rsidRPr="00D82AA0" w:rsidRDefault="0053213C" w:rsidP="00A865EB">
      <w:pPr>
        <w:rPr>
          <w:lang w:val="en-US"/>
        </w:rPr>
      </w:pPr>
      <w:r w:rsidRPr="00D82AA0">
        <w:rPr>
          <w:lang w:val="en-US"/>
        </w:rPr>
        <w:t>Nijmegen School of Management</w:t>
      </w:r>
    </w:p>
    <w:p w14:paraId="621C78E8" w14:textId="2C4887CE" w:rsidR="0053213C" w:rsidRPr="00D82AA0" w:rsidRDefault="006222F2" w:rsidP="00A865EB">
      <w:pPr>
        <w:rPr>
          <w:lang w:val="en-US"/>
        </w:rPr>
      </w:pPr>
      <w:r w:rsidRPr="00D82AA0">
        <w:rPr>
          <w:noProof/>
          <w:lang w:eastAsia="nl-NL"/>
        </w:rPr>
        <w:drawing>
          <wp:anchor distT="0" distB="0" distL="114300" distR="114300" simplePos="0" relativeHeight="251658244" behindDoc="0" locked="0" layoutInCell="1" allowOverlap="1" wp14:anchorId="612A3FAA" wp14:editId="49C9C515">
            <wp:simplePos x="0" y="0"/>
            <wp:positionH relativeFrom="margin">
              <wp:posOffset>2855595</wp:posOffset>
            </wp:positionH>
            <wp:positionV relativeFrom="paragraph">
              <wp:posOffset>-81915</wp:posOffset>
            </wp:positionV>
            <wp:extent cx="3105150" cy="817880"/>
            <wp:effectExtent l="0" t="0" r="0" b="1270"/>
            <wp:wrapSquare wrapText="bothSides"/>
            <wp:docPr id="6" name="Picture 2" descr="Afbeeldingsresultaat voor radboud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beeldingsresultaat voor radboud university"/>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5150" cy="817880"/>
                    </a:xfrm>
                    <a:prstGeom prst="rect">
                      <a:avLst/>
                    </a:prstGeom>
                    <a:noFill/>
                    <a:ln>
                      <a:noFill/>
                    </a:ln>
                  </pic:spPr>
                </pic:pic>
              </a:graphicData>
            </a:graphic>
          </wp:anchor>
        </w:drawing>
      </w:r>
      <w:r w:rsidR="0053213C" w:rsidRPr="00D82AA0">
        <w:rPr>
          <w:lang w:val="en-US"/>
        </w:rPr>
        <w:t>Radboud University</w:t>
      </w:r>
    </w:p>
    <w:p w14:paraId="589241B4" w14:textId="2BDAF678" w:rsidR="001A3A30" w:rsidRPr="00D82AA0" w:rsidRDefault="0053213C" w:rsidP="001A3A30">
      <w:pPr>
        <w:rPr>
          <w:lang w:val="en-US"/>
        </w:rPr>
      </w:pPr>
      <w:r w:rsidRPr="008E13AE">
        <w:rPr>
          <w:noProof/>
          <w:lang w:val="en-US"/>
        </w:rPr>
        <w:t>June,</w:t>
      </w:r>
      <w:r w:rsidRPr="00D82AA0">
        <w:rPr>
          <w:lang w:val="en-US"/>
        </w:rPr>
        <w:t xml:space="preserve"> 2018</w:t>
      </w:r>
      <w:bookmarkStart w:id="1" w:name="_Toc512352175"/>
      <w:bookmarkStart w:id="2" w:name="_Toc512352873"/>
      <w:bookmarkStart w:id="3" w:name="_Toc514250001"/>
      <w:r w:rsidR="001A3A30" w:rsidRPr="00D82AA0">
        <w:rPr>
          <w:lang w:val="en-US"/>
        </w:rPr>
        <w:br w:type="page"/>
      </w:r>
    </w:p>
    <w:p w14:paraId="621C78EA" w14:textId="5F018683" w:rsidR="0053213C" w:rsidRPr="00D82AA0" w:rsidRDefault="0053213C" w:rsidP="00A865EB">
      <w:pPr>
        <w:pStyle w:val="Kop1"/>
        <w:spacing w:line="360" w:lineRule="auto"/>
        <w:rPr>
          <w:lang w:val="en-US"/>
        </w:rPr>
      </w:pPr>
      <w:bookmarkStart w:id="4" w:name="_Toc516780826"/>
      <w:bookmarkStart w:id="5" w:name="_Toc517084554"/>
      <w:bookmarkStart w:id="6" w:name="_Toc517979464"/>
      <w:bookmarkStart w:id="7" w:name="_Toc517985330"/>
      <w:r w:rsidRPr="00D82AA0">
        <w:rPr>
          <w:lang w:val="en-US"/>
        </w:rPr>
        <w:lastRenderedPageBreak/>
        <w:t>Title page</w:t>
      </w:r>
      <w:bookmarkEnd w:id="1"/>
      <w:bookmarkEnd w:id="2"/>
      <w:bookmarkEnd w:id="3"/>
      <w:bookmarkEnd w:id="4"/>
      <w:bookmarkEnd w:id="5"/>
      <w:bookmarkEnd w:id="6"/>
      <w:bookmarkEnd w:id="7"/>
    </w:p>
    <w:p w14:paraId="2E0F4C91" w14:textId="77777777" w:rsidR="000B4487" w:rsidRPr="00D82AA0" w:rsidRDefault="000B4487" w:rsidP="00A865EB">
      <w:pPr>
        <w:rPr>
          <w:lang w:val="en-US"/>
        </w:rPr>
      </w:pPr>
    </w:p>
    <w:p w14:paraId="05892D18" w14:textId="77777777" w:rsidR="000B4487" w:rsidRPr="00D82AA0" w:rsidRDefault="000B4487" w:rsidP="00A865EB">
      <w:pPr>
        <w:rPr>
          <w:lang w:val="en-US"/>
        </w:rPr>
      </w:pPr>
    </w:p>
    <w:p w14:paraId="621C78EC" w14:textId="49D18286" w:rsidR="0053213C" w:rsidRPr="00D82AA0" w:rsidRDefault="0053213C" w:rsidP="00A865EB">
      <w:pPr>
        <w:rPr>
          <w:lang w:val="en-US"/>
        </w:rPr>
      </w:pPr>
      <w:r w:rsidRPr="00D82AA0">
        <w:rPr>
          <w:lang w:val="en-US"/>
        </w:rPr>
        <w:t>Daan Ackema</w:t>
      </w:r>
    </w:p>
    <w:p w14:paraId="621C78ED" w14:textId="27DAA1B4" w:rsidR="0053213C" w:rsidRPr="00D82AA0" w:rsidRDefault="0053213C" w:rsidP="00A865EB">
      <w:pPr>
        <w:rPr>
          <w:lang w:val="en-US"/>
        </w:rPr>
      </w:pPr>
      <w:r w:rsidRPr="008E13AE">
        <w:rPr>
          <w:noProof/>
          <w:lang w:val="en-US"/>
        </w:rPr>
        <w:t>Bachelorthesis</w:t>
      </w:r>
      <w:r w:rsidRPr="00D82AA0">
        <w:rPr>
          <w:lang w:val="en-US"/>
        </w:rPr>
        <w:t xml:space="preserve"> Geography, </w:t>
      </w:r>
      <w:r w:rsidR="006F02EF">
        <w:rPr>
          <w:lang w:val="en-US"/>
        </w:rPr>
        <w:t>Planning and Environmental Studies</w:t>
      </w:r>
      <w:r w:rsidRPr="00D82AA0">
        <w:rPr>
          <w:lang w:val="en-US"/>
        </w:rPr>
        <w:t xml:space="preserve"> (GPE)</w:t>
      </w:r>
    </w:p>
    <w:p w14:paraId="621C78EE" w14:textId="77777777" w:rsidR="0053213C" w:rsidRPr="00D82AA0" w:rsidRDefault="0053213C" w:rsidP="00A865EB">
      <w:pPr>
        <w:rPr>
          <w:lang w:val="en-US"/>
        </w:rPr>
      </w:pPr>
      <w:r w:rsidRPr="00D82AA0">
        <w:rPr>
          <w:lang w:val="en-US"/>
        </w:rPr>
        <w:t>Nijmegen School of Management</w:t>
      </w:r>
    </w:p>
    <w:p w14:paraId="621C78EF" w14:textId="77777777" w:rsidR="0053213C" w:rsidRPr="00D82AA0" w:rsidRDefault="0053213C" w:rsidP="00A865EB">
      <w:pPr>
        <w:rPr>
          <w:lang w:val="en-US"/>
        </w:rPr>
      </w:pPr>
      <w:r w:rsidRPr="00D82AA0">
        <w:rPr>
          <w:lang w:val="en-US"/>
        </w:rPr>
        <w:t>Radboud University</w:t>
      </w:r>
    </w:p>
    <w:p w14:paraId="621C78F0" w14:textId="77777777" w:rsidR="0053213C" w:rsidRPr="00D82AA0" w:rsidRDefault="0053213C" w:rsidP="00A865EB">
      <w:pPr>
        <w:rPr>
          <w:lang w:val="en-US"/>
        </w:rPr>
      </w:pPr>
      <w:r w:rsidRPr="008E13AE">
        <w:rPr>
          <w:noProof/>
          <w:lang w:val="en-US"/>
        </w:rPr>
        <w:t>June,</w:t>
      </w:r>
      <w:r w:rsidRPr="00D82AA0">
        <w:rPr>
          <w:lang w:val="en-US"/>
        </w:rPr>
        <w:t xml:space="preserve"> 2018</w:t>
      </w:r>
    </w:p>
    <w:p w14:paraId="621C78F1" w14:textId="77777777" w:rsidR="0053213C" w:rsidRPr="00D82AA0" w:rsidRDefault="0053213C" w:rsidP="00A865EB">
      <w:pPr>
        <w:rPr>
          <w:lang w:val="en-US"/>
        </w:rPr>
      </w:pPr>
      <w:r w:rsidRPr="00D82AA0">
        <w:rPr>
          <w:lang w:val="en-US"/>
        </w:rPr>
        <w:t xml:space="preserve">Supervisor: </w:t>
      </w:r>
      <w:r w:rsidRPr="008E13AE">
        <w:rPr>
          <w:noProof/>
          <w:lang w:val="en-US"/>
        </w:rPr>
        <w:t>Dr.</w:t>
      </w:r>
      <w:r w:rsidRPr="00D82AA0">
        <w:rPr>
          <w:lang w:val="en-US"/>
        </w:rPr>
        <w:t xml:space="preserve"> O.T. Kramsch</w:t>
      </w:r>
    </w:p>
    <w:p w14:paraId="621C78F2" w14:textId="77777777" w:rsidR="0053213C" w:rsidRPr="00D82AA0" w:rsidRDefault="0053213C" w:rsidP="00A865EB">
      <w:pPr>
        <w:rPr>
          <w:lang w:val="en-US"/>
        </w:rPr>
      </w:pPr>
      <w:r w:rsidRPr="00D82AA0">
        <w:rPr>
          <w:lang w:val="en-US"/>
        </w:rPr>
        <w:t>Student number: 4503996</w:t>
      </w:r>
    </w:p>
    <w:p w14:paraId="621C78F3" w14:textId="53190477" w:rsidR="0053213C" w:rsidRDefault="0053213C" w:rsidP="00A865EB">
      <w:pPr>
        <w:rPr>
          <w:lang w:val="en-US"/>
        </w:rPr>
      </w:pPr>
      <w:r w:rsidRPr="00D82AA0">
        <w:rPr>
          <w:lang w:val="en-US"/>
        </w:rPr>
        <w:t xml:space="preserve">Number of words main text: </w:t>
      </w:r>
      <w:r w:rsidR="00113354">
        <w:rPr>
          <w:lang w:val="en-US"/>
        </w:rPr>
        <w:t>20.567</w:t>
      </w:r>
    </w:p>
    <w:p w14:paraId="01CD2DA3" w14:textId="48B9A4AD" w:rsidR="003772B4" w:rsidRDefault="003772B4" w:rsidP="00A865EB">
      <w:pPr>
        <w:rPr>
          <w:lang w:val="en-US"/>
        </w:rPr>
      </w:pPr>
    </w:p>
    <w:p w14:paraId="14EF6E2C" w14:textId="4140CC33" w:rsidR="003772B4" w:rsidRPr="003772B4" w:rsidRDefault="003772B4" w:rsidP="00A865EB">
      <w:pPr>
        <w:rPr>
          <w:sz w:val="16"/>
          <w:lang w:val="en-US"/>
        </w:rPr>
      </w:pPr>
      <w:r w:rsidRPr="003772B4">
        <w:rPr>
          <w:sz w:val="16"/>
          <w:lang w:val="en-US"/>
        </w:rPr>
        <w:t xml:space="preserve">Source cover picture: Nationalia (2014). </w:t>
      </w:r>
      <w:r w:rsidRPr="003772B4">
        <w:rPr>
          <w:i/>
          <w:sz w:val="16"/>
          <w:lang w:val="en-US"/>
        </w:rPr>
        <w:t>Romania calls to "accelerate" Moldovan access to the EU while Transnistria turns again eyes to Moscow.</w:t>
      </w:r>
      <w:r w:rsidRPr="003772B4">
        <w:rPr>
          <w:sz w:val="16"/>
          <w:lang w:val="en-US"/>
        </w:rPr>
        <w:t xml:space="preserve"> Retrieved from https://www.nationalia.info/new/10215/romania-calls-to-accelerate-moldovan-access-to-the-eu-while-transnistria-turns-again-eyes- on 28-06-2018</w:t>
      </w:r>
    </w:p>
    <w:p w14:paraId="18E30FC3" w14:textId="49242F39" w:rsidR="003772B4" w:rsidRPr="00D82AA0" w:rsidRDefault="006222F2" w:rsidP="001A3A30">
      <w:pPr>
        <w:rPr>
          <w:lang w:val="en-US"/>
        </w:rPr>
      </w:pPr>
      <w:r w:rsidRPr="00D82AA0">
        <w:rPr>
          <w:noProof/>
          <w:lang w:eastAsia="nl-NL"/>
        </w:rPr>
        <w:drawing>
          <wp:anchor distT="0" distB="0" distL="114300" distR="114300" simplePos="0" relativeHeight="251658245" behindDoc="0" locked="0" layoutInCell="1" allowOverlap="1" wp14:anchorId="5275763C" wp14:editId="391A2D66">
            <wp:simplePos x="0" y="0"/>
            <wp:positionH relativeFrom="margin">
              <wp:align>left</wp:align>
            </wp:positionH>
            <wp:positionV relativeFrom="paragraph">
              <wp:posOffset>123825</wp:posOffset>
            </wp:positionV>
            <wp:extent cx="2381250" cy="1228725"/>
            <wp:effectExtent l="0" t="0" r="0" b="9525"/>
            <wp:wrapSquare wrapText="bothSides"/>
            <wp:docPr id="7" name="Picture 3" descr="Afbeeldingsresultaat voor radboud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fbeeldingsresultaat voor radboud universit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81250" cy="1228725"/>
                    </a:xfrm>
                    <a:prstGeom prst="rect">
                      <a:avLst/>
                    </a:prstGeom>
                    <a:noFill/>
                    <a:ln>
                      <a:noFill/>
                    </a:ln>
                  </pic:spPr>
                </pic:pic>
              </a:graphicData>
            </a:graphic>
          </wp:anchor>
        </w:drawing>
      </w:r>
      <w:bookmarkStart w:id="8" w:name="_Toc514250002"/>
      <w:r w:rsidR="001A3A30" w:rsidRPr="00D82AA0">
        <w:rPr>
          <w:lang w:val="en-US"/>
        </w:rPr>
        <w:br w:type="page"/>
      </w:r>
    </w:p>
    <w:p w14:paraId="621C78F5" w14:textId="41F0A08C" w:rsidR="0053213C" w:rsidRPr="00D82AA0" w:rsidRDefault="00312812" w:rsidP="00A865EB">
      <w:pPr>
        <w:pStyle w:val="Kop1"/>
        <w:spacing w:line="360" w:lineRule="auto"/>
        <w:rPr>
          <w:lang w:val="en-US"/>
        </w:rPr>
      </w:pPr>
      <w:bookmarkStart w:id="9" w:name="_Toc516780827"/>
      <w:bookmarkStart w:id="10" w:name="_Toc517084555"/>
      <w:bookmarkStart w:id="11" w:name="_Toc517979465"/>
      <w:bookmarkStart w:id="12" w:name="_Toc517985331"/>
      <w:r w:rsidRPr="00D82AA0">
        <w:rPr>
          <w:lang w:val="en-US"/>
        </w:rPr>
        <w:lastRenderedPageBreak/>
        <w:t>Abstract</w:t>
      </w:r>
      <w:bookmarkEnd w:id="8"/>
      <w:bookmarkEnd w:id="9"/>
      <w:bookmarkEnd w:id="10"/>
      <w:bookmarkEnd w:id="11"/>
      <w:bookmarkEnd w:id="12"/>
    </w:p>
    <w:p w14:paraId="5809F7E3" w14:textId="77777777" w:rsidR="00994D31" w:rsidRDefault="009409E3" w:rsidP="00A865EB">
      <w:pPr>
        <w:rPr>
          <w:lang w:val="en-US"/>
        </w:rPr>
      </w:pPr>
      <w:r>
        <w:rPr>
          <w:lang w:val="en-US"/>
        </w:rPr>
        <w:t xml:space="preserve">Within the large spectrum of border research, developed over the last few decades, this thesis focuses on the conflict between Transnistria and Moldova. </w:t>
      </w:r>
      <w:r w:rsidR="00994D31">
        <w:rPr>
          <w:lang w:val="en-US"/>
        </w:rPr>
        <w:t xml:space="preserve">This subject was combined with the idea of European border practices, through which the Eu tries to extend its governmentality outside of the European Union. In extending its governmentality, the EU tries to create a safe borderland with countries that act like the European member states. This safety is an issue in the conflict between Moldova and Transnistria, which makes it an interesting case to focus this research on. </w:t>
      </w:r>
    </w:p>
    <w:p w14:paraId="337B5D57" w14:textId="77777777" w:rsidR="00723E92" w:rsidRDefault="00994D31" w:rsidP="00A865EB">
      <w:pPr>
        <w:rPr>
          <w:lang w:val="en-US"/>
        </w:rPr>
      </w:pPr>
      <w:r>
        <w:rPr>
          <w:lang w:val="en-US"/>
        </w:rPr>
        <w:t xml:space="preserve">The </w:t>
      </w:r>
      <w:r w:rsidR="001A7CE6">
        <w:rPr>
          <w:lang w:val="en-US"/>
        </w:rPr>
        <w:t>goal of the thesis is to</w:t>
      </w:r>
      <w:r w:rsidR="001A7CE6" w:rsidRPr="001A7CE6">
        <w:rPr>
          <w:lang w:val="en-US"/>
        </w:rPr>
        <w:t xml:space="preserve"> </w:t>
      </w:r>
      <w:r w:rsidR="001A7CE6" w:rsidRPr="00D82AA0">
        <w:rPr>
          <w:lang w:val="en-US"/>
        </w:rPr>
        <w:t xml:space="preserve">describe the ways in which the European Union influences the conflict between Moldova and Transnistria through the use of </w:t>
      </w:r>
      <w:r w:rsidR="001A7CE6" w:rsidRPr="008E13AE">
        <w:rPr>
          <w:noProof/>
          <w:lang w:val="en-US"/>
        </w:rPr>
        <w:t>bordering</w:t>
      </w:r>
      <w:r w:rsidR="001A7CE6" w:rsidRPr="00D82AA0">
        <w:rPr>
          <w:lang w:val="en-US"/>
        </w:rPr>
        <w:t xml:space="preserve"> policies and geopolitics. In focusing on this goal, the </w:t>
      </w:r>
      <w:r w:rsidR="001A7CE6">
        <w:rPr>
          <w:lang w:val="en-US"/>
        </w:rPr>
        <w:t>European Neighbourhood Policy, with the Eastern Partnership as part of this, will be analyzed</w:t>
      </w:r>
      <w:r w:rsidR="001A7CE6" w:rsidRPr="00D82AA0">
        <w:rPr>
          <w:lang w:val="en-US"/>
        </w:rPr>
        <w:t>. Also, regarding the goal of this research, there is a focus on post-colonialism and neo-imperialism as theories.</w:t>
      </w:r>
      <w:r w:rsidR="001A7CE6">
        <w:rPr>
          <w:lang w:val="en-US"/>
        </w:rPr>
        <w:t xml:space="preserve"> This way, the thesis aims at contributing to knowledge on European geopolitics from a neo-imperialistic approach. For this goal, the case of Transnistria is interesting because it is a rather unknown region in Europe, especially in the western world. Besides that, it also is an area where the geopolitics of the EU and Russia meet.  </w:t>
      </w:r>
    </w:p>
    <w:p w14:paraId="16F47638" w14:textId="6063A907" w:rsidR="00094203" w:rsidRDefault="00723E92" w:rsidP="00A865EB">
      <w:pPr>
        <w:rPr>
          <w:lang w:val="en-US"/>
        </w:rPr>
      </w:pPr>
      <w:r>
        <w:rPr>
          <w:lang w:val="en-US"/>
        </w:rPr>
        <w:t xml:space="preserve">To get a clear view on the </w:t>
      </w:r>
      <w:r w:rsidR="00407FE3">
        <w:rPr>
          <w:lang w:val="en-US"/>
        </w:rPr>
        <w:t>theoretical concepts</w:t>
      </w:r>
      <w:r>
        <w:rPr>
          <w:lang w:val="en-US"/>
        </w:rPr>
        <w:t xml:space="preserve"> involved in border research that are relevant for this research, there was a focus on several forms of border research in the </w:t>
      </w:r>
      <w:r w:rsidR="00407FE3">
        <w:rPr>
          <w:lang w:val="en-US"/>
        </w:rPr>
        <w:t xml:space="preserve">theoretical framework. </w:t>
      </w:r>
      <w:r w:rsidR="00041BDD">
        <w:rPr>
          <w:lang w:val="en-US"/>
        </w:rPr>
        <w:t>These concepts are Europeanization, nationalism, bordering and border perception</w:t>
      </w:r>
      <w:r w:rsidR="008E13AE">
        <w:rPr>
          <w:lang w:val="en-US"/>
        </w:rPr>
        <w:t>. These</w:t>
      </w:r>
      <w:r w:rsidR="00041BDD">
        <w:rPr>
          <w:lang w:val="en-US"/>
        </w:rPr>
        <w:t xml:space="preserve"> </w:t>
      </w:r>
      <w:r w:rsidR="00041BDD" w:rsidRPr="008E13AE">
        <w:rPr>
          <w:noProof/>
          <w:lang w:val="en-US"/>
        </w:rPr>
        <w:t>were</w:t>
      </w:r>
      <w:r w:rsidR="00041BDD">
        <w:rPr>
          <w:lang w:val="en-US"/>
        </w:rPr>
        <w:t xml:space="preserve"> discussed as a starting point for the rest of the theoretical framework. After that border policies/practices and geopolitics are discussed. The most important definition in this is the following definition by Dittmer &amp; Sharp (2014): “</w:t>
      </w:r>
      <w:r w:rsidR="00041BDD" w:rsidRPr="00D82AA0">
        <w:rPr>
          <w:lang w:val="en-US"/>
        </w:rPr>
        <w:t>geopolitics refers to the theory and practice of politics at the global scale, with a specific emphasis on the geographies that both shape and result from that politics. In other words, it is more than just the study of global politics; it is the study of how geography is implicated in that politics.”</w:t>
      </w:r>
      <w:r w:rsidR="00041BDD">
        <w:rPr>
          <w:lang w:val="en-US"/>
        </w:rPr>
        <w:t xml:space="preserve"> This definition has been used throughout the thesis when referring to geopolitics. Subsequently, the subjects of post-colonialism and neo-imperialism are discussed, in which both definitions are derived from Ashcroft et al. (2007). Here post-colonialism is understood to be </w:t>
      </w:r>
      <w:r w:rsidR="00041BDD" w:rsidRPr="00D82AA0">
        <w:rPr>
          <w:rStyle w:val="normaltextrun"/>
          <w:rFonts w:ascii="Calibri" w:hAnsi="Calibri" w:cs="Calibri"/>
          <w:color w:val="000000"/>
          <w:shd w:val="clear" w:color="auto" w:fill="FFFFFF"/>
          <w:lang w:val="en-US"/>
        </w:rPr>
        <w:t>“the study and analysis of European territorial conquests, the various institutions of European </w:t>
      </w:r>
      <w:r w:rsidR="00041BDD" w:rsidRPr="008E13AE">
        <w:rPr>
          <w:rStyle w:val="normaltextrun"/>
          <w:rFonts w:ascii="Calibri" w:hAnsi="Calibri" w:cs="Calibri"/>
          <w:noProof/>
          <w:color w:val="000000"/>
          <w:shd w:val="clear" w:color="auto" w:fill="FFFFFF"/>
          <w:lang w:val="en-US"/>
        </w:rPr>
        <w:t>colonialisms</w:t>
      </w:r>
      <w:r w:rsidR="00041BDD" w:rsidRPr="00D82AA0">
        <w:rPr>
          <w:rStyle w:val="normaltextrun"/>
          <w:rFonts w:ascii="Calibri" w:hAnsi="Calibri" w:cs="Calibri"/>
          <w:color w:val="000000"/>
          <w:shd w:val="clear" w:color="auto" w:fill="FFFFFF"/>
          <w:lang w:val="en-US"/>
        </w:rPr>
        <w:t>, the discursive operations of empire, the subtleties of subject construction in colonial discourse and the resistance of those subjects, and, most importantly perhaps, the differing responses to such incursions and their contemporary colonial legacies in both pre-and post-independence nations and communities</w:t>
      </w:r>
      <w:r w:rsidR="00041BDD">
        <w:rPr>
          <w:rStyle w:val="normaltextrun"/>
          <w:rFonts w:ascii="Calibri" w:hAnsi="Calibri" w:cs="Calibri"/>
          <w:color w:val="000000"/>
          <w:shd w:val="clear" w:color="auto" w:fill="FFFFFF"/>
          <w:lang w:val="en-US"/>
        </w:rPr>
        <w:t xml:space="preserve">”. The definition </w:t>
      </w:r>
      <w:r w:rsidR="00094203">
        <w:rPr>
          <w:rStyle w:val="normaltextrun"/>
          <w:rFonts w:ascii="Calibri" w:hAnsi="Calibri" w:cs="Calibri"/>
          <w:color w:val="000000"/>
          <w:shd w:val="clear" w:color="auto" w:fill="FFFFFF"/>
          <w:lang w:val="en-US"/>
        </w:rPr>
        <w:t xml:space="preserve">which has </w:t>
      </w:r>
      <w:r w:rsidR="00094203">
        <w:rPr>
          <w:rStyle w:val="normaltextrun"/>
          <w:rFonts w:ascii="Calibri" w:hAnsi="Calibri" w:cs="Calibri"/>
          <w:color w:val="000000"/>
          <w:shd w:val="clear" w:color="auto" w:fill="FFFFFF"/>
          <w:lang w:val="en-US"/>
        </w:rPr>
        <w:lastRenderedPageBreak/>
        <w:t xml:space="preserve">been used to describe neo-imperialism is as follows. </w:t>
      </w:r>
      <w:r w:rsidR="00094203" w:rsidRPr="00D82AA0">
        <w:rPr>
          <w:lang w:val="en-US"/>
        </w:rPr>
        <w:t xml:space="preserve">The term neo-imperialism is increasingly being </w:t>
      </w:r>
      <w:r w:rsidR="00094203">
        <w:rPr>
          <w:lang w:val="en-US"/>
        </w:rPr>
        <w:t>used instead of neo-colonialism:</w:t>
      </w:r>
      <w:r w:rsidR="00094203" w:rsidRPr="00D82AA0">
        <w:rPr>
          <w:lang w:val="en-US"/>
        </w:rPr>
        <w:t xml:space="preserve"> With </w:t>
      </w:r>
      <w:r w:rsidR="00094203" w:rsidRPr="008E13AE">
        <w:rPr>
          <w:noProof/>
          <w:lang w:val="en-US"/>
        </w:rPr>
        <w:t>neo-imperialism</w:t>
      </w:r>
      <w:r w:rsidR="008E13AE">
        <w:rPr>
          <w:noProof/>
          <w:lang w:val="en-US"/>
        </w:rPr>
        <w:t>,</w:t>
      </w:r>
      <w:r w:rsidR="00094203" w:rsidRPr="00D82AA0">
        <w:rPr>
          <w:lang w:val="en-US"/>
        </w:rPr>
        <w:t xml:space="preserve"> there is a focus on the ongoing control over developing countries by globalized capitalist economies such as the United States and Western European Countries</w:t>
      </w:r>
      <w:r w:rsidR="00041BDD" w:rsidRPr="00D82AA0">
        <w:rPr>
          <w:lang w:val="en-US"/>
        </w:rPr>
        <w:t xml:space="preserve"> </w:t>
      </w:r>
      <w:r w:rsidR="00094203">
        <w:rPr>
          <w:lang w:val="en-US"/>
        </w:rPr>
        <w:t xml:space="preserve">(Ashcroft et al., 2007). </w:t>
      </w:r>
    </w:p>
    <w:p w14:paraId="2062A288" w14:textId="28CF6740" w:rsidR="00094203" w:rsidRDefault="00094203" w:rsidP="00A865EB">
      <w:pPr>
        <w:rPr>
          <w:lang w:val="en-US"/>
        </w:rPr>
      </w:pPr>
      <w:r>
        <w:rPr>
          <w:lang w:val="en-US"/>
        </w:rPr>
        <w:t xml:space="preserve">To create a good framework for the research, the European Neighbourhood Policy (ENP) and the current state of Transnistria are added to the theoretical framework. The European Neighbourhood Policy is created to </w:t>
      </w:r>
      <w:r w:rsidRPr="00D82AA0">
        <w:rPr>
          <w:lang w:val="en-US"/>
        </w:rPr>
        <w:t>strengthen the prosperity, stability and security of both countries in the EU as the neighbouring countries</w:t>
      </w:r>
      <w:r>
        <w:rPr>
          <w:lang w:val="en-US"/>
        </w:rPr>
        <w:t xml:space="preserve">. The EU implements this ENP through different bilateral agreements with the EU’s neighbouring countries. For the eastern neighbouring countries, the EU has created the Eastern Partnership, a multilateral cooperation policy through which six eastern neighbouring countries can help each other by sharing best practices, with a helping hand from the EU. </w:t>
      </w:r>
      <w:r w:rsidR="008E09DC">
        <w:rPr>
          <w:lang w:val="en-US"/>
        </w:rPr>
        <w:t xml:space="preserve"> </w:t>
      </w:r>
    </w:p>
    <w:p w14:paraId="4D50DB6F" w14:textId="77777777" w:rsidR="008E09DC" w:rsidRDefault="008E09DC" w:rsidP="00A865EB">
      <w:pPr>
        <w:rPr>
          <w:lang w:val="en-US"/>
        </w:rPr>
      </w:pPr>
      <w:r>
        <w:rPr>
          <w:lang w:val="en-US"/>
        </w:rPr>
        <w:t xml:space="preserve">It is hard to elaborate on the current state of affairs in Transnistria in a short abstract, but the inhabitants of Transnistria consist for a big part out of Moldovans, Russians and Ukrainians. Most of the inhabitants identify more with Russia than with Moldova, which is part of the fact that they declared themselves independent. Besides this, the economy of Transnistria is not able to function on its own and needs a lot of support from Russia. Furthermore, in the official statements, Transnistria says to have a working government and a fully functioning country in general but it was declared not free by The Freedom House (2018) for multiple reasons, for </w:t>
      </w:r>
      <w:r w:rsidRPr="008E13AE">
        <w:rPr>
          <w:noProof/>
          <w:lang w:val="en-US"/>
        </w:rPr>
        <w:t>example</w:t>
      </w:r>
      <w:r>
        <w:rPr>
          <w:lang w:val="en-US"/>
        </w:rPr>
        <w:t xml:space="preserve"> the Russian support, but also the fact that there is little political competition. </w:t>
      </w:r>
    </w:p>
    <w:p w14:paraId="37B8D19A" w14:textId="448E25CE" w:rsidR="008E09DC" w:rsidRDefault="008E09DC" w:rsidP="00A865EB">
      <w:pPr>
        <w:rPr>
          <w:lang w:val="en-US"/>
        </w:rPr>
      </w:pPr>
      <w:r>
        <w:rPr>
          <w:lang w:val="en-US"/>
        </w:rPr>
        <w:t xml:space="preserve">Moving on to the methodology of the research. Desk research was used as a method for this thesis since </w:t>
      </w:r>
      <w:r w:rsidRPr="00D82AA0">
        <w:rPr>
          <w:lang w:val="en-US"/>
        </w:rPr>
        <w:t>desk research is the most applicabl</w:t>
      </w:r>
      <w:r>
        <w:rPr>
          <w:lang w:val="en-US"/>
        </w:rPr>
        <w:t>e.</w:t>
      </w:r>
      <w:r w:rsidRPr="00D82AA0">
        <w:rPr>
          <w:lang w:val="en-US"/>
        </w:rPr>
        <w:t xml:space="preserve"> Desk research is characterized by the use of existing material, the absence of direct contact and the material is used from a different perspective than at the time of its production</w:t>
      </w:r>
      <w:r>
        <w:rPr>
          <w:lang w:val="en-US"/>
        </w:rPr>
        <w:t xml:space="preserve">. This desk research was executed through </w:t>
      </w:r>
      <w:r w:rsidR="002C4DC8">
        <w:rPr>
          <w:lang w:val="en-US"/>
        </w:rPr>
        <w:t xml:space="preserve">extensive literature research. The data used are official EU documents used for the ENP and Eastern Partnership, and articles written earlier by scholars. </w:t>
      </w:r>
      <w:r w:rsidR="002C4DC8" w:rsidRPr="008E13AE">
        <w:rPr>
          <w:noProof/>
          <w:lang w:val="en-US"/>
        </w:rPr>
        <w:t>Furthermore</w:t>
      </w:r>
      <w:r w:rsidR="008E13AE">
        <w:rPr>
          <w:noProof/>
          <w:lang w:val="en-US"/>
        </w:rPr>
        <w:t>,</w:t>
      </w:r>
      <w:r w:rsidR="002C4DC8">
        <w:rPr>
          <w:lang w:val="en-US"/>
        </w:rPr>
        <w:t xml:space="preserve"> the focus will be on postcolonial discourse analysis and critical geopolitics. </w:t>
      </w:r>
    </w:p>
    <w:p w14:paraId="0BF25074" w14:textId="3867796B" w:rsidR="002C4DC8" w:rsidRDefault="002C4DC8" w:rsidP="00320B54">
      <w:pPr>
        <w:rPr>
          <w:lang w:val="en-US"/>
        </w:rPr>
      </w:pPr>
      <w:r>
        <w:rPr>
          <w:lang w:val="en-US"/>
        </w:rPr>
        <w:t xml:space="preserve">In chapter four, the history of Transnistria and Moldova is discussed, in which it becomes clear why Transnistrian people identify with Russia whereas Moldovan people identify with the west. Throughout history, Transnistria has only belonged to Moldova since 1944, after which Moldova was under Soviet-Regime for a long time. Subsequently, the armed conflict that erupted after the Transnistrian declaration of independence is discussed and the chapter ends with the lack of </w:t>
      </w:r>
      <w:r>
        <w:rPr>
          <w:lang w:val="en-US"/>
        </w:rPr>
        <w:lastRenderedPageBreak/>
        <w:t xml:space="preserve">progress in the negotiations to come to a lasting settlement for the conflict. These negotiations are led by the Organization for Security and Cooperation in Europe, which is an institution consisting out of different countries around the world, including a lot of European countries. </w:t>
      </w:r>
      <w:r w:rsidR="00320B54">
        <w:rPr>
          <w:lang w:val="en-US"/>
        </w:rPr>
        <w:t xml:space="preserve">Since the countries themselves cannot come to a solution, the negotiations are now held in a 5+2 format with </w:t>
      </w:r>
      <w:r w:rsidR="00320B54" w:rsidRPr="00D82AA0">
        <w:rPr>
          <w:lang w:val="en-US"/>
        </w:rPr>
        <w:t>representatives of the conflict parties, Moldova and Transnistria, mediators from the Russian Federation, Ukraine and the OSCE, and observers from the European Union and the United States (Neukirch, 2012).</w:t>
      </w:r>
      <w:r w:rsidR="00320B54">
        <w:rPr>
          <w:lang w:val="en-US"/>
        </w:rPr>
        <w:t xml:space="preserve"> However, up to now, this also has not led to even a partly successful solution. </w:t>
      </w:r>
    </w:p>
    <w:p w14:paraId="74A9BF0E" w14:textId="7181BF65" w:rsidR="00320B54" w:rsidRDefault="00320B54" w:rsidP="00320B54">
      <w:pPr>
        <w:rPr>
          <w:lang w:val="en-US"/>
        </w:rPr>
      </w:pPr>
      <w:r>
        <w:rPr>
          <w:lang w:val="en-US"/>
        </w:rPr>
        <w:t>In analyzing the ENP and Eastern Partnership, the geopolitical goals of the EU become clear. In the general goals of the bilateral documents it is often repeated that the parties, EU and Moldova, want to move beyond cooperation to a significant degree of integration (European Commission, 2004), want to deepen trade and economic relation (European Commission, 2004) and want to ensure constructive and effective policy dialogue regarding the Transnistria conflict (European External Action Service</w:t>
      </w:r>
      <w:r w:rsidR="00234FC2">
        <w:rPr>
          <w:lang w:val="en-US"/>
        </w:rPr>
        <w:t xml:space="preserve">, 2018). </w:t>
      </w:r>
    </w:p>
    <w:p w14:paraId="199886A5" w14:textId="3721637E" w:rsidR="00234FC2" w:rsidRDefault="00234FC2" w:rsidP="00320B54">
      <w:pPr>
        <w:rPr>
          <w:lang w:val="en-US"/>
        </w:rPr>
      </w:pPr>
      <w:r>
        <w:rPr>
          <w:lang w:val="en-US"/>
        </w:rPr>
        <w:t xml:space="preserve">Moldova does get more involved with the EU, which means that the geopolitics behind these general goals work. However, the goals regarding Transnistria are less successful. In almost every document, the conflict is said to be </w:t>
      </w:r>
      <w:r w:rsidR="008E13AE">
        <w:rPr>
          <w:noProof/>
          <w:lang w:val="en-US"/>
        </w:rPr>
        <w:t>one of the main goals</w:t>
      </w:r>
      <w:r>
        <w:rPr>
          <w:lang w:val="en-US"/>
        </w:rPr>
        <w:t xml:space="preserve"> and that </w:t>
      </w:r>
      <w:r w:rsidRPr="008E13AE">
        <w:rPr>
          <w:noProof/>
          <w:lang w:val="en-US"/>
        </w:rPr>
        <w:t>i</w:t>
      </w:r>
      <w:r w:rsidR="008E13AE" w:rsidRPr="008E13AE">
        <w:rPr>
          <w:noProof/>
          <w:lang w:val="en-US"/>
        </w:rPr>
        <w:t>t</w:t>
      </w:r>
      <w:r w:rsidRPr="008E13AE">
        <w:rPr>
          <w:noProof/>
          <w:lang w:val="en-US"/>
        </w:rPr>
        <w:t xml:space="preserve"> has</w:t>
      </w:r>
      <w:r>
        <w:rPr>
          <w:lang w:val="en-US"/>
        </w:rPr>
        <w:t xml:space="preserve"> high priority. But when it comes to actual policies, often only one point is dedicated to the conflict. This point then exists out of general comments like the goal to ensure constructive and effective policy dialogue. There </w:t>
      </w:r>
      <w:r w:rsidR="00F87279">
        <w:rPr>
          <w:lang w:val="en-US"/>
        </w:rPr>
        <w:t xml:space="preserve">are </w:t>
      </w:r>
      <w:r>
        <w:rPr>
          <w:lang w:val="en-US"/>
        </w:rPr>
        <w:t>no concrete a</w:t>
      </w:r>
      <w:r w:rsidR="00F87279">
        <w:rPr>
          <w:lang w:val="en-US"/>
        </w:rPr>
        <w:t xml:space="preserve">ims in the partnership programs. This contributes to the fact that conflict resolution has been stuck for years. </w:t>
      </w:r>
    </w:p>
    <w:p w14:paraId="711C4E9F" w14:textId="1615CD8D" w:rsidR="00F87279" w:rsidRDefault="00F87279" w:rsidP="00320B54">
      <w:pPr>
        <w:rPr>
          <w:lang w:val="en-US"/>
        </w:rPr>
      </w:pPr>
      <w:r>
        <w:rPr>
          <w:lang w:val="en-US"/>
        </w:rPr>
        <w:t xml:space="preserve">In focusing on geopolitical agenda’s, the influence of Russia became clear. Russia has a lot of influence on </w:t>
      </w:r>
      <w:r w:rsidRPr="008E13AE">
        <w:rPr>
          <w:noProof/>
          <w:lang w:val="en-US"/>
        </w:rPr>
        <w:t>Transnistria</w:t>
      </w:r>
      <w:r>
        <w:rPr>
          <w:lang w:val="en-US"/>
        </w:rPr>
        <w:t xml:space="preserve"> since Transnistria is very dependent </w:t>
      </w:r>
      <w:r w:rsidRPr="008E13AE">
        <w:rPr>
          <w:noProof/>
          <w:lang w:val="en-US"/>
        </w:rPr>
        <w:t>o</w:t>
      </w:r>
      <w:r w:rsidR="008E13AE">
        <w:rPr>
          <w:noProof/>
          <w:lang w:val="en-US"/>
        </w:rPr>
        <w:t>n</w:t>
      </w:r>
      <w:r>
        <w:rPr>
          <w:lang w:val="en-US"/>
        </w:rPr>
        <w:t xml:space="preserve"> Russian money and Russia still has military troops on the ground in Transnistria, ‘to keep the region safe’. This Russian influence ensures that Transnistria does not want to belong to Moldova and the EU and even prefers to belong to Russia. However, not one country, not even Russia, has recognized Transnistria as an independent country. This way, Russia plays a smart game, by supporting Transnistria whenever it is necessary, but at the same time agreeing with Europe in the negotiations. That way, Russia wants to keep the conflict going as long as possible, as it can then influence the region the most. This is a big reason as to why there is no progress in the settlement for the conflict. </w:t>
      </w:r>
    </w:p>
    <w:p w14:paraId="20605E09" w14:textId="01DCE922" w:rsidR="00F87279" w:rsidRDefault="00F87279" w:rsidP="0086136B">
      <w:pPr>
        <w:rPr>
          <w:lang w:val="en-US"/>
        </w:rPr>
      </w:pPr>
      <w:r>
        <w:rPr>
          <w:lang w:val="en-US"/>
        </w:rPr>
        <w:t>The Russian influence in Transnistria is watched through a postcolonial lens in the last chapter. Based on an article by Moore (2001), it is argued that post-Soviet countries are part of the post-</w:t>
      </w:r>
      <w:r>
        <w:rPr>
          <w:lang w:val="en-US"/>
        </w:rPr>
        <w:lastRenderedPageBreak/>
        <w:t xml:space="preserve">colonial map. This is the basis for the analysis in this last chapter. </w:t>
      </w:r>
      <w:r w:rsidR="0086136B">
        <w:rPr>
          <w:lang w:val="en-US"/>
        </w:rPr>
        <w:t xml:space="preserve">Russia uses the conflict to influence both Moldovan and Transnistrian politics and does this in a very clever way. As a former Soviet state, Moldova is forced to maintain the links with Russia, although Moldova would rather become an EU member state and get free from its Soviet history. However, Moldova also does not want to give up Transnistria, which feels a deep link to Russia and is not interested in the EU. Transnistria shows real ‘colonized’ </w:t>
      </w:r>
      <w:r w:rsidR="0086136B" w:rsidRPr="008E13AE">
        <w:rPr>
          <w:noProof/>
          <w:lang w:val="en-US"/>
        </w:rPr>
        <w:t>behavio</w:t>
      </w:r>
      <w:r w:rsidR="008E13AE">
        <w:rPr>
          <w:noProof/>
          <w:lang w:val="en-US"/>
        </w:rPr>
        <w:t>u</w:t>
      </w:r>
      <w:r w:rsidR="0086136B" w:rsidRPr="008E13AE">
        <w:rPr>
          <w:noProof/>
          <w:lang w:val="en-US"/>
        </w:rPr>
        <w:t>r</w:t>
      </w:r>
      <w:r w:rsidR="0086136B">
        <w:rPr>
          <w:lang w:val="en-US"/>
        </w:rPr>
        <w:t xml:space="preserve"> in the way that it still feels connected to Russia and would like to become part of Russia.</w:t>
      </w:r>
    </w:p>
    <w:p w14:paraId="6CD9539C" w14:textId="227F2142" w:rsidR="0086136B" w:rsidRDefault="0086136B" w:rsidP="00A865EB">
      <w:pPr>
        <w:rPr>
          <w:lang w:val="en-US"/>
        </w:rPr>
      </w:pPr>
      <w:r>
        <w:rPr>
          <w:lang w:val="en-US"/>
        </w:rPr>
        <w:t xml:space="preserve">Lastly, the conflict is looked at from a European neo-imperialistic point of view. This perspective is based on an article by Borosz (2001), in which he describes the expansion of the EU to the east as a neo-imperialistic practice. He names this expansion the “Eastern Enlargement”. The expansion, Borosz argues, can be part of European politics to create a new imperium. With the EU trying to increase its governance in the Eastern Partnership countries, this can be seen as part of this European imperial program. Throughout the </w:t>
      </w:r>
      <w:r w:rsidRPr="008E13AE">
        <w:rPr>
          <w:noProof/>
          <w:lang w:val="en-US"/>
        </w:rPr>
        <w:t>research</w:t>
      </w:r>
      <w:r w:rsidR="008E13AE">
        <w:rPr>
          <w:noProof/>
          <w:lang w:val="en-US"/>
        </w:rPr>
        <w:t>,</w:t>
      </w:r>
      <w:r>
        <w:rPr>
          <w:lang w:val="en-US"/>
        </w:rPr>
        <w:t xml:space="preserve"> it becomes clear that this program succeeds in </w:t>
      </w:r>
      <w:r w:rsidRPr="008E13AE">
        <w:rPr>
          <w:noProof/>
          <w:lang w:val="en-US"/>
        </w:rPr>
        <w:t>Moldova</w:t>
      </w:r>
      <w:r>
        <w:rPr>
          <w:lang w:val="en-US"/>
        </w:rPr>
        <w:t xml:space="preserve"> but definitely does not succeed in Transnistria. </w:t>
      </w:r>
    </w:p>
    <w:p w14:paraId="621C78F8" w14:textId="6254797A" w:rsidR="0053213C" w:rsidRPr="00D82AA0" w:rsidRDefault="0086136B" w:rsidP="00A865EB">
      <w:pPr>
        <w:rPr>
          <w:lang w:val="en-US"/>
        </w:rPr>
      </w:pPr>
      <w:r>
        <w:rPr>
          <w:lang w:val="en-US"/>
        </w:rPr>
        <w:t xml:space="preserve">It can be concluded that the gap between both sides of the Dniester seems to be too big to reach an easy settlement. Plus, the big western influences in Moldova and the big Russian influence in Transnistria makes it a conflict between the EU (and </w:t>
      </w:r>
      <w:r w:rsidR="008E13AE">
        <w:rPr>
          <w:lang w:val="en-US"/>
        </w:rPr>
        <w:t xml:space="preserve">the </w:t>
      </w:r>
      <w:r w:rsidRPr="008E13AE">
        <w:rPr>
          <w:noProof/>
          <w:lang w:val="en-US"/>
        </w:rPr>
        <w:t>US</w:t>
      </w:r>
      <w:r>
        <w:rPr>
          <w:lang w:val="en-US"/>
        </w:rPr>
        <w:t xml:space="preserve">) on one side and Russia on the other side. A solution for such a conflict cannot be found through simple negotiations in OSCE-led sessions. </w:t>
      </w:r>
      <w:r w:rsidR="0053213C" w:rsidRPr="00D82AA0">
        <w:rPr>
          <w:lang w:val="en-US"/>
        </w:rPr>
        <w:br w:type="page"/>
      </w:r>
    </w:p>
    <w:sdt>
      <w:sdtPr>
        <w:rPr>
          <w:rFonts w:asciiTheme="minorHAnsi" w:eastAsiaTheme="minorEastAsia" w:hAnsiTheme="minorHAnsi" w:cstheme="minorBidi"/>
          <w:caps w:val="0"/>
          <w:spacing w:val="0"/>
          <w:sz w:val="21"/>
          <w:szCs w:val="21"/>
          <w:lang w:val="en-US"/>
        </w:rPr>
        <w:id w:val="1797876630"/>
        <w:docPartObj>
          <w:docPartGallery w:val="Table of Contents"/>
          <w:docPartUnique/>
        </w:docPartObj>
      </w:sdtPr>
      <w:sdtEndPr>
        <w:rPr>
          <w:b/>
          <w:bCs/>
          <w:sz w:val="22"/>
        </w:rPr>
      </w:sdtEndPr>
      <w:sdtContent>
        <w:p w14:paraId="793725CA" w14:textId="77777777" w:rsidR="005931E0" w:rsidRDefault="0053213C" w:rsidP="005931E0">
          <w:pPr>
            <w:pStyle w:val="Kopvaninhoudsopgave"/>
            <w:rPr>
              <w:noProof/>
            </w:rPr>
          </w:pPr>
          <w:r w:rsidRPr="00D82AA0">
            <w:rPr>
              <w:lang w:val="en-US"/>
            </w:rPr>
            <w:t>Table of contents</w:t>
          </w:r>
          <w:r w:rsidRPr="00D82AA0">
            <w:rPr>
              <w:sz w:val="22"/>
              <w:lang w:val="en-US"/>
            </w:rPr>
            <w:fldChar w:fldCharType="begin"/>
          </w:r>
          <w:r w:rsidRPr="00D82AA0">
            <w:rPr>
              <w:sz w:val="22"/>
              <w:lang w:val="en-US"/>
            </w:rPr>
            <w:instrText xml:space="preserve"> TOC \o "1-3" \h \z \u </w:instrText>
          </w:r>
          <w:r w:rsidRPr="00D82AA0">
            <w:rPr>
              <w:sz w:val="22"/>
              <w:lang w:val="en-US"/>
            </w:rPr>
            <w:fldChar w:fldCharType="separate"/>
          </w:r>
        </w:p>
        <w:p w14:paraId="2D54351B" w14:textId="3E965054" w:rsidR="005931E0" w:rsidRDefault="00E1447F" w:rsidP="005931E0">
          <w:pPr>
            <w:pStyle w:val="Inhopg1"/>
            <w:spacing w:line="240" w:lineRule="auto"/>
            <w:rPr>
              <w:szCs w:val="22"/>
              <w:lang w:val="nl-NL" w:eastAsia="nl-NL"/>
            </w:rPr>
          </w:pPr>
          <w:hyperlink w:anchor="_Toc517985332" w:history="1">
            <w:r w:rsidR="005931E0" w:rsidRPr="00FB5293">
              <w:rPr>
                <w:rStyle w:val="Hyperlink"/>
                <w:lang w:val="en-US"/>
              </w:rPr>
              <w:t>1.</w:t>
            </w:r>
            <w:r w:rsidR="005931E0">
              <w:rPr>
                <w:szCs w:val="22"/>
                <w:lang w:val="nl-NL" w:eastAsia="nl-NL"/>
              </w:rPr>
              <w:tab/>
            </w:r>
            <w:r w:rsidR="005931E0" w:rsidRPr="00FB5293">
              <w:rPr>
                <w:rStyle w:val="Hyperlink"/>
                <w:lang w:val="en-US"/>
              </w:rPr>
              <w:t>Introduction</w:t>
            </w:r>
            <w:r w:rsidR="005931E0">
              <w:rPr>
                <w:webHidden/>
              </w:rPr>
              <w:tab/>
            </w:r>
            <w:r w:rsidR="005931E0">
              <w:rPr>
                <w:webHidden/>
              </w:rPr>
              <w:fldChar w:fldCharType="begin"/>
            </w:r>
            <w:r w:rsidR="005931E0">
              <w:rPr>
                <w:webHidden/>
              </w:rPr>
              <w:instrText xml:space="preserve"> PAGEREF _Toc517985332 \h </w:instrText>
            </w:r>
            <w:r w:rsidR="005931E0">
              <w:rPr>
                <w:webHidden/>
              </w:rPr>
            </w:r>
            <w:r w:rsidR="005931E0">
              <w:rPr>
                <w:webHidden/>
              </w:rPr>
              <w:fldChar w:fldCharType="separate"/>
            </w:r>
            <w:r w:rsidR="005931E0">
              <w:rPr>
                <w:webHidden/>
              </w:rPr>
              <w:t>1</w:t>
            </w:r>
            <w:r w:rsidR="005931E0">
              <w:rPr>
                <w:webHidden/>
              </w:rPr>
              <w:fldChar w:fldCharType="end"/>
            </w:r>
          </w:hyperlink>
        </w:p>
        <w:p w14:paraId="128623F4" w14:textId="7F85D1E9" w:rsidR="005931E0" w:rsidRDefault="00E1447F" w:rsidP="005931E0">
          <w:pPr>
            <w:pStyle w:val="Inhopg2"/>
            <w:tabs>
              <w:tab w:val="left" w:pos="880"/>
              <w:tab w:val="right" w:leader="dot" w:pos="8777"/>
            </w:tabs>
            <w:spacing w:line="240" w:lineRule="auto"/>
            <w:rPr>
              <w:noProof/>
              <w:szCs w:val="22"/>
              <w:lang w:eastAsia="nl-NL"/>
            </w:rPr>
          </w:pPr>
          <w:hyperlink w:anchor="_Toc517985333" w:history="1">
            <w:r w:rsidR="005931E0" w:rsidRPr="00FB5293">
              <w:rPr>
                <w:rStyle w:val="Hyperlink"/>
                <w:noProof/>
                <w:lang w:val="en-US"/>
              </w:rPr>
              <w:t>1.1.</w:t>
            </w:r>
            <w:r w:rsidR="005931E0">
              <w:rPr>
                <w:noProof/>
                <w:szCs w:val="22"/>
                <w:lang w:eastAsia="nl-NL"/>
              </w:rPr>
              <w:tab/>
            </w:r>
            <w:r w:rsidR="005931E0" w:rsidRPr="00FB5293">
              <w:rPr>
                <w:rStyle w:val="Hyperlink"/>
                <w:noProof/>
                <w:lang w:val="en-US"/>
              </w:rPr>
              <w:t>Framework</w:t>
            </w:r>
            <w:r w:rsidR="005931E0">
              <w:rPr>
                <w:noProof/>
                <w:webHidden/>
              </w:rPr>
              <w:tab/>
            </w:r>
            <w:r w:rsidR="005931E0">
              <w:rPr>
                <w:noProof/>
                <w:webHidden/>
              </w:rPr>
              <w:fldChar w:fldCharType="begin"/>
            </w:r>
            <w:r w:rsidR="005931E0">
              <w:rPr>
                <w:noProof/>
                <w:webHidden/>
              </w:rPr>
              <w:instrText xml:space="preserve"> PAGEREF _Toc517985333 \h </w:instrText>
            </w:r>
            <w:r w:rsidR="005931E0">
              <w:rPr>
                <w:noProof/>
                <w:webHidden/>
              </w:rPr>
            </w:r>
            <w:r w:rsidR="005931E0">
              <w:rPr>
                <w:noProof/>
                <w:webHidden/>
              </w:rPr>
              <w:fldChar w:fldCharType="separate"/>
            </w:r>
            <w:r w:rsidR="005931E0">
              <w:rPr>
                <w:noProof/>
                <w:webHidden/>
              </w:rPr>
              <w:t>1</w:t>
            </w:r>
            <w:r w:rsidR="005931E0">
              <w:rPr>
                <w:noProof/>
                <w:webHidden/>
              </w:rPr>
              <w:fldChar w:fldCharType="end"/>
            </w:r>
          </w:hyperlink>
        </w:p>
        <w:p w14:paraId="3F1E04A2" w14:textId="28628C90" w:rsidR="005931E0" w:rsidRDefault="00E1447F" w:rsidP="005931E0">
          <w:pPr>
            <w:pStyle w:val="Inhopg2"/>
            <w:tabs>
              <w:tab w:val="left" w:pos="880"/>
              <w:tab w:val="right" w:leader="dot" w:pos="8777"/>
            </w:tabs>
            <w:spacing w:line="240" w:lineRule="auto"/>
            <w:rPr>
              <w:noProof/>
              <w:szCs w:val="22"/>
              <w:lang w:eastAsia="nl-NL"/>
            </w:rPr>
          </w:pPr>
          <w:hyperlink w:anchor="_Toc517985334" w:history="1">
            <w:r w:rsidR="005931E0" w:rsidRPr="00FB5293">
              <w:rPr>
                <w:rStyle w:val="Hyperlink"/>
                <w:noProof/>
                <w:lang w:val="en-US"/>
              </w:rPr>
              <w:t>1.2.</w:t>
            </w:r>
            <w:r w:rsidR="005931E0">
              <w:rPr>
                <w:noProof/>
                <w:szCs w:val="22"/>
                <w:lang w:eastAsia="nl-NL"/>
              </w:rPr>
              <w:tab/>
            </w:r>
            <w:r w:rsidR="005931E0" w:rsidRPr="00FB5293">
              <w:rPr>
                <w:rStyle w:val="Hyperlink"/>
                <w:noProof/>
                <w:lang w:val="en-US"/>
              </w:rPr>
              <w:t>Research goal</w:t>
            </w:r>
            <w:r w:rsidR="005931E0">
              <w:rPr>
                <w:noProof/>
                <w:webHidden/>
              </w:rPr>
              <w:tab/>
            </w:r>
            <w:r w:rsidR="005931E0">
              <w:rPr>
                <w:noProof/>
                <w:webHidden/>
              </w:rPr>
              <w:fldChar w:fldCharType="begin"/>
            </w:r>
            <w:r w:rsidR="005931E0">
              <w:rPr>
                <w:noProof/>
                <w:webHidden/>
              </w:rPr>
              <w:instrText xml:space="preserve"> PAGEREF _Toc517985334 \h </w:instrText>
            </w:r>
            <w:r w:rsidR="005931E0">
              <w:rPr>
                <w:noProof/>
                <w:webHidden/>
              </w:rPr>
            </w:r>
            <w:r w:rsidR="005931E0">
              <w:rPr>
                <w:noProof/>
                <w:webHidden/>
              </w:rPr>
              <w:fldChar w:fldCharType="separate"/>
            </w:r>
            <w:r w:rsidR="005931E0">
              <w:rPr>
                <w:noProof/>
                <w:webHidden/>
              </w:rPr>
              <w:t>2</w:t>
            </w:r>
            <w:r w:rsidR="005931E0">
              <w:rPr>
                <w:noProof/>
                <w:webHidden/>
              </w:rPr>
              <w:fldChar w:fldCharType="end"/>
            </w:r>
          </w:hyperlink>
        </w:p>
        <w:p w14:paraId="7DA48F24" w14:textId="072ECAA1" w:rsidR="005931E0" w:rsidRDefault="00E1447F" w:rsidP="005931E0">
          <w:pPr>
            <w:pStyle w:val="Inhopg2"/>
            <w:tabs>
              <w:tab w:val="left" w:pos="880"/>
              <w:tab w:val="right" w:leader="dot" w:pos="8777"/>
            </w:tabs>
            <w:spacing w:line="240" w:lineRule="auto"/>
            <w:rPr>
              <w:noProof/>
              <w:szCs w:val="22"/>
              <w:lang w:eastAsia="nl-NL"/>
            </w:rPr>
          </w:pPr>
          <w:hyperlink w:anchor="_Toc517985335" w:history="1">
            <w:r w:rsidR="005931E0" w:rsidRPr="00FB5293">
              <w:rPr>
                <w:rStyle w:val="Hyperlink"/>
                <w:noProof/>
                <w:lang w:val="en-US"/>
              </w:rPr>
              <w:t>1.3.</w:t>
            </w:r>
            <w:r w:rsidR="005931E0">
              <w:rPr>
                <w:noProof/>
                <w:szCs w:val="22"/>
                <w:lang w:eastAsia="nl-NL"/>
              </w:rPr>
              <w:tab/>
            </w:r>
            <w:r w:rsidR="005931E0" w:rsidRPr="00FB5293">
              <w:rPr>
                <w:rStyle w:val="Hyperlink"/>
                <w:noProof/>
                <w:lang w:val="en-US"/>
              </w:rPr>
              <w:t>Research questions</w:t>
            </w:r>
            <w:r w:rsidR="005931E0">
              <w:rPr>
                <w:noProof/>
                <w:webHidden/>
              </w:rPr>
              <w:tab/>
            </w:r>
            <w:r w:rsidR="005931E0">
              <w:rPr>
                <w:noProof/>
                <w:webHidden/>
              </w:rPr>
              <w:fldChar w:fldCharType="begin"/>
            </w:r>
            <w:r w:rsidR="005931E0">
              <w:rPr>
                <w:noProof/>
                <w:webHidden/>
              </w:rPr>
              <w:instrText xml:space="preserve"> PAGEREF _Toc517985335 \h </w:instrText>
            </w:r>
            <w:r w:rsidR="005931E0">
              <w:rPr>
                <w:noProof/>
                <w:webHidden/>
              </w:rPr>
            </w:r>
            <w:r w:rsidR="005931E0">
              <w:rPr>
                <w:noProof/>
                <w:webHidden/>
              </w:rPr>
              <w:fldChar w:fldCharType="separate"/>
            </w:r>
            <w:r w:rsidR="005931E0">
              <w:rPr>
                <w:noProof/>
                <w:webHidden/>
              </w:rPr>
              <w:t>2</w:t>
            </w:r>
            <w:r w:rsidR="005931E0">
              <w:rPr>
                <w:noProof/>
                <w:webHidden/>
              </w:rPr>
              <w:fldChar w:fldCharType="end"/>
            </w:r>
          </w:hyperlink>
        </w:p>
        <w:p w14:paraId="2D14658B" w14:textId="3DEFD388" w:rsidR="005931E0" w:rsidRDefault="00E1447F" w:rsidP="005931E0">
          <w:pPr>
            <w:pStyle w:val="Inhopg2"/>
            <w:tabs>
              <w:tab w:val="left" w:pos="880"/>
              <w:tab w:val="right" w:leader="dot" w:pos="8777"/>
            </w:tabs>
            <w:spacing w:line="240" w:lineRule="auto"/>
            <w:rPr>
              <w:noProof/>
              <w:szCs w:val="22"/>
              <w:lang w:eastAsia="nl-NL"/>
            </w:rPr>
          </w:pPr>
          <w:hyperlink w:anchor="_Toc517985336" w:history="1">
            <w:r w:rsidR="005931E0" w:rsidRPr="00FB5293">
              <w:rPr>
                <w:rStyle w:val="Hyperlink"/>
                <w:noProof/>
                <w:lang w:val="en-US"/>
              </w:rPr>
              <w:t>1.4.</w:t>
            </w:r>
            <w:r w:rsidR="005931E0">
              <w:rPr>
                <w:noProof/>
                <w:szCs w:val="22"/>
                <w:lang w:eastAsia="nl-NL"/>
              </w:rPr>
              <w:tab/>
            </w:r>
            <w:r w:rsidR="005931E0" w:rsidRPr="00FB5293">
              <w:rPr>
                <w:rStyle w:val="Hyperlink"/>
                <w:noProof/>
                <w:lang w:val="en-US"/>
              </w:rPr>
              <w:t>Relevance</w:t>
            </w:r>
            <w:r w:rsidR="005931E0">
              <w:rPr>
                <w:noProof/>
                <w:webHidden/>
              </w:rPr>
              <w:tab/>
            </w:r>
            <w:r w:rsidR="005931E0">
              <w:rPr>
                <w:noProof/>
                <w:webHidden/>
              </w:rPr>
              <w:fldChar w:fldCharType="begin"/>
            </w:r>
            <w:r w:rsidR="005931E0">
              <w:rPr>
                <w:noProof/>
                <w:webHidden/>
              </w:rPr>
              <w:instrText xml:space="preserve"> PAGEREF _Toc517985336 \h </w:instrText>
            </w:r>
            <w:r w:rsidR="005931E0">
              <w:rPr>
                <w:noProof/>
                <w:webHidden/>
              </w:rPr>
            </w:r>
            <w:r w:rsidR="005931E0">
              <w:rPr>
                <w:noProof/>
                <w:webHidden/>
              </w:rPr>
              <w:fldChar w:fldCharType="separate"/>
            </w:r>
            <w:r w:rsidR="005931E0">
              <w:rPr>
                <w:noProof/>
                <w:webHidden/>
              </w:rPr>
              <w:t>3</w:t>
            </w:r>
            <w:r w:rsidR="005931E0">
              <w:rPr>
                <w:noProof/>
                <w:webHidden/>
              </w:rPr>
              <w:fldChar w:fldCharType="end"/>
            </w:r>
          </w:hyperlink>
        </w:p>
        <w:p w14:paraId="02885CF1" w14:textId="7DA40EDE" w:rsidR="005931E0" w:rsidRDefault="00E1447F" w:rsidP="005931E0">
          <w:pPr>
            <w:pStyle w:val="Inhopg2"/>
            <w:tabs>
              <w:tab w:val="left" w:pos="880"/>
              <w:tab w:val="right" w:leader="dot" w:pos="8777"/>
            </w:tabs>
            <w:spacing w:line="240" w:lineRule="auto"/>
            <w:rPr>
              <w:noProof/>
              <w:szCs w:val="22"/>
              <w:lang w:eastAsia="nl-NL"/>
            </w:rPr>
          </w:pPr>
          <w:hyperlink w:anchor="_Toc517985337" w:history="1">
            <w:r w:rsidR="005931E0" w:rsidRPr="00FB5293">
              <w:rPr>
                <w:rStyle w:val="Hyperlink"/>
                <w:noProof/>
                <w:lang w:val="en-US"/>
              </w:rPr>
              <w:t>1.5.</w:t>
            </w:r>
            <w:r w:rsidR="005931E0">
              <w:rPr>
                <w:noProof/>
                <w:szCs w:val="22"/>
                <w:lang w:eastAsia="nl-NL"/>
              </w:rPr>
              <w:tab/>
            </w:r>
            <w:r w:rsidR="005931E0" w:rsidRPr="00FB5293">
              <w:rPr>
                <w:rStyle w:val="Hyperlink"/>
                <w:noProof/>
                <w:lang w:val="en-US"/>
              </w:rPr>
              <w:t>Thesis Outline</w:t>
            </w:r>
            <w:r w:rsidR="005931E0">
              <w:rPr>
                <w:noProof/>
                <w:webHidden/>
              </w:rPr>
              <w:tab/>
            </w:r>
            <w:r w:rsidR="005931E0">
              <w:rPr>
                <w:noProof/>
                <w:webHidden/>
              </w:rPr>
              <w:fldChar w:fldCharType="begin"/>
            </w:r>
            <w:r w:rsidR="005931E0">
              <w:rPr>
                <w:noProof/>
                <w:webHidden/>
              </w:rPr>
              <w:instrText xml:space="preserve"> PAGEREF _Toc517985337 \h </w:instrText>
            </w:r>
            <w:r w:rsidR="005931E0">
              <w:rPr>
                <w:noProof/>
                <w:webHidden/>
              </w:rPr>
            </w:r>
            <w:r w:rsidR="005931E0">
              <w:rPr>
                <w:noProof/>
                <w:webHidden/>
              </w:rPr>
              <w:fldChar w:fldCharType="separate"/>
            </w:r>
            <w:r w:rsidR="005931E0">
              <w:rPr>
                <w:noProof/>
                <w:webHidden/>
              </w:rPr>
              <w:t>3</w:t>
            </w:r>
            <w:r w:rsidR="005931E0">
              <w:rPr>
                <w:noProof/>
                <w:webHidden/>
              </w:rPr>
              <w:fldChar w:fldCharType="end"/>
            </w:r>
          </w:hyperlink>
        </w:p>
        <w:p w14:paraId="44623C0D" w14:textId="5477A9C1" w:rsidR="005931E0" w:rsidRDefault="00E1447F" w:rsidP="005931E0">
          <w:pPr>
            <w:pStyle w:val="Inhopg1"/>
            <w:spacing w:line="240" w:lineRule="auto"/>
            <w:rPr>
              <w:szCs w:val="22"/>
              <w:lang w:val="nl-NL" w:eastAsia="nl-NL"/>
            </w:rPr>
          </w:pPr>
          <w:hyperlink w:anchor="_Toc517985338" w:history="1">
            <w:r w:rsidR="005931E0" w:rsidRPr="00FB5293">
              <w:rPr>
                <w:rStyle w:val="Hyperlink"/>
                <w:lang w:val="en-US"/>
              </w:rPr>
              <w:t>2.</w:t>
            </w:r>
            <w:r w:rsidR="005931E0">
              <w:rPr>
                <w:szCs w:val="22"/>
                <w:lang w:val="nl-NL" w:eastAsia="nl-NL"/>
              </w:rPr>
              <w:tab/>
            </w:r>
            <w:r w:rsidR="005931E0" w:rsidRPr="00FB5293">
              <w:rPr>
                <w:rStyle w:val="Hyperlink"/>
                <w:lang w:val="en-US"/>
              </w:rPr>
              <w:t>Theoretical Framework</w:t>
            </w:r>
            <w:r w:rsidR="005931E0">
              <w:rPr>
                <w:webHidden/>
              </w:rPr>
              <w:tab/>
            </w:r>
            <w:r w:rsidR="005931E0">
              <w:rPr>
                <w:webHidden/>
              </w:rPr>
              <w:fldChar w:fldCharType="begin"/>
            </w:r>
            <w:r w:rsidR="005931E0">
              <w:rPr>
                <w:webHidden/>
              </w:rPr>
              <w:instrText xml:space="preserve"> PAGEREF _Toc517985338 \h </w:instrText>
            </w:r>
            <w:r w:rsidR="005931E0">
              <w:rPr>
                <w:webHidden/>
              </w:rPr>
            </w:r>
            <w:r w:rsidR="005931E0">
              <w:rPr>
                <w:webHidden/>
              </w:rPr>
              <w:fldChar w:fldCharType="separate"/>
            </w:r>
            <w:r w:rsidR="005931E0">
              <w:rPr>
                <w:webHidden/>
              </w:rPr>
              <w:t>5</w:t>
            </w:r>
            <w:r w:rsidR="005931E0">
              <w:rPr>
                <w:webHidden/>
              </w:rPr>
              <w:fldChar w:fldCharType="end"/>
            </w:r>
          </w:hyperlink>
        </w:p>
        <w:p w14:paraId="07A6A8E7" w14:textId="68A46C43" w:rsidR="005931E0" w:rsidRDefault="00E1447F" w:rsidP="005931E0">
          <w:pPr>
            <w:pStyle w:val="Inhopg2"/>
            <w:tabs>
              <w:tab w:val="left" w:pos="880"/>
              <w:tab w:val="right" w:leader="dot" w:pos="8777"/>
            </w:tabs>
            <w:spacing w:line="240" w:lineRule="auto"/>
            <w:rPr>
              <w:noProof/>
              <w:szCs w:val="22"/>
              <w:lang w:eastAsia="nl-NL"/>
            </w:rPr>
          </w:pPr>
          <w:hyperlink w:anchor="_Toc517985339" w:history="1">
            <w:r w:rsidR="005931E0" w:rsidRPr="00FB5293">
              <w:rPr>
                <w:rStyle w:val="Hyperlink"/>
                <w:noProof/>
                <w:lang w:val="en-US"/>
              </w:rPr>
              <w:t>2.1.</w:t>
            </w:r>
            <w:r w:rsidR="005931E0">
              <w:rPr>
                <w:noProof/>
                <w:szCs w:val="22"/>
                <w:lang w:eastAsia="nl-NL"/>
              </w:rPr>
              <w:tab/>
            </w:r>
            <w:r w:rsidR="005931E0" w:rsidRPr="00FB5293">
              <w:rPr>
                <w:rStyle w:val="Hyperlink"/>
                <w:noProof/>
                <w:lang w:val="en-US"/>
              </w:rPr>
              <w:t>Introduction</w:t>
            </w:r>
            <w:r w:rsidR="005931E0">
              <w:rPr>
                <w:noProof/>
                <w:webHidden/>
              </w:rPr>
              <w:tab/>
            </w:r>
            <w:r w:rsidR="005931E0">
              <w:rPr>
                <w:noProof/>
                <w:webHidden/>
              </w:rPr>
              <w:fldChar w:fldCharType="begin"/>
            </w:r>
            <w:r w:rsidR="005931E0">
              <w:rPr>
                <w:noProof/>
                <w:webHidden/>
              </w:rPr>
              <w:instrText xml:space="preserve"> PAGEREF _Toc517985339 \h </w:instrText>
            </w:r>
            <w:r w:rsidR="005931E0">
              <w:rPr>
                <w:noProof/>
                <w:webHidden/>
              </w:rPr>
            </w:r>
            <w:r w:rsidR="005931E0">
              <w:rPr>
                <w:noProof/>
                <w:webHidden/>
              </w:rPr>
              <w:fldChar w:fldCharType="separate"/>
            </w:r>
            <w:r w:rsidR="005931E0">
              <w:rPr>
                <w:noProof/>
                <w:webHidden/>
              </w:rPr>
              <w:t>5</w:t>
            </w:r>
            <w:r w:rsidR="005931E0">
              <w:rPr>
                <w:noProof/>
                <w:webHidden/>
              </w:rPr>
              <w:fldChar w:fldCharType="end"/>
            </w:r>
          </w:hyperlink>
        </w:p>
        <w:p w14:paraId="1FAA58CC" w14:textId="4C90207B" w:rsidR="005931E0" w:rsidRDefault="00E1447F" w:rsidP="005931E0">
          <w:pPr>
            <w:pStyle w:val="Inhopg2"/>
            <w:tabs>
              <w:tab w:val="left" w:pos="880"/>
              <w:tab w:val="right" w:leader="dot" w:pos="8777"/>
            </w:tabs>
            <w:spacing w:line="240" w:lineRule="auto"/>
            <w:rPr>
              <w:noProof/>
              <w:szCs w:val="22"/>
              <w:lang w:eastAsia="nl-NL"/>
            </w:rPr>
          </w:pPr>
          <w:hyperlink w:anchor="_Toc517985340" w:history="1">
            <w:r w:rsidR="005931E0" w:rsidRPr="00FB5293">
              <w:rPr>
                <w:rStyle w:val="Hyperlink"/>
                <w:noProof/>
                <w:lang w:val="en-US"/>
              </w:rPr>
              <w:t>2.2.</w:t>
            </w:r>
            <w:r w:rsidR="005931E0">
              <w:rPr>
                <w:noProof/>
                <w:szCs w:val="22"/>
                <w:lang w:eastAsia="nl-NL"/>
              </w:rPr>
              <w:tab/>
            </w:r>
            <w:r w:rsidR="005931E0" w:rsidRPr="00FB5293">
              <w:rPr>
                <w:rStyle w:val="Hyperlink"/>
                <w:noProof/>
                <w:lang w:val="en-US"/>
              </w:rPr>
              <w:t>Border research</w:t>
            </w:r>
            <w:r w:rsidR="005931E0">
              <w:rPr>
                <w:noProof/>
                <w:webHidden/>
              </w:rPr>
              <w:tab/>
            </w:r>
            <w:r w:rsidR="005931E0">
              <w:rPr>
                <w:noProof/>
                <w:webHidden/>
              </w:rPr>
              <w:fldChar w:fldCharType="begin"/>
            </w:r>
            <w:r w:rsidR="005931E0">
              <w:rPr>
                <w:noProof/>
                <w:webHidden/>
              </w:rPr>
              <w:instrText xml:space="preserve"> PAGEREF _Toc517985340 \h </w:instrText>
            </w:r>
            <w:r w:rsidR="005931E0">
              <w:rPr>
                <w:noProof/>
                <w:webHidden/>
              </w:rPr>
            </w:r>
            <w:r w:rsidR="005931E0">
              <w:rPr>
                <w:noProof/>
                <w:webHidden/>
              </w:rPr>
              <w:fldChar w:fldCharType="separate"/>
            </w:r>
            <w:r w:rsidR="005931E0">
              <w:rPr>
                <w:noProof/>
                <w:webHidden/>
              </w:rPr>
              <w:t>5</w:t>
            </w:r>
            <w:r w:rsidR="005931E0">
              <w:rPr>
                <w:noProof/>
                <w:webHidden/>
              </w:rPr>
              <w:fldChar w:fldCharType="end"/>
            </w:r>
          </w:hyperlink>
        </w:p>
        <w:p w14:paraId="651D4A65" w14:textId="69119ADB" w:rsidR="005931E0" w:rsidRDefault="00E1447F" w:rsidP="005931E0">
          <w:pPr>
            <w:pStyle w:val="Inhopg2"/>
            <w:tabs>
              <w:tab w:val="left" w:pos="880"/>
              <w:tab w:val="right" w:leader="dot" w:pos="8777"/>
            </w:tabs>
            <w:spacing w:line="240" w:lineRule="auto"/>
            <w:rPr>
              <w:noProof/>
              <w:szCs w:val="22"/>
              <w:lang w:eastAsia="nl-NL"/>
            </w:rPr>
          </w:pPr>
          <w:hyperlink w:anchor="_Toc517985341" w:history="1">
            <w:r w:rsidR="005931E0" w:rsidRPr="00FB5293">
              <w:rPr>
                <w:rStyle w:val="Hyperlink"/>
                <w:noProof/>
                <w:lang w:val="en-US"/>
              </w:rPr>
              <w:t>2.3.</w:t>
            </w:r>
            <w:r w:rsidR="005931E0">
              <w:rPr>
                <w:noProof/>
                <w:szCs w:val="22"/>
                <w:lang w:eastAsia="nl-NL"/>
              </w:rPr>
              <w:tab/>
            </w:r>
            <w:r w:rsidR="005931E0" w:rsidRPr="00FB5293">
              <w:rPr>
                <w:rStyle w:val="Hyperlink"/>
                <w:noProof/>
                <w:lang w:val="en-US"/>
              </w:rPr>
              <w:t>Border policies and geopolitics</w:t>
            </w:r>
            <w:r w:rsidR="005931E0">
              <w:rPr>
                <w:noProof/>
                <w:webHidden/>
              </w:rPr>
              <w:tab/>
            </w:r>
            <w:r w:rsidR="005931E0">
              <w:rPr>
                <w:noProof/>
                <w:webHidden/>
              </w:rPr>
              <w:fldChar w:fldCharType="begin"/>
            </w:r>
            <w:r w:rsidR="005931E0">
              <w:rPr>
                <w:noProof/>
                <w:webHidden/>
              </w:rPr>
              <w:instrText xml:space="preserve"> PAGEREF _Toc517985341 \h </w:instrText>
            </w:r>
            <w:r w:rsidR="005931E0">
              <w:rPr>
                <w:noProof/>
                <w:webHidden/>
              </w:rPr>
            </w:r>
            <w:r w:rsidR="005931E0">
              <w:rPr>
                <w:noProof/>
                <w:webHidden/>
              </w:rPr>
              <w:fldChar w:fldCharType="separate"/>
            </w:r>
            <w:r w:rsidR="005931E0">
              <w:rPr>
                <w:noProof/>
                <w:webHidden/>
              </w:rPr>
              <w:t>8</w:t>
            </w:r>
            <w:r w:rsidR="005931E0">
              <w:rPr>
                <w:noProof/>
                <w:webHidden/>
              </w:rPr>
              <w:fldChar w:fldCharType="end"/>
            </w:r>
          </w:hyperlink>
        </w:p>
        <w:p w14:paraId="2FBBFF0D" w14:textId="6B30AD95" w:rsidR="005931E0" w:rsidRDefault="00E1447F" w:rsidP="005931E0">
          <w:pPr>
            <w:pStyle w:val="Inhopg2"/>
            <w:tabs>
              <w:tab w:val="left" w:pos="880"/>
              <w:tab w:val="right" w:leader="dot" w:pos="8777"/>
            </w:tabs>
            <w:spacing w:line="240" w:lineRule="auto"/>
            <w:rPr>
              <w:noProof/>
              <w:szCs w:val="22"/>
              <w:lang w:eastAsia="nl-NL"/>
            </w:rPr>
          </w:pPr>
          <w:hyperlink w:anchor="_Toc517985342" w:history="1">
            <w:r w:rsidR="005931E0" w:rsidRPr="00FB5293">
              <w:rPr>
                <w:rStyle w:val="Hyperlink"/>
                <w:noProof/>
                <w:lang w:val="en-US"/>
              </w:rPr>
              <w:t>2.4.</w:t>
            </w:r>
            <w:r w:rsidR="005931E0">
              <w:rPr>
                <w:noProof/>
                <w:szCs w:val="22"/>
                <w:lang w:eastAsia="nl-NL"/>
              </w:rPr>
              <w:tab/>
            </w:r>
            <w:r w:rsidR="005931E0" w:rsidRPr="00FB5293">
              <w:rPr>
                <w:rStyle w:val="Hyperlink"/>
                <w:noProof/>
                <w:lang w:val="en-US"/>
              </w:rPr>
              <w:t>European Neighbourhood Policy and Eastern Partnership</w:t>
            </w:r>
            <w:r w:rsidR="005931E0">
              <w:rPr>
                <w:noProof/>
                <w:webHidden/>
              </w:rPr>
              <w:tab/>
            </w:r>
            <w:r w:rsidR="005931E0">
              <w:rPr>
                <w:noProof/>
                <w:webHidden/>
              </w:rPr>
              <w:fldChar w:fldCharType="begin"/>
            </w:r>
            <w:r w:rsidR="005931E0">
              <w:rPr>
                <w:noProof/>
                <w:webHidden/>
              </w:rPr>
              <w:instrText xml:space="preserve"> PAGEREF _Toc517985342 \h </w:instrText>
            </w:r>
            <w:r w:rsidR="005931E0">
              <w:rPr>
                <w:noProof/>
                <w:webHidden/>
              </w:rPr>
            </w:r>
            <w:r w:rsidR="005931E0">
              <w:rPr>
                <w:noProof/>
                <w:webHidden/>
              </w:rPr>
              <w:fldChar w:fldCharType="separate"/>
            </w:r>
            <w:r w:rsidR="005931E0">
              <w:rPr>
                <w:noProof/>
                <w:webHidden/>
              </w:rPr>
              <w:t>9</w:t>
            </w:r>
            <w:r w:rsidR="005931E0">
              <w:rPr>
                <w:noProof/>
                <w:webHidden/>
              </w:rPr>
              <w:fldChar w:fldCharType="end"/>
            </w:r>
          </w:hyperlink>
        </w:p>
        <w:p w14:paraId="5A3460F3" w14:textId="5E64A2F2" w:rsidR="005931E0" w:rsidRDefault="00E1447F" w:rsidP="005931E0">
          <w:pPr>
            <w:pStyle w:val="Inhopg2"/>
            <w:tabs>
              <w:tab w:val="left" w:pos="880"/>
              <w:tab w:val="right" w:leader="dot" w:pos="8777"/>
            </w:tabs>
            <w:spacing w:line="240" w:lineRule="auto"/>
            <w:rPr>
              <w:noProof/>
              <w:szCs w:val="22"/>
              <w:lang w:eastAsia="nl-NL"/>
            </w:rPr>
          </w:pPr>
          <w:hyperlink w:anchor="_Toc517985343" w:history="1">
            <w:r w:rsidR="005931E0" w:rsidRPr="00FB5293">
              <w:rPr>
                <w:rStyle w:val="Hyperlink"/>
                <w:noProof/>
                <w:lang w:val="en-US"/>
              </w:rPr>
              <w:t>2.5.</w:t>
            </w:r>
            <w:r w:rsidR="005931E0">
              <w:rPr>
                <w:noProof/>
                <w:szCs w:val="22"/>
                <w:lang w:eastAsia="nl-NL"/>
              </w:rPr>
              <w:tab/>
            </w:r>
            <w:r w:rsidR="005931E0" w:rsidRPr="00FB5293">
              <w:rPr>
                <w:rStyle w:val="Hyperlink"/>
                <w:noProof/>
                <w:lang w:val="en-US"/>
              </w:rPr>
              <w:t>Post-Colonialism and Neo-imperialism</w:t>
            </w:r>
            <w:r w:rsidR="005931E0">
              <w:rPr>
                <w:noProof/>
                <w:webHidden/>
              </w:rPr>
              <w:tab/>
            </w:r>
            <w:r w:rsidR="005931E0">
              <w:rPr>
                <w:noProof/>
                <w:webHidden/>
              </w:rPr>
              <w:fldChar w:fldCharType="begin"/>
            </w:r>
            <w:r w:rsidR="005931E0">
              <w:rPr>
                <w:noProof/>
                <w:webHidden/>
              </w:rPr>
              <w:instrText xml:space="preserve"> PAGEREF _Toc517985343 \h </w:instrText>
            </w:r>
            <w:r w:rsidR="005931E0">
              <w:rPr>
                <w:noProof/>
                <w:webHidden/>
              </w:rPr>
            </w:r>
            <w:r w:rsidR="005931E0">
              <w:rPr>
                <w:noProof/>
                <w:webHidden/>
              </w:rPr>
              <w:fldChar w:fldCharType="separate"/>
            </w:r>
            <w:r w:rsidR="005931E0">
              <w:rPr>
                <w:noProof/>
                <w:webHidden/>
              </w:rPr>
              <w:t>11</w:t>
            </w:r>
            <w:r w:rsidR="005931E0">
              <w:rPr>
                <w:noProof/>
                <w:webHidden/>
              </w:rPr>
              <w:fldChar w:fldCharType="end"/>
            </w:r>
          </w:hyperlink>
        </w:p>
        <w:p w14:paraId="26783234" w14:textId="2D9905AB" w:rsidR="005931E0" w:rsidRDefault="00E1447F" w:rsidP="005931E0">
          <w:pPr>
            <w:pStyle w:val="Inhopg2"/>
            <w:tabs>
              <w:tab w:val="left" w:pos="880"/>
              <w:tab w:val="right" w:leader="dot" w:pos="8777"/>
            </w:tabs>
            <w:spacing w:line="240" w:lineRule="auto"/>
            <w:rPr>
              <w:noProof/>
              <w:szCs w:val="22"/>
              <w:lang w:eastAsia="nl-NL"/>
            </w:rPr>
          </w:pPr>
          <w:hyperlink w:anchor="_Toc517985344" w:history="1">
            <w:r w:rsidR="005931E0" w:rsidRPr="00FB5293">
              <w:rPr>
                <w:rStyle w:val="Hyperlink"/>
                <w:noProof/>
                <w:lang w:val="en-US"/>
              </w:rPr>
              <w:t>2.6.</w:t>
            </w:r>
            <w:r w:rsidR="005931E0">
              <w:rPr>
                <w:noProof/>
                <w:szCs w:val="22"/>
                <w:lang w:eastAsia="nl-NL"/>
              </w:rPr>
              <w:tab/>
            </w:r>
            <w:r w:rsidR="005931E0" w:rsidRPr="00FB5293">
              <w:rPr>
                <w:rStyle w:val="Hyperlink"/>
                <w:noProof/>
                <w:lang w:val="en-US"/>
              </w:rPr>
              <w:t>De facto states and the current state of Transnistria</w:t>
            </w:r>
            <w:r w:rsidR="005931E0">
              <w:rPr>
                <w:noProof/>
                <w:webHidden/>
              </w:rPr>
              <w:tab/>
            </w:r>
            <w:r w:rsidR="005931E0">
              <w:rPr>
                <w:noProof/>
                <w:webHidden/>
              </w:rPr>
              <w:fldChar w:fldCharType="begin"/>
            </w:r>
            <w:r w:rsidR="005931E0">
              <w:rPr>
                <w:noProof/>
                <w:webHidden/>
              </w:rPr>
              <w:instrText xml:space="preserve"> PAGEREF _Toc517985344 \h </w:instrText>
            </w:r>
            <w:r w:rsidR="005931E0">
              <w:rPr>
                <w:noProof/>
                <w:webHidden/>
              </w:rPr>
            </w:r>
            <w:r w:rsidR="005931E0">
              <w:rPr>
                <w:noProof/>
                <w:webHidden/>
              </w:rPr>
              <w:fldChar w:fldCharType="separate"/>
            </w:r>
            <w:r w:rsidR="005931E0">
              <w:rPr>
                <w:noProof/>
                <w:webHidden/>
              </w:rPr>
              <w:t>13</w:t>
            </w:r>
            <w:r w:rsidR="005931E0">
              <w:rPr>
                <w:noProof/>
                <w:webHidden/>
              </w:rPr>
              <w:fldChar w:fldCharType="end"/>
            </w:r>
          </w:hyperlink>
        </w:p>
        <w:p w14:paraId="6C2ACC41" w14:textId="3CA8397D" w:rsidR="005931E0" w:rsidRDefault="00E1447F" w:rsidP="005931E0">
          <w:pPr>
            <w:pStyle w:val="Inhopg2"/>
            <w:tabs>
              <w:tab w:val="left" w:pos="880"/>
              <w:tab w:val="right" w:leader="dot" w:pos="8777"/>
            </w:tabs>
            <w:spacing w:line="240" w:lineRule="auto"/>
            <w:rPr>
              <w:noProof/>
              <w:szCs w:val="22"/>
              <w:lang w:eastAsia="nl-NL"/>
            </w:rPr>
          </w:pPr>
          <w:hyperlink w:anchor="_Toc517985345" w:history="1">
            <w:r w:rsidR="005931E0" w:rsidRPr="00FB5293">
              <w:rPr>
                <w:rStyle w:val="Hyperlink"/>
                <w:noProof/>
                <w:lang w:val="en-US"/>
              </w:rPr>
              <w:t>2.7.</w:t>
            </w:r>
            <w:r w:rsidR="005931E0">
              <w:rPr>
                <w:noProof/>
                <w:szCs w:val="22"/>
                <w:lang w:eastAsia="nl-NL"/>
              </w:rPr>
              <w:tab/>
            </w:r>
            <w:r w:rsidR="005931E0" w:rsidRPr="00FB5293">
              <w:rPr>
                <w:rStyle w:val="Hyperlink"/>
                <w:noProof/>
                <w:lang w:val="en-US"/>
              </w:rPr>
              <w:t>Conceptual Model</w:t>
            </w:r>
            <w:r w:rsidR="005931E0">
              <w:rPr>
                <w:noProof/>
                <w:webHidden/>
              </w:rPr>
              <w:tab/>
            </w:r>
            <w:r w:rsidR="005931E0">
              <w:rPr>
                <w:noProof/>
                <w:webHidden/>
              </w:rPr>
              <w:fldChar w:fldCharType="begin"/>
            </w:r>
            <w:r w:rsidR="005931E0">
              <w:rPr>
                <w:noProof/>
                <w:webHidden/>
              </w:rPr>
              <w:instrText xml:space="preserve"> PAGEREF _Toc517985345 \h </w:instrText>
            </w:r>
            <w:r w:rsidR="005931E0">
              <w:rPr>
                <w:noProof/>
                <w:webHidden/>
              </w:rPr>
            </w:r>
            <w:r w:rsidR="005931E0">
              <w:rPr>
                <w:noProof/>
                <w:webHidden/>
              </w:rPr>
              <w:fldChar w:fldCharType="separate"/>
            </w:r>
            <w:r w:rsidR="005931E0">
              <w:rPr>
                <w:noProof/>
                <w:webHidden/>
              </w:rPr>
              <w:t>16</w:t>
            </w:r>
            <w:r w:rsidR="005931E0">
              <w:rPr>
                <w:noProof/>
                <w:webHidden/>
              </w:rPr>
              <w:fldChar w:fldCharType="end"/>
            </w:r>
          </w:hyperlink>
        </w:p>
        <w:p w14:paraId="40EAD1E0" w14:textId="4D9B1C02" w:rsidR="005931E0" w:rsidRDefault="00E1447F" w:rsidP="005931E0">
          <w:pPr>
            <w:pStyle w:val="Inhopg1"/>
            <w:spacing w:line="240" w:lineRule="auto"/>
            <w:rPr>
              <w:szCs w:val="22"/>
              <w:lang w:val="nl-NL" w:eastAsia="nl-NL"/>
            </w:rPr>
          </w:pPr>
          <w:hyperlink w:anchor="_Toc517985346" w:history="1">
            <w:r w:rsidR="005931E0" w:rsidRPr="00FB5293">
              <w:rPr>
                <w:rStyle w:val="Hyperlink"/>
                <w:lang w:val="en-US"/>
              </w:rPr>
              <w:t>3.</w:t>
            </w:r>
            <w:r w:rsidR="005931E0">
              <w:rPr>
                <w:szCs w:val="22"/>
                <w:lang w:val="nl-NL" w:eastAsia="nl-NL"/>
              </w:rPr>
              <w:tab/>
            </w:r>
            <w:r w:rsidR="005931E0" w:rsidRPr="00FB5293">
              <w:rPr>
                <w:rStyle w:val="Hyperlink"/>
                <w:lang w:val="en-US"/>
              </w:rPr>
              <w:t>Methodology</w:t>
            </w:r>
            <w:r w:rsidR="005931E0">
              <w:rPr>
                <w:webHidden/>
              </w:rPr>
              <w:tab/>
            </w:r>
            <w:r w:rsidR="005931E0">
              <w:rPr>
                <w:webHidden/>
              </w:rPr>
              <w:fldChar w:fldCharType="begin"/>
            </w:r>
            <w:r w:rsidR="005931E0">
              <w:rPr>
                <w:webHidden/>
              </w:rPr>
              <w:instrText xml:space="preserve"> PAGEREF _Toc517985346 \h </w:instrText>
            </w:r>
            <w:r w:rsidR="005931E0">
              <w:rPr>
                <w:webHidden/>
              </w:rPr>
            </w:r>
            <w:r w:rsidR="005931E0">
              <w:rPr>
                <w:webHidden/>
              </w:rPr>
              <w:fldChar w:fldCharType="separate"/>
            </w:r>
            <w:r w:rsidR="005931E0">
              <w:rPr>
                <w:webHidden/>
              </w:rPr>
              <w:t>18</w:t>
            </w:r>
            <w:r w:rsidR="005931E0">
              <w:rPr>
                <w:webHidden/>
              </w:rPr>
              <w:fldChar w:fldCharType="end"/>
            </w:r>
          </w:hyperlink>
        </w:p>
        <w:p w14:paraId="0B824662" w14:textId="2A064FE1" w:rsidR="005931E0" w:rsidRDefault="00E1447F" w:rsidP="005931E0">
          <w:pPr>
            <w:pStyle w:val="Inhopg2"/>
            <w:tabs>
              <w:tab w:val="left" w:pos="880"/>
              <w:tab w:val="right" w:leader="dot" w:pos="8777"/>
            </w:tabs>
            <w:spacing w:line="240" w:lineRule="auto"/>
            <w:rPr>
              <w:noProof/>
              <w:szCs w:val="22"/>
              <w:lang w:eastAsia="nl-NL"/>
            </w:rPr>
          </w:pPr>
          <w:hyperlink w:anchor="_Toc517985347" w:history="1">
            <w:r w:rsidR="005931E0" w:rsidRPr="00FB5293">
              <w:rPr>
                <w:rStyle w:val="Hyperlink"/>
                <w:noProof/>
                <w:lang w:val="en-US"/>
              </w:rPr>
              <w:t>3.1.</w:t>
            </w:r>
            <w:r w:rsidR="005931E0">
              <w:rPr>
                <w:noProof/>
                <w:szCs w:val="22"/>
                <w:lang w:eastAsia="nl-NL"/>
              </w:rPr>
              <w:tab/>
            </w:r>
            <w:r w:rsidR="005931E0" w:rsidRPr="00FB5293">
              <w:rPr>
                <w:rStyle w:val="Hyperlink"/>
                <w:noProof/>
                <w:lang w:val="en-US"/>
              </w:rPr>
              <w:t>Introduction</w:t>
            </w:r>
            <w:r w:rsidR="005931E0">
              <w:rPr>
                <w:noProof/>
                <w:webHidden/>
              </w:rPr>
              <w:tab/>
            </w:r>
            <w:r w:rsidR="005931E0">
              <w:rPr>
                <w:noProof/>
                <w:webHidden/>
              </w:rPr>
              <w:fldChar w:fldCharType="begin"/>
            </w:r>
            <w:r w:rsidR="005931E0">
              <w:rPr>
                <w:noProof/>
                <w:webHidden/>
              </w:rPr>
              <w:instrText xml:space="preserve"> PAGEREF _Toc517985347 \h </w:instrText>
            </w:r>
            <w:r w:rsidR="005931E0">
              <w:rPr>
                <w:noProof/>
                <w:webHidden/>
              </w:rPr>
            </w:r>
            <w:r w:rsidR="005931E0">
              <w:rPr>
                <w:noProof/>
                <w:webHidden/>
              </w:rPr>
              <w:fldChar w:fldCharType="separate"/>
            </w:r>
            <w:r w:rsidR="005931E0">
              <w:rPr>
                <w:noProof/>
                <w:webHidden/>
              </w:rPr>
              <w:t>18</w:t>
            </w:r>
            <w:r w:rsidR="005931E0">
              <w:rPr>
                <w:noProof/>
                <w:webHidden/>
              </w:rPr>
              <w:fldChar w:fldCharType="end"/>
            </w:r>
          </w:hyperlink>
        </w:p>
        <w:p w14:paraId="1FD2E66F" w14:textId="44557C8F" w:rsidR="005931E0" w:rsidRDefault="00E1447F" w:rsidP="005931E0">
          <w:pPr>
            <w:pStyle w:val="Inhopg2"/>
            <w:tabs>
              <w:tab w:val="left" w:pos="880"/>
              <w:tab w:val="right" w:leader="dot" w:pos="8777"/>
            </w:tabs>
            <w:spacing w:line="240" w:lineRule="auto"/>
            <w:rPr>
              <w:noProof/>
              <w:szCs w:val="22"/>
              <w:lang w:eastAsia="nl-NL"/>
            </w:rPr>
          </w:pPr>
          <w:hyperlink w:anchor="_Toc517985348" w:history="1">
            <w:r w:rsidR="005931E0" w:rsidRPr="00FB5293">
              <w:rPr>
                <w:rStyle w:val="Hyperlink"/>
                <w:noProof/>
                <w:lang w:val="en-US"/>
              </w:rPr>
              <w:t>3.2.</w:t>
            </w:r>
            <w:r w:rsidR="005931E0">
              <w:rPr>
                <w:noProof/>
                <w:szCs w:val="22"/>
                <w:lang w:eastAsia="nl-NL"/>
              </w:rPr>
              <w:tab/>
            </w:r>
            <w:r w:rsidR="005931E0" w:rsidRPr="00FB5293">
              <w:rPr>
                <w:rStyle w:val="Hyperlink"/>
                <w:noProof/>
                <w:lang w:val="en-US"/>
              </w:rPr>
              <w:t>Research Strategy</w:t>
            </w:r>
            <w:r w:rsidR="005931E0">
              <w:rPr>
                <w:noProof/>
                <w:webHidden/>
              </w:rPr>
              <w:tab/>
            </w:r>
            <w:r w:rsidR="005931E0">
              <w:rPr>
                <w:noProof/>
                <w:webHidden/>
              </w:rPr>
              <w:fldChar w:fldCharType="begin"/>
            </w:r>
            <w:r w:rsidR="005931E0">
              <w:rPr>
                <w:noProof/>
                <w:webHidden/>
              </w:rPr>
              <w:instrText xml:space="preserve"> PAGEREF _Toc517985348 \h </w:instrText>
            </w:r>
            <w:r w:rsidR="005931E0">
              <w:rPr>
                <w:noProof/>
                <w:webHidden/>
              </w:rPr>
            </w:r>
            <w:r w:rsidR="005931E0">
              <w:rPr>
                <w:noProof/>
                <w:webHidden/>
              </w:rPr>
              <w:fldChar w:fldCharType="separate"/>
            </w:r>
            <w:r w:rsidR="005931E0">
              <w:rPr>
                <w:noProof/>
                <w:webHidden/>
              </w:rPr>
              <w:t>18</w:t>
            </w:r>
            <w:r w:rsidR="005931E0">
              <w:rPr>
                <w:noProof/>
                <w:webHidden/>
              </w:rPr>
              <w:fldChar w:fldCharType="end"/>
            </w:r>
          </w:hyperlink>
        </w:p>
        <w:p w14:paraId="78DEF914" w14:textId="74EF664D" w:rsidR="005931E0" w:rsidRDefault="00E1447F" w:rsidP="005931E0">
          <w:pPr>
            <w:pStyle w:val="Inhopg2"/>
            <w:tabs>
              <w:tab w:val="left" w:pos="880"/>
              <w:tab w:val="right" w:leader="dot" w:pos="8777"/>
            </w:tabs>
            <w:spacing w:line="240" w:lineRule="auto"/>
            <w:rPr>
              <w:noProof/>
              <w:szCs w:val="22"/>
              <w:lang w:eastAsia="nl-NL"/>
            </w:rPr>
          </w:pPr>
          <w:hyperlink w:anchor="_Toc517985349" w:history="1">
            <w:r w:rsidR="005931E0" w:rsidRPr="00FB5293">
              <w:rPr>
                <w:rStyle w:val="Hyperlink"/>
                <w:noProof/>
                <w:lang w:val="en-US"/>
              </w:rPr>
              <w:t>3.3.</w:t>
            </w:r>
            <w:r w:rsidR="005931E0">
              <w:rPr>
                <w:noProof/>
                <w:szCs w:val="22"/>
                <w:lang w:eastAsia="nl-NL"/>
              </w:rPr>
              <w:tab/>
            </w:r>
            <w:r w:rsidR="005931E0" w:rsidRPr="00FB5293">
              <w:rPr>
                <w:rStyle w:val="Hyperlink"/>
                <w:noProof/>
                <w:lang w:val="en-US"/>
              </w:rPr>
              <w:t>Data processing</w:t>
            </w:r>
            <w:r w:rsidR="005931E0">
              <w:rPr>
                <w:noProof/>
                <w:webHidden/>
              </w:rPr>
              <w:tab/>
            </w:r>
            <w:r w:rsidR="005931E0">
              <w:rPr>
                <w:noProof/>
                <w:webHidden/>
              </w:rPr>
              <w:fldChar w:fldCharType="begin"/>
            </w:r>
            <w:r w:rsidR="005931E0">
              <w:rPr>
                <w:noProof/>
                <w:webHidden/>
              </w:rPr>
              <w:instrText xml:space="preserve"> PAGEREF _Toc517985349 \h </w:instrText>
            </w:r>
            <w:r w:rsidR="005931E0">
              <w:rPr>
                <w:noProof/>
                <w:webHidden/>
              </w:rPr>
            </w:r>
            <w:r w:rsidR="005931E0">
              <w:rPr>
                <w:noProof/>
                <w:webHidden/>
              </w:rPr>
              <w:fldChar w:fldCharType="separate"/>
            </w:r>
            <w:r w:rsidR="005931E0">
              <w:rPr>
                <w:noProof/>
                <w:webHidden/>
              </w:rPr>
              <w:t>19</w:t>
            </w:r>
            <w:r w:rsidR="005931E0">
              <w:rPr>
                <w:noProof/>
                <w:webHidden/>
              </w:rPr>
              <w:fldChar w:fldCharType="end"/>
            </w:r>
          </w:hyperlink>
        </w:p>
        <w:p w14:paraId="1D065C6B" w14:textId="62032B10" w:rsidR="005931E0" w:rsidRDefault="00E1447F" w:rsidP="005931E0">
          <w:pPr>
            <w:pStyle w:val="Inhopg1"/>
            <w:spacing w:line="240" w:lineRule="auto"/>
            <w:rPr>
              <w:szCs w:val="22"/>
              <w:lang w:val="nl-NL" w:eastAsia="nl-NL"/>
            </w:rPr>
          </w:pPr>
          <w:hyperlink w:anchor="_Toc517985350" w:history="1">
            <w:r w:rsidR="005931E0" w:rsidRPr="00FB5293">
              <w:rPr>
                <w:rStyle w:val="Hyperlink"/>
                <w:lang w:val="en-US"/>
              </w:rPr>
              <w:t>4.</w:t>
            </w:r>
            <w:r w:rsidR="005931E0">
              <w:rPr>
                <w:szCs w:val="22"/>
                <w:lang w:val="nl-NL" w:eastAsia="nl-NL"/>
              </w:rPr>
              <w:tab/>
            </w:r>
            <w:r w:rsidR="005931E0" w:rsidRPr="00FB5293">
              <w:rPr>
                <w:rStyle w:val="Hyperlink"/>
                <w:lang w:val="en-US"/>
              </w:rPr>
              <w:t>Transnistria</w:t>
            </w:r>
            <w:r w:rsidR="005931E0">
              <w:rPr>
                <w:webHidden/>
              </w:rPr>
              <w:tab/>
            </w:r>
            <w:r w:rsidR="005931E0">
              <w:rPr>
                <w:webHidden/>
              </w:rPr>
              <w:fldChar w:fldCharType="begin"/>
            </w:r>
            <w:r w:rsidR="005931E0">
              <w:rPr>
                <w:webHidden/>
              </w:rPr>
              <w:instrText xml:space="preserve"> PAGEREF _Toc517985350 \h </w:instrText>
            </w:r>
            <w:r w:rsidR="005931E0">
              <w:rPr>
                <w:webHidden/>
              </w:rPr>
            </w:r>
            <w:r w:rsidR="005931E0">
              <w:rPr>
                <w:webHidden/>
              </w:rPr>
              <w:fldChar w:fldCharType="separate"/>
            </w:r>
            <w:r w:rsidR="005931E0">
              <w:rPr>
                <w:webHidden/>
              </w:rPr>
              <w:t>20</w:t>
            </w:r>
            <w:r w:rsidR="005931E0">
              <w:rPr>
                <w:webHidden/>
              </w:rPr>
              <w:fldChar w:fldCharType="end"/>
            </w:r>
          </w:hyperlink>
        </w:p>
        <w:p w14:paraId="18143AEF" w14:textId="4EDDD45E" w:rsidR="005931E0" w:rsidRDefault="00E1447F" w:rsidP="005931E0">
          <w:pPr>
            <w:pStyle w:val="Inhopg2"/>
            <w:tabs>
              <w:tab w:val="left" w:pos="880"/>
              <w:tab w:val="right" w:leader="dot" w:pos="8777"/>
            </w:tabs>
            <w:spacing w:line="240" w:lineRule="auto"/>
            <w:rPr>
              <w:noProof/>
              <w:szCs w:val="22"/>
              <w:lang w:eastAsia="nl-NL"/>
            </w:rPr>
          </w:pPr>
          <w:hyperlink w:anchor="_Toc517985351" w:history="1">
            <w:r w:rsidR="005931E0" w:rsidRPr="00FB5293">
              <w:rPr>
                <w:rStyle w:val="Hyperlink"/>
                <w:noProof/>
                <w:lang w:val="en-US"/>
              </w:rPr>
              <w:t>4.1.</w:t>
            </w:r>
            <w:r w:rsidR="005931E0">
              <w:rPr>
                <w:noProof/>
                <w:szCs w:val="22"/>
                <w:lang w:eastAsia="nl-NL"/>
              </w:rPr>
              <w:tab/>
            </w:r>
            <w:r w:rsidR="005931E0" w:rsidRPr="00FB5293">
              <w:rPr>
                <w:rStyle w:val="Hyperlink"/>
                <w:noProof/>
                <w:lang w:val="en-US"/>
              </w:rPr>
              <w:t>History</w:t>
            </w:r>
            <w:r w:rsidR="005931E0">
              <w:rPr>
                <w:noProof/>
                <w:webHidden/>
              </w:rPr>
              <w:tab/>
            </w:r>
            <w:r w:rsidR="005931E0">
              <w:rPr>
                <w:noProof/>
                <w:webHidden/>
              </w:rPr>
              <w:fldChar w:fldCharType="begin"/>
            </w:r>
            <w:r w:rsidR="005931E0">
              <w:rPr>
                <w:noProof/>
                <w:webHidden/>
              </w:rPr>
              <w:instrText xml:space="preserve"> PAGEREF _Toc517985351 \h </w:instrText>
            </w:r>
            <w:r w:rsidR="005931E0">
              <w:rPr>
                <w:noProof/>
                <w:webHidden/>
              </w:rPr>
            </w:r>
            <w:r w:rsidR="005931E0">
              <w:rPr>
                <w:noProof/>
                <w:webHidden/>
              </w:rPr>
              <w:fldChar w:fldCharType="separate"/>
            </w:r>
            <w:r w:rsidR="005931E0">
              <w:rPr>
                <w:noProof/>
                <w:webHidden/>
              </w:rPr>
              <w:t>20</w:t>
            </w:r>
            <w:r w:rsidR="005931E0">
              <w:rPr>
                <w:noProof/>
                <w:webHidden/>
              </w:rPr>
              <w:fldChar w:fldCharType="end"/>
            </w:r>
          </w:hyperlink>
        </w:p>
        <w:p w14:paraId="5B258FEE" w14:textId="43F09188" w:rsidR="005931E0" w:rsidRDefault="00E1447F" w:rsidP="005931E0">
          <w:pPr>
            <w:pStyle w:val="Inhopg2"/>
            <w:tabs>
              <w:tab w:val="left" w:pos="880"/>
              <w:tab w:val="right" w:leader="dot" w:pos="8777"/>
            </w:tabs>
            <w:spacing w:line="240" w:lineRule="auto"/>
            <w:rPr>
              <w:noProof/>
              <w:szCs w:val="22"/>
              <w:lang w:eastAsia="nl-NL"/>
            </w:rPr>
          </w:pPr>
          <w:hyperlink w:anchor="_Toc517985352" w:history="1">
            <w:r w:rsidR="005931E0" w:rsidRPr="00FB5293">
              <w:rPr>
                <w:rStyle w:val="Hyperlink"/>
                <w:noProof/>
                <w:lang w:val="en-US"/>
              </w:rPr>
              <w:t>4.2.</w:t>
            </w:r>
            <w:r w:rsidR="005931E0">
              <w:rPr>
                <w:noProof/>
                <w:szCs w:val="22"/>
                <w:lang w:eastAsia="nl-NL"/>
              </w:rPr>
              <w:tab/>
            </w:r>
            <w:r w:rsidR="005931E0" w:rsidRPr="00FB5293">
              <w:rPr>
                <w:rStyle w:val="Hyperlink"/>
                <w:noProof/>
                <w:lang w:val="en-US"/>
              </w:rPr>
              <w:t>The Conflict</w:t>
            </w:r>
            <w:r w:rsidR="005931E0">
              <w:rPr>
                <w:noProof/>
                <w:webHidden/>
              </w:rPr>
              <w:tab/>
            </w:r>
            <w:r w:rsidR="005931E0">
              <w:rPr>
                <w:noProof/>
                <w:webHidden/>
              </w:rPr>
              <w:fldChar w:fldCharType="begin"/>
            </w:r>
            <w:r w:rsidR="005931E0">
              <w:rPr>
                <w:noProof/>
                <w:webHidden/>
              </w:rPr>
              <w:instrText xml:space="preserve"> PAGEREF _Toc517985352 \h </w:instrText>
            </w:r>
            <w:r w:rsidR="005931E0">
              <w:rPr>
                <w:noProof/>
                <w:webHidden/>
              </w:rPr>
            </w:r>
            <w:r w:rsidR="005931E0">
              <w:rPr>
                <w:noProof/>
                <w:webHidden/>
              </w:rPr>
              <w:fldChar w:fldCharType="separate"/>
            </w:r>
            <w:r w:rsidR="005931E0">
              <w:rPr>
                <w:noProof/>
                <w:webHidden/>
              </w:rPr>
              <w:t>23</w:t>
            </w:r>
            <w:r w:rsidR="005931E0">
              <w:rPr>
                <w:noProof/>
                <w:webHidden/>
              </w:rPr>
              <w:fldChar w:fldCharType="end"/>
            </w:r>
          </w:hyperlink>
        </w:p>
        <w:p w14:paraId="4B0F84A3" w14:textId="5530E529" w:rsidR="005931E0" w:rsidRDefault="00E1447F" w:rsidP="005931E0">
          <w:pPr>
            <w:pStyle w:val="Inhopg2"/>
            <w:tabs>
              <w:tab w:val="left" w:pos="880"/>
              <w:tab w:val="right" w:leader="dot" w:pos="8777"/>
            </w:tabs>
            <w:spacing w:line="240" w:lineRule="auto"/>
            <w:rPr>
              <w:noProof/>
              <w:szCs w:val="22"/>
              <w:lang w:eastAsia="nl-NL"/>
            </w:rPr>
          </w:pPr>
          <w:hyperlink w:anchor="_Toc517985353" w:history="1">
            <w:r w:rsidR="005931E0" w:rsidRPr="00FB5293">
              <w:rPr>
                <w:rStyle w:val="Hyperlink"/>
                <w:noProof/>
                <w:lang w:val="en-US"/>
              </w:rPr>
              <w:t>4.3.</w:t>
            </w:r>
            <w:r w:rsidR="005931E0">
              <w:rPr>
                <w:noProof/>
                <w:szCs w:val="22"/>
                <w:lang w:eastAsia="nl-NL"/>
              </w:rPr>
              <w:tab/>
            </w:r>
            <w:r w:rsidR="005931E0" w:rsidRPr="00FB5293">
              <w:rPr>
                <w:rStyle w:val="Hyperlink"/>
                <w:noProof/>
                <w:lang w:val="en-US"/>
              </w:rPr>
              <w:t>Afterwards – (lack of) progress since 1992</w:t>
            </w:r>
            <w:r w:rsidR="005931E0">
              <w:rPr>
                <w:noProof/>
                <w:webHidden/>
              </w:rPr>
              <w:tab/>
            </w:r>
            <w:r w:rsidR="005931E0">
              <w:rPr>
                <w:noProof/>
                <w:webHidden/>
              </w:rPr>
              <w:fldChar w:fldCharType="begin"/>
            </w:r>
            <w:r w:rsidR="005931E0">
              <w:rPr>
                <w:noProof/>
                <w:webHidden/>
              </w:rPr>
              <w:instrText xml:space="preserve"> PAGEREF _Toc517985353 \h </w:instrText>
            </w:r>
            <w:r w:rsidR="005931E0">
              <w:rPr>
                <w:noProof/>
                <w:webHidden/>
              </w:rPr>
            </w:r>
            <w:r w:rsidR="005931E0">
              <w:rPr>
                <w:noProof/>
                <w:webHidden/>
              </w:rPr>
              <w:fldChar w:fldCharType="separate"/>
            </w:r>
            <w:r w:rsidR="005931E0">
              <w:rPr>
                <w:noProof/>
                <w:webHidden/>
              </w:rPr>
              <w:t>24</w:t>
            </w:r>
            <w:r w:rsidR="005931E0">
              <w:rPr>
                <w:noProof/>
                <w:webHidden/>
              </w:rPr>
              <w:fldChar w:fldCharType="end"/>
            </w:r>
          </w:hyperlink>
        </w:p>
        <w:p w14:paraId="2D603FA0" w14:textId="442B4DA2" w:rsidR="005931E0" w:rsidRDefault="00E1447F" w:rsidP="005931E0">
          <w:pPr>
            <w:pStyle w:val="Inhopg1"/>
            <w:spacing w:line="240" w:lineRule="auto"/>
            <w:rPr>
              <w:szCs w:val="22"/>
              <w:lang w:val="nl-NL" w:eastAsia="nl-NL"/>
            </w:rPr>
          </w:pPr>
          <w:hyperlink w:anchor="_Toc517985354" w:history="1">
            <w:r w:rsidR="005931E0" w:rsidRPr="00FB5293">
              <w:rPr>
                <w:rStyle w:val="Hyperlink"/>
                <w:lang w:val="en-US"/>
              </w:rPr>
              <w:t>5.</w:t>
            </w:r>
            <w:r w:rsidR="005931E0">
              <w:rPr>
                <w:szCs w:val="22"/>
                <w:lang w:val="nl-NL" w:eastAsia="nl-NL"/>
              </w:rPr>
              <w:tab/>
            </w:r>
            <w:r w:rsidR="005931E0" w:rsidRPr="00FB5293">
              <w:rPr>
                <w:rStyle w:val="Hyperlink"/>
                <w:lang w:val="en-US"/>
              </w:rPr>
              <w:t>European Union policy regarding Moldova and Transnistria</w:t>
            </w:r>
            <w:r w:rsidR="005931E0">
              <w:rPr>
                <w:webHidden/>
              </w:rPr>
              <w:tab/>
            </w:r>
            <w:r w:rsidR="005931E0">
              <w:rPr>
                <w:webHidden/>
              </w:rPr>
              <w:fldChar w:fldCharType="begin"/>
            </w:r>
            <w:r w:rsidR="005931E0">
              <w:rPr>
                <w:webHidden/>
              </w:rPr>
              <w:instrText xml:space="preserve"> PAGEREF _Toc517985354 \h </w:instrText>
            </w:r>
            <w:r w:rsidR="005931E0">
              <w:rPr>
                <w:webHidden/>
              </w:rPr>
            </w:r>
            <w:r w:rsidR="005931E0">
              <w:rPr>
                <w:webHidden/>
              </w:rPr>
              <w:fldChar w:fldCharType="separate"/>
            </w:r>
            <w:r w:rsidR="005931E0">
              <w:rPr>
                <w:webHidden/>
              </w:rPr>
              <w:t>30</w:t>
            </w:r>
            <w:r w:rsidR="005931E0">
              <w:rPr>
                <w:webHidden/>
              </w:rPr>
              <w:fldChar w:fldCharType="end"/>
            </w:r>
          </w:hyperlink>
        </w:p>
        <w:p w14:paraId="6075B1DE" w14:textId="0DA47005" w:rsidR="005931E0" w:rsidRDefault="00E1447F" w:rsidP="005931E0">
          <w:pPr>
            <w:pStyle w:val="Inhopg2"/>
            <w:tabs>
              <w:tab w:val="left" w:pos="880"/>
              <w:tab w:val="right" w:leader="dot" w:pos="8777"/>
            </w:tabs>
            <w:spacing w:line="240" w:lineRule="auto"/>
            <w:rPr>
              <w:noProof/>
              <w:szCs w:val="22"/>
              <w:lang w:eastAsia="nl-NL"/>
            </w:rPr>
          </w:pPr>
          <w:hyperlink w:anchor="_Toc517985355" w:history="1">
            <w:r w:rsidR="005931E0" w:rsidRPr="00FB5293">
              <w:rPr>
                <w:rStyle w:val="Hyperlink"/>
                <w:noProof/>
                <w:lang w:val="en-US"/>
              </w:rPr>
              <w:t>5.1.</w:t>
            </w:r>
            <w:r w:rsidR="005931E0">
              <w:rPr>
                <w:noProof/>
                <w:szCs w:val="22"/>
                <w:lang w:eastAsia="nl-NL"/>
              </w:rPr>
              <w:tab/>
            </w:r>
            <w:r w:rsidR="005931E0" w:rsidRPr="00FB5293">
              <w:rPr>
                <w:rStyle w:val="Hyperlink"/>
                <w:noProof/>
                <w:lang w:val="en-US"/>
              </w:rPr>
              <w:t>Introduction</w:t>
            </w:r>
            <w:r w:rsidR="005931E0">
              <w:rPr>
                <w:noProof/>
                <w:webHidden/>
              </w:rPr>
              <w:tab/>
            </w:r>
            <w:r w:rsidR="005931E0">
              <w:rPr>
                <w:noProof/>
                <w:webHidden/>
              </w:rPr>
              <w:fldChar w:fldCharType="begin"/>
            </w:r>
            <w:r w:rsidR="005931E0">
              <w:rPr>
                <w:noProof/>
                <w:webHidden/>
              </w:rPr>
              <w:instrText xml:space="preserve"> PAGEREF _Toc517985355 \h </w:instrText>
            </w:r>
            <w:r w:rsidR="005931E0">
              <w:rPr>
                <w:noProof/>
                <w:webHidden/>
              </w:rPr>
            </w:r>
            <w:r w:rsidR="005931E0">
              <w:rPr>
                <w:noProof/>
                <w:webHidden/>
              </w:rPr>
              <w:fldChar w:fldCharType="separate"/>
            </w:r>
            <w:r w:rsidR="005931E0">
              <w:rPr>
                <w:noProof/>
                <w:webHidden/>
              </w:rPr>
              <w:t>30</w:t>
            </w:r>
            <w:r w:rsidR="005931E0">
              <w:rPr>
                <w:noProof/>
                <w:webHidden/>
              </w:rPr>
              <w:fldChar w:fldCharType="end"/>
            </w:r>
          </w:hyperlink>
        </w:p>
        <w:p w14:paraId="1E357C33" w14:textId="169B1FB6" w:rsidR="005931E0" w:rsidRDefault="00E1447F" w:rsidP="005931E0">
          <w:pPr>
            <w:pStyle w:val="Inhopg2"/>
            <w:tabs>
              <w:tab w:val="left" w:pos="880"/>
              <w:tab w:val="right" w:leader="dot" w:pos="8777"/>
            </w:tabs>
            <w:spacing w:line="240" w:lineRule="auto"/>
            <w:rPr>
              <w:noProof/>
              <w:szCs w:val="22"/>
              <w:lang w:eastAsia="nl-NL"/>
            </w:rPr>
          </w:pPr>
          <w:hyperlink w:anchor="_Toc517985356" w:history="1">
            <w:r w:rsidR="005931E0" w:rsidRPr="00FB5293">
              <w:rPr>
                <w:rStyle w:val="Hyperlink"/>
                <w:noProof/>
                <w:lang w:val="en-US"/>
              </w:rPr>
              <w:t>5.2.</w:t>
            </w:r>
            <w:r w:rsidR="005931E0">
              <w:rPr>
                <w:noProof/>
                <w:szCs w:val="22"/>
                <w:lang w:eastAsia="nl-NL"/>
              </w:rPr>
              <w:tab/>
            </w:r>
            <w:r w:rsidR="005931E0" w:rsidRPr="00FB5293">
              <w:rPr>
                <w:rStyle w:val="Hyperlink"/>
                <w:noProof/>
                <w:lang w:val="en-US"/>
              </w:rPr>
              <w:t>The organization behind ENP and Eastern Partnership</w:t>
            </w:r>
            <w:r w:rsidR="005931E0">
              <w:rPr>
                <w:noProof/>
                <w:webHidden/>
              </w:rPr>
              <w:tab/>
            </w:r>
            <w:r w:rsidR="005931E0">
              <w:rPr>
                <w:noProof/>
                <w:webHidden/>
              </w:rPr>
              <w:fldChar w:fldCharType="begin"/>
            </w:r>
            <w:r w:rsidR="005931E0">
              <w:rPr>
                <w:noProof/>
                <w:webHidden/>
              </w:rPr>
              <w:instrText xml:space="preserve"> PAGEREF _Toc517985356 \h </w:instrText>
            </w:r>
            <w:r w:rsidR="005931E0">
              <w:rPr>
                <w:noProof/>
                <w:webHidden/>
              </w:rPr>
            </w:r>
            <w:r w:rsidR="005931E0">
              <w:rPr>
                <w:noProof/>
                <w:webHidden/>
              </w:rPr>
              <w:fldChar w:fldCharType="separate"/>
            </w:r>
            <w:r w:rsidR="005931E0">
              <w:rPr>
                <w:noProof/>
                <w:webHidden/>
              </w:rPr>
              <w:t>30</w:t>
            </w:r>
            <w:r w:rsidR="005931E0">
              <w:rPr>
                <w:noProof/>
                <w:webHidden/>
              </w:rPr>
              <w:fldChar w:fldCharType="end"/>
            </w:r>
          </w:hyperlink>
        </w:p>
        <w:p w14:paraId="04EA6F3F" w14:textId="447E7225" w:rsidR="005931E0" w:rsidRDefault="00E1447F" w:rsidP="005931E0">
          <w:pPr>
            <w:pStyle w:val="Inhopg2"/>
            <w:tabs>
              <w:tab w:val="left" w:pos="880"/>
              <w:tab w:val="right" w:leader="dot" w:pos="8777"/>
            </w:tabs>
            <w:spacing w:line="240" w:lineRule="auto"/>
            <w:rPr>
              <w:noProof/>
              <w:szCs w:val="22"/>
              <w:lang w:eastAsia="nl-NL"/>
            </w:rPr>
          </w:pPr>
          <w:hyperlink w:anchor="_Toc517985357" w:history="1">
            <w:r w:rsidR="005931E0" w:rsidRPr="00FB5293">
              <w:rPr>
                <w:rStyle w:val="Hyperlink"/>
                <w:noProof/>
                <w:lang w:val="en-US"/>
              </w:rPr>
              <w:t>5.3.</w:t>
            </w:r>
            <w:r w:rsidR="005931E0">
              <w:rPr>
                <w:noProof/>
                <w:szCs w:val="22"/>
                <w:lang w:eastAsia="nl-NL"/>
              </w:rPr>
              <w:tab/>
            </w:r>
            <w:r w:rsidR="005931E0" w:rsidRPr="00FB5293">
              <w:rPr>
                <w:rStyle w:val="Hyperlink"/>
                <w:noProof/>
                <w:lang w:val="en-US"/>
              </w:rPr>
              <w:t>EU-Moldova partnership</w:t>
            </w:r>
            <w:r w:rsidR="005931E0">
              <w:rPr>
                <w:noProof/>
                <w:webHidden/>
              </w:rPr>
              <w:tab/>
            </w:r>
            <w:r w:rsidR="005931E0">
              <w:rPr>
                <w:noProof/>
                <w:webHidden/>
              </w:rPr>
              <w:fldChar w:fldCharType="begin"/>
            </w:r>
            <w:r w:rsidR="005931E0">
              <w:rPr>
                <w:noProof/>
                <w:webHidden/>
              </w:rPr>
              <w:instrText xml:space="preserve"> PAGEREF _Toc517985357 \h </w:instrText>
            </w:r>
            <w:r w:rsidR="005931E0">
              <w:rPr>
                <w:noProof/>
                <w:webHidden/>
              </w:rPr>
            </w:r>
            <w:r w:rsidR="005931E0">
              <w:rPr>
                <w:noProof/>
                <w:webHidden/>
              </w:rPr>
              <w:fldChar w:fldCharType="separate"/>
            </w:r>
            <w:r w:rsidR="005931E0">
              <w:rPr>
                <w:noProof/>
                <w:webHidden/>
              </w:rPr>
              <w:t>34</w:t>
            </w:r>
            <w:r w:rsidR="005931E0">
              <w:rPr>
                <w:noProof/>
                <w:webHidden/>
              </w:rPr>
              <w:fldChar w:fldCharType="end"/>
            </w:r>
          </w:hyperlink>
        </w:p>
        <w:p w14:paraId="30BA78A3" w14:textId="10C2571C" w:rsidR="005931E0" w:rsidRDefault="00E1447F" w:rsidP="005931E0">
          <w:pPr>
            <w:pStyle w:val="Inhopg2"/>
            <w:tabs>
              <w:tab w:val="left" w:pos="880"/>
              <w:tab w:val="right" w:leader="dot" w:pos="8777"/>
            </w:tabs>
            <w:spacing w:line="240" w:lineRule="auto"/>
            <w:rPr>
              <w:noProof/>
              <w:szCs w:val="22"/>
              <w:lang w:eastAsia="nl-NL"/>
            </w:rPr>
          </w:pPr>
          <w:hyperlink w:anchor="_Toc517985358" w:history="1">
            <w:r w:rsidR="005931E0" w:rsidRPr="00FB5293">
              <w:rPr>
                <w:rStyle w:val="Hyperlink"/>
                <w:noProof/>
                <w:lang w:val="en-US"/>
              </w:rPr>
              <w:t>5.4.</w:t>
            </w:r>
            <w:r w:rsidR="005931E0">
              <w:rPr>
                <w:noProof/>
                <w:szCs w:val="22"/>
                <w:lang w:eastAsia="nl-NL"/>
              </w:rPr>
              <w:tab/>
            </w:r>
            <w:r w:rsidR="005931E0" w:rsidRPr="00FB5293">
              <w:rPr>
                <w:rStyle w:val="Hyperlink"/>
                <w:noProof/>
                <w:lang w:val="en-US"/>
              </w:rPr>
              <w:t>Analyzing geopolitics and border practices in partnership</w:t>
            </w:r>
            <w:r w:rsidR="005931E0">
              <w:rPr>
                <w:noProof/>
                <w:webHidden/>
              </w:rPr>
              <w:tab/>
            </w:r>
            <w:r w:rsidR="005931E0">
              <w:rPr>
                <w:noProof/>
                <w:webHidden/>
              </w:rPr>
              <w:fldChar w:fldCharType="begin"/>
            </w:r>
            <w:r w:rsidR="005931E0">
              <w:rPr>
                <w:noProof/>
                <w:webHidden/>
              </w:rPr>
              <w:instrText xml:space="preserve"> PAGEREF _Toc517985358 \h </w:instrText>
            </w:r>
            <w:r w:rsidR="005931E0">
              <w:rPr>
                <w:noProof/>
                <w:webHidden/>
              </w:rPr>
            </w:r>
            <w:r w:rsidR="005931E0">
              <w:rPr>
                <w:noProof/>
                <w:webHidden/>
              </w:rPr>
              <w:fldChar w:fldCharType="separate"/>
            </w:r>
            <w:r w:rsidR="005931E0">
              <w:rPr>
                <w:noProof/>
                <w:webHidden/>
              </w:rPr>
              <w:t>44</w:t>
            </w:r>
            <w:r w:rsidR="005931E0">
              <w:rPr>
                <w:noProof/>
                <w:webHidden/>
              </w:rPr>
              <w:fldChar w:fldCharType="end"/>
            </w:r>
          </w:hyperlink>
        </w:p>
        <w:p w14:paraId="7CB2DA41" w14:textId="22FD2CF5" w:rsidR="005931E0" w:rsidRDefault="00E1447F" w:rsidP="005931E0">
          <w:pPr>
            <w:pStyle w:val="Inhopg2"/>
            <w:tabs>
              <w:tab w:val="left" w:pos="880"/>
              <w:tab w:val="right" w:leader="dot" w:pos="8777"/>
            </w:tabs>
            <w:spacing w:line="240" w:lineRule="auto"/>
            <w:rPr>
              <w:noProof/>
              <w:szCs w:val="22"/>
              <w:lang w:eastAsia="nl-NL"/>
            </w:rPr>
          </w:pPr>
          <w:hyperlink w:anchor="_Toc517985359" w:history="1">
            <w:r w:rsidR="005931E0" w:rsidRPr="00FB5293">
              <w:rPr>
                <w:rStyle w:val="Hyperlink"/>
                <w:noProof/>
                <w:lang w:val="en-US"/>
              </w:rPr>
              <w:t>5.5.</w:t>
            </w:r>
            <w:r w:rsidR="005931E0">
              <w:rPr>
                <w:noProof/>
                <w:szCs w:val="22"/>
                <w:lang w:eastAsia="nl-NL"/>
              </w:rPr>
              <w:tab/>
            </w:r>
            <w:r w:rsidR="005931E0" w:rsidRPr="00FB5293">
              <w:rPr>
                <w:rStyle w:val="Hyperlink"/>
                <w:noProof/>
                <w:lang w:val="en-US"/>
              </w:rPr>
              <w:t>The role of Russia</w:t>
            </w:r>
            <w:r w:rsidR="005931E0">
              <w:rPr>
                <w:noProof/>
                <w:webHidden/>
              </w:rPr>
              <w:tab/>
            </w:r>
            <w:r w:rsidR="005931E0">
              <w:rPr>
                <w:noProof/>
                <w:webHidden/>
              </w:rPr>
              <w:fldChar w:fldCharType="begin"/>
            </w:r>
            <w:r w:rsidR="005931E0">
              <w:rPr>
                <w:noProof/>
                <w:webHidden/>
              </w:rPr>
              <w:instrText xml:space="preserve"> PAGEREF _Toc517985359 \h </w:instrText>
            </w:r>
            <w:r w:rsidR="005931E0">
              <w:rPr>
                <w:noProof/>
                <w:webHidden/>
              </w:rPr>
            </w:r>
            <w:r w:rsidR="005931E0">
              <w:rPr>
                <w:noProof/>
                <w:webHidden/>
              </w:rPr>
              <w:fldChar w:fldCharType="separate"/>
            </w:r>
            <w:r w:rsidR="005931E0">
              <w:rPr>
                <w:noProof/>
                <w:webHidden/>
              </w:rPr>
              <w:t>47</w:t>
            </w:r>
            <w:r w:rsidR="005931E0">
              <w:rPr>
                <w:noProof/>
                <w:webHidden/>
              </w:rPr>
              <w:fldChar w:fldCharType="end"/>
            </w:r>
          </w:hyperlink>
        </w:p>
        <w:p w14:paraId="746BF608" w14:textId="0ABBD950" w:rsidR="005931E0" w:rsidRDefault="00E1447F" w:rsidP="005931E0">
          <w:pPr>
            <w:pStyle w:val="Inhopg1"/>
            <w:spacing w:line="240" w:lineRule="auto"/>
            <w:rPr>
              <w:szCs w:val="22"/>
              <w:lang w:val="nl-NL" w:eastAsia="nl-NL"/>
            </w:rPr>
          </w:pPr>
          <w:hyperlink w:anchor="_Toc517985360" w:history="1">
            <w:r w:rsidR="005931E0" w:rsidRPr="00FB5293">
              <w:rPr>
                <w:rStyle w:val="Hyperlink"/>
                <w:lang w:val="en-US"/>
              </w:rPr>
              <w:t>6.</w:t>
            </w:r>
            <w:r w:rsidR="005931E0">
              <w:rPr>
                <w:szCs w:val="22"/>
                <w:lang w:val="nl-NL" w:eastAsia="nl-NL"/>
              </w:rPr>
              <w:tab/>
            </w:r>
            <w:r w:rsidR="005931E0" w:rsidRPr="00FB5293">
              <w:rPr>
                <w:rStyle w:val="Hyperlink"/>
                <w:lang w:val="en-US"/>
              </w:rPr>
              <w:t>Post-colonialism and neo-imperialism in Transnistria</w:t>
            </w:r>
            <w:r w:rsidR="005931E0">
              <w:rPr>
                <w:webHidden/>
              </w:rPr>
              <w:tab/>
            </w:r>
            <w:r w:rsidR="005931E0">
              <w:rPr>
                <w:webHidden/>
              </w:rPr>
              <w:fldChar w:fldCharType="begin"/>
            </w:r>
            <w:r w:rsidR="005931E0">
              <w:rPr>
                <w:webHidden/>
              </w:rPr>
              <w:instrText xml:space="preserve"> PAGEREF _Toc517985360 \h </w:instrText>
            </w:r>
            <w:r w:rsidR="005931E0">
              <w:rPr>
                <w:webHidden/>
              </w:rPr>
            </w:r>
            <w:r w:rsidR="005931E0">
              <w:rPr>
                <w:webHidden/>
              </w:rPr>
              <w:fldChar w:fldCharType="separate"/>
            </w:r>
            <w:r w:rsidR="005931E0">
              <w:rPr>
                <w:webHidden/>
              </w:rPr>
              <w:t>50</w:t>
            </w:r>
            <w:r w:rsidR="005931E0">
              <w:rPr>
                <w:webHidden/>
              </w:rPr>
              <w:fldChar w:fldCharType="end"/>
            </w:r>
          </w:hyperlink>
        </w:p>
        <w:p w14:paraId="6CCA8C03" w14:textId="1BFF80A1" w:rsidR="005931E0" w:rsidRDefault="00E1447F" w:rsidP="005931E0">
          <w:pPr>
            <w:pStyle w:val="Inhopg2"/>
            <w:tabs>
              <w:tab w:val="left" w:pos="880"/>
              <w:tab w:val="right" w:leader="dot" w:pos="8777"/>
            </w:tabs>
            <w:spacing w:line="240" w:lineRule="auto"/>
            <w:rPr>
              <w:noProof/>
              <w:szCs w:val="22"/>
              <w:lang w:eastAsia="nl-NL"/>
            </w:rPr>
          </w:pPr>
          <w:hyperlink w:anchor="_Toc517985361" w:history="1">
            <w:r w:rsidR="005931E0" w:rsidRPr="00FB5293">
              <w:rPr>
                <w:rStyle w:val="Hyperlink"/>
                <w:noProof/>
                <w:lang w:val="en-US"/>
              </w:rPr>
              <w:t>6.1.</w:t>
            </w:r>
            <w:r w:rsidR="005931E0">
              <w:rPr>
                <w:noProof/>
                <w:szCs w:val="22"/>
                <w:lang w:eastAsia="nl-NL"/>
              </w:rPr>
              <w:tab/>
            </w:r>
            <w:r w:rsidR="005931E0" w:rsidRPr="00FB5293">
              <w:rPr>
                <w:rStyle w:val="Hyperlink"/>
                <w:noProof/>
                <w:lang w:val="en-US"/>
              </w:rPr>
              <w:t>Russian post-colonialism</w:t>
            </w:r>
            <w:r w:rsidR="005931E0">
              <w:rPr>
                <w:noProof/>
                <w:webHidden/>
              </w:rPr>
              <w:tab/>
            </w:r>
            <w:r w:rsidR="005931E0">
              <w:rPr>
                <w:noProof/>
                <w:webHidden/>
              </w:rPr>
              <w:fldChar w:fldCharType="begin"/>
            </w:r>
            <w:r w:rsidR="005931E0">
              <w:rPr>
                <w:noProof/>
                <w:webHidden/>
              </w:rPr>
              <w:instrText xml:space="preserve"> PAGEREF _Toc517985361 \h </w:instrText>
            </w:r>
            <w:r w:rsidR="005931E0">
              <w:rPr>
                <w:noProof/>
                <w:webHidden/>
              </w:rPr>
            </w:r>
            <w:r w:rsidR="005931E0">
              <w:rPr>
                <w:noProof/>
                <w:webHidden/>
              </w:rPr>
              <w:fldChar w:fldCharType="separate"/>
            </w:r>
            <w:r w:rsidR="005931E0">
              <w:rPr>
                <w:noProof/>
                <w:webHidden/>
              </w:rPr>
              <w:t>50</w:t>
            </w:r>
            <w:r w:rsidR="005931E0">
              <w:rPr>
                <w:noProof/>
                <w:webHidden/>
              </w:rPr>
              <w:fldChar w:fldCharType="end"/>
            </w:r>
          </w:hyperlink>
        </w:p>
        <w:p w14:paraId="316A39B7" w14:textId="523D9FB1" w:rsidR="005931E0" w:rsidRDefault="00E1447F" w:rsidP="005931E0">
          <w:pPr>
            <w:pStyle w:val="Inhopg2"/>
            <w:tabs>
              <w:tab w:val="left" w:pos="880"/>
              <w:tab w:val="right" w:leader="dot" w:pos="8777"/>
            </w:tabs>
            <w:spacing w:line="240" w:lineRule="auto"/>
            <w:rPr>
              <w:noProof/>
              <w:szCs w:val="22"/>
              <w:lang w:eastAsia="nl-NL"/>
            </w:rPr>
          </w:pPr>
          <w:hyperlink w:anchor="_Toc517985362" w:history="1">
            <w:r w:rsidR="005931E0" w:rsidRPr="00FB5293">
              <w:rPr>
                <w:rStyle w:val="Hyperlink"/>
                <w:noProof/>
                <w:lang w:val="en-US"/>
              </w:rPr>
              <w:t>6.2.</w:t>
            </w:r>
            <w:r w:rsidR="005931E0">
              <w:rPr>
                <w:noProof/>
                <w:szCs w:val="22"/>
                <w:lang w:eastAsia="nl-NL"/>
              </w:rPr>
              <w:tab/>
            </w:r>
            <w:r w:rsidR="005931E0" w:rsidRPr="00FB5293">
              <w:rPr>
                <w:rStyle w:val="Hyperlink"/>
                <w:noProof/>
                <w:lang w:val="en-US"/>
              </w:rPr>
              <w:t>European neo-imperialism</w:t>
            </w:r>
            <w:r w:rsidR="005931E0">
              <w:rPr>
                <w:noProof/>
                <w:webHidden/>
              </w:rPr>
              <w:tab/>
            </w:r>
            <w:r w:rsidR="005931E0">
              <w:rPr>
                <w:noProof/>
                <w:webHidden/>
              </w:rPr>
              <w:fldChar w:fldCharType="begin"/>
            </w:r>
            <w:r w:rsidR="005931E0">
              <w:rPr>
                <w:noProof/>
                <w:webHidden/>
              </w:rPr>
              <w:instrText xml:space="preserve"> PAGEREF _Toc517985362 \h </w:instrText>
            </w:r>
            <w:r w:rsidR="005931E0">
              <w:rPr>
                <w:noProof/>
                <w:webHidden/>
              </w:rPr>
            </w:r>
            <w:r w:rsidR="005931E0">
              <w:rPr>
                <w:noProof/>
                <w:webHidden/>
              </w:rPr>
              <w:fldChar w:fldCharType="separate"/>
            </w:r>
            <w:r w:rsidR="005931E0">
              <w:rPr>
                <w:noProof/>
                <w:webHidden/>
              </w:rPr>
              <w:t>53</w:t>
            </w:r>
            <w:r w:rsidR="005931E0">
              <w:rPr>
                <w:noProof/>
                <w:webHidden/>
              </w:rPr>
              <w:fldChar w:fldCharType="end"/>
            </w:r>
          </w:hyperlink>
        </w:p>
        <w:p w14:paraId="5334E73D" w14:textId="1FABC49F" w:rsidR="005931E0" w:rsidRDefault="00E1447F" w:rsidP="005931E0">
          <w:pPr>
            <w:pStyle w:val="Inhopg1"/>
            <w:spacing w:line="240" w:lineRule="auto"/>
            <w:rPr>
              <w:szCs w:val="22"/>
              <w:lang w:val="nl-NL" w:eastAsia="nl-NL"/>
            </w:rPr>
          </w:pPr>
          <w:hyperlink w:anchor="_Toc517985363" w:history="1">
            <w:r w:rsidR="005931E0" w:rsidRPr="00FB5293">
              <w:rPr>
                <w:rStyle w:val="Hyperlink"/>
                <w:lang w:val="en-US"/>
              </w:rPr>
              <w:t>7.</w:t>
            </w:r>
            <w:r w:rsidR="005931E0">
              <w:rPr>
                <w:szCs w:val="22"/>
                <w:lang w:val="nl-NL" w:eastAsia="nl-NL"/>
              </w:rPr>
              <w:tab/>
            </w:r>
            <w:r w:rsidR="005931E0" w:rsidRPr="00FB5293">
              <w:rPr>
                <w:rStyle w:val="Hyperlink"/>
                <w:lang w:val="en-US"/>
              </w:rPr>
              <w:t>Conclusion</w:t>
            </w:r>
            <w:r w:rsidR="005931E0">
              <w:rPr>
                <w:webHidden/>
              </w:rPr>
              <w:tab/>
            </w:r>
            <w:r w:rsidR="005931E0">
              <w:rPr>
                <w:webHidden/>
              </w:rPr>
              <w:fldChar w:fldCharType="begin"/>
            </w:r>
            <w:r w:rsidR="005931E0">
              <w:rPr>
                <w:webHidden/>
              </w:rPr>
              <w:instrText xml:space="preserve"> PAGEREF _Toc517985363 \h </w:instrText>
            </w:r>
            <w:r w:rsidR="005931E0">
              <w:rPr>
                <w:webHidden/>
              </w:rPr>
            </w:r>
            <w:r w:rsidR="005931E0">
              <w:rPr>
                <w:webHidden/>
              </w:rPr>
              <w:fldChar w:fldCharType="separate"/>
            </w:r>
            <w:r w:rsidR="005931E0">
              <w:rPr>
                <w:webHidden/>
              </w:rPr>
              <w:t>57</w:t>
            </w:r>
            <w:r w:rsidR="005931E0">
              <w:rPr>
                <w:webHidden/>
              </w:rPr>
              <w:fldChar w:fldCharType="end"/>
            </w:r>
          </w:hyperlink>
        </w:p>
        <w:p w14:paraId="2F97ED1F" w14:textId="112CF053" w:rsidR="005931E0" w:rsidRDefault="00E1447F" w:rsidP="005931E0">
          <w:pPr>
            <w:pStyle w:val="Inhopg1"/>
            <w:spacing w:line="240" w:lineRule="auto"/>
            <w:rPr>
              <w:szCs w:val="22"/>
              <w:lang w:val="nl-NL" w:eastAsia="nl-NL"/>
            </w:rPr>
          </w:pPr>
          <w:hyperlink w:anchor="_Toc517985364" w:history="1">
            <w:r w:rsidR="005931E0" w:rsidRPr="00FB5293">
              <w:rPr>
                <w:rStyle w:val="Hyperlink"/>
                <w:lang w:val="en-US"/>
              </w:rPr>
              <w:t>8.</w:t>
            </w:r>
            <w:r w:rsidR="005931E0">
              <w:rPr>
                <w:szCs w:val="22"/>
                <w:lang w:val="nl-NL" w:eastAsia="nl-NL"/>
              </w:rPr>
              <w:tab/>
            </w:r>
            <w:r w:rsidR="005931E0" w:rsidRPr="00FB5293">
              <w:rPr>
                <w:rStyle w:val="Hyperlink"/>
                <w:lang w:val="en-US"/>
              </w:rPr>
              <w:t>Literature</w:t>
            </w:r>
            <w:r w:rsidR="005931E0">
              <w:rPr>
                <w:webHidden/>
              </w:rPr>
              <w:tab/>
            </w:r>
            <w:r w:rsidR="005931E0">
              <w:rPr>
                <w:webHidden/>
              </w:rPr>
              <w:fldChar w:fldCharType="begin"/>
            </w:r>
            <w:r w:rsidR="005931E0">
              <w:rPr>
                <w:webHidden/>
              </w:rPr>
              <w:instrText xml:space="preserve"> PAGEREF _Toc517985364 \h </w:instrText>
            </w:r>
            <w:r w:rsidR="005931E0">
              <w:rPr>
                <w:webHidden/>
              </w:rPr>
            </w:r>
            <w:r w:rsidR="005931E0">
              <w:rPr>
                <w:webHidden/>
              </w:rPr>
              <w:fldChar w:fldCharType="separate"/>
            </w:r>
            <w:r w:rsidR="005931E0">
              <w:rPr>
                <w:webHidden/>
              </w:rPr>
              <w:t>60</w:t>
            </w:r>
            <w:r w:rsidR="005931E0">
              <w:rPr>
                <w:webHidden/>
              </w:rPr>
              <w:fldChar w:fldCharType="end"/>
            </w:r>
          </w:hyperlink>
        </w:p>
        <w:p w14:paraId="621C78FB" w14:textId="11D356E3" w:rsidR="0053213C" w:rsidRPr="00D82AA0" w:rsidRDefault="0053213C" w:rsidP="005931E0">
          <w:pPr>
            <w:spacing w:line="240" w:lineRule="auto"/>
            <w:rPr>
              <w:lang w:val="en-US"/>
            </w:rPr>
          </w:pPr>
          <w:r w:rsidRPr="00D82AA0">
            <w:rPr>
              <w:b/>
              <w:bCs/>
              <w:lang w:val="en-US"/>
            </w:rPr>
            <w:fldChar w:fldCharType="end"/>
          </w:r>
        </w:p>
      </w:sdtContent>
    </w:sdt>
    <w:p w14:paraId="33C14E7C" w14:textId="69CB67B5" w:rsidR="00361718" w:rsidRPr="00B70AD5" w:rsidRDefault="001A3A30" w:rsidP="00B70AD5">
      <w:pPr>
        <w:spacing w:before="0" w:after="160" w:line="312" w:lineRule="auto"/>
        <w:rPr>
          <w:rFonts w:asciiTheme="majorHAnsi" w:eastAsiaTheme="majorEastAsia" w:hAnsiTheme="majorHAnsi" w:cstheme="majorBidi"/>
          <w:caps/>
          <w:spacing w:val="10"/>
          <w:sz w:val="36"/>
          <w:szCs w:val="36"/>
          <w:lang w:val="en-US"/>
        </w:rPr>
      </w:pPr>
      <w:r w:rsidRPr="00D82AA0">
        <w:rPr>
          <w:lang w:val="en-US"/>
        </w:rPr>
        <w:br w:type="page"/>
      </w:r>
    </w:p>
    <w:p w14:paraId="0E869A8D" w14:textId="77777777" w:rsidR="00D82AA0" w:rsidRPr="00D82AA0" w:rsidRDefault="00D82AA0" w:rsidP="00361718">
      <w:pPr>
        <w:rPr>
          <w:lang w:val="en-US"/>
        </w:rPr>
        <w:sectPr w:rsidR="00D82AA0" w:rsidRPr="00D82AA0" w:rsidSect="0053213C">
          <w:pgSz w:w="11906" w:h="16838" w:code="9"/>
          <w:pgMar w:top="1418" w:right="1418" w:bottom="1418" w:left="1701" w:header="709" w:footer="709" w:gutter="0"/>
          <w:cols w:space="708"/>
          <w:docGrid w:linePitch="360"/>
        </w:sectPr>
      </w:pPr>
    </w:p>
    <w:p w14:paraId="621C78FD" w14:textId="77777777" w:rsidR="0053213C" w:rsidRPr="00D82AA0" w:rsidRDefault="0053213C" w:rsidP="00A865EB">
      <w:pPr>
        <w:pStyle w:val="Kop1"/>
        <w:numPr>
          <w:ilvl w:val="0"/>
          <w:numId w:val="1"/>
        </w:numPr>
        <w:spacing w:line="360" w:lineRule="auto"/>
        <w:rPr>
          <w:lang w:val="en-US"/>
        </w:rPr>
      </w:pPr>
      <w:bookmarkStart w:id="13" w:name="_Toc517985332"/>
      <w:r w:rsidRPr="00D82AA0">
        <w:rPr>
          <w:lang w:val="en-US"/>
        </w:rPr>
        <w:lastRenderedPageBreak/>
        <w:t>Introduction</w:t>
      </w:r>
      <w:bookmarkEnd w:id="13"/>
    </w:p>
    <w:p w14:paraId="621C78FE" w14:textId="751B83BA" w:rsidR="00DC0825" w:rsidRPr="00D82AA0" w:rsidRDefault="00261D46" w:rsidP="00A865EB">
      <w:pPr>
        <w:pStyle w:val="Kop2"/>
        <w:numPr>
          <w:ilvl w:val="1"/>
          <w:numId w:val="1"/>
        </w:numPr>
        <w:spacing w:line="360" w:lineRule="auto"/>
        <w:rPr>
          <w:lang w:val="en-US"/>
        </w:rPr>
      </w:pPr>
      <w:bookmarkStart w:id="14" w:name="_Toc517985333"/>
      <w:r w:rsidRPr="00D82AA0">
        <w:rPr>
          <w:lang w:val="en-US"/>
        </w:rPr>
        <w:t>Framework</w:t>
      </w:r>
      <w:bookmarkEnd w:id="14"/>
    </w:p>
    <w:p w14:paraId="3B996EC2" w14:textId="21C517DF" w:rsidR="00261D46" w:rsidRPr="00D82AA0" w:rsidRDefault="005D18BD" w:rsidP="00A865EB">
      <w:pPr>
        <w:rPr>
          <w:lang w:val="en-US"/>
        </w:rPr>
      </w:pPr>
      <w:r w:rsidRPr="00D82AA0">
        <w:rPr>
          <w:lang w:val="en-US"/>
        </w:rPr>
        <w:t>On the 18</w:t>
      </w:r>
      <w:r w:rsidRPr="00D82AA0">
        <w:rPr>
          <w:vertAlign w:val="superscript"/>
          <w:lang w:val="en-US"/>
        </w:rPr>
        <w:t>th</w:t>
      </w:r>
      <w:r w:rsidRPr="00D82AA0">
        <w:rPr>
          <w:lang w:val="en-US"/>
        </w:rPr>
        <w:t xml:space="preserve"> of November 2017, the Gura Bicului-Bychok bridge, which connects Moldova and the de-facto state Transnistria, was opened for traffic after it was destructed during the armed conflict between the two sides in 1992 (OSCE, 2018). After a period of 25 years, this was the first sign of success after years of negotiations to create a settlement for the conflict between Moldova and Transnistria. As Ambassador Wolf Dietrich Heim said, “this is good news for the local population on both sides of the river. It opens a crucial civilian transportation artery, improves connectivity, can enhance trade, and helps to build confidence between the sides (OSCE, 2017).” </w:t>
      </w:r>
    </w:p>
    <w:p w14:paraId="2A713488" w14:textId="0EB90224" w:rsidR="006F05D8" w:rsidRPr="00D82AA0" w:rsidRDefault="00323C95" w:rsidP="00A865EB">
      <w:pPr>
        <w:rPr>
          <w:lang w:val="en-US"/>
        </w:rPr>
      </w:pPr>
      <w:r w:rsidRPr="00D82AA0">
        <w:rPr>
          <w:lang w:val="en-US"/>
        </w:rPr>
        <w:t xml:space="preserve">After the fall of the Soviet Union, several </w:t>
      </w:r>
      <w:r w:rsidRPr="008E13AE">
        <w:rPr>
          <w:noProof/>
          <w:lang w:val="en-US"/>
        </w:rPr>
        <w:t>so</w:t>
      </w:r>
      <w:r w:rsidR="008E13AE">
        <w:rPr>
          <w:noProof/>
          <w:lang w:val="en-US"/>
        </w:rPr>
        <w:t>-</w:t>
      </w:r>
      <w:r w:rsidRPr="008E13AE">
        <w:rPr>
          <w:noProof/>
          <w:lang w:val="en-US"/>
        </w:rPr>
        <w:t>called</w:t>
      </w:r>
      <w:r w:rsidRPr="00D82AA0">
        <w:rPr>
          <w:lang w:val="en-US"/>
        </w:rPr>
        <w:t xml:space="preserve"> de-facto states tried to become independent. Besides Transnistria, there is Abkhazia and South Ossetia in Georgia and Nagorno-Karabakh in Azerbaijan (O’Loughlin et al., 2015).</w:t>
      </w:r>
      <w:r w:rsidR="00404989" w:rsidRPr="00D82AA0">
        <w:rPr>
          <w:lang w:val="en-US"/>
        </w:rPr>
        <w:t xml:space="preserve"> </w:t>
      </w:r>
      <w:r w:rsidR="006F05D8" w:rsidRPr="00D82AA0">
        <w:rPr>
          <w:lang w:val="en-US"/>
        </w:rPr>
        <w:t>There are several institutions helping these de-facto states in negotiating with their old country from which they are breaking away. The Organization for Security and Co-operation in Europe is the most active institution in doing this. However, over the last years, the European Union is also playing a bigger role in these negotiations and is becoming a serious actor in these issues.</w:t>
      </w:r>
    </w:p>
    <w:p w14:paraId="21318FD1" w14:textId="7CCBC96D" w:rsidR="00323C95" w:rsidRPr="00D82AA0" w:rsidRDefault="006F05D8" w:rsidP="00A865EB">
      <w:pPr>
        <w:rPr>
          <w:lang w:val="en-US"/>
        </w:rPr>
      </w:pPr>
      <w:r w:rsidRPr="00D82AA0">
        <w:rPr>
          <w:lang w:val="en-US"/>
        </w:rPr>
        <w:t xml:space="preserve">In this thesis there is a focus on the role that the European Union plays in Moldova, and specifically Transnistria. </w:t>
      </w:r>
      <w:r w:rsidR="00A909F6" w:rsidRPr="00D82AA0">
        <w:rPr>
          <w:lang w:val="en-US"/>
        </w:rPr>
        <w:t xml:space="preserve">Through </w:t>
      </w:r>
      <w:r w:rsidR="0081560F" w:rsidRPr="00D82AA0">
        <w:rPr>
          <w:lang w:val="en-US"/>
        </w:rPr>
        <w:t xml:space="preserve">bordering </w:t>
      </w:r>
      <w:r w:rsidR="00BA3E16" w:rsidRPr="00D82AA0">
        <w:rPr>
          <w:lang w:val="en-US"/>
        </w:rPr>
        <w:t>policies</w:t>
      </w:r>
      <w:r w:rsidR="00A909F6" w:rsidRPr="00D82AA0">
        <w:rPr>
          <w:lang w:val="en-US"/>
        </w:rPr>
        <w:t xml:space="preserve">, the European Union tries to </w:t>
      </w:r>
      <w:r w:rsidR="00A909F6" w:rsidRPr="008E13AE">
        <w:rPr>
          <w:noProof/>
          <w:lang w:val="en-US"/>
        </w:rPr>
        <w:t>exten</w:t>
      </w:r>
      <w:r w:rsidR="008E13AE">
        <w:rPr>
          <w:noProof/>
          <w:lang w:val="en-US"/>
        </w:rPr>
        <w:t>d</w:t>
      </w:r>
      <w:r w:rsidR="00A909F6" w:rsidRPr="00D82AA0">
        <w:rPr>
          <w:lang w:val="en-US"/>
        </w:rPr>
        <w:t xml:space="preserve"> their </w:t>
      </w:r>
      <w:r w:rsidR="00FF37BB" w:rsidRPr="00D82AA0">
        <w:rPr>
          <w:lang w:val="en-US"/>
        </w:rPr>
        <w:t>power far outside of the Union</w:t>
      </w:r>
      <w:r w:rsidR="0033271E" w:rsidRPr="00D82AA0">
        <w:rPr>
          <w:lang w:val="en-US"/>
        </w:rPr>
        <w:t xml:space="preserve"> to</w:t>
      </w:r>
      <w:r w:rsidR="008F3367" w:rsidRPr="00D82AA0">
        <w:rPr>
          <w:lang w:val="en-US"/>
        </w:rPr>
        <w:t xml:space="preserve"> make countries act like their own member states</w:t>
      </w:r>
      <w:r w:rsidR="00FF37BB" w:rsidRPr="00D82AA0">
        <w:rPr>
          <w:lang w:val="en-US"/>
        </w:rPr>
        <w:t xml:space="preserve">. </w:t>
      </w:r>
      <w:r w:rsidR="0033271E" w:rsidRPr="00D82AA0">
        <w:rPr>
          <w:lang w:val="en-US"/>
        </w:rPr>
        <w:t>Besides that, it is an important way of keeping dangers away and keeping the Union safe</w:t>
      </w:r>
      <w:r w:rsidR="00D60AA8" w:rsidRPr="00D82AA0">
        <w:rPr>
          <w:lang w:val="en-US"/>
        </w:rPr>
        <w:t xml:space="preserve"> (Bialasiewicz et al., 2009)</w:t>
      </w:r>
      <w:r w:rsidR="0033271E" w:rsidRPr="00D82AA0">
        <w:rPr>
          <w:lang w:val="en-US"/>
        </w:rPr>
        <w:t xml:space="preserve">. This is also the case in Moldova, as Moldova has strong links with EU member Romania. Through the European Neighbourhood Policy, the EU </w:t>
      </w:r>
      <w:r w:rsidR="00361718" w:rsidRPr="00D82AA0">
        <w:rPr>
          <w:lang w:val="en-US"/>
        </w:rPr>
        <w:t>creates a policy for member states’</w:t>
      </w:r>
      <w:r w:rsidR="0061501F" w:rsidRPr="00D82AA0">
        <w:rPr>
          <w:lang w:val="en-US"/>
        </w:rPr>
        <w:t xml:space="preserve"> neighbour countries. As the EU puts it, “the EU works with its Southern and Eastern Neighbours to foster </w:t>
      </w:r>
      <w:r w:rsidR="00B8212B" w:rsidRPr="00D82AA0">
        <w:rPr>
          <w:lang w:val="en-US"/>
        </w:rPr>
        <w:t>stabilization</w:t>
      </w:r>
      <w:r w:rsidR="0061501F" w:rsidRPr="00D82AA0">
        <w:rPr>
          <w:lang w:val="en-US"/>
        </w:rPr>
        <w:t>, security and prosperity, in line with the Global Strategy for the European Union’s Foreign and Security Policy</w:t>
      </w:r>
      <w:r w:rsidR="003C474E" w:rsidRPr="00D82AA0">
        <w:rPr>
          <w:lang w:val="en-US"/>
        </w:rPr>
        <w:t xml:space="preserve"> (EEAS, 2016</w:t>
      </w:r>
      <w:r w:rsidR="0061501F" w:rsidRPr="00D82AA0">
        <w:rPr>
          <w:lang w:val="en-US"/>
        </w:rPr>
        <w:t xml:space="preserve">).” </w:t>
      </w:r>
    </w:p>
    <w:p w14:paraId="17A032CF" w14:textId="07AD4917" w:rsidR="003B1600" w:rsidRPr="00D82AA0" w:rsidRDefault="00361718" w:rsidP="00A865EB">
      <w:pPr>
        <w:rPr>
          <w:lang w:val="en-US"/>
        </w:rPr>
      </w:pPr>
      <w:r w:rsidRPr="00D82AA0">
        <w:rPr>
          <w:lang w:val="en-US"/>
        </w:rPr>
        <w:t>Within the ENP, there are several different more specific partnerships</w:t>
      </w:r>
      <w:r w:rsidR="003C474E" w:rsidRPr="00D82AA0">
        <w:rPr>
          <w:lang w:val="en-US"/>
        </w:rPr>
        <w:t>,</w:t>
      </w:r>
      <w:r w:rsidRPr="00D82AA0">
        <w:rPr>
          <w:lang w:val="en-US"/>
        </w:rPr>
        <w:t xml:space="preserve"> like </w:t>
      </w:r>
      <w:r w:rsidR="003C474E" w:rsidRPr="00D82AA0">
        <w:rPr>
          <w:lang w:val="en-US"/>
        </w:rPr>
        <w:t xml:space="preserve">the Eastern Partnership, the Black Sea Synergy and the Northern Dimension (EEAS, n.d.). </w:t>
      </w:r>
      <w:r w:rsidR="003B1600" w:rsidRPr="00D82AA0">
        <w:rPr>
          <w:lang w:val="en-US"/>
        </w:rPr>
        <w:t xml:space="preserve">In this thesis, there will be a focus on the ENP and specifically the Eastern Partnership, since that is part of the ENP. </w:t>
      </w:r>
      <w:r w:rsidR="00875862" w:rsidRPr="00D82AA0">
        <w:rPr>
          <w:lang w:val="en-US"/>
        </w:rPr>
        <w:lastRenderedPageBreak/>
        <w:t xml:space="preserve">This will be looked at from a postcolonial point of view. Because of using postcolonial theory, there will also be attention for the role Russia plays in </w:t>
      </w:r>
      <w:r w:rsidR="00875862" w:rsidRPr="008E13AE">
        <w:rPr>
          <w:noProof/>
          <w:lang w:val="en-US"/>
        </w:rPr>
        <w:t>Transnistria,</w:t>
      </w:r>
      <w:r w:rsidR="00875862" w:rsidRPr="00D82AA0">
        <w:rPr>
          <w:lang w:val="en-US"/>
        </w:rPr>
        <w:t xml:space="preserve"> since that influence is very big. </w:t>
      </w:r>
    </w:p>
    <w:p w14:paraId="12B0F66E" w14:textId="54F70AE4" w:rsidR="00261D46" w:rsidRPr="00D82AA0" w:rsidRDefault="00261D46" w:rsidP="00A865EB">
      <w:pPr>
        <w:pStyle w:val="Kop2"/>
        <w:numPr>
          <w:ilvl w:val="1"/>
          <w:numId w:val="1"/>
        </w:numPr>
        <w:spacing w:line="360" w:lineRule="auto"/>
        <w:rPr>
          <w:lang w:val="en-US"/>
        </w:rPr>
      </w:pPr>
      <w:bookmarkStart w:id="15" w:name="_Toc517985334"/>
      <w:r w:rsidRPr="00D82AA0">
        <w:rPr>
          <w:lang w:val="en-US"/>
        </w:rPr>
        <w:t>Research goal</w:t>
      </w:r>
      <w:bookmarkEnd w:id="15"/>
    </w:p>
    <w:p w14:paraId="6748BDED" w14:textId="0713A3DA" w:rsidR="00A8105A" w:rsidRDefault="005870CB" w:rsidP="00A865EB">
      <w:pPr>
        <w:rPr>
          <w:lang w:val="en-US"/>
        </w:rPr>
      </w:pPr>
      <w:r w:rsidRPr="00D82AA0">
        <w:rPr>
          <w:lang w:val="en-US"/>
        </w:rPr>
        <w:t>The goal of this research is to describe the ways in which the European Union</w:t>
      </w:r>
      <w:r w:rsidR="00B8212B" w:rsidRPr="00D82AA0">
        <w:rPr>
          <w:lang w:val="en-US"/>
        </w:rPr>
        <w:t xml:space="preserve"> influences the conflict between Moldova and Transnistria through the use of </w:t>
      </w:r>
      <w:r w:rsidR="00B8212B" w:rsidRPr="008E13AE">
        <w:rPr>
          <w:noProof/>
          <w:lang w:val="en-US"/>
        </w:rPr>
        <w:t>bordering</w:t>
      </w:r>
      <w:r w:rsidR="00B8212B" w:rsidRPr="00D82AA0">
        <w:rPr>
          <w:lang w:val="en-US"/>
        </w:rPr>
        <w:t xml:space="preserve"> policies and geopolitics</w:t>
      </w:r>
      <w:r w:rsidR="00C805B6" w:rsidRPr="00D82AA0">
        <w:rPr>
          <w:lang w:val="en-US"/>
        </w:rPr>
        <w:t xml:space="preserve">. In </w:t>
      </w:r>
      <w:r w:rsidR="00B8212B" w:rsidRPr="00D82AA0">
        <w:rPr>
          <w:lang w:val="en-US"/>
        </w:rPr>
        <w:t>focusing</w:t>
      </w:r>
      <w:r w:rsidR="00C805B6" w:rsidRPr="00D82AA0">
        <w:rPr>
          <w:lang w:val="en-US"/>
        </w:rPr>
        <w:t xml:space="preserve"> on this goal, the </w:t>
      </w:r>
      <w:r w:rsidR="001A7CE6">
        <w:rPr>
          <w:lang w:val="en-US"/>
        </w:rPr>
        <w:t>European Neighbourhood Policy, with the Eastern Partnership as part of this, will be analyzed</w:t>
      </w:r>
      <w:r w:rsidR="00C805B6" w:rsidRPr="00D82AA0">
        <w:rPr>
          <w:lang w:val="en-US"/>
        </w:rPr>
        <w:t>. Also, regarding the goal of this res</w:t>
      </w:r>
      <w:r w:rsidR="00875862" w:rsidRPr="00D82AA0">
        <w:rPr>
          <w:lang w:val="en-US"/>
        </w:rPr>
        <w:t>earch, there is a focus on post</w:t>
      </w:r>
      <w:r w:rsidR="00A70ECA" w:rsidRPr="00D82AA0">
        <w:rPr>
          <w:lang w:val="en-US"/>
        </w:rPr>
        <w:t>-</w:t>
      </w:r>
      <w:r w:rsidR="00C805B6" w:rsidRPr="00D82AA0">
        <w:rPr>
          <w:lang w:val="en-US"/>
        </w:rPr>
        <w:t xml:space="preserve">colonialism </w:t>
      </w:r>
      <w:r w:rsidR="003E20A4" w:rsidRPr="00D82AA0">
        <w:rPr>
          <w:lang w:val="en-US"/>
        </w:rPr>
        <w:t>and neo-imperialism as theories</w:t>
      </w:r>
      <w:r w:rsidR="00C805B6" w:rsidRPr="00D82AA0">
        <w:rPr>
          <w:lang w:val="en-US"/>
        </w:rPr>
        <w:t>.</w:t>
      </w:r>
    </w:p>
    <w:p w14:paraId="17818B42" w14:textId="47112EE3" w:rsidR="00EE1AE7" w:rsidRPr="00D82AA0" w:rsidRDefault="00EE1AE7" w:rsidP="00A865EB">
      <w:pPr>
        <w:rPr>
          <w:lang w:val="en-US"/>
        </w:rPr>
      </w:pPr>
      <w:r>
        <w:rPr>
          <w:lang w:val="en-US"/>
        </w:rPr>
        <w:t xml:space="preserve">To execute this research, extensive literature research will be used. Both official European Neighbourhood and Eastern Partnership documents as well as articles by scholars will function as literature. </w:t>
      </w:r>
    </w:p>
    <w:p w14:paraId="69014FAF" w14:textId="33B5AD44" w:rsidR="00261D46" w:rsidRPr="00D82AA0" w:rsidRDefault="00261D46" w:rsidP="00A865EB">
      <w:pPr>
        <w:pStyle w:val="Kop2"/>
        <w:numPr>
          <w:ilvl w:val="1"/>
          <w:numId w:val="1"/>
        </w:numPr>
        <w:spacing w:line="360" w:lineRule="auto"/>
        <w:rPr>
          <w:lang w:val="en-US"/>
        </w:rPr>
      </w:pPr>
      <w:bookmarkStart w:id="16" w:name="_Toc517985335"/>
      <w:r w:rsidRPr="00D82AA0">
        <w:rPr>
          <w:lang w:val="en-US"/>
        </w:rPr>
        <w:t>Research questions</w:t>
      </w:r>
      <w:bookmarkEnd w:id="16"/>
    </w:p>
    <w:p w14:paraId="1FF165F2" w14:textId="48ABDB30" w:rsidR="00EE1AE7" w:rsidRDefault="00EE1AE7" w:rsidP="00A865EB">
      <w:pPr>
        <w:rPr>
          <w:szCs w:val="22"/>
          <w:lang w:val="en-US"/>
        </w:rPr>
      </w:pPr>
      <w:r>
        <w:rPr>
          <w:szCs w:val="22"/>
          <w:lang w:val="en-US"/>
        </w:rPr>
        <w:t>This research will use the following questions to meet the research goal:</w:t>
      </w:r>
    </w:p>
    <w:p w14:paraId="3558E25C" w14:textId="30AE0B39" w:rsidR="00312812" w:rsidRPr="00EE1AE7" w:rsidRDefault="00261D46" w:rsidP="00A865EB">
      <w:pPr>
        <w:rPr>
          <w:i/>
          <w:szCs w:val="22"/>
          <w:lang w:val="en-US"/>
        </w:rPr>
      </w:pPr>
      <w:r w:rsidRPr="00EE1AE7">
        <w:rPr>
          <w:i/>
          <w:szCs w:val="22"/>
          <w:lang w:val="en-US"/>
        </w:rPr>
        <w:t xml:space="preserve">Main question: </w:t>
      </w:r>
    </w:p>
    <w:p w14:paraId="1D91C135" w14:textId="174C9E7F" w:rsidR="00261D46" w:rsidRPr="00D82AA0" w:rsidRDefault="00261D46" w:rsidP="00A865EB">
      <w:pPr>
        <w:rPr>
          <w:szCs w:val="22"/>
          <w:lang w:val="en-US"/>
        </w:rPr>
      </w:pPr>
      <w:r w:rsidRPr="00D82AA0">
        <w:rPr>
          <w:szCs w:val="22"/>
          <w:lang w:val="en-US"/>
        </w:rPr>
        <w:t xml:space="preserve">How does the European Union use </w:t>
      </w:r>
      <w:r w:rsidR="0081560F" w:rsidRPr="00D82AA0">
        <w:rPr>
          <w:szCs w:val="22"/>
          <w:lang w:val="en-US"/>
        </w:rPr>
        <w:t>geopolitics</w:t>
      </w:r>
      <w:r w:rsidR="00305AE1" w:rsidRPr="00D82AA0">
        <w:rPr>
          <w:szCs w:val="22"/>
          <w:lang w:val="en-US"/>
        </w:rPr>
        <w:t>, focusing on the European Neighbourhood Policy,</w:t>
      </w:r>
      <w:r w:rsidRPr="00D82AA0">
        <w:rPr>
          <w:szCs w:val="22"/>
          <w:lang w:val="en-US"/>
        </w:rPr>
        <w:t xml:space="preserve"> in the Transnistria </w:t>
      </w:r>
      <w:r w:rsidR="00B67689">
        <w:rPr>
          <w:szCs w:val="22"/>
          <w:lang w:val="en-US"/>
        </w:rPr>
        <w:t>region</w:t>
      </w:r>
      <w:r w:rsidRPr="00D82AA0">
        <w:rPr>
          <w:szCs w:val="22"/>
          <w:lang w:val="en-US"/>
        </w:rPr>
        <w:t xml:space="preserve"> in Moldova?</w:t>
      </w:r>
    </w:p>
    <w:p w14:paraId="7784CE53" w14:textId="31BF7299" w:rsidR="00261D46" w:rsidRPr="00EE1AE7" w:rsidRDefault="00261D46" w:rsidP="00A865EB">
      <w:pPr>
        <w:rPr>
          <w:i/>
          <w:szCs w:val="22"/>
          <w:lang w:val="en-US"/>
        </w:rPr>
      </w:pPr>
      <w:r w:rsidRPr="008E13AE">
        <w:rPr>
          <w:i/>
          <w:noProof/>
          <w:szCs w:val="22"/>
          <w:lang w:val="en-US"/>
        </w:rPr>
        <w:t>Sub</w:t>
      </w:r>
      <w:r w:rsidR="008E13AE">
        <w:rPr>
          <w:i/>
          <w:noProof/>
          <w:szCs w:val="22"/>
          <w:lang w:val="en-US"/>
        </w:rPr>
        <w:t>-</w:t>
      </w:r>
      <w:r w:rsidRPr="008E13AE">
        <w:rPr>
          <w:i/>
          <w:noProof/>
          <w:szCs w:val="22"/>
          <w:lang w:val="en-US"/>
        </w:rPr>
        <w:t>questions</w:t>
      </w:r>
      <w:r w:rsidRPr="00EE1AE7">
        <w:rPr>
          <w:i/>
          <w:szCs w:val="22"/>
          <w:lang w:val="en-US"/>
        </w:rPr>
        <w:t>:</w:t>
      </w:r>
    </w:p>
    <w:p w14:paraId="1CD1EDFB" w14:textId="77777777" w:rsidR="00CD7952" w:rsidRPr="00D82AA0" w:rsidRDefault="00CD7952" w:rsidP="00A865EB">
      <w:pPr>
        <w:pStyle w:val="Lijstalinea"/>
        <w:numPr>
          <w:ilvl w:val="0"/>
          <w:numId w:val="2"/>
        </w:numPr>
        <w:rPr>
          <w:szCs w:val="22"/>
          <w:lang w:val="en-US"/>
        </w:rPr>
      </w:pPr>
      <w:r w:rsidRPr="00D82AA0">
        <w:rPr>
          <w:szCs w:val="22"/>
          <w:lang w:val="en-US"/>
        </w:rPr>
        <w:t>How did the Transnistria Region originate and what is the current state of affairs?</w:t>
      </w:r>
    </w:p>
    <w:p w14:paraId="3CA37B45" w14:textId="77777777" w:rsidR="00CD7952" w:rsidRPr="00D82AA0" w:rsidRDefault="00CD7952" w:rsidP="00A865EB">
      <w:pPr>
        <w:pStyle w:val="Lijstalinea"/>
        <w:numPr>
          <w:ilvl w:val="0"/>
          <w:numId w:val="2"/>
        </w:numPr>
        <w:rPr>
          <w:szCs w:val="22"/>
          <w:lang w:val="en-US"/>
        </w:rPr>
      </w:pPr>
      <w:r w:rsidRPr="00D82AA0">
        <w:rPr>
          <w:szCs w:val="22"/>
          <w:lang w:val="en-US"/>
        </w:rPr>
        <w:t xml:space="preserve">In what ways does the EU involve geopolitics in cooperating with Moldova regarding Transnistria?  </w:t>
      </w:r>
    </w:p>
    <w:p w14:paraId="66BCCBAC" w14:textId="764D4766" w:rsidR="00CD7952" w:rsidRPr="00D82AA0" w:rsidRDefault="00CD7952" w:rsidP="00A865EB">
      <w:pPr>
        <w:pStyle w:val="Lijstalinea"/>
        <w:numPr>
          <w:ilvl w:val="1"/>
          <w:numId w:val="2"/>
        </w:numPr>
        <w:rPr>
          <w:szCs w:val="22"/>
          <w:lang w:val="en-US"/>
        </w:rPr>
      </w:pPr>
      <w:r w:rsidRPr="00D82AA0">
        <w:rPr>
          <w:szCs w:val="22"/>
          <w:lang w:val="en-US"/>
        </w:rPr>
        <w:t>What is the European Neighborhood Policy</w:t>
      </w:r>
      <w:r w:rsidR="004F18E2" w:rsidRPr="00D82AA0">
        <w:rPr>
          <w:szCs w:val="22"/>
          <w:lang w:val="en-US"/>
        </w:rPr>
        <w:t xml:space="preserve"> and what is the Eastern Partnership</w:t>
      </w:r>
      <w:r w:rsidRPr="00D82AA0">
        <w:rPr>
          <w:szCs w:val="22"/>
          <w:lang w:val="en-US"/>
        </w:rPr>
        <w:t>?</w:t>
      </w:r>
    </w:p>
    <w:p w14:paraId="73DE7BDE" w14:textId="599BADF7" w:rsidR="00CD7952" w:rsidRDefault="00CD7952" w:rsidP="00A865EB">
      <w:pPr>
        <w:pStyle w:val="Lijstalinea"/>
        <w:numPr>
          <w:ilvl w:val="0"/>
          <w:numId w:val="2"/>
        </w:numPr>
        <w:rPr>
          <w:szCs w:val="22"/>
          <w:lang w:val="en-US"/>
        </w:rPr>
      </w:pPr>
      <w:r w:rsidRPr="00D82AA0">
        <w:rPr>
          <w:szCs w:val="22"/>
          <w:lang w:val="en-US"/>
        </w:rPr>
        <w:t xml:space="preserve">What are the different EU-Moldova Partnership </w:t>
      </w:r>
      <w:r w:rsidR="000A6C54" w:rsidRPr="00D82AA0">
        <w:rPr>
          <w:szCs w:val="22"/>
          <w:lang w:val="en-US"/>
        </w:rPr>
        <w:t>programs</w:t>
      </w:r>
      <w:r w:rsidRPr="00D82AA0">
        <w:rPr>
          <w:szCs w:val="22"/>
          <w:lang w:val="en-US"/>
        </w:rPr>
        <w:t xml:space="preserve"> and how do they i</w:t>
      </w:r>
      <w:r w:rsidR="00A21113">
        <w:rPr>
          <w:szCs w:val="22"/>
          <w:lang w:val="en-US"/>
        </w:rPr>
        <w:t>nfluence the Transnistria region</w:t>
      </w:r>
      <w:r w:rsidRPr="00D82AA0">
        <w:rPr>
          <w:szCs w:val="22"/>
          <w:lang w:val="en-US"/>
        </w:rPr>
        <w:t xml:space="preserve">? </w:t>
      </w:r>
    </w:p>
    <w:p w14:paraId="446DC6FB" w14:textId="7A00C4A8" w:rsidR="00E51869" w:rsidRPr="00D82AA0" w:rsidRDefault="00E51869" w:rsidP="00E51869">
      <w:pPr>
        <w:pStyle w:val="Lijstalinea"/>
        <w:numPr>
          <w:ilvl w:val="1"/>
          <w:numId w:val="2"/>
        </w:numPr>
        <w:rPr>
          <w:szCs w:val="22"/>
          <w:lang w:val="en-US"/>
        </w:rPr>
      </w:pPr>
      <w:r>
        <w:rPr>
          <w:szCs w:val="22"/>
          <w:lang w:val="en-US"/>
        </w:rPr>
        <w:t>What role does Russia play in these partnerships</w:t>
      </w:r>
      <w:r w:rsidR="00EE1AE7">
        <w:rPr>
          <w:szCs w:val="22"/>
          <w:lang w:val="en-US"/>
        </w:rPr>
        <w:t>?</w:t>
      </w:r>
    </w:p>
    <w:p w14:paraId="58864475" w14:textId="65EFA30A" w:rsidR="00CD7952" w:rsidRPr="00D82AA0" w:rsidRDefault="003E20A4" w:rsidP="00A865EB">
      <w:pPr>
        <w:pStyle w:val="Lijstalinea"/>
        <w:numPr>
          <w:ilvl w:val="0"/>
          <w:numId w:val="2"/>
        </w:numPr>
        <w:rPr>
          <w:szCs w:val="22"/>
          <w:lang w:val="en-US"/>
        </w:rPr>
      </w:pPr>
      <w:r w:rsidRPr="00D82AA0">
        <w:rPr>
          <w:szCs w:val="22"/>
          <w:lang w:val="en-US"/>
        </w:rPr>
        <w:t>How do</w:t>
      </w:r>
      <w:r w:rsidR="00CD7952" w:rsidRPr="00D82AA0">
        <w:rPr>
          <w:szCs w:val="22"/>
          <w:lang w:val="en-US"/>
        </w:rPr>
        <w:t xml:space="preserve"> Post-Colonialism</w:t>
      </w:r>
      <w:r w:rsidRPr="00D82AA0">
        <w:rPr>
          <w:szCs w:val="22"/>
          <w:lang w:val="en-US"/>
        </w:rPr>
        <w:t xml:space="preserve"> and Neo-imperialism</w:t>
      </w:r>
      <w:r w:rsidR="00CD7952" w:rsidRPr="00D82AA0">
        <w:rPr>
          <w:szCs w:val="22"/>
          <w:lang w:val="en-US"/>
        </w:rPr>
        <w:t xml:space="preserve"> fit in </w:t>
      </w:r>
      <w:r w:rsidR="00CD7952" w:rsidRPr="008E13AE">
        <w:rPr>
          <w:noProof/>
          <w:szCs w:val="22"/>
          <w:lang w:val="en-US"/>
        </w:rPr>
        <w:t>these geopolitics</w:t>
      </w:r>
      <w:r w:rsidR="00CD7952" w:rsidRPr="00D82AA0">
        <w:rPr>
          <w:szCs w:val="22"/>
          <w:lang w:val="en-US"/>
        </w:rPr>
        <w:t xml:space="preserve">? </w:t>
      </w:r>
    </w:p>
    <w:p w14:paraId="36465D69" w14:textId="7145D07F" w:rsidR="00261D46" w:rsidRDefault="00CD7952" w:rsidP="00A865EB">
      <w:pPr>
        <w:pStyle w:val="Kop2"/>
        <w:numPr>
          <w:ilvl w:val="1"/>
          <w:numId w:val="1"/>
        </w:numPr>
        <w:spacing w:line="360" w:lineRule="auto"/>
        <w:rPr>
          <w:lang w:val="en-US"/>
        </w:rPr>
      </w:pPr>
      <w:bookmarkStart w:id="17" w:name="_Toc517985336"/>
      <w:r w:rsidRPr="00D82AA0">
        <w:rPr>
          <w:lang w:val="en-US"/>
        </w:rPr>
        <w:lastRenderedPageBreak/>
        <w:t>Relevance</w:t>
      </w:r>
      <w:bookmarkEnd w:id="17"/>
    </w:p>
    <w:p w14:paraId="59AAAD24" w14:textId="2EF5EC47" w:rsidR="00EE1AE7" w:rsidRDefault="00EE1AE7" w:rsidP="00EE1AE7">
      <w:pPr>
        <w:rPr>
          <w:lang w:val="en-US"/>
        </w:rPr>
      </w:pPr>
      <w:r>
        <w:rPr>
          <w:lang w:val="en-US"/>
        </w:rPr>
        <w:t xml:space="preserve">Transnistria is still a rather unknown case in western Europe. Although there has been some research by scholars on the topic, and also some earlier theses on this university regarding Transnistria, not a lot of people in the western world know about this de facto country. Or any de facto country for that matter. </w:t>
      </w:r>
      <w:r w:rsidR="0038263A">
        <w:rPr>
          <w:lang w:val="en-US"/>
        </w:rPr>
        <w:t xml:space="preserve">The practical relevance of this research can be found here. To create a bigger understanding of the frozen conflicts in Eastern Europe in general and Transnistria specifically. Also, the European policies regarding its eastern neighbouring countries </w:t>
      </w:r>
      <w:r w:rsidR="0038263A" w:rsidRPr="008E13AE">
        <w:rPr>
          <w:noProof/>
          <w:lang w:val="en-US"/>
        </w:rPr>
        <w:t>keep</w:t>
      </w:r>
      <w:r w:rsidR="0038263A">
        <w:rPr>
          <w:lang w:val="en-US"/>
        </w:rPr>
        <w:t xml:space="preserve"> on renewing, which has as a consequence that research on the topic keeps renewing.</w:t>
      </w:r>
    </w:p>
    <w:p w14:paraId="1E5C9B0A" w14:textId="3BF42FEF" w:rsidR="00EE1AE7" w:rsidRDefault="0038263A" w:rsidP="00EE1AE7">
      <w:pPr>
        <w:rPr>
          <w:lang w:val="en-US"/>
        </w:rPr>
      </w:pPr>
      <w:r>
        <w:rPr>
          <w:lang w:val="en-US"/>
        </w:rPr>
        <w:t>Besides, b</w:t>
      </w:r>
      <w:r w:rsidR="00EE1AE7">
        <w:rPr>
          <w:lang w:val="en-US"/>
        </w:rPr>
        <w:t>order research keeps renewing, especially over the last decades. That is why new knowledge on the topic is always needed, as the subject keeps evolving.</w:t>
      </w:r>
      <w:r>
        <w:rPr>
          <w:lang w:val="en-US"/>
        </w:rPr>
        <w:t xml:space="preserve"> For example, this thesis takes on post-Soviet post-colonialism for the analysis of the conflict from a Russian perspective. However, there is a lot of debate on whether post-Soviet post-colonialism should be part of </w:t>
      </w:r>
      <w:r w:rsidRPr="008E13AE">
        <w:rPr>
          <w:noProof/>
          <w:lang w:val="en-US"/>
        </w:rPr>
        <w:t>post-colonial</w:t>
      </w:r>
      <w:r>
        <w:rPr>
          <w:lang w:val="en-US"/>
        </w:rPr>
        <w:t xml:space="preserve"> discourse. But, with an ever-growing and widening definition of </w:t>
      </w:r>
      <w:r w:rsidRPr="008E13AE">
        <w:rPr>
          <w:noProof/>
          <w:lang w:val="en-US"/>
        </w:rPr>
        <w:t>post-colonialism</w:t>
      </w:r>
      <w:r w:rsidR="008E13AE">
        <w:rPr>
          <w:noProof/>
          <w:lang w:val="en-US"/>
        </w:rPr>
        <w:t>,</w:t>
      </w:r>
      <w:r>
        <w:rPr>
          <w:lang w:val="en-US"/>
        </w:rPr>
        <w:t xml:space="preserve"> it is argued here, with respect to an article by Moore (2001), that it can be part of the post-colonial map. </w:t>
      </w:r>
    </w:p>
    <w:p w14:paraId="49BCA602" w14:textId="5992141A" w:rsidR="0038263A" w:rsidRPr="00EE1AE7" w:rsidRDefault="0038263A" w:rsidP="00EE1AE7">
      <w:pPr>
        <w:rPr>
          <w:lang w:val="en-US"/>
        </w:rPr>
      </w:pPr>
      <w:r>
        <w:rPr>
          <w:lang w:val="en-US"/>
        </w:rPr>
        <w:t xml:space="preserve">Theoretically, the relevance of this thesis can be found in its contribution to the knowledge on the EU as a geopolitical actor. By focusing on the ENP and the Eastern Partnership as geopolitical documents and by looking at Transnistria from a neo-imperial point of view, it aims to expand the knowledge on European geopolitics and border policies. </w:t>
      </w:r>
    </w:p>
    <w:p w14:paraId="010785AD" w14:textId="3B199491" w:rsidR="00CD7952" w:rsidRPr="00D82AA0" w:rsidRDefault="00CD7952" w:rsidP="00A865EB">
      <w:pPr>
        <w:pStyle w:val="Kop2"/>
        <w:numPr>
          <w:ilvl w:val="1"/>
          <w:numId w:val="1"/>
        </w:numPr>
        <w:spacing w:line="360" w:lineRule="auto"/>
        <w:rPr>
          <w:lang w:val="en-US"/>
        </w:rPr>
      </w:pPr>
      <w:bookmarkStart w:id="18" w:name="_Toc517985337"/>
      <w:r w:rsidRPr="00D82AA0">
        <w:rPr>
          <w:lang w:val="en-US"/>
        </w:rPr>
        <w:t>Thesis Outline</w:t>
      </w:r>
      <w:bookmarkEnd w:id="18"/>
    </w:p>
    <w:p w14:paraId="5F65537E" w14:textId="0229A7E5" w:rsidR="00CD7952" w:rsidRDefault="0038263A" w:rsidP="00A865EB">
      <w:pPr>
        <w:rPr>
          <w:lang w:val="en-US"/>
        </w:rPr>
      </w:pPr>
      <w:r>
        <w:rPr>
          <w:lang w:val="en-US"/>
        </w:rPr>
        <w:t xml:space="preserve">In the next chapter, an overview will be given of the theoretical elements relevant to this research. </w:t>
      </w:r>
      <w:r w:rsidR="00EA204E">
        <w:rPr>
          <w:lang w:val="en-US"/>
        </w:rPr>
        <w:t xml:space="preserve">To start </w:t>
      </w:r>
      <w:r w:rsidR="00EA204E" w:rsidRPr="008E13AE">
        <w:rPr>
          <w:noProof/>
          <w:lang w:val="en-US"/>
        </w:rPr>
        <w:t>o</w:t>
      </w:r>
      <w:r w:rsidR="008E13AE">
        <w:rPr>
          <w:noProof/>
          <w:lang w:val="en-US"/>
        </w:rPr>
        <w:t>f</w:t>
      </w:r>
      <w:r w:rsidR="00EA204E" w:rsidRPr="008E13AE">
        <w:rPr>
          <w:noProof/>
          <w:lang w:val="en-US"/>
        </w:rPr>
        <w:t>f</w:t>
      </w:r>
      <w:r w:rsidR="00EA204E">
        <w:rPr>
          <w:lang w:val="en-US"/>
        </w:rPr>
        <w:t xml:space="preserve"> broadly, different kinds of border research will be shortly discussed. Then, border policies and geopolitics, post-colonialism and neo-imperialism will be discussed. </w:t>
      </w:r>
      <w:r w:rsidR="00EA204E" w:rsidRPr="008E13AE">
        <w:rPr>
          <w:noProof/>
          <w:lang w:val="en-US"/>
        </w:rPr>
        <w:t>In</w:t>
      </w:r>
      <w:r w:rsidR="008E13AE">
        <w:rPr>
          <w:noProof/>
          <w:lang w:val="en-US"/>
        </w:rPr>
        <w:t xml:space="preserve"> </w:t>
      </w:r>
      <w:r w:rsidR="00EA204E" w:rsidRPr="008E13AE">
        <w:rPr>
          <w:noProof/>
          <w:lang w:val="en-US"/>
        </w:rPr>
        <w:t>between</w:t>
      </w:r>
      <w:r w:rsidR="00EA204E">
        <w:rPr>
          <w:lang w:val="en-US"/>
        </w:rPr>
        <w:t xml:space="preserve">, the framework of the research will become more clear by focusing on the ENP, the Eastern Partnership and the current state of Transnistria. </w:t>
      </w:r>
    </w:p>
    <w:p w14:paraId="03964E1C" w14:textId="23B55C82" w:rsidR="00EA204E" w:rsidRDefault="00EA204E" w:rsidP="00A865EB">
      <w:pPr>
        <w:rPr>
          <w:lang w:val="en-US"/>
        </w:rPr>
      </w:pPr>
      <w:r>
        <w:rPr>
          <w:lang w:val="en-US"/>
        </w:rPr>
        <w:t xml:space="preserve">The third chapter will discuss the methodology used to execute the research. After this, in chapter four, a broad description of the history of Transnistria and Moldova will be given, before analyzing the armed conflict and the progress afterwards in coming to a solution for the conflict. </w:t>
      </w:r>
    </w:p>
    <w:p w14:paraId="7FAAB6DF" w14:textId="1B6FEB40" w:rsidR="00EA204E" w:rsidRDefault="00EA204E" w:rsidP="00A865EB">
      <w:pPr>
        <w:rPr>
          <w:lang w:val="en-US"/>
        </w:rPr>
      </w:pPr>
      <w:r>
        <w:rPr>
          <w:lang w:val="en-US"/>
        </w:rPr>
        <w:lastRenderedPageBreak/>
        <w:t xml:space="preserve">After that, in chapter five, the real analysis will start. Bilateral documents of the ENP and joint declarations of the Eastern </w:t>
      </w:r>
      <w:r w:rsidRPr="008E13AE">
        <w:rPr>
          <w:noProof/>
          <w:lang w:val="en-US"/>
        </w:rPr>
        <w:t>Partnership,</w:t>
      </w:r>
      <w:r>
        <w:rPr>
          <w:lang w:val="en-US"/>
        </w:rPr>
        <w:t xml:space="preserve"> </w:t>
      </w:r>
      <w:r w:rsidR="008E13AE">
        <w:rPr>
          <w:lang w:val="en-US"/>
        </w:rPr>
        <w:t>complemented</w:t>
      </w:r>
      <w:r>
        <w:rPr>
          <w:lang w:val="en-US"/>
        </w:rPr>
        <w:t xml:space="preserve"> with some less official planning documents will be analyzed to discover the geopolitics in these policies and to understand the European influence in the conflict. Here, also an analysis of the Russian influence in the Transnistrian conflict will start. </w:t>
      </w:r>
    </w:p>
    <w:p w14:paraId="55A2FD4F" w14:textId="6F0EEDA8" w:rsidR="00EA204E" w:rsidRPr="00D82AA0" w:rsidRDefault="00EA204E" w:rsidP="00A865EB">
      <w:pPr>
        <w:rPr>
          <w:lang w:val="en-US"/>
        </w:rPr>
      </w:pPr>
      <w:r>
        <w:rPr>
          <w:lang w:val="en-US"/>
        </w:rPr>
        <w:t xml:space="preserve">This Russian influence will be further analyzed in chapter six, where the Transnistrian conflict will be looked at from a Russian post-colonial point of view and a European neo-imperialistic point of view. This will be followed by some concluding remarks in chapter seven. </w:t>
      </w:r>
    </w:p>
    <w:p w14:paraId="4CF07A83" w14:textId="77777777" w:rsidR="00CD7952" w:rsidRPr="00D82AA0" w:rsidRDefault="00CD7952" w:rsidP="00A865EB">
      <w:pPr>
        <w:rPr>
          <w:lang w:val="en-US"/>
        </w:rPr>
      </w:pPr>
      <w:r w:rsidRPr="00D82AA0">
        <w:rPr>
          <w:lang w:val="en-US"/>
        </w:rPr>
        <w:br w:type="page"/>
      </w:r>
    </w:p>
    <w:p w14:paraId="2D2CCB4D" w14:textId="23C18B35" w:rsidR="00CD7952" w:rsidRPr="00D82AA0" w:rsidRDefault="00CD7952" w:rsidP="00A865EB">
      <w:pPr>
        <w:pStyle w:val="Kop1"/>
        <w:numPr>
          <w:ilvl w:val="0"/>
          <w:numId w:val="1"/>
        </w:numPr>
        <w:spacing w:line="360" w:lineRule="auto"/>
        <w:rPr>
          <w:lang w:val="en-US"/>
        </w:rPr>
      </w:pPr>
      <w:bookmarkStart w:id="19" w:name="_Toc517985338"/>
      <w:r w:rsidRPr="00D82AA0">
        <w:rPr>
          <w:lang w:val="en-US"/>
        </w:rPr>
        <w:lastRenderedPageBreak/>
        <w:t>Theoretical Framework</w:t>
      </w:r>
      <w:bookmarkEnd w:id="19"/>
    </w:p>
    <w:p w14:paraId="53062348" w14:textId="4D895DCD" w:rsidR="00952D3F" w:rsidRPr="00D82AA0" w:rsidRDefault="00A6571D" w:rsidP="004F18E2">
      <w:pPr>
        <w:pStyle w:val="Kop2"/>
        <w:numPr>
          <w:ilvl w:val="1"/>
          <w:numId w:val="1"/>
        </w:numPr>
        <w:rPr>
          <w:lang w:val="en-US"/>
        </w:rPr>
      </w:pPr>
      <w:bookmarkStart w:id="20" w:name="_Toc517985339"/>
      <w:r w:rsidRPr="00D82AA0">
        <w:rPr>
          <w:lang w:val="en-US"/>
        </w:rPr>
        <w:t>Introduction</w:t>
      </w:r>
      <w:bookmarkEnd w:id="20"/>
    </w:p>
    <w:p w14:paraId="50B7224B" w14:textId="7E796DC2" w:rsidR="006222F2" w:rsidRPr="00D82AA0" w:rsidRDefault="00A8105A" w:rsidP="009C4B4A">
      <w:pPr>
        <w:rPr>
          <w:lang w:val="en-US"/>
        </w:rPr>
      </w:pPr>
      <w:r w:rsidRPr="00D82AA0">
        <w:rPr>
          <w:lang w:val="en-US"/>
        </w:rPr>
        <w:t xml:space="preserve">To get a clear image of what is going on in Transnistria, it is critical to understand the framework in which things are happening. </w:t>
      </w:r>
      <w:r w:rsidR="006222F2" w:rsidRPr="00D82AA0">
        <w:rPr>
          <w:lang w:val="en-US"/>
        </w:rPr>
        <w:t xml:space="preserve">Besides that, there are some concepts that need clarification before the substantive part of the research. That is why, in this chapter, the concepts ‘border research’, ‘border </w:t>
      </w:r>
      <w:r w:rsidR="00BA3E16" w:rsidRPr="00D82AA0">
        <w:rPr>
          <w:lang w:val="en-US"/>
        </w:rPr>
        <w:t>policies</w:t>
      </w:r>
      <w:r w:rsidR="006222F2" w:rsidRPr="00D82AA0">
        <w:rPr>
          <w:lang w:val="en-US"/>
        </w:rPr>
        <w:t xml:space="preserve"> and geopolitics’, ‘European Neighbourhood Policy and Eastern Partnership’, ‘</w:t>
      </w:r>
      <w:r w:rsidR="006222F2" w:rsidRPr="008E13AE">
        <w:rPr>
          <w:noProof/>
          <w:lang w:val="en-US"/>
        </w:rPr>
        <w:t>postcolonialism</w:t>
      </w:r>
      <w:r w:rsidR="003E20A4" w:rsidRPr="00D82AA0">
        <w:rPr>
          <w:lang w:val="en-US"/>
        </w:rPr>
        <w:t xml:space="preserve"> and neo-imperialism</w:t>
      </w:r>
      <w:r w:rsidR="006222F2" w:rsidRPr="00D82AA0">
        <w:rPr>
          <w:lang w:val="en-US"/>
        </w:rPr>
        <w:t>’, and ‘the current state of Transnistria</w:t>
      </w:r>
      <w:r w:rsidR="008602F4" w:rsidRPr="00D82AA0">
        <w:rPr>
          <w:lang w:val="en-US"/>
        </w:rPr>
        <w:t xml:space="preserve"> and de facto states</w:t>
      </w:r>
      <w:r w:rsidR="006222F2" w:rsidRPr="00D82AA0">
        <w:rPr>
          <w:lang w:val="en-US"/>
        </w:rPr>
        <w:t xml:space="preserve">’ will be explained by reviewing existing literature. </w:t>
      </w:r>
      <w:r w:rsidR="00B60022" w:rsidRPr="00D82AA0">
        <w:rPr>
          <w:lang w:val="en-US"/>
        </w:rPr>
        <w:t>This chapter will start broadly with looking at border research in general and work increasingly more specific towards the case of Transnistria.</w:t>
      </w:r>
    </w:p>
    <w:p w14:paraId="3F4B722B" w14:textId="2AD3C580" w:rsidR="00A6571D" w:rsidRPr="00D82AA0" w:rsidRDefault="00A6571D" w:rsidP="004F18E2">
      <w:pPr>
        <w:pStyle w:val="Kop2"/>
        <w:numPr>
          <w:ilvl w:val="1"/>
          <w:numId w:val="1"/>
        </w:numPr>
        <w:rPr>
          <w:lang w:val="en-US"/>
        </w:rPr>
      </w:pPr>
      <w:bookmarkStart w:id="21" w:name="_Toc517985340"/>
      <w:r w:rsidRPr="00D82AA0">
        <w:rPr>
          <w:lang w:val="en-US"/>
        </w:rPr>
        <w:t>Border research</w:t>
      </w:r>
      <w:bookmarkEnd w:id="21"/>
    </w:p>
    <w:p w14:paraId="5B17DDEC" w14:textId="4184FED5" w:rsidR="003E5154" w:rsidRPr="00D82AA0" w:rsidRDefault="003E5154" w:rsidP="00A6571D">
      <w:pPr>
        <w:rPr>
          <w:lang w:val="en-US"/>
        </w:rPr>
      </w:pPr>
      <w:r w:rsidRPr="00D82AA0">
        <w:rPr>
          <w:lang w:val="en-US"/>
        </w:rPr>
        <w:t>Border research has been getting a lot of attention over the last decades. It is a very broad subject with lots of different angles to study borders from. One of the best examples of this is here at the Radboud University. The Nijmegen Centre for Border Research</w:t>
      </w:r>
      <w:r w:rsidR="00FD3A69" w:rsidRPr="00D82AA0">
        <w:rPr>
          <w:lang w:val="en-US"/>
        </w:rPr>
        <w:t xml:space="preserve"> (NCBR, n.d.)</w:t>
      </w:r>
      <w:r w:rsidRPr="00D82AA0">
        <w:rPr>
          <w:lang w:val="en-US"/>
        </w:rPr>
        <w:t xml:space="preserve"> exists twenty years</w:t>
      </w:r>
      <w:r w:rsidR="00FD3A69" w:rsidRPr="00D82AA0">
        <w:rPr>
          <w:lang w:val="en-US"/>
        </w:rPr>
        <w:t xml:space="preserve"> and it has become “an internationally recognised expertise centre on borders, migration, cross-border cooperation and post-colonialism.” </w:t>
      </w:r>
      <w:r w:rsidRPr="00D82AA0">
        <w:rPr>
          <w:lang w:val="en-US"/>
        </w:rPr>
        <w:t xml:space="preserve">In this paragraph, </w:t>
      </w:r>
      <w:r w:rsidR="00FD3A69" w:rsidRPr="00D82AA0">
        <w:rPr>
          <w:lang w:val="en-US"/>
        </w:rPr>
        <w:t>some</w:t>
      </w:r>
      <w:r w:rsidRPr="00D82AA0">
        <w:rPr>
          <w:lang w:val="en-US"/>
        </w:rPr>
        <w:t xml:space="preserve"> different sorts of border research will be discussed, t</w:t>
      </w:r>
      <w:r w:rsidR="00FD3A69" w:rsidRPr="00D82AA0">
        <w:rPr>
          <w:lang w:val="en-US"/>
        </w:rPr>
        <w:t>o understand where this thesis</w:t>
      </w:r>
      <w:r w:rsidRPr="00D82AA0">
        <w:rPr>
          <w:lang w:val="en-US"/>
        </w:rPr>
        <w:t xml:space="preserve"> fits in. </w:t>
      </w:r>
      <w:r w:rsidR="003257D9" w:rsidRPr="00D82AA0">
        <w:rPr>
          <w:lang w:val="en-US"/>
        </w:rPr>
        <w:t xml:space="preserve">These forms of border research are Europeanization, nationalism, bordering, and perception of borders. Because of the importance of border </w:t>
      </w:r>
      <w:r w:rsidR="00BA3E16" w:rsidRPr="00D82AA0">
        <w:rPr>
          <w:lang w:val="en-US"/>
        </w:rPr>
        <w:t>policies</w:t>
      </w:r>
      <w:r w:rsidR="008602F4" w:rsidRPr="00D82AA0">
        <w:rPr>
          <w:lang w:val="en-US"/>
        </w:rPr>
        <w:t xml:space="preserve">, geopolitics, </w:t>
      </w:r>
      <w:r w:rsidR="003257D9" w:rsidRPr="00D82AA0">
        <w:rPr>
          <w:lang w:val="en-US"/>
        </w:rPr>
        <w:t>post-colonialism</w:t>
      </w:r>
      <w:r w:rsidR="003E20A4" w:rsidRPr="00D82AA0">
        <w:rPr>
          <w:lang w:val="en-US"/>
        </w:rPr>
        <w:t xml:space="preserve"> &amp; neo-imperialism</w:t>
      </w:r>
      <w:r w:rsidR="008602F4" w:rsidRPr="00D82AA0">
        <w:rPr>
          <w:lang w:val="en-US"/>
        </w:rPr>
        <w:t>, and de facto states</w:t>
      </w:r>
      <w:r w:rsidR="003257D9" w:rsidRPr="00D82AA0">
        <w:rPr>
          <w:lang w:val="en-US"/>
        </w:rPr>
        <w:t xml:space="preserve">, these concepts will be discussed in separate paragraphs.  </w:t>
      </w:r>
    </w:p>
    <w:p w14:paraId="7986424E" w14:textId="06631D63" w:rsidR="002145C9" w:rsidRPr="00D82AA0" w:rsidRDefault="002145C9" w:rsidP="00070AF7">
      <w:pPr>
        <w:pStyle w:val="Kop4"/>
        <w:numPr>
          <w:ilvl w:val="2"/>
          <w:numId w:val="1"/>
        </w:numPr>
        <w:rPr>
          <w:lang w:val="en-US"/>
        </w:rPr>
      </w:pPr>
      <w:r w:rsidRPr="00D82AA0">
        <w:rPr>
          <w:lang w:val="en-US"/>
        </w:rPr>
        <w:t>Europeanization</w:t>
      </w:r>
    </w:p>
    <w:p w14:paraId="485B6548" w14:textId="2BC9F6E3" w:rsidR="003257D9" w:rsidRPr="00D82AA0" w:rsidRDefault="003257D9" w:rsidP="00A6571D">
      <w:pPr>
        <w:rPr>
          <w:lang w:val="en-US"/>
        </w:rPr>
      </w:pPr>
      <w:r w:rsidRPr="00D82AA0">
        <w:rPr>
          <w:lang w:val="en-US"/>
        </w:rPr>
        <w:t xml:space="preserve">To begin this paragraph, we will start with Europeanization. </w:t>
      </w:r>
      <w:r w:rsidR="00E47C9F" w:rsidRPr="00D82AA0">
        <w:rPr>
          <w:lang w:val="en-US"/>
        </w:rPr>
        <w:t xml:space="preserve">Ladrech (1994) provided a starting point by defining Europeanization as “an incremental process reorienting the direction and shape of politics to the degree that EC (European Community) political and economic dynamics become part of the organizational logic of national logic of national politics and policy-making.” From </w:t>
      </w:r>
      <w:r w:rsidR="00E47C9F" w:rsidRPr="008E13AE">
        <w:rPr>
          <w:noProof/>
          <w:lang w:val="en-US"/>
        </w:rPr>
        <w:t>this</w:t>
      </w:r>
      <w:r w:rsidR="008E13AE">
        <w:rPr>
          <w:noProof/>
          <w:lang w:val="en-US"/>
        </w:rPr>
        <w:t>,</w:t>
      </w:r>
      <w:r w:rsidR="00E47C9F" w:rsidRPr="00D82AA0">
        <w:rPr>
          <w:lang w:val="en-US"/>
        </w:rPr>
        <w:t xml:space="preserve"> we can derive that Europeanization means that </w:t>
      </w:r>
      <w:r w:rsidR="00EF7D87" w:rsidRPr="00D82AA0">
        <w:rPr>
          <w:lang w:val="en-US"/>
        </w:rPr>
        <w:t xml:space="preserve">European decisions become a vital part of national policy. Bulmer and Burch (1998) </w:t>
      </w:r>
      <w:r w:rsidR="00B85FDE" w:rsidRPr="00D82AA0">
        <w:rPr>
          <w:lang w:val="en-US"/>
        </w:rPr>
        <w:t>appoint</w:t>
      </w:r>
      <w:r w:rsidR="00FC564D" w:rsidRPr="00D82AA0">
        <w:rPr>
          <w:lang w:val="en-US"/>
        </w:rPr>
        <w:t xml:space="preserve"> the </w:t>
      </w:r>
      <w:r w:rsidR="00FC564D" w:rsidRPr="008E13AE">
        <w:rPr>
          <w:noProof/>
          <w:lang w:val="en-US"/>
        </w:rPr>
        <w:t>intra</w:t>
      </w:r>
      <w:r w:rsidR="00FC564D" w:rsidRPr="00D82AA0">
        <w:rPr>
          <w:lang w:val="en-US"/>
        </w:rPr>
        <w:t>- and inter-state of Europeanization:</w:t>
      </w:r>
    </w:p>
    <w:p w14:paraId="32ED78AA" w14:textId="649A9C2D" w:rsidR="00BF01C5" w:rsidRPr="00D82AA0" w:rsidRDefault="00FC564D" w:rsidP="00A6571D">
      <w:pPr>
        <w:rPr>
          <w:lang w:val="en-US"/>
        </w:rPr>
      </w:pPr>
      <w:r w:rsidRPr="00D82AA0">
        <w:rPr>
          <w:lang w:val="en-US"/>
        </w:rPr>
        <w:lastRenderedPageBreak/>
        <w:tab/>
        <w:t xml:space="preserve">“In its </w:t>
      </w:r>
      <w:r w:rsidRPr="00D82AA0">
        <w:rPr>
          <w:i/>
          <w:lang w:val="en-US"/>
        </w:rPr>
        <w:t>intra</w:t>
      </w:r>
      <w:r w:rsidRPr="00D82AA0">
        <w:rPr>
          <w:lang w:val="en-US"/>
        </w:rPr>
        <w:t xml:space="preserve">-state </w:t>
      </w:r>
      <w:r w:rsidRPr="008E13AE">
        <w:rPr>
          <w:noProof/>
          <w:lang w:val="en-US"/>
        </w:rPr>
        <w:t>variant</w:t>
      </w:r>
      <w:r w:rsidR="008E13AE">
        <w:rPr>
          <w:noProof/>
          <w:lang w:val="en-US"/>
        </w:rPr>
        <w:t>,</w:t>
      </w:r>
      <w:r w:rsidRPr="00D82AA0">
        <w:rPr>
          <w:lang w:val="en-US"/>
        </w:rPr>
        <w:t xml:space="preserve"> it refers to the impact of EU policies, rules, practices and values upon member state activities in respect of both the making and implementation of policy. First, it refers to the extent to which EC/</w:t>
      </w:r>
      <w:r w:rsidR="00B85FDE" w:rsidRPr="00D82AA0">
        <w:rPr>
          <w:lang w:val="en-US"/>
        </w:rPr>
        <w:t>EU</w:t>
      </w:r>
      <w:r w:rsidRPr="00D82AA0">
        <w:rPr>
          <w:lang w:val="en-US"/>
        </w:rPr>
        <w:t xml:space="preserve"> requirements and policies have affected the determination of member states’ policy agendas and goals. Secondly, it refers to the extent to which EU practices, operating procedures and administrative values have impinged on, and become embedded in, the administrative practices of member states</w:t>
      </w:r>
      <w:r w:rsidR="00B85FDE" w:rsidRPr="00D82AA0">
        <w:rPr>
          <w:lang w:val="en-US"/>
        </w:rPr>
        <w:t>.</w:t>
      </w:r>
      <w:r w:rsidRPr="00D82AA0">
        <w:rPr>
          <w:lang w:val="en-US"/>
        </w:rPr>
        <w:t xml:space="preserve"> …The </w:t>
      </w:r>
      <w:r w:rsidRPr="00D82AA0">
        <w:rPr>
          <w:i/>
          <w:lang w:val="en-US"/>
        </w:rPr>
        <w:t>inter</w:t>
      </w:r>
      <w:r w:rsidRPr="00D82AA0">
        <w:rPr>
          <w:lang w:val="en-US"/>
        </w:rPr>
        <w:t>-state process of Europeanization, by contrast, is concerned with the impact of the administrative practices and styles of individual member states upon each other and of the member states upon the EU.”</w:t>
      </w:r>
      <w:r w:rsidR="00B85FDE" w:rsidRPr="00D82AA0">
        <w:rPr>
          <w:lang w:val="en-US"/>
        </w:rPr>
        <w:t xml:space="preserve"> </w:t>
      </w:r>
    </w:p>
    <w:p w14:paraId="033B851D" w14:textId="0CD7192D" w:rsidR="00FC564D" w:rsidRPr="00D82AA0" w:rsidRDefault="00B85FDE" w:rsidP="00A6571D">
      <w:pPr>
        <w:rPr>
          <w:lang w:val="en-US"/>
        </w:rPr>
      </w:pPr>
      <w:r w:rsidRPr="00D82AA0">
        <w:rPr>
          <w:lang w:val="en-US"/>
        </w:rPr>
        <w:t xml:space="preserve">The focus in most Europeanization research is on the intra-state process, in which the influence of European institutions on its member states is key. </w:t>
      </w:r>
    </w:p>
    <w:p w14:paraId="2629E3A0" w14:textId="276182AA" w:rsidR="00B85FDE" w:rsidRPr="00D82AA0" w:rsidRDefault="00B85FDE" w:rsidP="00A6571D">
      <w:pPr>
        <w:rPr>
          <w:lang w:val="en-US"/>
        </w:rPr>
      </w:pPr>
      <w:r w:rsidRPr="00D82AA0">
        <w:rPr>
          <w:lang w:val="en-US"/>
        </w:rPr>
        <w:t xml:space="preserve">Scott &amp; Liikanen (2010) combine </w:t>
      </w:r>
      <w:r w:rsidR="005F0F20" w:rsidRPr="00D82AA0">
        <w:rPr>
          <w:lang w:val="en-US"/>
        </w:rPr>
        <w:t xml:space="preserve">the concept of Europeanization with Cross-Border Cooperation and the European Neighbourhood Policy. </w:t>
      </w:r>
      <w:r w:rsidR="001529B1" w:rsidRPr="00D82AA0">
        <w:rPr>
          <w:lang w:val="en-US"/>
        </w:rPr>
        <w:t xml:space="preserve">They state that “…the ENP is thus a means by which to maintain the momentum of Europeanization and promulgate the values of the EU without actually offering direct membership to third states.” </w:t>
      </w:r>
      <w:r w:rsidR="002145C9" w:rsidRPr="00D82AA0">
        <w:rPr>
          <w:lang w:val="en-US"/>
        </w:rPr>
        <w:t xml:space="preserve">The ENP is not the only policy through which the EU tries to cooperate with non-member states. Through all the policies they have with these countries, they extend their intra-state Europeanization. </w:t>
      </w:r>
    </w:p>
    <w:p w14:paraId="62DE776B" w14:textId="221BCBEE" w:rsidR="002145C9" w:rsidRPr="00D82AA0" w:rsidRDefault="002145C9" w:rsidP="00070AF7">
      <w:pPr>
        <w:pStyle w:val="Kop4"/>
        <w:numPr>
          <w:ilvl w:val="2"/>
          <w:numId w:val="1"/>
        </w:numPr>
        <w:rPr>
          <w:lang w:val="en-US"/>
        </w:rPr>
      </w:pPr>
      <w:r w:rsidRPr="00D82AA0">
        <w:rPr>
          <w:lang w:val="en-US"/>
        </w:rPr>
        <w:t>Nationalism</w:t>
      </w:r>
    </w:p>
    <w:p w14:paraId="3B0514B3" w14:textId="42A186D8" w:rsidR="00E035E9" w:rsidRPr="00D82AA0" w:rsidRDefault="00E035E9" w:rsidP="00A6571D">
      <w:pPr>
        <w:rPr>
          <w:lang w:val="en-US"/>
        </w:rPr>
      </w:pPr>
      <w:r w:rsidRPr="00D82AA0">
        <w:rPr>
          <w:lang w:val="en-US"/>
        </w:rPr>
        <w:t>To start off with nationalism, we take a look at the definitions of nationalism. A famous definition is that “nationalism is primarily a political principle, which holds that the political and the national unit should be congruent (Gellner, 1983</w:t>
      </w:r>
      <w:r w:rsidR="00050184" w:rsidRPr="00D82AA0">
        <w:rPr>
          <w:lang w:val="en-US"/>
        </w:rPr>
        <w:t>; Mylonas &amp; Kuo, 2018</w:t>
      </w:r>
      <w:r w:rsidRPr="00D82AA0">
        <w:rPr>
          <w:lang w:val="en-US"/>
        </w:rPr>
        <w:t>).”</w:t>
      </w:r>
      <w:r w:rsidR="00050184" w:rsidRPr="00D82AA0">
        <w:rPr>
          <w:lang w:val="en-US"/>
        </w:rPr>
        <w:t xml:space="preserve"> However, there are lots of different definitions, all with different approaches to nationalism. That is why a general definition was created by Greenfeld (1992): “Nationalism as an umbrella term covering national identity, national consciousness, and national ideologies.” The nation in these definitions is “a group of people that recognize each other as forming a national unit with a claim to national sovereignty (Mylonas &amp; Kuo, 2018).”</w:t>
      </w:r>
      <w:r w:rsidR="00F148F5" w:rsidRPr="00D82AA0">
        <w:rPr>
          <w:lang w:val="en-US"/>
        </w:rPr>
        <w:t xml:space="preserve"> </w:t>
      </w:r>
    </w:p>
    <w:p w14:paraId="49BED839" w14:textId="41121BA3" w:rsidR="00F148F5" w:rsidRPr="00D82AA0" w:rsidRDefault="00A17EF1" w:rsidP="00A6571D">
      <w:pPr>
        <w:rPr>
          <w:lang w:val="en-US"/>
        </w:rPr>
      </w:pPr>
      <w:r w:rsidRPr="00D82AA0">
        <w:rPr>
          <w:lang w:val="en-US"/>
        </w:rPr>
        <w:t xml:space="preserve">Along borders, nationalism is often an issue, since borders can create a boundary between a nation that does not naturally exist. On the other hand, borders can contribute to the growth of nationalism within a state, when the people in that state are able to create a shared identity. Cojacaru (2006) looked at nationalism in Transnistria. </w:t>
      </w:r>
      <w:r w:rsidR="00596600" w:rsidRPr="00D82AA0">
        <w:rPr>
          <w:lang w:val="en-US"/>
        </w:rPr>
        <w:t xml:space="preserve">She interviewed Transnistrians to see if they </w:t>
      </w:r>
      <w:r w:rsidR="00596600" w:rsidRPr="00D82AA0">
        <w:rPr>
          <w:lang w:val="en-US"/>
        </w:rPr>
        <w:lastRenderedPageBreak/>
        <w:t>think they belong to Moldova or feel Transnistrian. Most of the people felt Transnistrian and according to Cojacaru that means a “new identity is evolving on the Eastern side of the Republic.”</w:t>
      </w:r>
    </w:p>
    <w:p w14:paraId="251CB4DA" w14:textId="5456E10E" w:rsidR="001A3A30" w:rsidRPr="00D82AA0" w:rsidRDefault="001A3A30" w:rsidP="00070AF7">
      <w:pPr>
        <w:pStyle w:val="Kop4"/>
        <w:numPr>
          <w:ilvl w:val="2"/>
          <w:numId w:val="1"/>
        </w:numPr>
        <w:rPr>
          <w:lang w:val="en-US"/>
        </w:rPr>
      </w:pPr>
      <w:r w:rsidRPr="00D82AA0">
        <w:rPr>
          <w:lang w:val="en-US"/>
        </w:rPr>
        <w:t>Bordering</w:t>
      </w:r>
    </w:p>
    <w:p w14:paraId="1EF6E75F" w14:textId="16A14C33" w:rsidR="001A3A30" w:rsidRPr="00D82AA0" w:rsidRDefault="00145A7F" w:rsidP="001A3A30">
      <w:pPr>
        <w:rPr>
          <w:lang w:val="en-US"/>
        </w:rPr>
      </w:pPr>
      <w:r w:rsidRPr="00D82AA0">
        <w:rPr>
          <w:lang w:val="en-US"/>
        </w:rPr>
        <w:t xml:space="preserve">From identities and </w:t>
      </w:r>
      <w:r w:rsidRPr="008E13AE">
        <w:rPr>
          <w:noProof/>
          <w:lang w:val="en-US"/>
        </w:rPr>
        <w:t>nationalism</w:t>
      </w:r>
      <w:r w:rsidR="008E13AE">
        <w:rPr>
          <w:noProof/>
          <w:lang w:val="en-US"/>
        </w:rPr>
        <w:t>,</w:t>
      </w:r>
      <w:r w:rsidRPr="00D82AA0">
        <w:rPr>
          <w:lang w:val="en-US"/>
        </w:rPr>
        <w:t xml:space="preserve"> we move to </w:t>
      </w:r>
      <w:r w:rsidRPr="008E13AE">
        <w:rPr>
          <w:noProof/>
          <w:lang w:val="en-US"/>
        </w:rPr>
        <w:t>bordering</w:t>
      </w:r>
      <w:r w:rsidRPr="00D82AA0">
        <w:rPr>
          <w:lang w:val="en-US"/>
        </w:rPr>
        <w:t xml:space="preserve">, a relatively new concept, mostly discussed during recent years. </w:t>
      </w:r>
      <w:r w:rsidR="007E160B" w:rsidRPr="00D82AA0">
        <w:rPr>
          <w:lang w:val="en-US"/>
        </w:rPr>
        <w:t xml:space="preserve">“At its most basic, the process of </w:t>
      </w:r>
      <w:r w:rsidR="007E160B" w:rsidRPr="008E13AE">
        <w:rPr>
          <w:noProof/>
          <w:lang w:val="en-US"/>
        </w:rPr>
        <w:t>bordering</w:t>
      </w:r>
      <w:r w:rsidR="007E160B" w:rsidRPr="00D82AA0">
        <w:rPr>
          <w:lang w:val="en-US"/>
        </w:rPr>
        <w:t xml:space="preserve"> can be defined as the everyday construction of borders, for example through political discourses and institutions, media representations, school textbooks, stereotypes and everyday forms of transnationalism (Scott, 2015).” </w:t>
      </w:r>
      <w:r w:rsidR="00687395" w:rsidRPr="00D82AA0">
        <w:rPr>
          <w:lang w:val="en-US"/>
        </w:rPr>
        <w:t xml:space="preserve">Van Houtum (2005) declared that “The b/order is an active verb. Interpreted along these lines, a border is not so much an object or a material artefact as a belief, an imagination that creates and shapes a world, a social reality.” </w:t>
      </w:r>
      <w:r w:rsidR="007E160B" w:rsidRPr="00D82AA0">
        <w:rPr>
          <w:lang w:val="en-US"/>
        </w:rPr>
        <w:t>Van Houtum introduced the term b/</w:t>
      </w:r>
      <w:r w:rsidR="007E160B" w:rsidRPr="008E13AE">
        <w:rPr>
          <w:noProof/>
          <w:lang w:val="en-US"/>
        </w:rPr>
        <w:t>ordering</w:t>
      </w:r>
      <w:r w:rsidR="007E160B" w:rsidRPr="00D82AA0">
        <w:rPr>
          <w:lang w:val="en-US"/>
        </w:rPr>
        <w:t xml:space="preserve"> to describe the interplay between ordering and border-making (Van Houtum, 2005; Scott, 2015). </w:t>
      </w:r>
      <w:r w:rsidR="00687395" w:rsidRPr="00D82AA0">
        <w:rPr>
          <w:lang w:val="en-US"/>
        </w:rPr>
        <w:t xml:space="preserve">From this point of view, borders have become a whole different field of research than before, when borders were thought of as rigid demarcations between two states. However “bordering processes do not begin or stop at demarcation lines in space. Borders do not represent a fixed point in space or time, rather they symbolise a social practice of spatial differentiation (Van Houtum &amp; Van Naerssen, 2002). </w:t>
      </w:r>
    </w:p>
    <w:p w14:paraId="1A762CC5" w14:textId="1AEFDCCC" w:rsidR="00687395" w:rsidRPr="00D82AA0" w:rsidRDefault="00687395" w:rsidP="001A3A30">
      <w:pPr>
        <w:rPr>
          <w:lang w:val="en-US"/>
        </w:rPr>
      </w:pPr>
      <w:r w:rsidRPr="00D82AA0">
        <w:rPr>
          <w:lang w:val="en-US"/>
        </w:rPr>
        <w:t>Also, “Bordering practices are not confined to (inner)state spaces. In a transnational sense bordered places are produced and reproduced as well, leading to transnational places of refuge (Van Houtum &amp; Van Naerssen, 2002).”</w:t>
      </w:r>
      <w:r w:rsidR="005B22A3" w:rsidRPr="00D82AA0">
        <w:rPr>
          <w:lang w:val="en-US"/>
        </w:rPr>
        <w:t xml:space="preserve"> The European Union is an important actor in bordering spaces. </w:t>
      </w:r>
      <w:r w:rsidR="004A429E" w:rsidRPr="00D82AA0">
        <w:rPr>
          <w:lang w:val="en-US"/>
        </w:rPr>
        <w:t>Scott (2015) sees border politic</w:t>
      </w:r>
      <w:r w:rsidR="007E160B" w:rsidRPr="00D82AA0">
        <w:rPr>
          <w:lang w:val="en-US"/>
        </w:rPr>
        <w:t xml:space="preserve">s as a part of </w:t>
      </w:r>
      <w:r w:rsidR="007E160B" w:rsidRPr="008E13AE">
        <w:rPr>
          <w:noProof/>
          <w:lang w:val="en-US"/>
        </w:rPr>
        <w:t>bordering</w:t>
      </w:r>
      <w:r w:rsidR="007E160B" w:rsidRPr="00D82AA0">
        <w:rPr>
          <w:lang w:val="en-US"/>
        </w:rPr>
        <w:t xml:space="preserve">. The EU uses these border politics in its programmes, policies and imaginaries of political community in which it uses borders as resources for different aims (Scott, 2015). More on these border politics will be discussed in paragraph 2.3 as part of border </w:t>
      </w:r>
      <w:r w:rsidR="00BA3E16" w:rsidRPr="00D82AA0">
        <w:rPr>
          <w:lang w:val="en-US"/>
        </w:rPr>
        <w:t>policies</w:t>
      </w:r>
      <w:r w:rsidR="007E160B" w:rsidRPr="00D82AA0">
        <w:rPr>
          <w:lang w:val="en-US"/>
        </w:rPr>
        <w:t xml:space="preserve"> and geopolitics. </w:t>
      </w:r>
    </w:p>
    <w:p w14:paraId="0636AC0B" w14:textId="168912FD" w:rsidR="001A3A30" w:rsidRPr="00D82AA0" w:rsidRDefault="001A3A30" w:rsidP="00070AF7">
      <w:pPr>
        <w:pStyle w:val="Kop4"/>
        <w:numPr>
          <w:ilvl w:val="2"/>
          <w:numId w:val="1"/>
        </w:numPr>
        <w:rPr>
          <w:lang w:val="en-US"/>
        </w:rPr>
      </w:pPr>
      <w:r w:rsidRPr="00D82AA0">
        <w:rPr>
          <w:lang w:val="en-US"/>
        </w:rPr>
        <w:t>Perception of borders</w:t>
      </w:r>
    </w:p>
    <w:p w14:paraId="2FD9B7C7" w14:textId="3B48B3C4" w:rsidR="001A3A30" w:rsidRPr="00D82AA0" w:rsidRDefault="00C74A31" w:rsidP="001A3A30">
      <w:pPr>
        <w:rPr>
          <w:lang w:val="en-US"/>
        </w:rPr>
      </w:pPr>
      <w:r w:rsidRPr="00D82AA0">
        <w:rPr>
          <w:lang w:val="en-US"/>
        </w:rPr>
        <w:t xml:space="preserve">Cross-border cooperation is </w:t>
      </w:r>
      <w:r w:rsidR="0052687D" w:rsidRPr="00D82AA0">
        <w:rPr>
          <w:lang w:val="en-US"/>
        </w:rPr>
        <w:t xml:space="preserve">increasingly being interpreted in terms of perception of borders as symbols and identity-constructing elements (Scott, 2016). This contributes to the fact that, as stated in paragraph 2.2.3, borders are increasingly seen as a creation instead of a rigid demarcation. </w:t>
      </w:r>
    </w:p>
    <w:p w14:paraId="6F252D62" w14:textId="5AC23ACB" w:rsidR="008263B4" w:rsidRPr="00D82AA0" w:rsidRDefault="008263B4" w:rsidP="001A3A30">
      <w:pPr>
        <w:rPr>
          <w:lang w:val="en-US"/>
        </w:rPr>
      </w:pPr>
      <w:r w:rsidRPr="00D82AA0">
        <w:rPr>
          <w:lang w:val="en-US"/>
        </w:rPr>
        <w:lastRenderedPageBreak/>
        <w:t xml:space="preserve">According to Bruter (2004), people’s European identity, the fact that they feel European, derives from their perceptions of Europe, which are themselves influenced by the images they form of Europe. </w:t>
      </w:r>
    </w:p>
    <w:p w14:paraId="685652A3" w14:textId="5428E263" w:rsidR="008263B4" w:rsidRPr="00D82AA0" w:rsidRDefault="008263B4" w:rsidP="001A3A30">
      <w:pPr>
        <w:rPr>
          <w:lang w:val="en-US"/>
        </w:rPr>
      </w:pPr>
      <w:r w:rsidRPr="00D82AA0">
        <w:rPr>
          <w:lang w:val="en-US"/>
        </w:rPr>
        <w:t xml:space="preserve">Applying this to borders, we can derive that borders contribute to the identity of people. This becomes part of their identity because of the images, and with that the perception they create of the border. </w:t>
      </w:r>
    </w:p>
    <w:p w14:paraId="2AB7C113" w14:textId="1F37FF75" w:rsidR="00ED4166" w:rsidRPr="00D82AA0" w:rsidRDefault="0081560F" w:rsidP="00070AF7">
      <w:pPr>
        <w:pStyle w:val="Kop2"/>
        <w:numPr>
          <w:ilvl w:val="1"/>
          <w:numId w:val="1"/>
        </w:numPr>
        <w:rPr>
          <w:lang w:val="en-US"/>
        </w:rPr>
      </w:pPr>
      <w:bookmarkStart w:id="22" w:name="_Toc517985341"/>
      <w:r w:rsidRPr="00D82AA0">
        <w:rPr>
          <w:lang w:val="en-US"/>
        </w:rPr>
        <w:t xml:space="preserve">Border </w:t>
      </w:r>
      <w:r w:rsidR="00ED4166" w:rsidRPr="00D82AA0">
        <w:rPr>
          <w:lang w:val="en-US"/>
        </w:rPr>
        <w:t>policies</w:t>
      </w:r>
      <w:r w:rsidR="00D60AA8" w:rsidRPr="00D82AA0">
        <w:rPr>
          <w:lang w:val="en-US"/>
        </w:rPr>
        <w:t xml:space="preserve"> and geopolitics</w:t>
      </w:r>
      <w:bookmarkEnd w:id="22"/>
    </w:p>
    <w:p w14:paraId="12E75257" w14:textId="23B6BEA5" w:rsidR="00E15E11" w:rsidRPr="00D82AA0" w:rsidRDefault="00ED4166" w:rsidP="00ED4166">
      <w:pPr>
        <w:rPr>
          <w:lang w:val="en-US"/>
        </w:rPr>
      </w:pPr>
      <w:r w:rsidRPr="00D82AA0">
        <w:rPr>
          <w:lang w:val="en-US"/>
        </w:rPr>
        <w:t xml:space="preserve">As we have said in paragraph 2.2.3, the EU uses border politics as a resource for different aims. These border politics is a combination of border policies and geopolitics. Border </w:t>
      </w:r>
      <w:r w:rsidR="00BA3E16" w:rsidRPr="00D82AA0">
        <w:rPr>
          <w:lang w:val="en-US"/>
        </w:rPr>
        <w:t>policies</w:t>
      </w:r>
      <w:r w:rsidRPr="00D82AA0">
        <w:rPr>
          <w:lang w:val="en-US"/>
        </w:rPr>
        <w:t xml:space="preserve"> </w:t>
      </w:r>
      <w:r w:rsidR="00BA3E16" w:rsidRPr="00D82AA0">
        <w:rPr>
          <w:lang w:val="en-US"/>
        </w:rPr>
        <w:t>are essentially the different policies an institution or entity has to regulate and control their borderland. The European Union has a lot of border policies, of which the European Neighbourhood Policy</w:t>
      </w:r>
      <w:r w:rsidR="0000407C" w:rsidRPr="00D82AA0">
        <w:rPr>
          <w:lang w:val="en-US"/>
        </w:rPr>
        <w:t>,</w:t>
      </w:r>
      <w:r w:rsidR="00BA3E16" w:rsidRPr="00D82AA0">
        <w:rPr>
          <w:lang w:val="en-US"/>
        </w:rPr>
        <w:t xml:space="preserve"> the Eastern Partnership </w:t>
      </w:r>
      <w:r w:rsidR="0000407C" w:rsidRPr="00D82AA0">
        <w:rPr>
          <w:lang w:val="en-US"/>
        </w:rPr>
        <w:t xml:space="preserve">and </w:t>
      </w:r>
      <w:r w:rsidR="00727F63">
        <w:rPr>
          <w:lang w:val="en-US"/>
        </w:rPr>
        <w:t>Frontex</w:t>
      </w:r>
      <w:r w:rsidR="0000407C" w:rsidRPr="00D82AA0">
        <w:rPr>
          <w:lang w:val="en-US"/>
        </w:rPr>
        <w:t xml:space="preserve"> </w:t>
      </w:r>
      <w:r w:rsidR="00BA3E16" w:rsidRPr="00D82AA0">
        <w:rPr>
          <w:lang w:val="en-US"/>
        </w:rPr>
        <w:t xml:space="preserve">are good examples. </w:t>
      </w:r>
      <w:r w:rsidR="00727F63">
        <w:rPr>
          <w:lang w:val="en-US"/>
        </w:rPr>
        <w:t>Frontex</w:t>
      </w:r>
      <w:r w:rsidR="0000407C" w:rsidRPr="00D82AA0">
        <w:rPr>
          <w:lang w:val="en-US"/>
        </w:rPr>
        <w:t xml:space="preserve"> “oversees the effective functioning of border control at the external borders of the EU and assists </w:t>
      </w:r>
      <w:r w:rsidR="008E13AE">
        <w:rPr>
          <w:lang w:val="en-US"/>
        </w:rPr>
        <w:t xml:space="preserve">the </w:t>
      </w:r>
      <w:r w:rsidR="0000407C" w:rsidRPr="008E13AE">
        <w:rPr>
          <w:noProof/>
          <w:lang w:val="en-US"/>
        </w:rPr>
        <w:t>Member</w:t>
      </w:r>
      <w:r w:rsidR="0000407C" w:rsidRPr="00D82AA0">
        <w:rPr>
          <w:lang w:val="en-US"/>
        </w:rPr>
        <w:t xml:space="preserve"> States that require help at their external borders (</w:t>
      </w:r>
      <w:r w:rsidR="00727F63">
        <w:rPr>
          <w:lang w:val="en-US"/>
        </w:rPr>
        <w:t>Frontex</w:t>
      </w:r>
      <w:r w:rsidR="0000407C" w:rsidRPr="00D82AA0">
        <w:rPr>
          <w:lang w:val="en-US"/>
        </w:rPr>
        <w:t xml:space="preserve">, n.d.).” The European Neighbourhood Policy and Eastern Partnership focus more on </w:t>
      </w:r>
      <w:r w:rsidR="00B509A6" w:rsidRPr="00D82AA0">
        <w:rPr>
          <w:lang w:val="en-US"/>
        </w:rPr>
        <w:t xml:space="preserve">external relations and will be discussed further in the next paragraph. Through </w:t>
      </w:r>
      <w:r w:rsidR="00E15E11" w:rsidRPr="00D82AA0">
        <w:rPr>
          <w:lang w:val="en-US"/>
        </w:rPr>
        <w:t xml:space="preserve">border policies, the EU tries to keep the Union safe and expand their governmentality outside of Europe. </w:t>
      </w:r>
    </w:p>
    <w:p w14:paraId="6F44F399" w14:textId="0F3A59EA" w:rsidR="002F2617" w:rsidRPr="00D82AA0" w:rsidRDefault="00BF024A" w:rsidP="00ED4166">
      <w:pPr>
        <w:rPr>
          <w:lang w:val="en-US"/>
        </w:rPr>
      </w:pPr>
      <w:r w:rsidRPr="00D82AA0">
        <w:rPr>
          <w:lang w:val="en-US"/>
        </w:rPr>
        <w:t xml:space="preserve">This expansion of their governmentality brings us to the geopolitics. According to Bialasiewicz (2009), the EU has an increasing role in governing its Neighbourhood, which </w:t>
      </w:r>
      <w:r w:rsidR="008E13AE">
        <w:rPr>
          <w:lang w:val="en-US"/>
        </w:rPr>
        <w:t xml:space="preserve">results </w:t>
      </w:r>
      <w:r w:rsidR="008E13AE" w:rsidRPr="008E1FBB">
        <w:rPr>
          <w:noProof/>
          <w:lang w:val="en-US"/>
        </w:rPr>
        <w:t>into</w:t>
      </w:r>
      <w:r w:rsidR="008E13AE">
        <w:rPr>
          <w:lang w:val="en-US"/>
        </w:rPr>
        <w:t xml:space="preserve"> people talking </w:t>
      </w:r>
      <w:r w:rsidRPr="00D82AA0">
        <w:rPr>
          <w:lang w:val="en-US"/>
        </w:rPr>
        <w:t>about a ‘European geopolitics’</w:t>
      </w:r>
      <w:r w:rsidR="002F2617" w:rsidRPr="00D82AA0">
        <w:rPr>
          <w:lang w:val="en-US"/>
        </w:rPr>
        <w:t xml:space="preserve">. We will come back to the expansion of governmentality in paragraph 2.5. </w:t>
      </w:r>
      <w:r w:rsidR="00F25CC1" w:rsidRPr="00D82AA0">
        <w:rPr>
          <w:lang w:val="en-US"/>
        </w:rPr>
        <w:t>In this article by Bialasiewicz et al., Felix Ciut</w:t>
      </w:r>
      <w:r w:rsidR="00F25CC1" w:rsidRPr="00D82AA0">
        <w:rPr>
          <w:rFonts w:cstheme="minorHAnsi"/>
          <w:lang w:val="en-US"/>
        </w:rPr>
        <w:t>ă (2009)</w:t>
      </w:r>
      <w:r w:rsidR="00F25CC1" w:rsidRPr="00D82AA0">
        <w:rPr>
          <w:lang w:val="en-US"/>
        </w:rPr>
        <w:t xml:space="preserve"> describes the way in which the EU makes regions through their policies. The Black Sea Region, of which Moldova is also part, is subject to a European policy called the Black Sea Synergy</w:t>
      </w:r>
      <w:r w:rsidR="00762531" w:rsidRPr="00D82AA0">
        <w:rPr>
          <w:lang w:val="en-US"/>
        </w:rPr>
        <w:t xml:space="preserve">. Without this Synergy, there would not be a Black Sea Region, but since the EU creates this partnership, it also </w:t>
      </w:r>
      <w:r w:rsidR="00762531" w:rsidRPr="008E13AE">
        <w:rPr>
          <w:noProof/>
          <w:lang w:val="en-US"/>
        </w:rPr>
        <w:t>creates,</w:t>
      </w:r>
      <w:r w:rsidR="00762531" w:rsidRPr="00D82AA0">
        <w:rPr>
          <w:lang w:val="en-US"/>
        </w:rPr>
        <w:t xml:space="preserve"> or makes, a region. </w:t>
      </w:r>
    </w:p>
    <w:p w14:paraId="6FF9F83A" w14:textId="6C7568DE" w:rsidR="00BF024A" w:rsidRPr="00D82AA0" w:rsidRDefault="002F2617" w:rsidP="00ED4166">
      <w:pPr>
        <w:rPr>
          <w:lang w:val="en-US"/>
        </w:rPr>
      </w:pPr>
      <w:r w:rsidRPr="00D82AA0">
        <w:rPr>
          <w:lang w:val="en-US"/>
        </w:rPr>
        <w:t>Geopolitics has been defined as follows by Dittmer &amp; Sharp (2014):</w:t>
      </w:r>
    </w:p>
    <w:p w14:paraId="0E959A5A" w14:textId="09C8E2C2" w:rsidR="002F2617" w:rsidRPr="00D82AA0" w:rsidRDefault="002F2617" w:rsidP="00ED4166">
      <w:pPr>
        <w:rPr>
          <w:lang w:val="en-US"/>
        </w:rPr>
      </w:pPr>
      <w:r w:rsidRPr="00D82AA0">
        <w:rPr>
          <w:lang w:val="en-US"/>
        </w:rPr>
        <w:tab/>
        <w:t xml:space="preserve">“Geopolitics means different things, in different times and places, to different people. But we think that all of these versions of geopolitics can fit under this umbrella: geopolitics refers to </w:t>
      </w:r>
      <w:r w:rsidRPr="00D82AA0">
        <w:rPr>
          <w:lang w:val="en-US"/>
        </w:rPr>
        <w:lastRenderedPageBreak/>
        <w:t>the theory and practice of politics at the global scale, with a specific emphasis on the geographies that both shape and result from that politics. In other words, it is more than just the study of global politics; it is the study of how geography is implicated in that politics.”</w:t>
      </w:r>
    </w:p>
    <w:p w14:paraId="7AAFD9A8" w14:textId="5A42B07C" w:rsidR="002F2617" w:rsidRPr="00D82AA0" w:rsidRDefault="006933E9" w:rsidP="00ED4166">
      <w:pPr>
        <w:rPr>
          <w:lang w:val="en-US"/>
        </w:rPr>
      </w:pPr>
      <w:r w:rsidRPr="00D82AA0">
        <w:rPr>
          <w:lang w:val="en-US"/>
        </w:rPr>
        <w:t xml:space="preserve">So, geopolitics are formed by geographies, but new geographies are also the result of geopolitical decisions. Borders play a big role in </w:t>
      </w:r>
      <w:r w:rsidRPr="008E13AE">
        <w:rPr>
          <w:noProof/>
          <w:lang w:val="en-US"/>
        </w:rPr>
        <w:t>this</w:t>
      </w:r>
      <w:r w:rsidRPr="00D82AA0">
        <w:rPr>
          <w:lang w:val="en-US"/>
        </w:rPr>
        <w:t xml:space="preserve"> since borders and borderlands are most subject to changing geographies. As Brunet-Jailly (2011) puts it, “borders and borderlands have become geopolitical spaces of contentions where asymmetrical economic, social, and political forces are either serving or in conflict with the agenda of central governments; further to this, borders are shown as territorial markers being transformed into </w:t>
      </w:r>
      <w:r w:rsidRPr="008E13AE">
        <w:rPr>
          <w:noProof/>
          <w:lang w:val="en-US"/>
        </w:rPr>
        <w:t>functional-fluid</w:t>
      </w:r>
      <w:r w:rsidRPr="00D82AA0">
        <w:rPr>
          <w:lang w:val="en-US"/>
        </w:rPr>
        <w:t xml:space="preserve"> vector of demarcation.”</w:t>
      </w:r>
    </w:p>
    <w:p w14:paraId="40B1C9B3" w14:textId="566C0C00" w:rsidR="006933E9" w:rsidRPr="00D82AA0" w:rsidRDefault="006933E9" w:rsidP="00ED4166">
      <w:pPr>
        <w:rPr>
          <w:lang w:val="en-US"/>
        </w:rPr>
      </w:pPr>
      <w:r w:rsidRPr="00D82AA0">
        <w:rPr>
          <w:lang w:val="en-US"/>
        </w:rPr>
        <w:t>Kuus (</w:t>
      </w:r>
      <w:r w:rsidR="006D5922" w:rsidRPr="00D82AA0">
        <w:rPr>
          <w:lang w:val="en-US"/>
        </w:rPr>
        <w:t>2011) researched the geopolitics of the European Neighbourhood Policy, which will be discussed in the next paragraph.</w:t>
      </w:r>
      <w:r w:rsidR="00356177" w:rsidRPr="00D82AA0">
        <w:rPr>
          <w:lang w:val="en-US"/>
        </w:rPr>
        <w:t xml:space="preserve"> In this article, Kuus understands geopolitics as the practices by which international politics is spatialized. Furthermore, she describes that </w:t>
      </w:r>
      <w:r w:rsidR="00757C95" w:rsidRPr="00D82AA0">
        <w:rPr>
          <w:lang w:val="en-US"/>
        </w:rPr>
        <w:t xml:space="preserve">we know most about national geopolitical practices, but that Europe uses more and more geopolitical language and gets increasingly involved in geopolitics over the last five to ten years. </w:t>
      </w:r>
    </w:p>
    <w:p w14:paraId="0A153000" w14:textId="0855AD11" w:rsidR="00757C95" w:rsidRPr="00D82AA0" w:rsidRDefault="00757C95" w:rsidP="00ED4166">
      <w:pPr>
        <w:rPr>
          <w:lang w:val="en-US"/>
        </w:rPr>
      </w:pPr>
      <w:r w:rsidRPr="00D82AA0">
        <w:rPr>
          <w:lang w:val="en-US"/>
        </w:rPr>
        <w:t xml:space="preserve">Lastly, Kuus (2011) describes the EU as a geopolitical actor, which is difficult. The EU is a complex institution. Their policymaking involves a complicated web of supranational and intergovernmental mechanisms. It is a polycentric and transnational institution, which makes it a very interesting example of transnational governmental geopolitics. </w:t>
      </w:r>
    </w:p>
    <w:p w14:paraId="09D3FDE1" w14:textId="6D0D0DE7" w:rsidR="00A6571D" w:rsidRPr="00D82AA0" w:rsidRDefault="00A6571D" w:rsidP="00070AF7">
      <w:pPr>
        <w:pStyle w:val="Kop2"/>
        <w:numPr>
          <w:ilvl w:val="1"/>
          <w:numId w:val="1"/>
        </w:numPr>
        <w:rPr>
          <w:lang w:val="en-US"/>
        </w:rPr>
      </w:pPr>
      <w:bookmarkStart w:id="23" w:name="_Toc517985342"/>
      <w:r w:rsidRPr="00D82AA0">
        <w:rPr>
          <w:lang w:val="en-US"/>
        </w:rPr>
        <w:t>European Neighbourhood Policy</w:t>
      </w:r>
      <w:r w:rsidR="00D60AA8" w:rsidRPr="00D82AA0">
        <w:rPr>
          <w:lang w:val="en-US"/>
        </w:rPr>
        <w:t xml:space="preserve"> and Eastern Partnership</w:t>
      </w:r>
      <w:bookmarkEnd w:id="23"/>
    </w:p>
    <w:p w14:paraId="1BC06868" w14:textId="6BBEF2D1" w:rsidR="00541BB4" w:rsidRPr="00D82AA0" w:rsidRDefault="00DA59C8" w:rsidP="0069272F">
      <w:pPr>
        <w:rPr>
          <w:lang w:val="en-US"/>
        </w:rPr>
      </w:pPr>
      <w:r w:rsidRPr="00D82AA0">
        <w:rPr>
          <w:lang w:val="en-US"/>
        </w:rPr>
        <w:t xml:space="preserve">The European Neighbourhood Policy (ENP) has been named in several of the above paragraphs. The ENP initiated in 2003, ahead of the big enlargement of the EU in 2004. At first, it was designed for illegal migration, cross-border crime and other threats that could come from the new Eastern neighbouring countries (Kuus, 2011). </w:t>
      </w:r>
      <w:r w:rsidR="00A774C4" w:rsidRPr="00D82AA0">
        <w:rPr>
          <w:lang w:val="en-US"/>
        </w:rPr>
        <w:t xml:space="preserve">Now, the ENP has become an umbrella framework through which the EU tries to influence its neighbours without offering the incentive of possible membership (Kuus, 2011). </w:t>
      </w:r>
    </w:p>
    <w:p w14:paraId="17763AB5" w14:textId="096ECEF4" w:rsidR="00541BB4" w:rsidRPr="00D82AA0" w:rsidRDefault="00541BB4" w:rsidP="0069272F">
      <w:pPr>
        <w:rPr>
          <w:lang w:val="en-US"/>
        </w:rPr>
      </w:pPr>
      <w:r w:rsidRPr="00D82AA0">
        <w:rPr>
          <w:lang w:val="en-US"/>
        </w:rPr>
        <w:t xml:space="preserve">However, at </w:t>
      </w:r>
      <w:r w:rsidRPr="008E13AE">
        <w:rPr>
          <w:noProof/>
          <w:lang w:val="en-US"/>
        </w:rPr>
        <w:t>first</w:t>
      </w:r>
      <w:r w:rsidR="008E13AE">
        <w:rPr>
          <w:noProof/>
          <w:lang w:val="en-US"/>
        </w:rPr>
        <w:t>,</w:t>
      </w:r>
      <w:r w:rsidRPr="00D82AA0">
        <w:rPr>
          <w:lang w:val="en-US"/>
        </w:rPr>
        <w:t xml:space="preserve"> the ENP had the objective to avoid new dividing lines between the enlarged EU and its neighbours. The ENP should strengthen the prosperity, stability and security of both countries in the EU as the neighbouring countries. The policy has been reviewed in 2011, after the </w:t>
      </w:r>
      <w:r w:rsidRPr="00D82AA0">
        <w:rPr>
          <w:lang w:val="en-US"/>
        </w:rPr>
        <w:lastRenderedPageBreak/>
        <w:t xml:space="preserve">Arab Spring and again in 2015. It was decided that the new objectives were stabilization of the region, in political, economic and </w:t>
      </w:r>
      <w:r w:rsidRPr="008E13AE">
        <w:rPr>
          <w:noProof/>
          <w:lang w:val="en-US"/>
        </w:rPr>
        <w:t>security related</w:t>
      </w:r>
      <w:r w:rsidRPr="00D82AA0">
        <w:rPr>
          <w:lang w:val="en-US"/>
        </w:rPr>
        <w:t xml:space="preserve"> terms (European Commission, 2016). </w:t>
      </w:r>
    </w:p>
    <w:p w14:paraId="14C89D34" w14:textId="3A6F2934" w:rsidR="002F47D6" w:rsidRPr="00D82AA0" w:rsidRDefault="002F47D6" w:rsidP="0069272F">
      <w:pPr>
        <w:rPr>
          <w:lang w:val="en-US"/>
        </w:rPr>
      </w:pPr>
      <w:r w:rsidRPr="00D82AA0">
        <w:rPr>
          <w:lang w:val="en-US"/>
        </w:rPr>
        <w:t xml:space="preserve">The ENP is funded by the European </w:t>
      </w:r>
      <w:r w:rsidRPr="008E13AE">
        <w:rPr>
          <w:noProof/>
          <w:lang w:val="en-US"/>
        </w:rPr>
        <w:t>Neigh</w:t>
      </w:r>
      <w:r w:rsidR="008E13AE">
        <w:rPr>
          <w:noProof/>
          <w:lang w:val="en-US"/>
        </w:rPr>
        <w:t>b</w:t>
      </w:r>
      <w:r w:rsidRPr="008E13AE">
        <w:rPr>
          <w:noProof/>
          <w:lang w:val="en-US"/>
        </w:rPr>
        <w:t>ourhood</w:t>
      </w:r>
      <w:r w:rsidRPr="00D82AA0">
        <w:rPr>
          <w:lang w:val="en-US"/>
        </w:rPr>
        <w:t xml:space="preserve"> Instrument (ENI)</w:t>
      </w:r>
      <w:r w:rsidR="009830B4" w:rsidRPr="00D82AA0">
        <w:rPr>
          <w:lang w:val="en-US"/>
        </w:rPr>
        <w:t xml:space="preserve"> and it focuses on the ‘Joint priorities for cooperation’. These are good governance, democracy, rule of law, human rights, economic development for stabilization, </w:t>
      </w:r>
      <w:r w:rsidR="009830B4" w:rsidRPr="008E13AE">
        <w:rPr>
          <w:noProof/>
          <w:lang w:val="en-US"/>
        </w:rPr>
        <w:t>security and</w:t>
      </w:r>
      <w:r w:rsidR="009830B4" w:rsidRPr="00D82AA0">
        <w:rPr>
          <w:lang w:val="en-US"/>
        </w:rPr>
        <w:t xml:space="preserve"> migration &amp; mobility (European Commission, 2016). </w:t>
      </w:r>
      <w:r w:rsidR="005A73A2">
        <w:rPr>
          <w:lang w:val="en-US"/>
        </w:rPr>
        <w:t>The ENP is a joint initiative, which draws on the involvement of the European Commission, the European External Action Service (EEAS), and the EU member states.</w:t>
      </w:r>
    </w:p>
    <w:p w14:paraId="5C8FD7C5" w14:textId="77777777" w:rsidR="00201D81" w:rsidRDefault="009830B4" w:rsidP="00201D81">
      <w:pPr>
        <w:rPr>
          <w:lang w:val="en-US"/>
        </w:rPr>
      </w:pPr>
      <w:r w:rsidRPr="00D82AA0">
        <w:rPr>
          <w:lang w:val="en-US"/>
        </w:rPr>
        <w:t xml:space="preserve">To come back on earlier subjects in this chapter, the ENP contributes to the fact that borders are shifting. It is unclear where the real EU’s borders are. </w:t>
      </w:r>
      <w:r w:rsidR="004700F3" w:rsidRPr="00D82AA0">
        <w:rPr>
          <w:lang w:val="en-US"/>
        </w:rPr>
        <w:t xml:space="preserve">But, because of this, Europe’s borders also become fuzzy. </w:t>
      </w:r>
    </w:p>
    <w:p w14:paraId="132FE984" w14:textId="6D1F15AF" w:rsidR="00A774C4" w:rsidRPr="00D82AA0" w:rsidRDefault="00514EDC" w:rsidP="00201D81">
      <w:pPr>
        <w:rPr>
          <w:lang w:val="en-US"/>
        </w:rPr>
      </w:pPr>
      <w:r w:rsidRPr="00D82AA0">
        <w:rPr>
          <w:lang w:val="en-US"/>
        </w:rPr>
        <w:t>To get closer to the case of this thesis, the Eastern Partnership</w:t>
      </w:r>
      <w:r w:rsidR="00530463">
        <w:rPr>
          <w:lang w:val="en-US"/>
        </w:rPr>
        <w:t xml:space="preserve"> (EaP)</w:t>
      </w:r>
      <w:r w:rsidRPr="00D82AA0">
        <w:rPr>
          <w:lang w:val="en-US"/>
        </w:rPr>
        <w:t xml:space="preserve"> will now be described. The Eastern Partnership consists of the EU and six neighbouring countries, namely Armenia, Azerbaijan, Belarus, Georgia, Moldova and Ukraine. This partnership is interesting because a lot is going on in this part of the world. Economically, these countries are underdeveloped compared with EU member states. Besides that, there are several bordering conflicts, of which Moldova-Transnistria is one. Besides that, there is the Crimea conflict in Ukraine, South Ossetia and Abkhazia in Georgia and Nagorno-Karabakh in Azerbaijan. These are all regions that proclaim their own independence but are not recognized by other states, or only by a few, of which Russia is an important one</w:t>
      </w:r>
      <w:r w:rsidR="008602F4" w:rsidRPr="00D82AA0">
        <w:rPr>
          <w:lang w:val="en-US"/>
        </w:rPr>
        <w:t xml:space="preserve"> in the case of South Ossetia and Abkhazia</w:t>
      </w:r>
      <w:r w:rsidRPr="00D82AA0">
        <w:rPr>
          <w:lang w:val="en-US"/>
        </w:rPr>
        <w:t xml:space="preserve">. Also, political stability is very low (Political stability index, 2016). These are all reasons why the EU would want to influence the region. </w:t>
      </w:r>
    </w:p>
    <w:p w14:paraId="7FE3ABAD" w14:textId="166D53FA" w:rsidR="003F4933" w:rsidRPr="00D82AA0" w:rsidRDefault="003F4933" w:rsidP="0069272F">
      <w:pPr>
        <w:rPr>
          <w:lang w:val="en-US"/>
        </w:rPr>
      </w:pPr>
      <w:r w:rsidRPr="00D82AA0">
        <w:rPr>
          <w:lang w:val="en-US"/>
        </w:rPr>
        <w:t>The Eastern Partnership “aims to deepen and strengthen relations between the European Union, its member states and its six Eastern neighbours (European Commission, 2016).”</w:t>
      </w:r>
      <w:r w:rsidR="004B6507" w:rsidRPr="00D82AA0">
        <w:rPr>
          <w:lang w:val="en-US"/>
        </w:rPr>
        <w:t xml:space="preserve"> It has to work within the framework of the EU’s Global Strategy and the ENP. There are four key priority areas to work on (European Commission, 2016):</w:t>
      </w:r>
    </w:p>
    <w:p w14:paraId="047F12C7" w14:textId="0F51ABEF" w:rsidR="004B6507" w:rsidRPr="00D82AA0" w:rsidRDefault="004B6507" w:rsidP="004B6507">
      <w:pPr>
        <w:pStyle w:val="Lijstalinea"/>
        <w:numPr>
          <w:ilvl w:val="0"/>
          <w:numId w:val="9"/>
        </w:numPr>
        <w:rPr>
          <w:lang w:val="en-US"/>
        </w:rPr>
      </w:pPr>
      <w:r w:rsidRPr="00D82AA0">
        <w:rPr>
          <w:lang w:val="en-US"/>
        </w:rPr>
        <w:t>Economic development and market opportunities</w:t>
      </w:r>
    </w:p>
    <w:p w14:paraId="4B3D99B5" w14:textId="67FF97BF" w:rsidR="004B6507" w:rsidRPr="00D82AA0" w:rsidRDefault="004B6507" w:rsidP="004B6507">
      <w:pPr>
        <w:pStyle w:val="Lijstalinea"/>
        <w:numPr>
          <w:ilvl w:val="0"/>
          <w:numId w:val="9"/>
        </w:numPr>
        <w:rPr>
          <w:lang w:val="en-US"/>
        </w:rPr>
      </w:pPr>
      <w:r w:rsidRPr="00D82AA0">
        <w:rPr>
          <w:lang w:val="en-US"/>
        </w:rPr>
        <w:t>Strengthening institutions and good governance</w:t>
      </w:r>
    </w:p>
    <w:p w14:paraId="536D6D07" w14:textId="1C42C420" w:rsidR="004B6507" w:rsidRPr="00D82AA0" w:rsidRDefault="004B6507" w:rsidP="004B6507">
      <w:pPr>
        <w:pStyle w:val="Lijstalinea"/>
        <w:numPr>
          <w:ilvl w:val="0"/>
          <w:numId w:val="9"/>
        </w:numPr>
        <w:rPr>
          <w:lang w:val="en-US"/>
        </w:rPr>
      </w:pPr>
      <w:r w:rsidRPr="00D82AA0">
        <w:rPr>
          <w:lang w:val="en-US"/>
        </w:rPr>
        <w:t>Connectivity, energy efficiency, environment and climate change</w:t>
      </w:r>
    </w:p>
    <w:p w14:paraId="486AC768" w14:textId="1C15B3AC" w:rsidR="004B6507" w:rsidRPr="00D82AA0" w:rsidRDefault="004B6507" w:rsidP="004B6507">
      <w:pPr>
        <w:pStyle w:val="Lijstalinea"/>
        <w:numPr>
          <w:ilvl w:val="0"/>
          <w:numId w:val="9"/>
        </w:numPr>
        <w:rPr>
          <w:lang w:val="en-US"/>
        </w:rPr>
      </w:pPr>
      <w:r w:rsidRPr="00D82AA0">
        <w:rPr>
          <w:lang w:val="en-US"/>
        </w:rPr>
        <w:t>Mobility and people-to-people contacts</w:t>
      </w:r>
    </w:p>
    <w:p w14:paraId="079A9079" w14:textId="00BBAD6D" w:rsidR="004B6507" w:rsidRPr="00D82AA0" w:rsidRDefault="004B6507" w:rsidP="004B6507">
      <w:pPr>
        <w:rPr>
          <w:lang w:val="en-US"/>
        </w:rPr>
      </w:pPr>
      <w:r w:rsidRPr="00D82AA0">
        <w:rPr>
          <w:lang w:val="en-US"/>
        </w:rPr>
        <w:lastRenderedPageBreak/>
        <w:t xml:space="preserve">The Eastern Partnership functions through bilateral agreements between the EU and its Partners (European Commission, 2016). </w:t>
      </w:r>
    </w:p>
    <w:p w14:paraId="3AF8EAB1" w14:textId="1AD73DA7" w:rsidR="004B6507" w:rsidRPr="00D82AA0" w:rsidRDefault="00B8212B" w:rsidP="004B6507">
      <w:pPr>
        <w:rPr>
          <w:lang w:val="en-US"/>
        </w:rPr>
      </w:pPr>
      <w:r w:rsidRPr="00D82AA0">
        <w:rPr>
          <w:lang w:val="en-US"/>
        </w:rPr>
        <w:t xml:space="preserve">There is a lack of knowledge and literature in the contribution of the Eastern Partnership to the settlement of the Transnistria conflict and the ways in which it influences Moldova and Transnistria, which is what this thesis will contribute to. </w:t>
      </w:r>
    </w:p>
    <w:p w14:paraId="169538A6" w14:textId="4A9FEC7F" w:rsidR="00A6571D" w:rsidRPr="00D82AA0" w:rsidRDefault="00070AF7" w:rsidP="00070AF7">
      <w:pPr>
        <w:pStyle w:val="Kop2"/>
        <w:numPr>
          <w:ilvl w:val="1"/>
          <w:numId w:val="1"/>
        </w:numPr>
        <w:rPr>
          <w:lang w:val="en-US"/>
        </w:rPr>
      </w:pPr>
      <w:bookmarkStart w:id="24" w:name="_Toc517985343"/>
      <w:r w:rsidRPr="00D82AA0">
        <w:rPr>
          <w:lang w:val="en-US"/>
        </w:rPr>
        <w:t>P</w:t>
      </w:r>
      <w:r w:rsidR="00A6571D" w:rsidRPr="00D82AA0">
        <w:rPr>
          <w:lang w:val="en-US"/>
        </w:rPr>
        <w:t>ost-Colonialism</w:t>
      </w:r>
      <w:r w:rsidR="003E20A4" w:rsidRPr="00D82AA0">
        <w:rPr>
          <w:lang w:val="en-US"/>
        </w:rPr>
        <w:t xml:space="preserve"> and Neo-imperialism</w:t>
      </w:r>
      <w:bookmarkEnd w:id="24"/>
    </w:p>
    <w:p w14:paraId="15CC6FEB" w14:textId="0E69CE23" w:rsidR="003E20A4" w:rsidRPr="00D82AA0" w:rsidRDefault="003E20A4" w:rsidP="00070AF7">
      <w:pPr>
        <w:pStyle w:val="Kop4"/>
        <w:numPr>
          <w:ilvl w:val="2"/>
          <w:numId w:val="1"/>
        </w:numPr>
        <w:rPr>
          <w:lang w:val="en-US"/>
        </w:rPr>
      </w:pPr>
      <w:r w:rsidRPr="00D82AA0">
        <w:rPr>
          <w:lang w:val="en-US"/>
        </w:rPr>
        <w:t>Post-Colonialism</w:t>
      </w:r>
    </w:p>
    <w:p w14:paraId="6072B9E1" w14:textId="02F27BB2" w:rsidR="005F5059" w:rsidRPr="00D82AA0" w:rsidRDefault="005F5059" w:rsidP="003E20A4">
      <w:pPr>
        <w:rPr>
          <w:rStyle w:val="eop"/>
          <w:rFonts w:ascii="Calibri" w:hAnsi="Calibri" w:cs="Calibri"/>
          <w:color w:val="000000"/>
          <w:shd w:val="clear" w:color="auto" w:fill="FFFFFF"/>
          <w:lang w:val="en-US"/>
        </w:rPr>
      </w:pPr>
      <w:r w:rsidRPr="00D82AA0">
        <w:rPr>
          <w:rStyle w:val="normaltextrun"/>
          <w:rFonts w:ascii="Calibri" w:hAnsi="Calibri" w:cs="Calibri"/>
          <w:color w:val="000000"/>
          <w:shd w:val="clear" w:color="auto" w:fill="FFFFFF"/>
          <w:lang w:val="en-US"/>
        </w:rPr>
        <w:t>When Europe is discussed from a postcolonial point of view, the focus is on space defined through understandings of power, imperialism and global trajectories (Kinnvall, 2015). In general, postcolonial theory or post-colonialism focuses on the effects of colonization on cultures and societies. From the name you can derive that postcolonial theory is chronological and entails the post-independence period of the concerning colonies. Although the term ‘post-colonialism’ was in the beginning only used to refer to cultural interactions within colonial societies in literary circles, post-colonial theory now includes “the study and analysis of European territorial conquests, the various institutions of European </w:t>
      </w:r>
      <w:r w:rsidRPr="008E13AE">
        <w:rPr>
          <w:rStyle w:val="normaltextrun"/>
          <w:rFonts w:ascii="Calibri" w:hAnsi="Calibri" w:cs="Calibri"/>
          <w:noProof/>
          <w:color w:val="000000"/>
          <w:shd w:val="clear" w:color="auto" w:fill="FFFFFF"/>
          <w:lang w:val="en-US"/>
        </w:rPr>
        <w:t>colonialisms</w:t>
      </w:r>
      <w:r w:rsidRPr="00D82AA0">
        <w:rPr>
          <w:rStyle w:val="normaltextrun"/>
          <w:rFonts w:ascii="Calibri" w:hAnsi="Calibri" w:cs="Calibri"/>
          <w:color w:val="000000"/>
          <w:shd w:val="clear" w:color="auto" w:fill="FFFFFF"/>
          <w:lang w:val="en-US"/>
        </w:rPr>
        <w:t>, the discursive operations of empire, the subtleties of subject construction in colonial discourse and the resistance of those subjects, and, most importantly perhaps, the differing responses to such incursions and their contemporary colonial legacies in both pre-and post-independence nations and communities (Ashcroft et al., 2007).”</w:t>
      </w:r>
      <w:r w:rsidRPr="00D82AA0">
        <w:rPr>
          <w:rStyle w:val="eop"/>
          <w:rFonts w:ascii="Calibri" w:hAnsi="Calibri" w:cs="Calibri"/>
          <w:color w:val="000000"/>
          <w:shd w:val="clear" w:color="auto" w:fill="FFFFFF"/>
          <w:lang w:val="en-US"/>
        </w:rPr>
        <w:t> </w:t>
      </w:r>
    </w:p>
    <w:p w14:paraId="77C684B7" w14:textId="07B65230" w:rsidR="00282840" w:rsidRPr="00D82AA0" w:rsidRDefault="001A0527" w:rsidP="003E20A4">
      <w:pPr>
        <w:rPr>
          <w:rStyle w:val="eop"/>
          <w:rFonts w:ascii="Calibri" w:hAnsi="Calibri" w:cs="Calibri"/>
          <w:color w:val="000000"/>
          <w:shd w:val="clear" w:color="auto" w:fill="FFFFFF"/>
          <w:lang w:val="en-US"/>
        </w:rPr>
      </w:pPr>
      <w:r w:rsidRPr="00D82AA0">
        <w:rPr>
          <w:rStyle w:val="eop"/>
          <w:rFonts w:ascii="Calibri" w:hAnsi="Calibri" w:cs="Calibri"/>
          <w:color w:val="000000"/>
          <w:shd w:val="clear" w:color="auto" w:fill="FFFFFF"/>
          <w:lang w:val="en-US"/>
        </w:rPr>
        <w:t xml:space="preserve">Regarding this thesis, Russia plays a critical role concerning post-colonialism. </w:t>
      </w:r>
      <w:r w:rsidR="00044755" w:rsidRPr="00D82AA0">
        <w:rPr>
          <w:rStyle w:val="eop"/>
          <w:rFonts w:ascii="Calibri" w:hAnsi="Calibri" w:cs="Calibri"/>
          <w:color w:val="000000"/>
          <w:shd w:val="clear" w:color="auto" w:fill="FFFFFF"/>
          <w:lang w:val="en-US"/>
        </w:rPr>
        <w:t>After the fall of the Soviet-Union, Russia still has a lot of influence in some of the countries, and often supports breakaway regions</w:t>
      </w:r>
      <w:r w:rsidR="008F72A6" w:rsidRPr="00D82AA0">
        <w:rPr>
          <w:rStyle w:val="eop"/>
          <w:rFonts w:ascii="Calibri" w:hAnsi="Calibri" w:cs="Calibri"/>
          <w:color w:val="000000"/>
          <w:shd w:val="clear" w:color="auto" w:fill="FFFFFF"/>
          <w:lang w:val="en-US"/>
        </w:rPr>
        <w:t xml:space="preserve"> like Transnistria. There is a lot of discussion about whether post-Soviet states a</w:t>
      </w:r>
      <w:r w:rsidR="0010413A" w:rsidRPr="00D82AA0">
        <w:rPr>
          <w:rStyle w:val="eop"/>
          <w:rFonts w:ascii="Calibri" w:hAnsi="Calibri" w:cs="Calibri"/>
          <w:color w:val="000000"/>
          <w:shd w:val="clear" w:color="auto" w:fill="FFFFFF"/>
          <w:lang w:val="en-US"/>
        </w:rPr>
        <w:t>re subject to post-colonialism</w:t>
      </w:r>
      <w:r w:rsidR="00C62AEF" w:rsidRPr="00D82AA0">
        <w:rPr>
          <w:rStyle w:val="eop"/>
          <w:rFonts w:ascii="Calibri" w:hAnsi="Calibri" w:cs="Calibri"/>
          <w:color w:val="000000"/>
          <w:shd w:val="clear" w:color="auto" w:fill="FFFFFF"/>
          <w:lang w:val="en-US"/>
        </w:rPr>
        <w:t xml:space="preserve">. </w:t>
      </w:r>
      <w:r w:rsidR="0010413A" w:rsidRPr="00D82AA0">
        <w:rPr>
          <w:rStyle w:val="eop"/>
          <w:rFonts w:ascii="Calibri" w:hAnsi="Calibri" w:cs="Calibri"/>
          <w:color w:val="000000"/>
          <w:shd w:val="clear" w:color="auto" w:fill="FFFFFF"/>
          <w:lang w:val="en-US"/>
        </w:rPr>
        <w:t>However,</w:t>
      </w:r>
      <w:r w:rsidR="007806D2">
        <w:rPr>
          <w:rStyle w:val="eop"/>
          <w:rFonts w:ascii="Calibri" w:hAnsi="Calibri" w:cs="Calibri"/>
          <w:color w:val="000000"/>
          <w:shd w:val="clear" w:color="auto" w:fill="FFFFFF"/>
          <w:lang w:val="en-US"/>
        </w:rPr>
        <w:t xml:space="preserve"> when looking at the Soviet-Union as a former colonial power and</w:t>
      </w:r>
      <w:r w:rsidR="0010413A" w:rsidRPr="00D82AA0">
        <w:rPr>
          <w:rStyle w:val="eop"/>
          <w:rFonts w:ascii="Calibri" w:hAnsi="Calibri" w:cs="Calibri"/>
          <w:color w:val="000000"/>
          <w:shd w:val="clear" w:color="auto" w:fill="FFFFFF"/>
          <w:lang w:val="en-US"/>
        </w:rPr>
        <w:t xml:space="preserve"> with regions like Crimea, Transnistria, Abkhazia</w:t>
      </w:r>
      <w:r w:rsidR="008602F4" w:rsidRPr="00D82AA0">
        <w:rPr>
          <w:rStyle w:val="eop"/>
          <w:rFonts w:ascii="Calibri" w:hAnsi="Calibri" w:cs="Calibri"/>
          <w:color w:val="000000"/>
          <w:shd w:val="clear" w:color="auto" w:fill="FFFFFF"/>
          <w:lang w:val="en-US"/>
        </w:rPr>
        <w:t xml:space="preserve"> and South Ossetia</w:t>
      </w:r>
      <w:r w:rsidR="0010413A" w:rsidRPr="00D82AA0">
        <w:rPr>
          <w:rStyle w:val="eop"/>
          <w:rFonts w:ascii="Calibri" w:hAnsi="Calibri" w:cs="Calibri"/>
          <w:color w:val="000000"/>
          <w:shd w:val="clear" w:color="auto" w:fill="FFFFFF"/>
          <w:lang w:val="en-US"/>
        </w:rPr>
        <w:t>, which are all supported by Russia</w:t>
      </w:r>
      <w:r w:rsidR="008602F4" w:rsidRPr="00D82AA0">
        <w:rPr>
          <w:rStyle w:val="eop"/>
          <w:rFonts w:ascii="Calibri" w:hAnsi="Calibri" w:cs="Calibri"/>
          <w:color w:val="000000"/>
          <w:shd w:val="clear" w:color="auto" w:fill="FFFFFF"/>
          <w:lang w:val="en-US"/>
        </w:rPr>
        <w:t xml:space="preserve"> (O’Loughlin et al.,2015)</w:t>
      </w:r>
      <w:r w:rsidR="0010413A" w:rsidRPr="00D82AA0">
        <w:rPr>
          <w:rStyle w:val="eop"/>
          <w:rFonts w:ascii="Calibri" w:hAnsi="Calibri" w:cs="Calibri"/>
          <w:color w:val="000000"/>
          <w:shd w:val="clear" w:color="auto" w:fill="FFFFFF"/>
          <w:lang w:val="en-US"/>
        </w:rPr>
        <w:t xml:space="preserve">, we can speak of post-colonialism in those regions. That is why post-colonialism will be used in this thesis. </w:t>
      </w:r>
    </w:p>
    <w:p w14:paraId="37108B77" w14:textId="4EA98912" w:rsidR="00177396" w:rsidRPr="00D82AA0" w:rsidRDefault="00177396" w:rsidP="003E20A4">
      <w:pPr>
        <w:rPr>
          <w:rFonts w:ascii="Calibri" w:hAnsi="Calibri" w:cs="Calibri"/>
          <w:color w:val="000000"/>
          <w:shd w:val="clear" w:color="auto" w:fill="FFFFFF"/>
          <w:lang w:val="en-US"/>
        </w:rPr>
      </w:pPr>
      <w:r w:rsidRPr="00D82AA0">
        <w:rPr>
          <w:rStyle w:val="eop"/>
          <w:rFonts w:ascii="Calibri" w:hAnsi="Calibri" w:cs="Calibri"/>
          <w:color w:val="000000"/>
          <w:shd w:val="clear" w:color="auto" w:fill="FFFFFF"/>
          <w:lang w:val="en-US"/>
        </w:rPr>
        <w:t xml:space="preserve">As Stuenkel (2015) puts it “Putin continues to engage in imperial pursuits in </w:t>
      </w:r>
      <w:r w:rsidRPr="008E13AE">
        <w:rPr>
          <w:rStyle w:val="eop"/>
          <w:rFonts w:ascii="Calibri" w:hAnsi="Calibri" w:cs="Calibri"/>
          <w:noProof/>
          <w:color w:val="000000"/>
          <w:shd w:val="clear" w:color="auto" w:fill="FFFFFF"/>
          <w:lang w:val="en-US"/>
        </w:rPr>
        <w:t>its ‘</w:t>
      </w:r>
      <w:r w:rsidRPr="00D82AA0">
        <w:rPr>
          <w:rStyle w:val="eop"/>
          <w:rFonts w:ascii="Calibri" w:hAnsi="Calibri" w:cs="Calibri"/>
          <w:color w:val="000000"/>
          <w:shd w:val="clear" w:color="auto" w:fill="FFFFFF"/>
          <w:lang w:val="en-US"/>
        </w:rPr>
        <w:t xml:space="preserve">near abroad’, explicitly relying on the Soviet legacy to secure and expand its ‘spheres of influence’. Contemporary Russian identity critically depends on its (post)imperial self-image as a great power, where greatness is still defined by referring to the Soviet past.” </w:t>
      </w:r>
    </w:p>
    <w:p w14:paraId="6FE509A7" w14:textId="19D6128B" w:rsidR="003E20A4" w:rsidRPr="00D82AA0" w:rsidRDefault="003E20A4" w:rsidP="00070AF7">
      <w:pPr>
        <w:pStyle w:val="Kop4"/>
        <w:numPr>
          <w:ilvl w:val="2"/>
          <w:numId w:val="1"/>
        </w:numPr>
        <w:rPr>
          <w:lang w:val="en-US"/>
        </w:rPr>
      </w:pPr>
      <w:r w:rsidRPr="00D82AA0">
        <w:rPr>
          <w:lang w:val="en-US"/>
        </w:rPr>
        <w:lastRenderedPageBreak/>
        <w:t>Neo-Imperialism</w:t>
      </w:r>
    </w:p>
    <w:p w14:paraId="73E35394" w14:textId="4D36C485" w:rsidR="008602F4" w:rsidRPr="00D82AA0" w:rsidRDefault="00111D69" w:rsidP="00A6571D">
      <w:pPr>
        <w:rPr>
          <w:lang w:val="en-US"/>
        </w:rPr>
      </w:pPr>
      <w:r w:rsidRPr="00D82AA0">
        <w:rPr>
          <w:lang w:val="en-US"/>
        </w:rPr>
        <w:t xml:space="preserve">The term neo-imperialism is increasingly being used instead of neo-colonialism. With </w:t>
      </w:r>
      <w:r w:rsidRPr="008E13AE">
        <w:rPr>
          <w:noProof/>
          <w:lang w:val="en-US"/>
        </w:rPr>
        <w:t>neo-imperialism</w:t>
      </w:r>
      <w:r w:rsidR="008E13AE">
        <w:rPr>
          <w:noProof/>
          <w:lang w:val="en-US"/>
        </w:rPr>
        <w:t>,</w:t>
      </w:r>
      <w:r w:rsidRPr="00D82AA0">
        <w:rPr>
          <w:lang w:val="en-US"/>
        </w:rPr>
        <w:t xml:space="preserve"> there is a focus on the ongoing control over developing countries by globalized capitalist economies such as the United States and </w:t>
      </w:r>
      <w:r w:rsidR="005931E0">
        <w:rPr>
          <w:lang w:val="en-US"/>
        </w:rPr>
        <w:t>W</w:t>
      </w:r>
      <w:r w:rsidRPr="00D82AA0">
        <w:rPr>
          <w:lang w:val="en-US"/>
        </w:rPr>
        <w:t xml:space="preserve">estern European Countries (Ashcroft et al., 2007).  </w:t>
      </w:r>
    </w:p>
    <w:p w14:paraId="2D36D504" w14:textId="4B4F5A70" w:rsidR="00841B47" w:rsidRPr="00D82AA0" w:rsidRDefault="00111D69" w:rsidP="00A6571D">
      <w:pPr>
        <w:rPr>
          <w:lang w:val="en-US"/>
        </w:rPr>
      </w:pPr>
      <w:r w:rsidRPr="00D82AA0">
        <w:rPr>
          <w:lang w:val="en-US"/>
        </w:rPr>
        <w:t xml:space="preserve">The ways in which the EU is extending their governmentality leads to scholars claiming the EU is engaging in neo-imperial practices. </w:t>
      </w:r>
      <w:r w:rsidR="00BF01C5" w:rsidRPr="00D82AA0">
        <w:rPr>
          <w:lang w:val="en-US"/>
        </w:rPr>
        <w:t xml:space="preserve">As Scott (2015) puts it, European border practices lead to the upcoming question whether the EU is engaging in post-colonial or neo-imperial bordering practices. This could result in seeing the EU as a “quasi-empire, as a new supranational body that uses its considerable power to structure the world and, in particular, its more immediate region.” Besides that, Borocz (2001) points out that </w:t>
      </w:r>
    </w:p>
    <w:p w14:paraId="09BDC826" w14:textId="45E85E49" w:rsidR="00BF01C5" w:rsidRPr="00D82AA0" w:rsidRDefault="00841B47" w:rsidP="00841B47">
      <w:pPr>
        <w:ind w:firstLine="708"/>
        <w:rPr>
          <w:lang w:val="en-US"/>
        </w:rPr>
      </w:pPr>
      <w:r w:rsidRPr="00D82AA0">
        <w:rPr>
          <w:lang w:val="en-US"/>
        </w:rPr>
        <w:t xml:space="preserve">“any analysis of the European Union’s behaviour vis-à-vis the surrounding world should seriously consider two empirical expectations: (1) that the formation of the EU might </w:t>
      </w:r>
      <w:r w:rsidRPr="008E13AE">
        <w:rPr>
          <w:noProof/>
          <w:lang w:val="en-US"/>
        </w:rPr>
        <w:t>in fact</w:t>
      </w:r>
      <w:r w:rsidRPr="00D82AA0">
        <w:rPr>
          <w:lang w:val="en-US"/>
        </w:rPr>
        <w:t xml:space="preserve"> represent a global imperial strategy of sorts, and (2) that the specific histories of colonialism and empire, with their deeply coded and set patterns of inequality, hierarchy, exclusion and power – and especially their techniques pertaining to the projection of that power to the outside world – are reflected in a deep and systematic form in the socio-cultural patterns of the governmentality of the European Union.”</w:t>
      </w:r>
    </w:p>
    <w:p w14:paraId="13D5E7AE" w14:textId="38BBE15D" w:rsidR="00841B47" w:rsidRPr="00D82AA0" w:rsidRDefault="00841B47" w:rsidP="00841B47">
      <w:pPr>
        <w:rPr>
          <w:lang w:val="en-US"/>
        </w:rPr>
      </w:pPr>
      <w:r w:rsidRPr="00D82AA0">
        <w:rPr>
          <w:lang w:val="en-US"/>
        </w:rPr>
        <w:t>Hereafter, he point</w:t>
      </w:r>
      <w:r w:rsidR="005931E0">
        <w:rPr>
          <w:lang w:val="en-US"/>
        </w:rPr>
        <w:t>s out that the majority of the W</w:t>
      </w:r>
      <w:r w:rsidRPr="00D82AA0">
        <w:rPr>
          <w:lang w:val="en-US"/>
        </w:rPr>
        <w:t>estern European countries were large imperial and colonial centres in the past. “Eastern Enlargement” is the name he gives to the geopolitical process “wherein the European Union explicitly and repeatedly rethinks the question of its borders and constantly refashions its relation to its immediate hinterland by a multidimensional system of dependence (Borocz, 2001).”</w:t>
      </w:r>
    </w:p>
    <w:p w14:paraId="0FFBCC4D" w14:textId="3CF5ED23" w:rsidR="00111D69" w:rsidRPr="00D82AA0" w:rsidRDefault="00111D69" w:rsidP="00841B47">
      <w:pPr>
        <w:rPr>
          <w:lang w:val="en-US"/>
        </w:rPr>
      </w:pPr>
      <w:r w:rsidRPr="00D82AA0">
        <w:rPr>
          <w:lang w:val="en-US"/>
        </w:rPr>
        <w:t xml:space="preserve">Regarding this thesis, neo-imperialism can be applied to the fact that the EU keeps on expanding to the east, with Moldova wanting to become an EU member state. Although Moldova is not at all a member state yet, the EU does have several policies through which they try and make Moldova act like a member state. </w:t>
      </w:r>
    </w:p>
    <w:p w14:paraId="75144AB7" w14:textId="3B48F1D2" w:rsidR="00A6571D" w:rsidRPr="00D82AA0" w:rsidRDefault="006662E7" w:rsidP="00070AF7">
      <w:pPr>
        <w:pStyle w:val="Kop2"/>
        <w:numPr>
          <w:ilvl w:val="1"/>
          <w:numId w:val="1"/>
        </w:numPr>
        <w:rPr>
          <w:lang w:val="en-US"/>
        </w:rPr>
      </w:pPr>
      <w:bookmarkStart w:id="25" w:name="_Toc517985344"/>
      <w:r w:rsidRPr="00D82AA0">
        <w:rPr>
          <w:lang w:val="en-US"/>
        </w:rPr>
        <w:lastRenderedPageBreak/>
        <w:t xml:space="preserve">De facto </w:t>
      </w:r>
      <w:r w:rsidR="008602F4" w:rsidRPr="00D82AA0">
        <w:rPr>
          <w:lang w:val="en-US"/>
        </w:rPr>
        <w:t>states</w:t>
      </w:r>
      <w:r w:rsidRPr="00D82AA0">
        <w:rPr>
          <w:lang w:val="en-US"/>
        </w:rPr>
        <w:t xml:space="preserve"> and the current state of Transnistria</w:t>
      </w:r>
      <w:bookmarkEnd w:id="25"/>
    </w:p>
    <w:p w14:paraId="35101380" w14:textId="1509DEDF" w:rsidR="00F23060" w:rsidRPr="00D82AA0" w:rsidRDefault="00EC1841" w:rsidP="00070AF7">
      <w:pPr>
        <w:pStyle w:val="Kop4"/>
        <w:numPr>
          <w:ilvl w:val="2"/>
          <w:numId w:val="1"/>
        </w:numPr>
        <w:rPr>
          <w:lang w:val="en-US"/>
        </w:rPr>
      </w:pPr>
      <w:r w:rsidRPr="00D82AA0">
        <w:rPr>
          <w:lang w:val="en-US"/>
        </w:rPr>
        <w:t>De Facto States</w:t>
      </w:r>
    </w:p>
    <w:p w14:paraId="6B667A74" w14:textId="518FD3BF" w:rsidR="003D2973" w:rsidRPr="00D82AA0" w:rsidRDefault="003D2973" w:rsidP="00EC1841">
      <w:pPr>
        <w:rPr>
          <w:szCs w:val="22"/>
          <w:lang w:val="en-US"/>
        </w:rPr>
      </w:pPr>
      <w:r w:rsidRPr="00D82AA0">
        <w:rPr>
          <w:lang w:val="en-US"/>
        </w:rPr>
        <w:t xml:space="preserve">After the fall of the Soviet Union, there were several former Soviet regions which declared themselves independent. </w:t>
      </w:r>
      <w:r w:rsidR="006662E7" w:rsidRPr="00D82AA0">
        <w:rPr>
          <w:lang w:val="en-US"/>
        </w:rPr>
        <w:t xml:space="preserve">However, these so-called de facto states are not recognized by other states, not taking </w:t>
      </w:r>
      <w:r w:rsidR="006662E7" w:rsidRPr="008E13AE">
        <w:rPr>
          <w:noProof/>
          <w:lang w:val="en-US"/>
        </w:rPr>
        <w:t>in</w:t>
      </w:r>
      <w:r w:rsidR="008E13AE">
        <w:rPr>
          <w:noProof/>
          <w:lang w:val="en-US"/>
        </w:rPr>
        <w:t>to</w:t>
      </w:r>
      <w:r w:rsidR="006662E7" w:rsidRPr="00D82AA0">
        <w:rPr>
          <w:lang w:val="en-US"/>
        </w:rPr>
        <w:t xml:space="preserve"> account several exceptions, which will be discussed later. </w:t>
      </w:r>
      <w:r w:rsidR="00DC1D67" w:rsidRPr="00D82AA0">
        <w:rPr>
          <w:lang w:val="en-US"/>
        </w:rPr>
        <w:t xml:space="preserve">There are also a lot of other names for de facto states, such as unrecognized states, </w:t>
      </w:r>
      <w:r w:rsidR="00DC1D67" w:rsidRPr="008E13AE">
        <w:rPr>
          <w:noProof/>
          <w:lang w:val="en-US"/>
        </w:rPr>
        <w:t>para states</w:t>
      </w:r>
      <w:r w:rsidR="00DC1D67" w:rsidRPr="00D82AA0">
        <w:rPr>
          <w:lang w:val="en-US"/>
        </w:rPr>
        <w:t xml:space="preserve">, pseudo-states, and quasi-states (Kolstø, 2006). </w:t>
      </w:r>
      <w:r w:rsidR="00DC1D67" w:rsidRPr="00D82AA0">
        <w:rPr>
          <w:szCs w:val="22"/>
          <w:lang w:val="en-US"/>
        </w:rPr>
        <w:t xml:space="preserve">Kolstø (2006) distinguishes three criteria for regions to be called a quasi-state. “Its leadership must be in control of (most of) the territory it lays claim to, and it must have sought but not achieved international recognition as an independent state. Finally, to eliminate a whole spate of ephemeral political contraptions, I exclude those that have persisted in this state of non-recognition for less than two years.” </w:t>
      </w:r>
    </w:p>
    <w:p w14:paraId="73D142D9" w14:textId="6E8465C9" w:rsidR="00671352" w:rsidRPr="00D82AA0" w:rsidRDefault="00671352" w:rsidP="003D2973">
      <w:pPr>
        <w:rPr>
          <w:szCs w:val="22"/>
          <w:lang w:val="en-US"/>
        </w:rPr>
      </w:pPr>
      <w:r w:rsidRPr="00D82AA0">
        <w:rPr>
          <w:szCs w:val="22"/>
          <w:lang w:val="en-US"/>
        </w:rPr>
        <w:t>Kolossov &amp; O’Loughlin (</w:t>
      </w:r>
      <w:r w:rsidR="00F23060" w:rsidRPr="00D82AA0">
        <w:rPr>
          <w:szCs w:val="22"/>
          <w:lang w:val="en-US"/>
        </w:rPr>
        <w:t>1998</w:t>
      </w:r>
      <w:r w:rsidRPr="00D82AA0">
        <w:rPr>
          <w:szCs w:val="22"/>
          <w:lang w:val="en-US"/>
        </w:rPr>
        <w:t>) describe different</w:t>
      </w:r>
      <w:r w:rsidR="00E7423C" w:rsidRPr="00D82AA0">
        <w:rPr>
          <w:szCs w:val="22"/>
          <w:lang w:val="en-US"/>
        </w:rPr>
        <w:t xml:space="preserve"> classifications of</w:t>
      </w:r>
      <w:r w:rsidRPr="00D82AA0">
        <w:rPr>
          <w:szCs w:val="22"/>
          <w:lang w:val="en-US"/>
        </w:rPr>
        <w:t xml:space="preserve"> categories of pseudo-states. Firstly</w:t>
      </w:r>
      <w:r w:rsidR="00E7423C" w:rsidRPr="00D82AA0">
        <w:rPr>
          <w:szCs w:val="22"/>
          <w:lang w:val="en-US"/>
        </w:rPr>
        <w:t xml:space="preserve">, they differentiate between institutionalized- and non-institutionalized pseudo-states. </w:t>
      </w:r>
      <w:r w:rsidR="00F23060" w:rsidRPr="00D82AA0">
        <w:rPr>
          <w:szCs w:val="22"/>
          <w:lang w:val="en-US"/>
        </w:rPr>
        <w:t>I</w:t>
      </w:r>
      <w:r w:rsidRPr="00D82AA0">
        <w:rPr>
          <w:szCs w:val="22"/>
          <w:lang w:val="en-US"/>
        </w:rPr>
        <w:t xml:space="preserve">nstitutionalized pseudo-states </w:t>
      </w:r>
      <w:r w:rsidR="00E7423C" w:rsidRPr="00D82AA0">
        <w:rPr>
          <w:szCs w:val="22"/>
          <w:lang w:val="en-US"/>
        </w:rPr>
        <w:t xml:space="preserve">“have all necessary attributes of a ‘normal’ state, and are in full control of their territories. However, these pseudo-states are not recognized by the international community or by most neighbouring states.” Transnistria is part of this category. The second category </w:t>
      </w:r>
      <w:r w:rsidR="008E13AE">
        <w:rPr>
          <w:noProof/>
          <w:szCs w:val="22"/>
          <w:lang w:val="en-US"/>
        </w:rPr>
        <w:t>is</w:t>
      </w:r>
      <w:r w:rsidR="00E7423C" w:rsidRPr="00D82AA0">
        <w:rPr>
          <w:szCs w:val="22"/>
          <w:lang w:val="en-US"/>
        </w:rPr>
        <w:t xml:space="preserve"> the non-institutionalized pseudo-states. “These geopolitical black holes represent a conglomerate of areas under the authority of local chiefs, field commanders, big landowners and/or drug barons, etc. These local leaders can cooperate but cannot conduct </w:t>
      </w:r>
      <w:r w:rsidR="008E13AE">
        <w:rPr>
          <w:szCs w:val="22"/>
          <w:lang w:val="en-US"/>
        </w:rPr>
        <w:t xml:space="preserve">a </w:t>
      </w:r>
      <w:r w:rsidR="00E7423C" w:rsidRPr="008E13AE">
        <w:rPr>
          <w:noProof/>
          <w:szCs w:val="22"/>
          <w:lang w:val="en-US"/>
        </w:rPr>
        <w:t>war</w:t>
      </w:r>
      <w:r w:rsidR="00E7423C" w:rsidRPr="00D82AA0">
        <w:rPr>
          <w:szCs w:val="22"/>
          <w:lang w:val="en-US"/>
        </w:rPr>
        <w:t xml:space="preserve"> of ‘all against all’, and are thus half-institutionalized since they are unlikely to control their territory permanently.”  </w:t>
      </w:r>
    </w:p>
    <w:p w14:paraId="10EEC5B4" w14:textId="1F1DD93B" w:rsidR="00F23060" w:rsidRPr="00D82AA0" w:rsidRDefault="00F23060" w:rsidP="003D2973">
      <w:pPr>
        <w:rPr>
          <w:szCs w:val="22"/>
          <w:lang w:val="en-US"/>
        </w:rPr>
      </w:pPr>
      <w:r w:rsidRPr="00D82AA0">
        <w:rPr>
          <w:szCs w:val="22"/>
          <w:lang w:val="en-US"/>
        </w:rPr>
        <w:t xml:space="preserve">Another way of classifying pseudo-states is by </w:t>
      </w:r>
      <w:r w:rsidRPr="008E13AE">
        <w:rPr>
          <w:noProof/>
          <w:szCs w:val="22"/>
          <w:lang w:val="en-US"/>
        </w:rPr>
        <w:t>genesis</w:t>
      </w:r>
      <w:r w:rsidRPr="00D82AA0">
        <w:rPr>
          <w:szCs w:val="22"/>
          <w:lang w:val="en-US"/>
        </w:rPr>
        <w:t xml:space="preserve"> and functions. Kolossov &amp; O’Loughlin (1998) identify the following examples: “1) self-identification of an area with a specific nationality; 2) the splintering of an empire or large multi-national state; 3) areas of conflict with no permanent control as a result of a civil war and/or a foreign military intervention; and 4) effective pirate states based on criminal-terrorist activities.” </w:t>
      </w:r>
    </w:p>
    <w:p w14:paraId="413966ED" w14:textId="585E9E09" w:rsidR="00EC1841" w:rsidRPr="00D82AA0" w:rsidRDefault="00EC1841" w:rsidP="003D2973">
      <w:pPr>
        <w:rPr>
          <w:szCs w:val="22"/>
          <w:lang w:val="en-US"/>
        </w:rPr>
      </w:pPr>
      <w:r w:rsidRPr="00D82AA0">
        <w:rPr>
          <w:szCs w:val="22"/>
          <w:lang w:val="en-US"/>
        </w:rPr>
        <w:t xml:space="preserve">According to O’Loughlin et al. (2015), “de facto” is now the consensus term for “political entities that have achieved enduring internal sovereignty but lack widespread external sovereignty in the international system. In the Soviet region, Kolossov &amp; O’Loughlin (1998) saw the rise of de facto </w:t>
      </w:r>
      <w:r w:rsidRPr="00D82AA0">
        <w:rPr>
          <w:szCs w:val="22"/>
          <w:lang w:val="en-US"/>
        </w:rPr>
        <w:lastRenderedPageBreak/>
        <w:t xml:space="preserve">states after the collapse of the Soviet Union as a consequence of failed state-making in the countries that evolved out of this collapse. Minority groups who were and still are dissatisfied with the limitations on their cultural and economic expression have been trying to create their own states. </w:t>
      </w:r>
    </w:p>
    <w:p w14:paraId="40E1B1AF" w14:textId="642CCAD3" w:rsidR="000B7F36" w:rsidRPr="00D82AA0" w:rsidRDefault="000B7F36" w:rsidP="003D2973">
      <w:pPr>
        <w:rPr>
          <w:szCs w:val="22"/>
          <w:lang w:val="en-US"/>
        </w:rPr>
      </w:pPr>
      <w:r w:rsidRPr="00D82AA0">
        <w:rPr>
          <w:szCs w:val="22"/>
          <w:lang w:val="en-US"/>
        </w:rPr>
        <w:t xml:space="preserve">As has been said before, there are several de facto states near Russia. These are Transnistria in Moldova, Abkhazia and South Ossetia in Georgia and Nagorno-Karabakh in Azerbaijan. The first three are all supported by Russia, which makes Russia their ‘patron state’ (Kolossov et al., 2015). </w:t>
      </w:r>
      <w:r w:rsidR="003953F6" w:rsidRPr="00D82AA0">
        <w:rPr>
          <w:szCs w:val="22"/>
          <w:lang w:val="en-US"/>
        </w:rPr>
        <w:t>However, South Ossetia and Abkhazia are recognized states by Russia, but Transnistria is not (Kolossov et al., 2015), which makes their situation even more difficult.</w:t>
      </w:r>
      <w:r w:rsidRPr="00D82AA0">
        <w:rPr>
          <w:szCs w:val="22"/>
          <w:lang w:val="en-US"/>
        </w:rPr>
        <w:t xml:space="preserve">  </w:t>
      </w:r>
    </w:p>
    <w:p w14:paraId="7ED5CBCE" w14:textId="745FFCB9" w:rsidR="0069272F" w:rsidRPr="00D82AA0" w:rsidRDefault="008E13AE" w:rsidP="00070AF7">
      <w:pPr>
        <w:pStyle w:val="Kop4"/>
        <w:numPr>
          <w:ilvl w:val="2"/>
          <w:numId w:val="1"/>
        </w:numPr>
        <w:rPr>
          <w:lang w:val="en-US"/>
        </w:rPr>
      </w:pPr>
      <w:r>
        <w:rPr>
          <w:noProof/>
          <w:lang w:val="en-US"/>
        </w:rPr>
        <w:t>The c</w:t>
      </w:r>
      <w:r w:rsidR="000B7F36" w:rsidRPr="008E13AE">
        <w:rPr>
          <w:noProof/>
          <w:lang w:val="en-US"/>
        </w:rPr>
        <w:t>urrent</w:t>
      </w:r>
      <w:r w:rsidR="000B7F36" w:rsidRPr="00D82AA0">
        <w:rPr>
          <w:lang w:val="en-US"/>
        </w:rPr>
        <w:t xml:space="preserve"> state of Transnistria</w:t>
      </w:r>
    </w:p>
    <w:p w14:paraId="1D90F800" w14:textId="1537B044" w:rsidR="0005441C" w:rsidRPr="00D82AA0" w:rsidRDefault="003953F6" w:rsidP="0005441C">
      <w:pPr>
        <w:rPr>
          <w:lang w:val="en-US"/>
        </w:rPr>
      </w:pPr>
      <w:r w:rsidRPr="008E13AE">
        <w:rPr>
          <w:noProof/>
          <w:lang w:val="en-US"/>
        </w:rPr>
        <w:t>Transnistria,</w:t>
      </w:r>
      <w:r w:rsidRPr="00D82AA0">
        <w:rPr>
          <w:lang w:val="en-US"/>
        </w:rPr>
        <w:t xml:space="preserve"> officially called The Pridnestrovien Moldavian Republic (PMR), </w:t>
      </w:r>
      <w:r w:rsidR="00F649CF" w:rsidRPr="00D82AA0">
        <w:rPr>
          <w:lang w:val="en-US"/>
        </w:rPr>
        <w:t>has a population of 555.000 people, largely begin made up out of</w:t>
      </w:r>
      <w:r w:rsidRPr="00D82AA0">
        <w:rPr>
          <w:lang w:val="en-US"/>
        </w:rPr>
        <w:t xml:space="preserve"> </w:t>
      </w:r>
      <w:r w:rsidR="00F649CF" w:rsidRPr="00D82AA0">
        <w:rPr>
          <w:lang w:val="en-US"/>
        </w:rPr>
        <w:t xml:space="preserve">Moldovans (31,9%), Russians (30,4%) and Ukrainians (28,8%) (Ministry of Foreign Affairs of PMR, n.d.). However, these statistics are debatable, </w:t>
      </w:r>
      <w:r w:rsidR="0005441C" w:rsidRPr="00D82AA0">
        <w:rPr>
          <w:lang w:val="en-US"/>
        </w:rPr>
        <w:t xml:space="preserve">since Kolossov et al. (2015) stated that Transnistria had 505.000 inhabitants and that this amount was still decreasing, as can be seen in </w:t>
      </w:r>
      <w:r w:rsidR="0005441C" w:rsidRPr="008E09DC">
        <w:rPr>
          <w:lang w:val="en-US"/>
        </w:rPr>
        <w:t>figure</w:t>
      </w:r>
      <w:r w:rsidR="000C12F0" w:rsidRPr="008E09DC">
        <w:rPr>
          <w:lang w:val="en-US"/>
        </w:rPr>
        <w:t xml:space="preserve"> 1</w:t>
      </w:r>
      <w:r w:rsidR="0005441C" w:rsidRPr="00D82AA0">
        <w:rPr>
          <w:lang w:val="en-US"/>
        </w:rPr>
        <w:t xml:space="preserve">. </w:t>
      </w:r>
      <w:r w:rsidR="000C12F0" w:rsidRPr="00D82AA0">
        <w:rPr>
          <w:lang w:val="en-US"/>
        </w:rPr>
        <w:t xml:space="preserve">However, it is notable that, looking at populations, Transnistria is the biggest of the four de facto states discussed in the last paragraph. </w:t>
      </w:r>
    </w:p>
    <w:p w14:paraId="44229049" w14:textId="73C9BE28" w:rsidR="0005441C" w:rsidRPr="00D82AA0" w:rsidRDefault="0005441C" w:rsidP="0005441C">
      <w:pPr>
        <w:keepNext/>
        <w:rPr>
          <w:lang w:val="en-US"/>
        </w:rPr>
      </w:pPr>
      <w:r w:rsidRPr="00D82AA0">
        <w:rPr>
          <w:noProof/>
          <w:lang w:eastAsia="nl-NL"/>
        </w:rPr>
        <w:drawing>
          <wp:inline distT="0" distB="0" distL="0" distR="0" wp14:anchorId="1EEA9776" wp14:editId="0C829328">
            <wp:extent cx="5579745" cy="2620010"/>
            <wp:effectExtent l="0" t="0" r="1905"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5820"/>
                    <a:stretch/>
                  </pic:blipFill>
                  <pic:spPr bwMode="auto">
                    <a:xfrm>
                      <a:off x="0" y="0"/>
                      <a:ext cx="5579745" cy="2620010"/>
                    </a:xfrm>
                    <a:prstGeom prst="rect">
                      <a:avLst/>
                    </a:prstGeom>
                    <a:ln>
                      <a:noFill/>
                    </a:ln>
                    <a:extLst>
                      <a:ext uri="{53640926-AAD7-44D8-BBD7-CCE9431645EC}">
                        <a14:shadowObscured xmlns:a14="http://schemas.microsoft.com/office/drawing/2010/main"/>
                      </a:ext>
                    </a:extLst>
                  </pic:spPr>
                </pic:pic>
              </a:graphicData>
            </a:graphic>
          </wp:inline>
        </w:drawing>
      </w:r>
    </w:p>
    <w:p w14:paraId="7D06133D" w14:textId="634379D4" w:rsidR="0005441C" w:rsidRPr="00D82AA0" w:rsidRDefault="0005441C" w:rsidP="0005441C">
      <w:pPr>
        <w:pStyle w:val="Bijschrift"/>
        <w:rPr>
          <w:color w:val="auto"/>
          <w:sz w:val="18"/>
          <w:lang w:val="en-US"/>
        </w:rPr>
      </w:pPr>
      <w:r w:rsidRPr="00D82AA0">
        <w:rPr>
          <w:color w:val="auto"/>
          <w:sz w:val="18"/>
          <w:lang w:val="en-US"/>
        </w:rPr>
        <w:t xml:space="preserve">Figure </w:t>
      </w:r>
      <w:r w:rsidRPr="00D82AA0">
        <w:rPr>
          <w:color w:val="auto"/>
          <w:sz w:val="18"/>
          <w:lang w:val="en-US"/>
        </w:rPr>
        <w:fldChar w:fldCharType="begin"/>
      </w:r>
      <w:r w:rsidRPr="00D82AA0">
        <w:rPr>
          <w:color w:val="auto"/>
          <w:sz w:val="18"/>
          <w:lang w:val="en-US"/>
        </w:rPr>
        <w:instrText xml:space="preserve"> SEQ Figure \* ARABIC </w:instrText>
      </w:r>
      <w:r w:rsidRPr="00D82AA0">
        <w:rPr>
          <w:color w:val="auto"/>
          <w:sz w:val="18"/>
          <w:lang w:val="en-US"/>
        </w:rPr>
        <w:fldChar w:fldCharType="separate"/>
      </w:r>
      <w:r w:rsidR="007B6DBA">
        <w:rPr>
          <w:noProof/>
          <w:color w:val="auto"/>
          <w:sz w:val="18"/>
          <w:lang w:val="en-US"/>
        </w:rPr>
        <w:t>1</w:t>
      </w:r>
      <w:r w:rsidRPr="00D82AA0">
        <w:rPr>
          <w:color w:val="auto"/>
          <w:sz w:val="18"/>
          <w:lang w:val="en-US"/>
        </w:rPr>
        <w:fldChar w:fldCharType="end"/>
      </w:r>
      <w:r w:rsidRPr="00D82AA0">
        <w:rPr>
          <w:color w:val="auto"/>
          <w:sz w:val="18"/>
          <w:lang w:val="en-US"/>
        </w:rPr>
        <w:t xml:space="preserve"> Summarizing data of the de facto states (Kolossov et al., 2015).</w:t>
      </w:r>
    </w:p>
    <w:p w14:paraId="68CE6A58" w14:textId="69BCD4E1" w:rsidR="0005441C" w:rsidRPr="00D82AA0" w:rsidRDefault="000C12F0" w:rsidP="0005441C">
      <w:pPr>
        <w:rPr>
          <w:lang w:val="en-US"/>
        </w:rPr>
      </w:pPr>
      <w:r w:rsidRPr="00D82AA0">
        <w:rPr>
          <w:lang w:val="en-US"/>
        </w:rPr>
        <w:lastRenderedPageBreak/>
        <w:t xml:space="preserve">Transnistria borders Moldova to the west and Ukraine to the </w:t>
      </w:r>
      <w:r w:rsidR="005931E0">
        <w:rPr>
          <w:noProof/>
          <w:lang w:val="en-US"/>
        </w:rPr>
        <w:t>e</w:t>
      </w:r>
      <w:r w:rsidRPr="008E13AE">
        <w:rPr>
          <w:noProof/>
          <w:lang w:val="en-US"/>
        </w:rPr>
        <w:t>ast</w:t>
      </w:r>
      <w:r w:rsidRPr="00D82AA0">
        <w:rPr>
          <w:lang w:val="en-US"/>
        </w:rPr>
        <w:t xml:space="preserve"> and thus has no border with Russia, which Abkhazia and South Ossetia do have. </w:t>
      </w:r>
      <w:r w:rsidR="00F511FA" w:rsidRPr="00D82AA0">
        <w:rPr>
          <w:lang w:val="en-US"/>
        </w:rPr>
        <w:t xml:space="preserve">The capital city is Tiraspol and, although there has been a lot of conflicts about the official language in the past, Transnistria now has three official languages which are Moldavian, Russian and Ukrainian (Ministry of Foreign Affairs of PMR, n.d.). </w:t>
      </w:r>
      <w:r w:rsidRPr="00D82AA0">
        <w:rPr>
          <w:lang w:val="en-US"/>
        </w:rPr>
        <w:t xml:space="preserve"> </w:t>
      </w:r>
    </w:p>
    <w:p w14:paraId="68500018" w14:textId="590B6AA4" w:rsidR="00F511FA" w:rsidRPr="00D82AA0" w:rsidRDefault="00132A97" w:rsidP="0005441C">
      <w:pPr>
        <w:rPr>
          <w:lang w:val="en-US"/>
        </w:rPr>
      </w:pPr>
      <w:r w:rsidRPr="00D82AA0">
        <w:rPr>
          <w:lang w:val="en-US"/>
        </w:rPr>
        <w:t>Transnistri</w:t>
      </w:r>
      <w:r w:rsidR="00255847" w:rsidRPr="00D82AA0">
        <w:rPr>
          <w:lang w:val="en-US"/>
        </w:rPr>
        <w:t>a declares itself a “sovereign, independent, democratic, legal and secular state, with its own Constitution, controlled territory, legislation, market economy, developed financial and tax systems, modern communications infrastructure, army, militia, security service, national flag, coat-of-arms, and anthem</w:t>
      </w:r>
      <w:r w:rsidRPr="00D82AA0">
        <w:rPr>
          <w:lang w:val="en-US"/>
        </w:rPr>
        <w:t xml:space="preserve"> (Ministry of Foreign Affairs of PMR, n.d.)</w:t>
      </w:r>
      <w:r w:rsidR="00255847" w:rsidRPr="00D82AA0">
        <w:rPr>
          <w:lang w:val="en-US"/>
        </w:rPr>
        <w:t>.”</w:t>
      </w:r>
      <w:r w:rsidRPr="00D82AA0">
        <w:rPr>
          <w:lang w:val="en-US"/>
        </w:rPr>
        <w:t xml:space="preserve"> Besides </w:t>
      </w:r>
      <w:r w:rsidRPr="008E13AE">
        <w:rPr>
          <w:noProof/>
          <w:lang w:val="en-US"/>
        </w:rPr>
        <w:t>that</w:t>
      </w:r>
      <w:r w:rsidR="008E13AE">
        <w:rPr>
          <w:noProof/>
          <w:lang w:val="en-US"/>
        </w:rPr>
        <w:t>,</w:t>
      </w:r>
      <w:r w:rsidRPr="00D82AA0">
        <w:rPr>
          <w:lang w:val="en-US"/>
        </w:rPr>
        <w:t xml:space="preserve"> they claim to have a fully functioning government and civil service. However, in 2017, Transnistria scored 24/100 at the Freedom in the World Score, </w:t>
      </w:r>
      <w:r w:rsidR="00085179" w:rsidRPr="00D82AA0">
        <w:rPr>
          <w:lang w:val="en-US"/>
        </w:rPr>
        <w:t>developed by Freedom House, which declared Transnistria’s Freedom Status ‘not free’. The reasons why are multiple. “Its government and economy are heavily dependent on subsidies from Russia, which maintains a military presence in the territory. Political competition is limited, and the dominant party is aligned with Sheriff Enterprises, a monopolistic business conglomerate that is Transnistria’s largest employer and taxpayer. Nearly all media outlets are controlled by the state or Sheriff Enterprises, and all civil society activities must be coordinated with local authorities. The justice system features arbitrary or politically motivated arrests, harsh prison conditions, and reports of torture. The ethnic Moldovan (Romanian speaking) minority faces discrimination, and same-sex sexual activity is illegal (Freedom House, 2018).”</w:t>
      </w:r>
    </w:p>
    <w:p w14:paraId="0BB1CAE9" w14:textId="0C071913" w:rsidR="00F8629A" w:rsidRPr="00D82AA0" w:rsidRDefault="004564D6" w:rsidP="0005441C">
      <w:pPr>
        <w:rPr>
          <w:lang w:val="en-US"/>
        </w:rPr>
      </w:pPr>
      <w:r w:rsidRPr="00D82AA0">
        <w:rPr>
          <w:lang w:val="en-US"/>
        </w:rPr>
        <w:t>Economically speaking, Transnistria does not seem to be able to function on its own, due to low demographic potential, a small domestic market and the lack of raw material resources. They are very dependent on Russian funds and Russia is not interested in Transnistria’s economy to become self-sufficient because now they can keep their influence and control Transnistria</w:t>
      </w:r>
      <w:r w:rsidR="00FD50D4" w:rsidRPr="00D82AA0">
        <w:rPr>
          <w:lang w:val="en-US"/>
        </w:rPr>
        <w:t>. Besides that, their Transnistrian rouble is not recognized in any other country which makes it not exchangeable on the international market</w:t>
      </w:r>
      <w:r w:rsidRPr="00D82AA0">
        <w:rPr>
          <w:lang w:val="en-US"/>
        </w:rPr>
        <w:t xml:space="preserve"> (Ca</w:t>
      </w:r>
      <w:r w:rsidRPr="00D82AA0">
        <w:rPr>
          <w:rFonts w:cstheme="minorHAnsi"/>
          <w:lang w:val="en-US"/>
        </w:rPr>
        <w:t>ł</w:t>
      </w:r>
      <w:r w:rsidRPr="00D82AA0">
        <w:rPr>
          <w:lang w:val="en-US"/>
        </w:rPr>
        <w:t xml:space="preserve">us, 2013). </w:t>
      </w:r>
      <w:r w:rsidR="002E4D94" w:rsidRPr="00D82AA0">
        <w:rPr>
          <w:lang w:val="en-US"/>
        </w:rPr>
        <w:t>The economy of Transnistria is based on four large industrial plants in different sectors, steel, textiles, cement and electricity. 95% of the production from these plants gets exported. The Sheriff Group takes a special place in Transnistria’s economy. It is the biggest employer, owning more than ten firms and plants</w:t>
      </w:r>
      <w:r w:rsidR="003B22B9" w:rsidRPr="00D82AA0">
        <w:rPr>
          <w:lang w:val="en-US"/>
        </w:rPr>
        <w:t xml:space="preserve"> (Ca</w:t>
      </w:r>
      <w:r w:rsidR="003B22B9" w:rsidRPr="00D82AA0">
        <w:rPr>
          <w:rFonts w:cstheme="minorHAnsi"/>
          <w:lang w:val="en-US"/>
        </w:rPr>
        <w:t>ł</w:t>
      </w:r>
      <w:r w:rsidR="003B22B9" w:rsidRPr="00D82AA0">
        <w:rPr>
          <w:lang w:val="en-US"/>
        </w:rPr>
        <w:t>us, 2013)</w:t>
      </w:r>
      <w:r w:rsidR="002E4D94" w:rsidRPr="00D82AA0">
        <w:rPr>
          <w:lang w:val="en-US"/>
        </w:rPr>
        <w:t xml:space="preserve">. </w:t>
      </w:r>
      <w:r w:rsidR="003B22B9" w:rsidRPr="00D82AA0">
        <w:rPr>
          <w:lang w:val="en-US"/>
        </w:rPr>
        <w:t xml:space="preserve">The biggest sources of income in Transnistria are exports, around 70% of Transnistria’s </w:t>
      </w:r>
      <w:r w:rsidR="003B22B9" w:rsidRPr="00D82AA0">
        <w:rPr>
          <w:lang w:val="en-US"/>
        </w:rPr>
        <w:lastRenderedPageBreak/>
        <w:t xml:space="preserve">GDP, and remittances from people working abroad, often in Russia. </w:t>
      </w:r>
      <w:r w:rsidR="00F8629A" w:rsidRPr="00D82AA0">
        <w:rPr>
          <w:lang w:val="en-US"/>
        </w:rPr>
        <w:t xml:space="preserve">A third big source of income is the money from Russia, received through gas subsidies and humanitarian aid. Gas subsidies are the incomes earned by </w:t>
      </w:r>
      <w:r w:rsidR="008E13AE">
        <w:rPr>
          <w:lang w:val="en-US"/>
        </w:rPr>
        <w:t xml:space="preserve">the </w:t>
      </w:r>
      <w:r w:rsidR="00F8629A" w:rsidRPr="008E13AE">
        <w:rPr>
          <w:noProof/>
          <w:lang w:val="en-US"/>
        </w:rPr>
        <w:t>domestic</w:t>
      </w:r>
      <w:r w:rsidR="00F8629A" w:rsidRPr="00D82AA0">
        <w:rPr>
          <w:lang w:val="en-US"/>
        </w:rPr>
        <w:t xml:space="preserve"> sale of Russian gas (Ca</w:t>
      </w:r>
      <w:r w:rsidR="00F8629A" w:rsidRPr="00D82AA0">
        <w:rPr>
          <w:rFonts w:cstheme="minorHAnsi"/>
          <w:lang w:val="en-US"/>
        </w:rPr>
        <w:t>ł</w:t>
      </w:r>
      <w:r w:rsidR="00F8629A" w:rsidRPr="00D82AA0">
        <w:rPr>
          <w:lang w:val="en-US"/>
        </w:rPr>
        <w:t xml:space="preserve">us, 2013). </w:t>
      </w:r>
    </w:p>
    <w:p w14:paraId="2E1A078C" w14:textId="286B318E" w:rsidR="00E90BCD" w:rsidRPr="00D82AA0" w:rsidRDefault="00E90BCD" w:rsidP="0005441C">
      <w:pPr>
        <w:rPr>
          <w:lang w:val="en-US"/>
        </w:rPr>
      </w:pPr>
      <w:r w:rsidRPr="00D82AA0">
        <w:rPr>
          <w:lang w:val="en-US"/>
        </w:rPr>
        <w:t xml:space="preserve">Politically, </w:t>
      </w:r>
      <w:r w:rsidR="006B130C" w:rsidRPr="00D82AA0">
        <w:rPr>
          <w:lang w:val="en-US"/>
        </w:rPr>
        <w:t xml:space="preserve">it looks like there is a working political system, with changing presidents and regular elections. The political regime can be described as a hybrid regime, </w:t>
      </w:r>
      <w:r w:rsidR="00506D93" w:rsidRPr="00D82AA0">
        <w:rPr>
          <w:lang w:val="en-US"/>
        </w:rPr>
        <w:t>which is situated between an autocracy and a democracy. “</w:t>
      </w:r>
      <w:r w:rsidR="007F22BA" w:rsidRPr="00D82AA0">
        <w:rPr>
          <w:lang w:val="en-US"/>
        </w:rPr>
        <w:t>Political competition</w:t>
      </w:r>
      <w:r w:rsidR="00506D93" w:rsidRPr="00D82AA0">
        <w:rPr>
          <w:lang w:val="en-US"/>
        </w:rPr>
        <w:t xml:space="preserve"> does exist but it does not lead to clear patterns of alteration of power among various groups of </w:t>
      </w:r>
      <w:r w:rsidR="008E13AE">
        <w:rPr>
          <w:lang w:val="en-US"/>
        </w:rPr>
        <w:t xml:space="preserve">the </w:t>
      </w:r>
      <w:r w:rsidR="00506D93" w:rsidRPr="008E13AE">
        <w:rPr>
          <w:noProof/>
          <w:lang w:val="en-US"/>
        </w:rPr>
        <w:t>elite</w:t>
      </w:r>
      <w:r w:rsidR="00506D93" w:rsidRPr="00D82AA0">
        <w:rPr>
          <w:lang w:val="en-US"/>
        </w:rPr>
        <w:t xml:space="preserve"> through the mechanism of free and fair elections. Hybrid regimes share a set of common practices intended to skew the results of </w:t>
      </w:r>
      <w:r w:rsidR="00506D93" w:rsidRPr="008E13AE">
        <w:rPr>
          <w:noProof/>
          <w:lang w:val="en-US"/>
        </w:rPr>
        <w:t>competition</w:t>
      </w:r>
      <w:r w:rsidR="00506D93" w:rsidRPr="00D82AA0">
        <w:rPr>
          <w:lang w:val="en-US"/>
        </w:rPr>
        <w:t xml:space="preserve"> in the electoral arena, as well as other </w:t>
      </w:r>
      <w:r w:rsidR="00506D93" w:rsidRPr="008E13AE">
        <w:rPr>
          <w:noProof/>
          <w:lang w:val="en-US"/>
        </w:rPr>
        <w:t>arenas</w:t>
      </w:r>
      <w:r w:rsidR="00506D93" w:rsidRPr="00D82AA0">
        <w:rPr>
          <w:lang w:val="en-US"/>
        </w:rPr>
        <w:t xml:space="preserve"> of public life. The politicization of the bureaucracy, control of mass media, and selective law enforcement are among the most frequent examples of such practices (Protsyk, 2012).”</w:t>
      </w:r>
      <w:r w:rsidR="007F22BA" w:rsidRPr="00D82AA0">
        <w:rPr>
          <w:lang w:val="en-US"/>
        </w:rPr>
        <w:t xml:space="preserve"> This is still not a de</w:t>
      </w:r>
      <w:r w:rsidR="005931E0">
        <w:rPr>
          <w:lang w:val="en-US"/>
        </w:rPr>
        <w:t>mocracy like we are used to in W</w:t>
      </w:r>
      <w:r w:rsidR="007F22BA" w:rsidRPr="00D82AA0">
        <w:rPr>
          <w:lang w:val="en-US"/>
        </w:rPr>
        <w:t>estern Europe, and the influence of the Sheriff Group on politics is not correct, but for the biggest part, the political side seems to work for Transnistria.</w:t>
      </w:r>
      <w:r w:rsidR="00506D93" w:rsidRPr="00D82AA0">
        <w:rPr>
          <w:lang w:val="en-US"/>
        </w:rPr>
        <w:t xml:space="preserve">  </w:t>
      </w:r>
      <w:r w:rsidRPr="00D82AA0">
        <w:rPr>
          <w:lang w:val="en-US"/>
        </w:rPr>
        <w:t xml:space="preserve"> </w:t>
      </w:r>
    </w:p>
    <w:p w14:paraId="32D609FE" w14:textId="3D936E60" w:rsidR="000A6C54" w:rsidRPr="00D82AA0" w:rsidRDefault="000A6C54" w:rsidP="00070AF7">
      <w:pPr>
        <w:pStyle w:val="Kop2"/>
        <w:numPr>
          <w:ilvl w:val="1"/>
          <w:numId w:val="1"/>
        </w:numPr>
        <w:rPr>
          <w:lang w:val="en-US"/>
        </w:rPr>
      </w:pPr>
      <w:bookmarkStart w:id="26" w:name="_Toc517985345"/>
      <w:r w:rsidRPr="00D82AA0">
        <w:rPr>
          <w:lang w:val="en-US"/>
        </w:rPr>
        <w:t>Conceptual Model</w:t>
      </w:r>
      <w:bookmarkEnd w:id="26"/>
    </w:p>
    <w:p w14:paraId="5AD54A51" w14:textId="06BDFED5" w:rsidR="001E331C" w:rsidRPr="00D82AA0" w:rsidRDefault="001E331C" w:rsidP="001E331C">
      <w:pPr>
        <w:rPr>
          <w:lang w:val="en-US"/>
        </w:rPr>
      </w:pPr>
      <w:r w:rsidRPr="00D82AA0">
        <w:rPr>
          <w:noProof/>
          <w:lang w:eastAsia="nl-NL"/>
        </w:rPr>
        <w:drawing>
          <wp:inline distT="0" distB="0" distL="0" distR="0" wp14:anchorId="41E5DF3C" wp14:editId="0BD929D2">
            <wp:extent cx="5579745" cy="3440430"/>
            <wp:effectExtent l="0" t="0" r="1905" b="7620"/>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79745" cy="3440430"/>
                    </a:xfrm>
                    <a:prstGeom prst="rect">
                      <a:avLst/>
                    </a:prstGeom>
                  </pic:spPr>
                </pic:pic>
              </a:graphicData>
            </a:graphic>
          </wp:inline>
        </w:drawing>
      </w:r>
    </w:p>
    <w:p w14:paraId="7305548F" w14:textId="31AF4346" w:rsidR="001E331C" w:rsidRPr="00D82AA0" w:rsidRDefault="001E331C">
      <w:pPr>
        <w:spacing w:before="0" w:after="160" w:line="312" w:lineRule="auto"/>
        <w:rPr>
          <w:rFonts w:asciiTheme="majorHAnsi" w:eastAsiaTheme="majorEastAsia" w:hAnsiTheme="majorHAnsi" w:cstheme="majorBidi"/>
          <w:caps/>
          <w:spacing w:val="10"/>
          <w:sz w:val="36"/>
          <w:szCs w:val="36"/>
          <w:lang w:val="en-US"/>
        </w:rPr>
      </w:pPr>
      <w:r w:rsidRPr="00D82AA0">
        <w:rPr>
          <w:lang w:val="en-US"/>
        </w:rPr>
        <w:t xml:space="preserve">In short, this conceptual model represents the expectations for this research. The main part of this research is the influence that the ENP and Eastern Partnership have on the relationship </w:t>
      </w:r>
      <w:r w:rsidRPr="00D82AA0">
        <w:rPr>
          <w:lang w:val="en-US"/>
        </w:rPr>
        <w:lastRenderedPageBreak/>
        <w:t>between Moldova and Transnistria. This Moldova-Transnistria relationship itself is also influenced by Russian post-colonialism. On the other hand, the European policies are influenced by neo-imperialism, as Borocz (2001) said</w:t>
      </w:r>
      <w:r w:rsidR="00B60022" w:rsidRPr="00D82AA0">
        <w:rPr>
          <w:lang w:val="en-US"/>
        </w:rPr>
        <w:t xml:space="preserve"> in paragraph 2.5.2. Through its policies, Europe makes regions. For example, without European Policies, like the Black Sea Synergy, there would not be a ‘Black Sea Region’. It is created by European policy. </w:t>
      </w:r>
      <w:r w:rsidRPr="00D82AA0">
        <w:rPr>
          <w:lang w:val="en-US"/>
        </w:rPr>
        <w:t xml:space="preserve"> </w:t>
      </w:r>
      <w:r w:rsidRPr="00D82AA0">
        <w:rPr>
          <w:lang w:val="en-US"/>
        </w:rPr>
        <w:br w:type="page"/>
      </w:r>
    </w:p>
    <w:p w14:paraId="053C3F78" w14:textId="6E52A15D" w:rsidR="00CD7952" w:rsidRPr="00D82AA0" w:rsidRDefault="00312812" w:rsidP="00A865EB">
      <w:pPr>
        <w:pStyle w:val="Kop1"/>
        <w:numPr>
          <w:ilvl w:val="0"/>
          <w:numId w:val="1"/>
        </w:numPr>
        <w:spacing w:line="360" w:lineRule="auto"/>
        <w:rPr>
          <w:lang w:val="en-US"/>
        </w:rPr>
      </w:pPr>
      <w:bookmarkStart w:id="27" w:name="_Toc517985346"/>
      <w:r w:rsidRPr="00D82AA0">
        <w:rPr>
          <w:lang w:val="en-US"/>
        </w:rPr>
        <w:lastRenderedPageBreak/>
        <w:t>Methodology</w:t>
      </w:r>
      <w:bookmarkEnd w:id="27"/>
      <w:r w:rsidRPr="00D82AA0">
        <w:rPr>
          <w:lang w:val="en-US"/>
        </w:rPr>
        <w:t xml:space="preserve"> </w:t>
      </w:r>
    </w:p>
    <w:p w14:paraId="0A2BE280" w14:textId="007CA3C2" w:rsidR="003F4933" w:rsidRPr="00D82AA0" w:rsidRDefault="00FF37C8" w:rsidP="00070AF7">
      <w:pPr>
        <w:pStyle w:val="Kop2"/>
        <w:numPr>
          <w:ilvl w:val="1"/>
          <w:numId w:val="1"/>
        </w:numPr>
        <w:rPr>
          <w:lang w:val="en-US"/>
        </w:rPr>
      </w:pPr>
      <w:bookmarkStart w:id="28" w:name="_Toc517985347"/>
      <w:r w:rsidRPr="00D82AA0">
        <w:rPr>
          <w:lang w:val="en-US"/>
        </w:rPr>
        <w:t>Introduction</w:t>
      </w:r>
      <w:bookmarkEnd w:id="28"/>
    </w:p>
    <w:p w14:paraId="780E5F03" w14:textId="22B44A6B" w:rsidR="00FF37C8" w:rsidRPr="00D82AA0" w:rsidRDefault="00762531" w:rsidP="00FF37C8">
      <w:pPr>
        <w:rPr>
          <w:lang w:val="en-US"/>
        </w:rPr>
      </w:pPr>
      <w:r w:rsidRPr="00D82AA0">
        <w:rPr>
          <w:lang w:val="en-US"/>
        </w:rPr>
        <w:t>In this chapter, the way in which this research is conducted will be described. That way, it becomes clear how the questions named in paragraph 1.3 will be answered.</w:t>
      </w:r>
      <w:r w:rsidR="00232DDB" w:rsidRPr="00D82AA0">
        <w:rPr>
          <w:lang w:val="en-US"/>
        </w:rPr>
        <w:t xml:space="preserve"> The focus of the research is </w:t>
      </w:r>
      <w:r w:rsidR="00232DDB" w:rsidRPr="008E13AE">
        <w:rPr>
          <w:noProof/>
          <w:lang w:val="en-US"/>
        </w:rPr>
        <w:t>on</w:t>
      </w:r>
      <w:r w:rsidR="00232DDB" w:rsidRPr="00D82AA0">
        <w:rPr>
          <w:lang w:val="en-US"/>
        </w:rPr>
        <w:t xml:space="preserve"> in-depth knowledge on the influence of the EU and Russia on Transnistria, so this asks for a qualitative research. How this will be done further will be described below.</w:t>
      </w:r>
    </w:p>
    <w:p w14:paraId="4D220090" w14:textId="0CC1C79D" w:rsidR="00FF37C8" w:rsidRPr="00D82AA0" w:rsidRDefault="00FF37C8" w:rsidP="00070AF7">
      <w:pPr>
        <w:pStyle w:val="Kop2"/>
        <w:numPr>
          <w:ilvl w:val="1"/>
          <w:numId w:val="1"/>
        </w:numPr>
        <w:rPr>
          <w:lang w:val="en-US"/>
        </w:rPr>
      </w:pPr>
      <w:bookmarkStart w:id="29" w:name="_Toc517985348"/>
      <w:r w:rsidRPr="00D82AA0">
        <w:rPr>
          <w:lang w:val="en-US"/>
        </w:rPr>
        <w:t>Research Strategy</w:t>
      </w:r>
      <w:bookmarkEnd w:id="29"/>
    </w:p>
    <w:p w14:paraId="16415465" w14:textId="4C25D359" w:rsidR="004F54AD" w:rsidRPr="00D82AA0" w:rsidRDefault="00BE0022" w:rsidP="00232DDB">
      <w:pPr>
        <w:rPr>
          <w:lang w:val="en-US"/>
        </w:rPr>
      </w:pPr>
      <w:r w:rsidRPr="00D82AA0">
        <w:rPr>
          <w:lang w:val="en-US"/>
        </w:rPr>
        <w:t>According to Verschuren &amp; Doorewaard (</w:t>
      </w:r>
      <w:r w:rsidR="00357DB9" w:rsidRPr="00D82AA0">
        <w:rPr>
          <w:lang w:val="en-US"/>
        </w:rPr>
        <w:t>2010</w:t>
      </w:r>
      <w:r w:rsidRPr="00D82AA0">
        <w:rPr>
          <w:lang w:val="en-US"/>
        </w:rPr>
        <w:t xml:space="preserve">), there are five major strategies that can be followed in executing a research, namely a survey, an experiment, a case study, grounded theory approach and desk research. Of these five, desk research is the most applicable to this thesis. </w:t>
      </w:r>
      <w:r w:rsidR="004F54AD" w:rsidRPr="00D82AA0">
        <w:rPr>
          <w:lang w:val="en-US"/>
        </w:rPr>
        <w:t xml:space="preserve">Desk research is characterized by the use of existing material, the absence of direct contact and the material is used from a different perspective than at the time of its production. </w:t>
      </w:r>
    </w:p>
    <w:p w14:paraId="482B06F3" w14:textId="3F886E5D" w:rsidR="00ED109D" w:rsidRPr="00D82AA0" w:rsidRDefault="004F54AD" w:rsidP="00232DDB">
      <w:pPr>
        <w:rPr>
          <w:lang w:val="en-US"/>
        </w:rPr>
      </w:pPr>
      <w:r w:rsidRPr="00D82AA0">
        <w:rPr>
          <w:lang w:val="en-US"/>
        </w:rPr>
        <w:t xml:space="preserve">There are three categories of material which can be used for desk research. These are literature, secondary data and statistical material. Literature can be books, articles, conference proceedings and works that contain knowledge products of </w:t>
      </w:r>
      <w:r w:rsidRPr="008E13AE">
        <w:rPr>
          <w:noProof/>
          <w:lang w:val="en-US"/>
        </w:rPr>
        <w:t>social</w:t>
      </w:r>
      <w:r w:rsidRPr="00D82AA0">
        <w:rPr>
          <w:lang w:val="en-US"/>
        </w:rPr>
        <w:t xml:space="preserve"> scientist</w:t>
      </w:r>
      <w:r w:rsidR="008E13AE">
        <w:rPr>
          <w:lang w:val="en-US"/>
        </w:rPr>
        <w:t>s</w:t>
      </w:r>
      <w:r w:rsidRPr="00D82AA0">
        <w:rPr>
          <w:lang w:val="en-US"/>
        </w:rPr>
        <w:t xml:space="preserve">. Secondary data means empirical data compiled by other researchers or by yourself during previous research. </w:t>
      </w:r>
      <w:r w:rsidR="00ED109D" w:rsidRPr="00D82AA0">
        <w:rPr>
          <w:lang w:val="en-US"/>
        </w:rPr>
        <w:t xml:space="preserve">These can be records, interviews or databases suitable for, in this case, a qualitative analysis. </w:t>
      </w:r>
      <w:r w:rsidR="00ED109D" w:rsidRPr="008E13AE">
        <w:rPr>
          <w:noProof/>
          <w:lang w:val="en-US"/>
        </w:rPr>
        <w:t>Official</w:t>
      </w:r>
      <w:r w:rsidR="00ED109D" w:rsidRPr="00D82AA0">
        <w:rPr>
          <w:lang w:val="en-US"/>
        </w:rPr>
        <w:t xml:space="preserve"> statistical material is data gathered periodically or continuously for a broader public (Verschuren &amp; Doorewaard, </w:t>
      </w:r>
      <w:r w:rsidR="00357DB9" w:rsidRPr="00D82AA0">
        <w:rPr>
          <w:lang w:val="en-US"/>
        </w:rPr>
        <w:t>2010</w:t>
      </w:r>
      <w:r w:rsidR="00ED109D" w:rsidRPr="00D82AA0">
        <w:rPr>
          <w:lang w:val="en-US"/>
        </w:rPr>
        <w:t xml:space="preserve">). </w:t>
      </w:r>
    </w:p>
    <w:p w14:paraId="036ACE6D" w14:textId="601253EE" w:rsidR="00232DDB" w:rsidRPr="00D82AA0" w:rsidRDefault="00ED109D" w:rsidP="00232DDB">
      <w:pPr>
        <w:rPr>
          <w:lang w:val="en-US"/>
        </w:rPr>
      </w:pPr>
      <w:r w:rsidRPr="00D82AA0">
        <w:rPr>
          <w:lang w:val="en-US"/>
        </w:rPr>
        <w:t>Regarding this thesis</w:t>
      </w:r>
      <w:r w:rsidR="00357DB9" w:rsidRPr="00D82AA0">
        <w:rPr>
          <w:lang w:val="en-US"/>
        </w:rPr>
        <w:t>’ research goal and questions</w:t>
      </w:r>
      <w:r w:rsidRPr="00D82AA0">
        <w:rPr>
          <w:lang w:val="en-US"/>
        </w:rPr>
        <w:t>, desk research is the most appropriate form</w:t>
      </w:r>
      <w:r w:rsidR="00357DB9" w:rsidRPr="00D82AA0">
        <w:rPr>
          <w:lang w:val="en-US"/>
        </w:rPr>
        <w:t xml:space="preserve"> of executing the research since researching the ENP and Eastern Partnership is very much a literature-bound research subject. </w:t>
      </w:r>
      <w:r w:rsidR="00E27112" w:rsidRPr="00D82AA0">
        <w:rPr>
          <w:lang w:val="en-US"/>
        </w:rPr>
        <w:t xml:space="preserve">In executing the research extensive literature research will be exercised. </w:t>
      </w:r>
      <w:r w:rsidR="000F354F" w:rsidRPr="00D82AA0">
        <w:rPr>
          <w:lang w:val="en-US"/>
        </w:rPr>
        <w:t xml:space="preserve">The data used for this will mostly consist out of articles by scholars and EU policies regarding Moldova, like ENP policies, Eastern Partnership policies and the EU-Moldova Association Agreement. </w:t>
      </w:r>
    </w:p>
    <w:p w14:paraId="5D0B71A4" w14:textId="75C222F5" w:rsidR="00FF37C8" w:rsidRPr="00D82AA0" w:rsidRDefault="00FF37C8" w:rsidP="00070AF7">
      <w:pPr>
        <w:pStyle w:val="Kop2"/>
        <w:numPr>
          <w:ilvl w:val="1"/>
          <w:numId w:val="1"/>
        </w:numPr>
        <w:rPr>
          <w:lang w:val="en-US"/>
        </w:rPr>
      </w:pPr>
      <w:bookmarkStart w:id="30" w:name="_Toc517985349"/>
      <w:r w:rsidRPr="00D82AA0">
        <w:rPr>
          <w:lang w:val="en-US"/>
        </w:rPr>
        <w:lastRenderedPageBreak/>
        <w:t>Data processing</w:t>
      </w:r>
      <w:bookmarkEnd w:id="30"/>
    </w:p>
    <w:p w14:paraId="40963836" w14:textId="7FA624EE" w:rsidR="0094202D" w:rsidRPr="00D82AA0" w:rsidRDefault="00625EF8" w:rsidP="0094202D">
      <w:pPr>
        <w:rPr>
          <w:rStyle w:val="normaltextrun"/>
          <w:rFonts w:ascii="Calibri" w:hAnsi="Calibri" w:cs="Calibri"/>
          <w:color w:val="000000"/>
          <w:shd w:val="clear" w:color="auto" w:fill="FFFFFF"/>
          <w:lang w:val="en-US"/>
        </w:rPr>
      </w:pPr>
      <w:r w:rsidRPr="00D82AA0">
        <w:rPr>
          <w:lang w:val="en-US"/>
        </w:rPr>
        <w:t xml:space="preserve">To process the data collected through literature research, this thesis will use a combination of critical geopolitics and (postcolonial) discourse analysis. </w:t>
      </w:r>
      <w:r w:rsidRPr="00D82AA0">
        <w:rPr>
          <w:rStyle w:val="normaltextrun"/>
          <w:rFonts w:ascii="Calibri" w:hAnsi="Calibri" w:cs="Calibri"/>
          <w:color w:val="000000"/>
          <w:shd w:val="clear" w:color="auto" w:fill="FFFFFF"/>
          <w:lang w:val="en-US"/>
        </w:rPr>
        <w:t> According to </w:t>
      </w:r>
      <w:r w:rsidRPr="00D82AA0">
        <w:rPr>
          <w:rStyle w:val="spellingerror"/>
          <w:rFonts w:ascii="Calibri" w:hAnsi="Calibri" w:cs="Calibri"/>
          <w:color w:val="000000"/>
          <w:shd w:val="clear" w:color="auto" w:fill="FFFFFF"/>
          <w:lang w:val="en-US"/>
        </w:rPr>
        <w:t>Kuus</w:t>
      </w:r>
      <w:r w:rsidRPr="00D82AA0">
        <w:rPr>
          <w:rStyle w:val="normaltextrun"/>
          <w:rFonts w:ascii="Calibri" w:hAnsi="Calibri" w:cs="Calibri"/>
          <w:color w:val="000000"/>
          <w:shd w:val="clear" w:color="auto" w:fill="FFFFFF"/>
          <w:lang w:val="en-US"/>
        </w:rPr>
        <w:t xml:space="preserve"> (2010) “critical geopolitics investigates the geographical assumptions and designations that enter into the making of world politics. It seeks to illuminate and explain the practices by which political actors spatialize international politics and represent it as a “world” characterized by particular types of places”. For the main research question of this research critical geopolitics is the best possible research method. It investigates world politics from a geographical point of view, which is essentially what this research tries to do, looking at the fact that the main point of research is the influence of European </w:t>
      </w:r>
      <w:r w:rsidR="001C4AC7" w:rsidRPr="00D82AA0">
        <w:rPr>
          <w:rStyle w:val="normaltextrun"/>
          <w:rFonts w:ascii="Calibri" w:hAnsi="Calibri" w:cs="Calibri"/>
          <w:color w:val="000000"/>
          <w:shd w:val="clear" w:color="auto" w:fill="FFFFFF"/>
          <w:lang w:val="en-US"/>
        </w:rPr>
        <w:t>policies</w:t>
      </w:r>
      <w:r w:rsidRPr="00D82AA0">
        <w:rPr>
          <w:rStyle w:val="normaltextrun"/>
          <w:rFonts w:ascii="Calibri" w:hAnsi="Calibri" w:cs="Calibri"/>
          <w:color w:val="000000"/>
          <w:shd w:val="clear" w:color="auto" w:fill="FFFFFF"/>
          <w:lang w:val="en-US"/>
        </w:rPr>
        <w:t xml:space="preserve"> in other regions’ politics. </w:t>
      </w:r>
    </w:p>
    <w:p w14:paraId="19ADDEC8" w14:textId="3B2433E3" w:rsidR="00625EF8" w:rsidRPr="00D82AA0" w:rsidRDefault="00625EF8" w:rsidP="0094202D">
      <w:pPr>
        <w:rPr>
          <w:lang w:val="en-US"/>
        </w:rPr>
      </w:pPr>
      <w:r w:rsidRPr="00D82AA0">
        <w:rPr>
          <w:rStyle w:val="normaltextrun"/>
          <w:rFonts w:ascii="Calibri" w:hAnsi="Calibri" w:cs="Calibri"/>
          <w:color w:val="000000"/>
          <w:shd w:val="clear" w:color="auto" w:fill="FFFFFF"/>
          <w:lang w:val="en-US"/>
        </w:rPr>
        <w:t>This will be combined with (postcolonial) discourse analysis. “A discourse analysis is based on the details of speech (and gaze, gesture and action) or writing that are arguably deemed relevant in the context and that are relevant to the arguments the analysis is attempting to make (Gee, 2010).” However, colonial discourse is largely derived from Foucault’s view on discourse. “For Foucault, a discourse is a strongly bounded area of social knowledge, a system of statements within which the world can be known (Ashcroft et al., 2007).” Discourse is important from a colonial view because it combines power and knowledge. “Those who have power have control of what is known and the way it is known, and those who have such knowledge have power over those who do not (Ashcroft et al., 2007).”</w:t>
      </w:r>
    </w:p>
    <w:p w14:paraId="30350336" w14:textId="37B36C20" w:rsidR="00BF7FCE" w:rsidRPr="00D82AA0" w:rsidRDefault="009254E8" w:rsidP="00956FC4">
      <w:pPr>
        <w:rPr>
          <w:rFonts w:asciiTheme="majorHAnsi" w:eastAsiaTheme="majorEastAsia" w:hAnsiTheme="majorHAnsi" w:cstheme="majorBidi"/>
          <w:caps/>
          <w:spacing w:val="10"/>
          <w:sz w:val="36"/>
          <w:szCs w:val="36"/>
          <w:lang w:val="en-US"/>
        </w:rPr>
      </w:pPr>
      <w:r w:rsidRPr="00D82AA0">
        <w:rPr>
          <w:lang w:val="en-US"/>
        </w:rPr>
        <w:t xml:space="preserve">A combination of these two will mean that there will be a focus on discourse analysis through extensive literature research. This will be looked at from a postcolonial or neo-imperial angle. In doing this, critical geopolitics will be stressed, </w:t>
      </w:r>
      <w:r w:rsidRPr="008E13AE">
        <w:rPr>
          <w:noProof/>
          <w:lang w:val="en-US"/>
        </w:rPr>
        <w:t>since</w:t>
      </w:r>
      <w:r w:rsidRPr="00D82AA0">
        <w:rPr>
          <w:lang w:val="en-US"/>
        </w:rPr>
        <w:t xml:space="preserve"> </w:t>
      </w:r>
      <w:r w:rsidR="008E13AE">
        <w:rPr>
          <w:lang w:val="en-US"/>
        </w:rPr>
        <w:t>that way</w:t>
      </w:r>
      <w:r w:rsidR="00C04826" w:rsidRPr="00D82AA0">
        <w:rPr>
          <w:lang w:val="en-US"/>
        </w:rPr>
        <w:t xml:space="preserve"> the postcolonial and neo-imperial actions can be explained by focusing on world politics. </w:t>
      </w:r>
      <w:r w:rsidR="001C4AC7" w:rsidRPr="00D82AA0">
        <w:rPr>
          <w:lang w:val="en-US"/>
        </w:rPr>
        <w:t xml:space="preserve">This concept was explained by Müller (2008). “Geopolitical discourse is drawn upon and used by officials and leaders to constitute and represent world affairs in strategies of power that always require the use of space and, thus, the use of discourse. Global space is incessantly reimagined and rewritten by </w:t>
      </w:r>
      <w:r w:rsidR="001C4AC7" w:rsidRPr="008E13AE">
        <w:rPr>
          <w:noProof/>
          <w:lang w:val="en-US"/>
        </w:rPr>
        <w:t>cent</w:t>
      </w:r>
      <w:r w:rsidR="008E13AE">
        <w:rPr>
          <w:noProof/>
          <w:lang w:val="en-US"/>
        </w:rPr>
        <w:t>re</w:t>
      </w:r>
      <w:r w:rsidR="001C4AC7" w:rsidRPr="008E13AE">
        <w:rPr>
          <w:noProof/>
          <w:lang w:val="en-US"/>
        </w:rPr>
        <w:t>s</w:t>
      </w:r>
      <w:r w:rsidR="001C4AC7" w:rsidRPr="00D82AA0">
        <w:rPr>
          <w:lang w:val="en-US"/>
        </w:rPr>
        <w:t xml:space="preserve"> of power and authority through discourses that are historically constructed and imposed on people. A critical geopolitics is, therefore, called upon to deconstruct, unravel and expose discourses in order to lay bare the schemes of power operating beneath them.”</w:t>
      </w:r>
      <w:r w:rsidR="00BF7FCE" w:rsidRPr="00D82AA0">
        <w:rPr>
          <w:lang w:val="en-US"/>
        </w:rPr>
        <w:br w:type="page"/>
      </w:r>
    </w:p>
    <w:p w14:paraId="0C66478E" w14:textId="51652478" w:rsidR="006D7392" w:rsidRPr="00D82AA0" w:rsidRDefault="00E44C91" w:rsidP="00A865EB">
      <w:pPr>
        <w:pStyle w:val="Kop1"/>
        <w:numPr>
          <w:ilvl w:val="0"/>
          <w:numId w:val="1"/>
        </w:numPr>
        <w:spacing w:line="360" w:lineRule="auto"/>
        <w:rPr>
          <w:lang w:val="en-US"/>
        </w:rPr>
      </w:pPr>
      <w:bookmarkStart w:id="31" w:name="_Toc517985350"/>
      <w:r w:rsidRPr="00D82AA0">
        <w:rPr>
          <w:lang w:val="en-US"/>
        </w:rPr>
        <w:lastRenderedPageBreak/>
        <w:t>T</w:t>
      </w:r>
      <w:r w:rsidR="006D7392" w:rsidRPr="00D82AA0">
        <w:rPr>
          <w:lang w:val="en-US"/>
        </w:rPr>
        <w:t>ransnistria</w:t>
      </w:r>
      <w:bookmarkEnd w:id="31"/>
    </w:p>
    <w:p w14:paraId="2645BF89" w14:textId="6CBB8D6A" w:rsidR="00305AE1" w:rsidRPr="00D82AA0" w:rsidRDefault="003E7180" w:rsidP="00A865EB">
      <w:pPr>
        <w:rPr>
          <w:lang w:val="en-US"/>
        </w:rPr>
      </w:pPr>
      <w:r w:rsidRPr="00D82AA0">
        <w:rPr>
          <w:lang w:val="en-US"/>
        </w:rPr>
        <w:t xml:space="preserve">In this chapter, the history of Transnistria before the end of the Soviet-Union, the way the conflict with Moldova started and </w:t>
      </w:r>
      <w:r w:rsidR="00AF782C" w:rsidRPr="00D82AA0">
        <w:rPr>
          <w:lang w:val="en-US"/>
        </w:rPr>
        <w:t>the p</w:t>
      </w:r>
      <w:r w:rsidR="00734525" w:rsidRPr="00D82AA0">
        <w:rPr>
          <w:lang w:val="en-US"/>
        </w:rPr>
        <w:t>rogress, or the lack of it,</w:t>
      </w:r>
      <w:r w:rsidR="00AF782C" w:rsidRPr="00D82AA0">
        <w:rPr>
          <w:lang w:val="en-US"/>
        </w:rPr>
        <w:t xml:space="preserve"> that was made in the last twenty to twenty-five years</w:t>
      </w:r>
      <w:r w:rsidR="006F62A2" w:rsidRPr="00D82AA0">
        <w:rPr>
          <w:lang w:val="en-US"/>
        </w:rPr>
        <w:t xml:space="preserve"> will be discussed</w:t>
      </w:r>
      <w:r w:rsidR="00AF782C" w:rsidRPr="00D82AA0">
        <w:rPr>
          <w:lang w:val="en-US"/>
        </w:rPr>
        <w:t>.</w:t>
      </w:r>
    </w:p>
    <w:p w14:paraId="7C6F84FF" w14:textId="22ABB93F" w:rsidR="00AF782C" w:rsidRPr="00D82AA0" w:rsidRDefault="00AF782C" w:rsidP="00070AF7">
      <w:pPr>
        <w:pStyle w:val="Kop2"/>
        <w:numPr>
          <w:ilvl w:val="1"/>
          <w:numId w:val="1"/>
        </w:numPr>
        <w:spacing w:line="360" w:lineRule="auto"/>
        <w:rPr>
          <w:lang w:val="en-US"/>
        </w:rPr>
      </w:pPr>
      <w:bookmarkStart w:id="32" w:name="_Toc517985351"/>
      <w:r w:rsidRPr="00D82AA0">
        <w:rPr>
          <w:lang w:val="en-US"/>
        </w:rPr>
        <w:t>History</w:t>
      </w:r>
      <w:bookmarkEnd w:id="32"/>
    </w:p>
    <w:p w14:paraId="6A33B9AB" w14:textId="5F990D03" w:rsidR="009A0421" w:rsidRPr="00D82AA0" w:rsidRDefault="00A865EB" w:rsidP="00070AF7">
      <w:pPr>
        <w:pStyle w:val="Kop4"/>
        <w:numPr>
          <w:ilvl w:val="2"/>
          <w:numId w:val="1"/>
        </w:numPr>
        <w:spacing w:line="360" w:lineRule="auto"/>
        <w:rPr>
          <w:lang w:val="en-US"/>
        </w:rPr>
      </w:pPr>
      <w:r w:rsidRPr="00D82AA0">
        <w:rPr>
          <w:noProof/>
          <w:sz w:val="22"/>
          <w:lang w:eastAsia="nl-NL"/>
        </w:rPr>
        <w:drawing>
          <wp:anchor distT="0" distB="0" distL="114300" distR="114300" simplePos="0" relativeHeight="251658240" behindDoc="0" locked="0" layoutInCell="1" allowOverlap="1" wp14:anchorId="7A056F7F" wp14:editId="7AB4CDCF">
            <wp:simplePos x="0" y="0"/>
            <wp:positionH relativeFrom="margin">
              <wp:align>right</wp:align>
            </wp:positionH>
            <wp:positionV relativeFrom="paragraph">
              <wp:posOffset>342900</wp:posOffset>
            </wp:positionV>
            <wp:extent cx="2059305" cy="2252345"/>
            <wp:effectExtent l="0" t="0" r="0" b="0"/>
            <wp:wrapSquare wrapText="bothSides"/>
            <wp:docPr id="1" name="Afbeelding 1" descr="Map of Mol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of Moldov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9305" cy="2252345"/>
                    </a:xfrm>
                    <a:prstGeom prst="rect">
                      <a:avLst/>
                    </a:prstGeom>
                    <a:noFill/>
                    <a:ln>
                      <a:noFill/>
                    </a:ln>
                  </pic:spPr>
                </pic:pic>
              </a:graphicData>
            </a:graphic>
            <wp14:sizeRelH relativeFrom="page">
              <wp14:pctWidth>0</wp14:pctWidth>
            </wp14:sizeRelH>
            <wp14:sizeRelV relativeFrom="page">
              <wp14:pctHeight>0</wp14:pctHeight>
            </wp14:sizeRelV>
          </wp:anchor>
        </w:drawing>
      </w:r>
      <w:r w:rsidR="009A0421" w:rsidRPr="00D82AA0">
        <w:rPr>
          <w:lang w:val="en-US"/>
        </w:rPr>
        <w:t>Moldova</w:t>
      </w:r>
    </w:p>
    <w:p w14:paraId="69E1AA0D" w14:textId="37D460F0" w:rsidR="00AF782C" w:rsidRPr="00D82AA0" w:rsidRDefault="00A865EB" w:rsidP="00A865EB">
      <w:pPr>
        <w:rPr>
          <w:lang w:val="en-US"/>
        </w:rPr>
      </w:pPr>
      <w:r w:rsidRPr="00D82AA0">
        <w:rPr>
          <w:noProof/>
          <w:lang w:eastAsia="nl-NL"/>
        </w:rPr>
        <w:drawing>
          <wp:anchor distT="0" distB="0" distL="114300" distR="114300" simplePos="0" relativeHeight="251658242" behindDoc="0" locked="0" layoutInCell="1" allowOverlap="1" wp14:anchorId="0437793D" wp14:editId="75010E49">
            <wp:simplePos x="0" y="0"/>
            <wp:positionH relativeFrom="margin">
              <wp:align>right</wp:align>
            </wp:positionH>
            <wp:positionV relativeFrom="paragraph">
              <wp:posOffset>3129280</wp:posOffset>
            </wp:positionV>
            <wp:extent cx="2040890" cy="1533525"/>
            <wp:effectExtent l="0" t="0" r="0" b="9525"/>
            <wp:wrapSquare wrapText="bothSides"/>
            <wp:docPr id="3" name="Afbeelding 3" descr="https://upload.wikimedia.org/wikipedia/commons/thumb/2/2b/Romania%2BMASSR_1924-40.jpg/300px-Romania%2BMASSR_192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2/2b/Romania%2BMASSR_1924-40.jpg/300px-Romania%2BMASSR_1924-4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40890" cy="1533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82AA0">
        <w:rPr>
          <w:noProof/>
          <w:lang w:eastAsia="nl-NL"/>
        </w:rPr>
        <mc:AlternateContent>
          <mc:Choice Requires="wps">
            <w:drawing>
              <wp:anchor distT="0" distB="0" distL="114300" distR="114300" simplePos="0" relativeHeight="251658241" behindDoc="0" locked="0" layoutInCell="1" allowOverlap="1" wp14:anchorId="6D7A8950" wp14:editId="7952AFC1">
                <wp:simplePos x="0" y="0"/>
                <wp:positionH relativeFrom="margin">
                  <wp:align>right</wp:align>
                </wp:positionH>
                <wp:positionV relativeFrom="paragraph">
                  <wp:posOffset>2185670</wp:posOffset>
                </wp:positionV>
                <wp:extent cx="2059305" cy="819150"/>
                <wp:effectExtent l="0" t="0" r="0" b="0"/>
                <wp:wrapSquare wrapText="bothSides"/>
                <wp:docPr id="2" name="Tekstvak 2"/>
                <wp:cNvGraphicFramePr/>
                <a:graphic xmlns:a="http://schemas.openxmlformats.org/drawingml/2006/main">
                  <a:graphicData uri="http://schemas.microsoft.com/office/word/2010/wordprocessingShape">
                    <wps:wsp>
                      <wps:cNvSpPr txBox="1"/>
                      <wps:spPr>
                        <a:xfrm>
                          <a:off x="0" y="0"/>
                          <a:ext cx="2059305" cy="819150"/>
                        </a:xfrm>
                        <a:prstGeom prst="rect">
                          <a:avLst/>
                        </a:prstGeom>
                        <a:solidFill>
                          <a:prstClr val="white"/>
                        </a:solidFill>
                        <a:ln>
                          <a:noFill/>
                        </a:ln>
                      </wps:spPr>
                      <wps:txbx>
                        <w:txbxContent>
                          <w:p w14:paraId="36C065B1" w14:textId="039072DD" w:rsidR="008E13AE" w:rsidRPr="00E40860" w:rsidRDefault="008E13AE" w:rsidP="002C1EC1">
                            <w:pPr>
                              <w:pStyle w:val="Bijschrift"/>
                              <w:rPr>
                                <w:color w:val="auto"/>
                                <w:sz w:val="36"/>
                                <w:szCs w:val="36"/>
                                <w:lang w:val="en-US"/>
                              </w:rPr>
                            </w:pPr>
                            <w:r w:rsidRPr="00E40860">
                              <w:rPr>
                                <w:color w:val="auto"/>
                                <w:lang w:val="en-US"/>
                              </w:rPr>
                              <w:t xml:space="preserve">Figure </w:t>
                            </w:r>
                            <w:r w:rsidRPr="00E40860">
                              <w:rPr>
                                <w:color w:val="auto"/>
                              </w:rPr>
                              <w:fldChar w:fldCharType="begin"/>
                            </w:r>
                            <w:r w:rsidRPr="00E40860">
                              <w:rPr>
                                <w:color w:val="auto"/>
                                <w:lang w:val="en-US"/>
                              </w:rPr>
                              <w:instrText xml:space="preserve"> SEQ Figure \* ARABIC </w:instrText>
                            </w:r>
                            <w:r w:rsidRPr="00E40860">
                              <w:rPr>
                                <w:color w:val="auto"/>
                              </w:rPr>
                              <w:fldChar w:fldCharType="separate"/>
                            </w:r>
                            <w:r>
                              <w:rPr>
                                <w:noProof/>
                                <w:color w:val="auto"/>
                                <w:lang w:val="en-US"/>
                              </w:rPr>
                              <w:t>2</w:t>
                            </w:r>
                            <w:r w:rsidRPr="00E40860">
                              <w:rPr>
                                <w:color w:val="auto"/>
                              </w:rPr>
                              <w:fldChar w:fldCharType="end"/>
                            </w:r>
                            <w:r w:rsidRPr="00E40860">
                              <w:rPr>
                                <w:color w:val="auto"/>
                                <w:lang w:val="en-US"/>
                              </w:rPr>
                              <w:t xml:space="preserve"> Map of Moldova including the Prut River and Dniester River as natural borders. (Source: Worldatlas, n.d. https://www.worldatlas.com/webimage/countrys/europe/moldova/mdtimeln.htm)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6D7A8950" id="_x0000_t202" coordsize="21600,21600" o:spt="202" path="m,l,21600r21600,l21600,xe">
                <v:stroke joinstyle="miter"/>
                <v:path gradientshapeok="t" o:connecttype="rect"/>
              </v:shapetype>
              <v:shape id="Tekstvak 2" o:spid="_x0000_s1026" type="#_x0000_t202" style="position:absolute;margin-left:110.95pt;margin-top:172.1pt;width:162.15pt;height:64.5pt;z-index:25165824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" stroked="f">
                <v:textbox inset="0,0,0,0">
                  <w:txbxContent>
                    <w:p w14:paraId="36C065B1" w14:textId="039072DD" w:rsidR="008E13AE" w:rsidRPr="00E40860" w:rsidRDefault="008E13AE" w:rsidP="002C1EC1">
                      <w:pPr>
                        <w:pStyle w:val="Bijschrift"/>
                        <w:rPr>
                          <w:color w:val="auto"/>
                          <w:sz w:val="36"/>
                          <w:szCs w:val="36"/>
                          <w:lang w:val="en-US"/>
                        </w:rPr>
                      </w:pPr>
                      <w:r w:rsidRPr="00E40860">
                        <w:rPr>
                          <w:color w:val="auto"/>
                          <w:lang w:val="en-US"/>
                        </w:rPr>
                        <w:t xml:space="preserve">Figure </w:t>
                      </w:r>
                      <w:r w:rsidRPr="00E40860">
                        <w:rPr>
                          <w:color w:val="auto"/>
                        </w:rPr>
                        <w:fldChar w:fldCharType="begin"/>
                      </w:r>
                      <w:r w:rsidRPr="00E40860">
                        <w:rPr>
                          <w:color w:val="auto"/>
                          <w:lang w:val="en-US"/>
                        </w:rPr>
                        <w:instrText xml:space="preserve"> SEQ Figure \* ARABIC </w:instrText>
                      </w:r>
                      <w:r w:rsidRPr="00E40860">
                        <w:rPr>
                          <w:color w:val="auto"/>
                        </w:rPr>
                        <w:fldChar w:fldCharType="separate"/>
                      </w:r>
                      <w:r>
                        <w:rPr>
                          <w:noProof/>
                          <w:color w:val="auto"/>
                          <w:lang w:val="en-US"/>
                        </w:rPr>
                        <w:t>2</w:t>
                      </w:r>
                      <w:r w:rsidRPr="00E40860">
                        <w:rPr>
                          <w:color w:val="auto"/>
                        </w:rPr>
                        <w:fldChar w:fldCharType="end"/>
                      </w:r>
                      <w:r w:rsidRPr="00E40860">
                        <w:rPr>
                          <w:color w:val="auto"/>
                          <w:lang w:val="en-US"/>
                        </w:rPr>
                        <w:t xml:space="preserve"> Map of Moldova including the Prut River and Dniester River as natural borders. (Source: Worldatlas, n.d. https://www.worldatlas.com/webimage/countrys/europe/moldova/mdtimeln.htm) </w:t>
                      </w:r>
                    </w:p>
                  </w:txbxContent>
                </v:textbox>
                <w10:wrap type="square" anchorx="margin"/>
              </v:shape>
            </w:pict>
          </mc:Fallback>
        </mc:AlternateContent>
      </w:r>
      <w:r w:rsidR="007814B5" w:rsidRPr="00D82AA0">
        <w:rPr>
          <w:lang w:val="en-US"/>
        </w:rPr>
        <w:t>After the Russo-Turkish war from 1806-1812, the Moldovan area between the rivers Prut and Dniester was annexed by Russia and became known as Bessarabia</w:t>
      </w:r>
      <w:r w:rsidR="00B70AD5">
        <w:rPr>
          <w:lang w:val="en-US"/>
        </w:rPr>
        <w:t xml:space="preserve">. This area can be seen in figure 2. </w:t>
      </w:r>
      <w:r w:rsidR="00F43C6E" w:rsidRPr="00D82AA0">
        <w:rPr>
          <w:lang w:val="en-US"/>
        </w:rPr>
        <w:t>After this</w:t>
      </w:r>
      <w:r w:rsidR="00E40860" w:rsidRPr="00D82AA0">
        <w:rPr>
          <w:lang w:val="en-US"/>
        </w:rPr>
        <w:t>, from the mid-nineteenth century onwards</w:t>
      </w:r>
      <w:r w:rsidR="00F43C6E" w:rsidRPr="00D82AA0">
        <w:rPr>
          <w:lang w:val="en-US"/>
        </w:rPr>
        <w:t xml:space="preserve">, this part of Moldova – which does not include Transnistria – became </w:t>
      </w:r>
      <w:r w:rsidR="002C1EC1" w:rsidRPr="00D82AA0">
        <w:rPr>
          <w:lang w:val="en-US"/>
        </w:rPr>
        <w:t xml:space="preserve">‘Russified’. Russian became the official language and the ethnic Moldovan population got reduced by the influx of Russians and other ethnic groups. </w:t>
      </w:r>
      <w:r w:rsidR="00E40860" w:rsidRPr="00D82AA0">
        <w:rPr>
          <w:lang w:val="en-US"/>
        </w:rPr>
        <w:t>In 1918 the Sfatul Tarii, a national political assembly</w:t>
      </w:r>
      <w:r w:rsidR="00F43C6E" w:rsidRPr="00D82AA0">
        <w:rPr>
          <w:lang w:val="en-US"/>
        </w:rPr>
        <w:t xml:space="preserve"> </w:t>
      </w:r>
      <w:r w:rsidR="00E40860" w:rsidRPr="00D82AA0">
        <w:rPr>
          <w:lang w:val="en-US"/>
        </w:rPr>
        <w:t xml:space="preserve">voted for Bessarabia to unite with Romania, and in doing so, forming ‘Greater Romania’. </w:t>
      </w:r>
      <w:r w:rsidR="004E596A" w:rsidRPr="00D82AA0">
        <w:rPr>
          <w:lang w:val="en-US"/>
        </w:rPr>
        <w:t>However, Russian influence during the 1920’s and 1930’s was still dominant in the area</w:t>
      </w:r>
      <w:r w:rsidR="00D17375" w:rsidRPr="00D82AA0">
        <w:rPr>
          <w:lang w:val="en-US"/>
        </w:rPr>
        <w:t xml:space="preserve"> (Roper, 2001)</w:t>
      </w:r>
      <w:r w:rsidR="004E596A" w:rsidRPr="00D82AA0">
        <w:rPr>
          <w:lang w:val="en-US"/>
        </w:rPr>
        <w:t xml:space="preserve">. </w:t>
      </w:r>
    </w:p>
    <w:p w14:paraId="39AAB37E" w14:textId="2953A40B" w:rsidR="004E596A" w:rsidRPr="00D82AA0" w:rsidRDefault="004D08DF" w:rsidP="00A865EB">
      <w:pPr>
        <w:rPr>
          <w:lang w:val="en-US"/>
        </w:rPr>
      </w:pPr>
      <w:r w:rsidRPr="00D82AA0">
        <w:rPr>
          <w:noProof/>
          <w:lang w:eastAsia="nl-NL"/>
        </w:rPr>
        <mc:AlternateContent>
          <mc:Choice Requires="wps">
            <w:drawing>
              <wp:anchor distT="0" distB="0" distL="114300" distR="114300" simplePos="0" relativeHeight="251658243" behindDoc="0" locked="0" layoutInCell="1" allowOverlap="1" wp14:anchorId="51C71F61" wp14:editId="3D6A9A0A">
                <wp:simplePos x="0" y="0"/>
                <wp:positionH relativeFrom="margin">
                  <wp:align>right</wp:align>
                </wp:positionH>
                <wp:positionV relativeFrom="paragraph">
                  <wp:posOffset>1002665</wp:posOffset>
                </wp:positionV>
                <wp:extent cx="2040890" cy="971550"/>
                <wp:effectExtent l="0" t="0" r="0" b="0"/>
                <wp:wrapSquare wrapText="bothSides"/>
                <wp:docPr id="4" name="Tekstvak 4"/>
                <wp:cNvGraphicFramePr/>
                <a:graphic xmlns:a="http://schemas.openxmlformats.org/drawingml/2006/main">
                  <a:graphicData uri="http://schemas.microsoft.com/office/word/2010/wordprocessingShape">
                    <wps:wsp>
                      <wps:cNvSpPr txBox="1"/>
                      <wps:spPr>
                        <a:xfrm>
                          <a:off x="0" y="0"/>
                          <a:ext cx="2040890" cy="971550"/>
                        </a:xfrm>
                        <a:prstGeom prst="rect">
                          <a:avLst/>
                        </a:prstGeom>
                        <a:solidFill>
                          <a:prstClr val="white"/>
                        </a:solidFill>
                        <a:ln>
                          <a:noFill/>
                        </a:ln>
                      </wps:spPr>
                      <wps:txbx>
                        <w:txbxContent>
                          <w:p w14:paraId="44DECBEC" w14:textId="3D191AC2" w:rsidR="008E13AE" w:rsidRPr="000F7BFC" w:rsidRDefault="008E13AE" w:rsidP="000F7BFC">
                            <w:pPr>
                              <w:pStyle w:val="Bijschrift"/>
                              <w:rPr>
                                <w:color w:val="auto"/>
                                <w:szCs w:val="21"/>
                                <w:lang w:val="en-US"/>
                              </w:rPr>
                            </w:pPr>
                            <w:r w:rsidRPr="000F7BFC">
                              <w:rPr>
                                <w:color w:val="auto"/>
                                <w:lang w:val="en-US"/>
                              </w:rPr>
                              <w:t xml:space="preserve">Figure </w:t>
                            </w:r>
                            <w:r w:rsidRPr="000F7BFC">
                              <w:rPr>
                                <w:color w:val="auto"/>
                              </w:rPr>
                              <w:fldChar w:fldCharType="begin"/>
                            </w:r>
                            <w:r w:rsidRPr="000F7BFC">
                              <w:rPr>
                                <w:color w:val="auto"/>
                                <w:lang w:val="en-US"/>
                              </w:rPr>
                              <w:instrText xml:space="preserve"> SEQ Figure \* ARABIC </w:instrText>
                            </w:r>
                            <w:r w:rsidRPr="000F7BFC">
                              <w:rPr>
                                <w:color w:val="auto"/>
                              </w:rPr>
                              <w:fldChar w:fldCharType="separate"/>
                            </w:r>
                            <w:r>
                              <w:rPr>
                                <w:noProof/>
                                <w:color w:val="auto"/>
                                <w:lang w:val="en-US"/>
                              </w:rPr>
                              <w:t>3</w:t>
                            </w:r>
                            <w:r w:rsidRPr="000F7BFC">
                              <w:rPr>
                                <w:color w:val="auto"/>
                              </w:rPr>
                              <w:fldChar w:fldCharType="end"/>
                            </w:r>
                            <w:r>
                              <w:rPr>
                                <w:color w:val="auto"/>
                                <w:lang w:val="en-US"/>
                              </w:rPr>
                              <w:t xml:space="preserve"> T</w:t>
                            </w:r>
                            <w:r w:rsidRPr="000F7BFC">
                              <w:rPr>
                                <w:color w:val="auto"/>
                                <w:lang w:val="en-US"/>
                              </w:rPr>
                              <w:t>he MASSR. (Source: Wikipedia, Spiridon Ion Cepleanu own work, n.d. https://en.wikipedia.org/wiki/Moldavian_Autonomous_Soviet_Socialist_Republic#/media/File:Romania%2BMASSR_1924-40.jpg)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51C71F61" id="Tekstvak 4" o:spid="_x0000_s1027" type="#_x0000_t202" style="position:absolute;margin-left:109.5pt;margin-top:78.95pt;width:160.7pt;height:76.5pt;z-index:251658243;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" stroked="f">
                <v:textbox inset="0,0,0,0">
                  <w:txbxContent>
                    <w:p w14:paraId="44DECBEC" w14:textId="3D191AC2" w:rsidR="008E13AE" w:rsidRPr="000F7BFC" w:rsidRDefault="008E13AE" w:rsidP="000F7BFC">
                      <w:pPr>
                        <w:pStyle w:val="Bijschrift"/>
                        <w:rPr>
                          <w:color w:val="auto"/>
                          <w:szCs w:val="21"/>
                          <w:lang w:val="en-US"/>
                        </w:rPr>
                      </w:pPr>
                      <w:r w:rsidRPr="000F7BFC">
                        <w:rPr>
                          <w:color w:val="auto"/>
                          <w:lang w:val="en-US"/>
                        </w:rPr>
                        <w:t xml:space="preserve">Figure </w:t>
                      </w:r>
                      <w:r w:rsidRPr="000F7BFC">
                        <w:rPr>
                          <w:color w:val="auto"/>
                        </w:rPr>
                        <w:fldChar w:fldCharType="begin"/>
                      </w:r>
                      <w:r w:rsidRPr="000F7BFC">
                        <w:rPr>
                          <w:color w:val="auto"/>
                          <w:lang w:val="en-US"/>
                        </w:rPr>
                        <w:instrText xml:space="preserve"> SEQ Figure \* ARABIC </w:instrText>
                      </w:r>
                      <w:r w:rsidRPr="000F7BFC">
                        <w:rPr>
                          <w:color w:val="auto"/>
                        </w:rPr>
                        <w:fldChar w:fldCharType="separate"/>
                      </w:r>
                      <w:r>
                        <w:rPr>
                          <w:noProof/>
                          <w:color w:val="auto"/>
                          <w:lang w:val="en-US"/>
                        </w:rPr>
                        <w:t>3</w:t>
                      </w:r>
                      <w:r w:rsidRPr="000F7BFC">
                        <w:rPr>
                          <w:color w:val="auto"/>
                        </w:rPr>
                        <w:fldChar w:fldCharType="end"/>
                      </w:r>
                      <w:r>
                        <w:rPr>
                          <w:color w:val="auto"/>
                          <w:lang w:val="en-US"/>
                        </w:rPr>
                        <w:t xml:space="preserve"> T</w:t>
                      </w:r>
                      <w:r w:rsidRPr="000F7BFC">
                        <w:rPr>
                          <w:color w:val="auto"/>
                          <w:lang w:val="en-US"/>
                        </w:rPr>
                        <w:t>he MASSR. (Source: Wikipedia, Spiridon Ion Cepleanu own work, n.d. https://en.wikipedia.org/wiki/Moldavian_Autonomous_Soviet_Socialist_Republic#/media/File:Romania%2BMASSR_1924-40.jpg)</w:t>
                      </w:r>
                    </w:p>
                  </w:txbxContent>
                </v:textbox>
                <w10:wrap type="square" anchorx="margin"/>
              </v:shape>
            </w:pict>
          </mc:Fallback>
        </mc:AlternateContent>
      </w:r>
      <w:r w:rsidR="00810CAC" w:rsidRPr="00D82AA0">
        <w:rPr>
          <w:lang w:val="en-US"/>
        </w:rPr>
        <w:t>In 1940</w:t>
      </w:r>
      <w:r w:rsidR="004E596A" w:rsidRPr="00D82AA0">
        <w:rPr>
          <w:lang w:val="en-US"/>
        </w:rPr>
        <w:t>, the Red Army captured Bessarabia and by joining Bessarabia with the Moldovan Autonomous Soviet Socialist Republic (MASSR</w:t>
      </w:r>
      <w:r w:rsidR="00B70AD5">
        <w:rPr>
          <w:lang w:val="en-US"/>
        </w:rPr>
        <w:t>, see figure 3</w:t>
      </w:r>
      <w:r w:rsidR="004E596A" w:rsidRPr="00D82AA0">
        <w:rPr>
          <w:lang w:val="en-US"/>
        </w:rPr>
        <w:t>)</w:t>
      </w:r>
      <w:r w:rsidR="00D17375" w:rsidRPr="00D82AA0">
        <w:rPr>
          <w:lang w:val="en-US"/>
        </w:rPr>
        <w:t xml:space="preserve">, which included Transnistria, the </w:t>
      </w:r>
      <w:r w:rsidR="009A0421" w:rsidRPr="00D82AA0">
        <w:rPr>
          <w:lang w:val="en-US"/>
        </w:rPr>
        <w:t xml:space="preserve">Moldovan </w:t>
      </w:r>
      <w:r w:rsidR="00D17375" w:rsidRPr="00D82AA0">
        <w:rPr>
          <w:lang w:val="en-US"/>
        </w:rPr>
        <w:t xml:space="preserve">Soviet Socialist Republic </w:t>
      </w:r>
      <w:r w:rsidR="009A0421" w:rsidRPr="00D82AA0">
        <w:rPr>
          <w:lang w:val="en-US"/>
        </w:rPr>
        <w:t>(MSSR)</w:t>
      </w:r>
      <w:r w:rsidR="00D17375" w:rsidRPr="00D82AA0">
        <w:rPr>
          <w:lang w:val="en-US"/>
        </w:rPr>
        <w:t xml:space="preserve"> was formed. </w:t>
      </w:r>
      <w:r w:rsidR="009A0421" w:rsidRPr="00D82AA0">
        <w:rPr>
          <w:lang w:val="en-US"/>
        </w:rPr>
        <w:t>In the MSSR, ethnic Russians had a disproportionate amount of people in important political and economic positions, giving them an advantage in the way they were represented</w:t>
      </w:r>
      <w:r w:rsidRPr="00D82AA0">
        <w:rPr>
          <w:lang w:val="en-US"/>
        </w:rPr>
        <w:t xml:space="preserve"> (Roper, 2001)</w:t>
      </w:r>
      <w:r w:rsidR="009A0421" w:rsidRPr="00D82AA0">
        <w:rPr>
          <w:lang w:val="en-US"/>
        </w:rPr>
        <w:t xml:space="preserve">. </w:t>
      </w:r>
    </w:p>
    <w:p w14:paraId="2DE9EE95" w14:textId="66C13425" w:rsidR="00DB49B0" w:rsidRPr="00D82AA0" w:rsidRDefault="00DB069E" w:rsidP="00A865EB">
      <w:pPr>
        <w:rPr>
          <w:lang w:val="en-US"/>
        </w:rPr>
      </w:pPr>
      <w:r w:rsidRPr="00D82AA0">
        <w:rPr>
          <w:lang w:val="en-US"/>
        </w:rPr>
        <w:lastRenderedPageBreak/>
        <w:t>At the time, the MSSR did not have an official language, bu</w:t>
      </w:r>
      <w:r w:rsidR="0072007C" w:rsidRPr="00D82AA0">
        <w:rPr>
          <w:lang w:val="en-US"/>
        </w:rPr>
        <w:t xml:space="preserve">t Russian was dominant in urban culture, economics and politics. However, in 1989, the Moldovan Supreme Soviet, the highest political organ, proclaimed Moldovan to be the official state language. </w:t>
      </w:r>
      <w:r w:rsidRPr="00D82AA0">
        <w:rPr>
          <w:lang w:val="en-US"/>
        </w:rPr>
        <w:t xml:space="preserve"> </w:t>
      </w:r>
      <w:r w:rsidR="0072007C" w:rsidRPr="00D82AA0">
        <w:rPr>
          <w:lang w:val="en-US"/>
        </w:rPr>
        <w:t xml:space="preserve">Transnistrians were the group most opposed to this switch to Moldovan </w:t>
      </w:r>
      <w:r w:rsidR="0072007C" w:rsidRPr="008E13AE">
        <w:rPr>
          <w:noProof/>
          <w:lang w:val="en-US"/>
        </w:rPr>
        <w:t>language</w:t>
      </w:r>
      <w:r w:rsidR="0072007C" w:rsidRPr="00D82AA0">
        <w:rPr>
          <w:lang w:val="en-US"/>
        </w:rPr>
        <w:t xml:space="preserve"> because it was the most important sign of the shifting away of the power from the Russians and Transnistrians to </w:t>
      </w:r>
      <w:r w:rsidR="00DB49B0" w:rsidRPr="00D82AA0">
        <w:rPr>
          <w:lang w:val="en-US"/>
        </w:rPr>
        <w:t>Romanian-speakers (Roper, 2001)</w:t>
      </w:r>
      <w:r w:rsidR="0072007C" w:rsidRPr="00D82AA0">
        <w:rPr>
          <w:lang w:val="en-US"/>
        </w:rPr>
        <w:t xml:space="preserve">. </w:t>
      </w:r>
    </w:p>
    <w:p w14:paraId="2E7B1C7D" w14:textId="62669A29" w:rsidR="00DB49B0" w:rsidRPr="00D82AA0" w:rsidRDefault="00DB49B0" w:rsidP="00A865EB">
      <w:pPr>
        <w:rPr>
          <w:lang w:val="en-US"/>
        </w:rPr>
      </w:pPr>
      <w:r w:rsidRPr="00D82AA0">
        <w:rPr>
          <w:lang w:val="en-US"/>
        </w:rPr>
        <w:t xml:space="preserve">In March 1990, the first relatively fair Supreme Soviet elections were held. A government, almost </w:t>
      </w:r>
      <w:r w:rsidRPr="008E13AE">
        <w:rPr>
          <w:noProof/>
          <w:lang w:val="en-US"/>
        </w:rPr>
        <w:t>only existing</w:t>
      </w:r>
      <w:r w:rsidRPr="00D82AA0">
        <w:rPr>
          <w:lang w:val="en-US"/>
        </w:rPr>
        <w:t xml:space="preserve"> out of ethnic Moldovans came to power. Mircea Snegur was elected President and Mircea Druc, a strong advocate of uniting with Romania, became Prime Minister. </w:t>
      </w:r>
    </w:p>
    <w:p w14:paraId="6F08798A" w14:textId="1CCB6B7E" w:rsidR="00A865EB" w:rsidRPr="00D82AA0" w:rsidRDefault="00AB596C" w:rsidP="00070AF7">
      <w:pPr>
        <w:pStyle w:val="Kop4"/>
        <w:numPr>
          <w:ilvl w:val="2"/>
          <w:numId w:val="1"/>
        </w:numPr>
        <w:spacing w:line="360" w:lineRule="auto"/>
        <w:rPr>
          <w:lang w:val="en-US"/>
        </w:rPr>
      </w:pPr>
      <w:r w:rsidRPr="00D82AA0">
        <w:rPr>
          <w:lang w:val="en-US"/>
        </w:rPr>
        <w:t>Transnistria</w:t>
      </w:r>
    </w:p>
    <w:p w14:paraId="7C643387" w14:textId="57035FC8" w:rsidR="00B34F2D" w:rsidRPr="00D82AA0" w:rsidRDefault="00810CAC" w:rsidP="00A865EB">
      <w:pPr>
        <w:rPr>
          <w:lang w:val="en-US"/>
        </w:rPr>
      </w:pPr>
      <w:r w:rsidRPr="00D82AA0">
        <w:rPr>
          <w:lang w:val="en-US"/>
        </w:rPr>
        <w:t>In 1812, when Bessarabia was incorporated into the Russian empire, t</w:t>
      </w:r>
      <w:r w:rsidR="00A865EB" w:rsidRPr="00D82AA0">
        <w:rPr>
          <w:lang w:val="en-US"/>
        </w:rPr>
        <w:t xml:space="preserve">he </w:t>
      </w:r>
      <w:r w:rsidRPr="00D82AA0">
        <w:rPr>
          <w:lang w:val="en-US"/>
        </w:rPr>
        <w:t>empire</w:t>
      </w:r>
      <w:r w:rsidR="00A865EB" w:rsidRPr="00D82AA0">
        <w:rPr>
          <w:lang w:val="en-US"/>
        </w:rPr>
        <w:t xml:space="preserve"> was divided into different </w:t>
      </w:r>
      <w:r w:rsidR="00A865EB" w:rsidRPr="00D82AA0">
        <w:rPr>
          <w:i/>
          <w:lang w:val="en-US"/>
        </w:rPr>
        <w:t>Guberniya’s,</w:t>
      </w:r>
      <w:r w:rsidR="00A865EB" w:rsidRPr="00D82AA0">
        <w:rPr>
          <w:lang w:val="en-US"/>
        </w:rPr>
        <w:t xml:space="preserve"> different governorates. Transnistria belonged to two </w:t>
      </w:r>
      <w:r w:rsidR="00080C8F" w:rsidRPr="00D82AA0">
        <w:rPr>
          <w:lang w:val="en-US"/>
        </w:rPr>
        <w:t xml:space="preserve">Malorossian </w:t>
      </w:r>
      <w:r w:rsidR="00B34F2D" w:rsidRPr="00D82AA0">
        <w:rPr>
          <w:lang w:val="en-US"/>
        </w:rPr>
        <w:t>(</w:t>
      </w:r>
      <w:r w:rsidR="002A2FE6" w:rsidRPr="00D82AA0">
        <w:rPr>
          <w:lang w:val="en-US"/>
        </w:rPr>
        <w:t xml:space="preserve">Malorossia is </w:t>
      </w:r>
      <w:r w:rsidR="00B34F2D" w:rsidRPr="00D82AA0">
        <w:rPr>
          <w:lang w:val="en-US"/>
        </w:rPr>
        <w:t xml:space="preserve">roughly current Ukraine) </w:t>
      </w:r>
      <w:r w:rsidR="00080C8F" w:rsidRPr="00D82AA0">
        <w:rPr>
          <w:lang w:val="en-US"/>
        </w:rPr>
        <w:t>Guberniya’s, named Kherson and Podol’e.</w:t>
      </w:r>
      <w:r w:rsidR="006B4B8E" w:rsidRPr="00D82AA0">
        <w:rPr>
          <w:lang w:val="en-US"/>
        </w:rPr>
        <w:t xml:space="preserve"> Bessarabia, on the other hand, became its own Guberniya. Afterwards, when Bessarabia came to belong to Romania, Transnistria belonged to the MASSR</w:t>
      </w:r>
      <w:r w:rsidR="00C02BE2" w:rsidRPr="00D82AA0">
        <w:rPr>
          <w:lang w:val="en-US"/>
        </w:rPr>
        <w:t xml:space="preserve"> (</w:t>
      </w:r>
      <w:r w:rsidR="00C02BE2" w:rsidRPr="00D82AA0">
        <w:rPr>
          <w:color w:val="FF0000"/>
          <w:lang w:val="en-US"/>
        </w:rPr>
        <w:t>figure 2</w:t>
      </w:r>
      <w:r w:rsidR="00C02BE2" w:rsidRPr="00D82AA0">
        <w:rPr>
          <w:lang w:val="en-US"/>
        </w:rPr>
        <w:t>)</w:t>
      </w:r>
      <w:r w:rsidR="006B4B8E" w:rsidRPr="00D82AA0">
        <w:rPr>
          <w:lang w:val="en-US"/>
        </w:rPr>
        <w:t xml:space="preserve"> (Kolst</w:t>
      </w:r>
      <w:r w:rsidR="006B4B8E" w:rsidRPr="00D82AA0">
        <w:rPr>
          <w:rFonts w:cstheme="minorHAnsi"/>
          <w:lang w:val="en-US"/>
        </w:rPr>
        <w:t>ø</w:t>
      </w:r>
      <w:r w:rsidR="006B4B8E" w:rsidRPr="00D82AA0">
        <w:rPr>
          <w:lang w:val="en-US"/>
        </w:rPr>
        <w:t xml:space="preserve"> &amp; Malgin, 1998). </w:t>
      </w:r>
      <w:r w:rsidR="007B3C49" w:rsidRPr="00D82AA0">
        <w:rPr>
          <w:lang w:val="en-US"/>
        </w:rPr>
        <w:t xml:space="preserve">In 1940, Bessarabia was </w:t>
      </w:r>
      <w:r w:rsidRPr="00D82AA0">
        <w:rPr>
          <w:lang w:val="en-US"/>
        </w:rPr>
        <w:t>captured by the Soviets and the MSSR was proclaimed. However, from 1941 to 1944, this was occupied by Germany and Romania. Afterwards, when the war was over, the situation from 1940 was re-established</w:t>
      </w:r>
      <w:r w:rsidR="00B34F2D" w:rsidRPr="00D82AA0">
        <w:rPr>
          <w:lang w:val="en-US"/>
        </w:rPr>
        <w:t xml:space="preserve"> (Kolst</w:t>
      </w:r>
      <w:r w:rsidR="00B34F2D" w:rsidRPr="00D82AA0">
        <w:rPr>
          <w:rFonts w:cstheme="minorHAnsi"/>
          <w:lang w:val="en-US"/>
        </w:rPr>
        <w:t>ø</w:t>
      </w:r>
      <w:r w:rsidR="00B34F2D" w:rsidRPr="00D82AA0">
        <w:rPr>
          <w:lang w:val="en-US"/>
        </w:rPr>
        <w:t xml:space="preserve"> &amp; Malgin, 1998)</w:t>
      </w:r>
      <w:r w:rsidRPr="00D82AA0">
        <w:rPr>
          <w:lang w:val="en-US"/>
        </w:rPr>
        <w:t xml:space="preserve">. </w:t>
      </w:r>
    </w:p>
    <w:p w14:paraId="0E34966A" w14:textId="7DD579E4" w:rsidR="00BA4819" w:rsidRPr="00D82AA0" w:rsidRDefault="00810CAC" w:rsidP="00A865EB">
      <w:pPr>
        <w:rPr>
          <w:lang w:val="en-US"/>
        </w:rPr>
      </w:pPr>
      <w:r w:rsidRPr="00D82AA0">
        <w:rPr>
          <w:lang w:val="en-US"/>
        </w:rPr>
        <w:t xml:space="preserve">So, only since 1944 has Transnistria practically been part of Moldova. </w:t>
      </w:r>
      <w:r w:rsidR="001C339D" w:rsidRPr="00D82AA0">
        <w:rPr>
          <w:lang w:val="en-US"/>
        </w:rPr>
        <w:t>However, even though the people on the left and right bank of the</w:t>
      </w:r>
      <w:r w:rsidR="00BA4819" w:rsidRPr="00D82AA0">
        <w:rPr>
          <w:lang w:val="en-US"/>
        </w:rPr>
        <w:t xml:space="preserve"> Dniester</w:t>
      </w:r>
      <w:r w:rsidR="001C339D" w:rsidRPr="00D82AA0">
        <w:rPr>
          <w:lang w:val="en-US"/>
        </w:rPr>
        <w:t xml:space="preserve"> river now lived in the same country, their identities stayed the same and there was still a big difference between them. </w:t>
      </w:r>
      <w:r w:rsidR="00755FFF" w:rsidRPr="00D82AA0">
        <w:rPr>
          <w:lang w:val="en-US"/>
        </w:rPr>
        <w:t xml:space="preserve">Nevertheless, Transnistrians did not have to feel neglected. The majority of Moldovan leadership </w:t>
      </w:r>
      <w:r w:rsidR="00BA4819" w:rsidRPr="00D82AA0">
        <w:rPr>
          <w:lang w:val="en-US"/>
        </w:rPr>
        <w:t xml:space="preserve">after the war came from the left bank of the Dniester. Only when Gorbatsjov introduced his Perestroika, the leadership of the country shifted to the right bank, former Bessarabia (Kolstø &amp; Malgin, 1998). </w:t>
      </w:r>
    </w:p>
    <w:p w14:paraId="01B22BF3" w14:textId="3EE0EA34" w:rsidR="00BA1A91" w:rsidRPr="00D82AA0" w:rsidRDefault="00BA1A91" w:rsidP="00A865EB">
      <w:pPr>
        <w:rPr>
          <w:lang w:val="en-US"/>
        </w:rPr>
      </w:pPr>
      <w:r w:rsidRPr="00D82AA0">
        <w:rPr>
          <w:lang w:val="en-US"/>
        </w:rPr>
        <w:t xml:space="preserve">During Perestroika, the Moldovan Popular Front began to look at a Moldovan reunification with Romania. In the meantime, Moldovan became the only official state language. This caused trouble in Transnistria. On August </w:t>
      </w:r>
      <w:r w:rsidRPr="008E1FBB">
        <w:rPr>
          <w:noProof/>
          <w:lang w:val="en-US"/>
        </w:rPr>
        <w:t>11</w:t>
      </w:r>
      <w:r w:rsidRPr="008E1FBB">
        <w:rPr>
          <w:noProof/>
          <w:vertAlign w:val="superscript"/>
          <w:lang w:val="en-US"/>
        </w:rPr>
        <w:t>th</w:t>
      </w:r>
      <w:r w:rsidRPr="00D82AA0">
        <w:rPr>
          <w:lang w:val="en-US"/>
        </w:rPr>
        <w:t xml:space="preserve"> 1989, the United Council of Work Collectives (OSTK) was established. This organization organized a political strike against the “discriminatory laws”</w:t>
      </w:r>
      <w:r w:rsidR="00B33B4E" w:rsidRPr="00D82AA0">
        <w:rPr>
          <w:lang w:val="en-US"/>
        </w:rPr>
        <w:t xml:space="preserve"> of the official state</w:t>
      </w:r>
      <w:r w:rsidRPr="00D82AA0">
        <w:rPr>
          <w:lang w:val="en-US"/>
        </w:rPr>
        <w:t xml:space="preserve"> language. </w:t>
      </w:r>
      <w:r w:rsidR="00EE2F0F" w:rsidRPr="00D82AA0">
        <w:rPr>
          <w:lang w:val="en-US"/>
        </w:rPr>
        <w:t xml:space="preserve">This is also the time that territorial self-rule cropped up for Transnistria. </w:t>
      </w:r>
      <w:r w:rsidR="00EE2F0F" w:rsidRPr="00D82AA0">
        <w:rPr>
          <w:lang w:val="en-US"/>
        </w:rPr>
        <w:lastRenderedPageBreak/>
        <w:t xml:space="preserve">Between December 1989 and August 1990, several </w:t>
      </w:r>
      <w:r w:rsidR="00E02948" w:rsidRPr="00D82AA0">
        <w:rPr>
          <w:lang w:val="en-US"/>
        </w:rPr>
        <w:t>referenda</w:t>
      </w:r>
      <w:r w:rsidR="00EE2F0F" w:rsidRPr="00D82AA0">
        <w:rPr>
          <w:lang w:val="en-US"/>
        </w:rPr>
        <w:t xml:space="preserve"> were held to see if an autonomous </w:t>
      </w:r>
      <w:r w:rsidR="00EE2F0F" w:rsidRPr="008E13AE">
        <w:rPr>
          <w:noProof/>
          <w:lang w:val="en-US"/>
        </w:rPr>
        <w:t>Tra</w:t>
      </w:r>
      <w:r w:rsidR="008E13AE">
        <w:rPr>
          <w:noProof/>
          <w:lang w:val="en-US"/>
        </w:rPr>
        <w:t>n</w:t>
      </w:r>
      <w:r w:rsidR="00EE2F0F" w:rsidRPr="008E13AE">
        <w:rPr>
          <w:noProof/>
          <w:lang w:val="en-US"/>
        </w:rPr>
        <w:t>snistrian</w:t>
      </w:r>
      <w:r w:rsidR="00EE2F0F" w:rsidRPr="00D82AA0">
        <w:rPr>
          <w:lang w:val="en-US"/>
        </w:rPr>
        <w:t xml:space="preserve"> republic was </w:t>
      </w:r>
      <w:r w:rsidR="000C234B" w:rsidRPr="00D82AA0">
        <w:rPr>
          <w:lang w:val="en-US"/>
        </w:rPr>
        <w:t xml:space="preserve">desirable. </w:t>
      </w:r>
      <w:r w:rsidR="00EE2F0F" w:rsidRPr="00D82AA0">
        <w:rPr>
          <w:lang w:val="en-US"/>
        </w:rPr>
        <w:t xml:space="preserve"> </w:t>
      </w:r>
      <w:r w:rsidR="000C234B" w:rsidRPr="00D82AA0">
        <w:rPr>
          <w:lang w:val="en-US"/>
        </w:rPr>
        <w:t xml:space="preserve">According to the OSTK, more than 80% of the possible voters participated and 90% were in favour. </w:t>
      </w:r>
      <w:r w:rsidR="009F3F70" w:rsidRPr="00D82AA0">
        <w:rPr>
          <w:lang w:val="en-US"/>
        </w:rPr>
        <w:t xml:space="preserve">OSTK was also still active in the Moldovan politics. However, in 1990, repeated threats and acts of violence against them by Popular Front supporters made them withdraw from the Chisinau politics (Kolstø &amp; Malgin, 1998). </w:t>
      </w:r>
    </w:p>
    <w:p w14:paraId="18BCF3E7" w14:textId="6147C195" w:rsidR="009F3F70" w:rsidRPr="00D82AA0" w:rsidRDefault="009F3F70" w:rsidP="00A865EB">
      <w:pPr>
        <w:rPr>
          <w:lang w:val="en-US"/>
        </w:rPr>
      </w:pPr>
      <w:r w:rsidRPr="00D82AA0">
        <w:rPr>
          <w:lang w:val="en-US"/>
        </w:rPr>
        <w:t xml:space="preserve">In the meantime, on August </w:t>
      </w:r>
      <w:r w:rsidRPr="008E13AE">
        <w:rPr>
          <w:noProof/>
          <w:lang w:val="en-US"/>
        </w:rPr>
        <w:t>19</w:t>
      </w:r>
      <w:r w:rsidRPr="008E13AE">
        <w:rPr>
          <w:noProof/>
          <w:vertAlign w:val="superscript"/>
          <w:lang w:val="en-US"/>
        </w:rPr>
        <w:t>th</w:t>
      </w:r>
      <w:r w:rsidR="00996AE1" w:rsidRPr="00D82AA0">
        <w:rPr>
          <w:vertAlign w:val="superscript"/>
          <w:lang w:val="en-US"/>
        </w:rPr>
        <w:t xml:space="preserve"> </w:t>
      </w:r>
      <w:r w:rsidR="00996AE1" w:rsidRPr="00D82AA0">
        <w:rPr>
          <w:lang w:val="en-US"/>
        </w:rPr>
        <w:t>1990</w:t>
      </w:r>
      <w:r w:rsidRPr="00D82AA0">
        <w:rPr>
          <w:lang w:val="en-US"/>
        </w:rPr>
        <w:t>, Gagauzia declared its independence</w:t>
      </w:r>
      <w:r w:rsidR="00996AE1" w:rsidRPr="00D82AA0">
        <w:rPr>
          <w:lang w:val="en-US"/>
        </w:rPr>
        <w:t xml:space="preserve"> (Roper, 2001)</w:t>
      </w:r>
      <w:r w:rsidRPr="00D82AA0">
        <w:rPr>
          <w:lang w:val="en-US"/>
        </w:rPr>
        <w:t xml:space="preserve">. </w:t>
      </w:r>
      <w:r w:rsidR="004638D1" w:rsidRPr="00D82AA0">
        <w:rPr>
          <w:lang w:val="en-US"/>
        </w:rPr>
        <w:t xml:space="preserve">“Gagauzia is an autonomous territorial unit within the Republic of Moldova with a special legal status” (Legal code of Gagauzia, 1998). The region is situated in the south of Moldova. This declaration of independence </w:t>
      </w:r>
      <w:r w:rsidR="00996AE1" w:rsidRPr="00D82AA0">
        <w:rPr>
          <w:lang w:val="en-US"/>
        </w:rPr>
        <w:t>helped the Transnistrians in creating their own Dnestr Moldovan Soviet Socialist Republic</w:t>
      </w:r>
      <w:r w:rsidR="00C02BE2" w:rsidRPr="00D82AA0">
        <w:rPr>
          <w:lang w:val="en-US"/>
        </w:rPr>
        <w:t xml:space="preserve"> (DMSSR)</w:t>
      </w:r>
      <w:r w:rsidR="0058075D" w:rsidRPr="00D82AA0">
        <w:rPr>
          <w:lang w:val="en-US"/>
        </w:rPr>
        <w:t xml:space="preserve"> on Septe</w:t>
      </w:r>
      <w:r w:rsidR="00996AE1" w:rsidRPr="00D82AA0">
        <w:rPr>
          <w:lang w:val="en-US"/>
        </w:rPr>
        <w:t xml:space="preserve">mber </w:t>
      </w:r>
      <w:r w:rsidR="00996AE1" w:rsidRPr="008E13AE">
        <w:rPr>
          <w:noProof/>
          <w:lang w:val="en-US"/>
        </w:rPr>
        <w:t>2</w:t>
      </w:r>
      <w:r w:rsidR="00996AE1" w:rsidRPr="008E13AE">
        <w:rPr>
          <w:noProof/>
          <w:vertAlign w:val="superscript"/>
          <w:lang w:val="en-US"/>
        </w:rPr>
        <w:t>nd</w:t>
      </w:r>
      <w:r w:rsidR="00996AE1" w:rsidRPr="00D82AA0">
        <w:rPr>
          <w:lang w:val="en-US"/>
        </w:rPr>
        <w:t xml:space="preserve"> 1990. </w:t>
      </w:r>
      <w:r w:rsidR="002A2FE6" w:rsidRPr="00D82AA0">
        <w:rPr>
          <w:lang w:val="en-US"/>
        </w:rPr>
        <w:t xml:space="preserve"> </w:t>
      </w:r>
      <w:r w:rsidR="00C02BE2" w:rsidRPr="00D82AA0">
        <w:rPr>
          <w:lang w:val="en-US"/>
        </w:rPr>
        <w:t>The Transnistrian authorities saw this DMSSR as the reestablishment of the old MASSR, to which Transnistria belonged from 1924 until 1940</w:t>
      </w:r>
      <w:r w:rsidR="007A6110" w:rsidRPr="00D82AA0">
        <w:rPr>
          <w:lang w:val="en-US"/>
        </w:rPr>
        <w:t xml:space="preserve"> (Kolstø &amp; Malgin, 1998)</w:t>
      </w:r>
      <w:r w:rsidR="00C02BE2" w:rsidRPr="00D82AA0">
        <w:rPr>
          <w:lang w:val="en-US"/>
        </w:rPr>
        <w:t>.</w:t>
      </w:r>
    </w:p>
    <w:p w14:paraId="69A8132A" w14:textId="6B973FD8" w:rsidR="007A6110" w:rsidRPr="00D82AA0" w:rsidRDefault="007A6110" w:rsidP="00A865EB">
      <w:pPr>
        <w:rPr>
          <w:lang w:val="en-US"/>
        </w:rPr>
      </w:pPr>
      <w:r w:rsidRPr="00D82AA0">
        <w:rPr>
          <w:lang w:val="en-US"/>
        </w:rPr>
        <w:t xml:space="preserve">These two sovereignty proclamations in a short time worsened the political situation in Moldova. </w:t>
      </w:r>
      <w:r w:rsidR="0058075D" w:rsidRPr="00D82AA0">
        <w:rPr>
          <w:lang w:val="en-US"/>
        </w:rPr>
        <w:t xml:space="preserve">Violent encounters between the supporters of the Popular Front and Moldovan police on one side and Gagauz and Transnistrian paramilitary on the other side started in the fall of 1990. </w:t>
      </w:r>
      <w:r w:rsidR="000403D1" w:rsidRPr="00D82AA0">
        <w:rPr>
          <w:lang w:val="en-US"/>
        </w:rPr>
        <w:t xml:space="preserve">In an attempt to influence the situation, Gorbatsjov declared the sovereignty declarations of both Gagauzia and Transnistria null and void on December </w:t>
      </w:r>
      <w:r w:rsidR="000403D1" w:rsidRPr="008E13AE">
        <w:rPr>
          <w:noProof/>
          <w:lang w:val="en-US"/>
        </w:rPr>
        <w:t>22</w:t>
      </w:r>
      <w:r w:rsidR="000403D1" w:rsidRPr="008E13AE">
        <w:rPr>
          <w:noProof/>
          <w:vertAlign w:val="superscript"/>
          <w:lang w:val="en-US"/>
        </w:rPr>
        <w:t>nd</w:t>
      </w:r>
      <w:r w:rsidR="000403D1" w:rsidRPr="00D82AA0">
        <w:rPr>
          <w:lang w:val="en-US"/>
        </w:rPr>
        <w:t xml:space="preserve"> 1990. After that, on April 1991, the USSR Supreme Soviet passed a resolution on the situation in Moldova, but the Soviet authorities were not in the position to exert influence in the republic, so the Moscow decisions were ignored (Kolstø &amp; Malgin, 1998)</w:t>
      </w:r>
      <w:r w:rsidR="0058075D" w:rsidRPr="00D82AA0">
        <w:rPr>
          <w:lang w:val="en-US"/>
        </w:rPr>
        <w:t>.</w:t>
      </w:r>
      <w:r w:rsidR="000403D1" w:rsidRPr="00D82AA0">
        <w:rPr>
          <w:lang w:val="en-US"/>
        </w:rPr>
        <w:t xml:space="preserve"> </w:t>
      </w:r>
      <w:r w:rsidR="00E02948" w:rsidRPr="00D82AA0">
        <w:rPr>
          <w:lang w:val="en-US"/>
        </w:rPr>
        <w:t xml:space="preserve">This Soviet coup demonstrated the division between Transnistria and Moldova. The Moldovan leadership denounced the coup leaders, while Transnistrian leaders supported the coup (Roper, 2001). </w:t>
      </w:r>
    </w:p>
    <w:p w14:paraId="1D40F526" w14:textId="75244B71" w:rsidR="005E6CFA" w:rsidRPr="00D82AA0" w:rsidRDefault="00E02948" w:rsidP="00A865EB">
      <w:pPr>
        <w:rPr>
          <w:lang w:val="en-US"/>
        </w:rPr>
      </w:pPr>
      <w:r w:rsidRPr="00D82AA0">
        <w:rPr>
          <w:lang w:val="en-US"/>
        </w:rPr>
        <w:t xml:space="preserve">With the collapse of the Soviet Union, Moldova declared its independence on August </w:t>
      </w:r>
      <w:r w:rsidRPr="008E13AE">
        <w:rPr>
          <w:noProof/>
          <w:lang w:val="en-US"/>
        </w:rPr>
        <w:t>27</w:t>
      </w:r>
      <w:r w:rsidRPr="008E13AE">
        <w:rPr>
          <w:noProof/>
          <w:vertAlign w:val="superscript"/>
          <w:lang w:val="en-US"/>
        </w:rPr>
        <w:t>th</w:t>
      </w:r>
      <w:r w:rsidRPr="00D82AA0">
        <w:rPr>
          <w:lang w:val="en-US"/>
        </w:rPr>
        <w:t xml:space="preserve"> 1991. Transnistria was soon to </w:t>
      </w:r>
      <w:r w:rsidRPr="008E13AE">
        <w:rPr>
          <w:noProof/>
          <w:lang w:val="en-US"/>
        </w:rPr>
        <w:t>follow</w:t>
      </w:r>
      <w:r w:rsidRPr="00D82AA0">
        <w:rPr>
          <w:lang w:val="en-US"/>
        </w:rPr>
        <w:t xml:space="preserve"> when on the 2</w:t>
      </w:r>
      <w:r w:rsidRPr="00D82AA0">
        <w:rPr>
          <w:vertAlign w:val="superscript"/>
          <w:lang w:val="en-US"/>
        </w:rPr>
        <w:t>nd</w:t>
      </w:r>
      <w:r w:rsidRPr="00D82AA0">
        <w:rPr>
          <w:lang w:val="en-US"/>
        </w:rPr>
        <w:t xml:space="preserve"> of September the Pridnestrovian Moldovan Republic was proclaimed (OSCE, 1994). </w:t>
      </w:r>
      <w:r w:rsidR="005E6CFA" w:rsidRPr="00D82AA0">
        <w:rPr>
          <w:lang w:val="en-US"/>
        </w:rPr>
        <w:t xml:space="preserve"> After this, Igor Smirnov, head of the OSTK, declared that “the referendum on independence should in no way be seen as an ultimatum … our proposals for a reorganization of the Moldovan state system will remain in force. But now two completely equal partners will sit down at the negotiation table (Kolstø &amp; Malgin, 1998).” In Moldova, Mircea Snegur became president and Igor Smirnov was the winner of the elections in the PMR. </w:t>
      </w:r>
    </w:p>
    <w:p w14:paraId="74434E9C" w14:textId="432A2D4E" w:rsidR="005E6CFA" w:rsidRPr="00D82AA0" w:rsidRDefault="005E6CFA" w:rsidP="00070AF7">
      <w:pPr>
        <w:pStyle w:val="Kop2"/>
        <w:numPr>
          <w:ilvl w:val="1"/>
          <w:numId w:val="1"/>
        </w:numPr>
        <w:rPr>
          <w:lang w:val="en-US"/>
        </w:rPr>
      </w:pPr>
      <w:bookmarkStart w:id="33" w:name="_Toc517985352"/>
      <w:r w:rsidRPr="00D82AA0">
        <w:rPr>
          <w:lang w:val="en-US"/>
        </w:rPr>
        <w:lastRenderedPageBreak/>
        <w:t>The Conflict</w:t>
      </w:r>
      <w:bookmarkEnd w:id="33"/>
    </w:p>
    <w:p w14:paraId="23EC403F" w14:textId="37E309A3" w:rsidR="00FB6BC3" w:rsidRPr="00D82AA0" w:rsidRDefault="005E6CFA" w:rsidP="00A865EB">
      <w:pPr>
        <w:rPr>
          <w:lang w:val="en-US"/>
        </w:rPr>
      </w:pPr>
      <w:r w:rsidRPr="00D82AA0">
        <w:rPr>
          <w:lang w:val="en-US"/>
        </w:rPr>
        <w:t xml:space="preserve">Both Moldova and the PMR saw a military conflict as a solution to the ongoing struggle. </w:t>
      </w:r>
      <w:r w:rsidR="00E02948" w:rsidRPr="00D82AA0">
        <w:rPr>
          <w:lang w:val="en-US"/>
        </w:rPr>
        <w:t>So, several Transnistrian cities (Roper, 2001) began to form paramilitary organizations such as the republican guard and the Black Sea Cossack Voisko (Kolstø &amp; Malgin, 1998)</w:t>
      </w:r>
      <w:r w:rsidRPr="00D82AA0">
        <w:rPr>
          <w:lang w:val="en-US"/>
        </w:rPr>
        <w:t xml:space="preserve">. </w:t>
      </w:r>
      <w:r w:rsidR="00E02948" w:rsidRPr="00D82AA0">
        <w:rPr>
          <w:lang w:val="en-US"/>
        </w:rPr>
        <w:t xml:space="preserve">The first real signs of conflict came before the declarations of independence of both Moldova and Transnistria, when on 2 December 1990, three civilians were killed during armed clashes between Transnistrian separatists and Moldovan police in Dubossary, a city located on the left bank of the Dniester River. However, </w:t>
      </w:r>
      <w:r w:rsidR="008E13AE">
        <w:rPr>
          <w:lang w:val="en-US"/>
        </w:rPr>
        <w:t xml:space="preserve">the </w:t>
      </w:r>
      <w:r w:rsidR="00E02948" w:rsidRPr="008E13AE">
        <w:rPr>
          <w:noProof/>
          <w:lang w:val="en-US"/>
        </w:rPr>
        <w:t>real</w:t>
      </w:r>
      <w:r w:rsidR="00E02948" w:rsidRPr="00D82AA0">
        <w:rPr>
          <w:lang w:val="en-US"/>
        </w:rPr>
        <w:t xml:space="preserve"> conflict started when </w:t>
      </w:r>
      <w:r w:rsidR="00C61D1C" w:rsidRPr="00D82AA0">
        <w:rPr>
          <w:lang w:val="en-US"/>
        </w:rPr>
        <w:t>PMR proclaimed their sovereignty. The paramilitary formations started to take over Moldovan institutions such as police offices, schools, administrative bodies, radio stations and newspapers</w:t>
      </w:r>
      <w:r w:rsidR="004F2356" w:rsidRPr="00D82AA0">
        <w:rPr>
          <w:lang w:val="en-US"/>
        </w:rPr>
        <w:t xml:space="preserve"> (OSCE, 1994)</w:t>
      </w:r>
      <w:r w:rsidR="00C61D1C" w:rsidRPr="00D82AA0">
        <w:rPr>
          <w:lang w:val="en-US"/>
        </w:rPr>
        <w:t>.</w:t>
      </w:r>
      <w:r w:rsidR="004F2356" w:rsidRPr="00D82AA0">
        <w:rPr>
          <w:lang w:val="en-US"/>
        </w:rPr>
        <w:t xml:space="preserve"> </w:t>
      </w:r>
      <w:r w:rsidR="00C55EB3" w:rsidRPr="00D82AA0">
        <w:rPr>
          <w:lang w:val="en-US"/>
        </w:rPr>
        <w:t xml:space="preserve">At first, Moldova did not interfere with force (Vahl &amp; Emerson, 2004) and all the institutions were only defended by human chains of unarmed Moldovans (OSCE, 1994). </w:t>
      </w:r>
      <w:r w:rsidR="00761A5E" w:rsidRPr="00D82AA0">
        <w:rPr>
          <w:lang w:val="en-US"/>
        </w:rPr>
        <w:t xml:space="preserve">However, this changed on December </w:t>
      </w:r>
      <w:r w:rsidR="00761A5E" w:rsidRPr="008E13AE">
        <w:rPr>
          <w:noProof/>
          <w:lang w:val="en-US"/>
        </w:rPr>
        <w:t>13</w:t>
      </w:r>
      <w:r w:rsidR="00761A5E" w:rsidRPr="008E13AE">
        <w:rPr>
          <w:noProof/>
          <w:vertAlign w:val="superscript"/>
          <w:lang w:val="en-US"/>
        </w:rPr>
        <w:t>th</w:t>
      </w:r>
      <w:r w:rsidR="00761A5E" w:rsidRPr="00D82AA0">
        <w:rPr>
          <w:lang w:val="en-US"/>
        </w:rPr>
        <w:t xml:space="preserve"> 1991. Moldovan police returned fire for the first time in defending the local government building in Dubossary (Vahl &amp; Emerson, 2004; OSCE, 1994). </w:t>
      </w:r>
      <w:r w:rsidR="0039672D" w:rsidRPr="00D82AA0">
        <w:rPr>
          <w:lang w:val="en-US"/>
        </w:rPr>
        <w:t>Then, from March 1992 on, the conflict became increasingly heavier and escalated into a full-scale war (Kolstø &amp; Malgin, 1998). The Transnistrian paramilitary forces were enforced by the transfer of men and arms from the Russian 14</w:t>
      </w:r>
      <w:r w:rsidR="0039672D" w:rsidRPr="00D82AA0">
        <w:rPr>
          <w:vertAlign w:val="superscript"/>
          <w:lang w:val="en-US"/>
        </w:rPr>
        <w:t>th</w:t>
      </w:r>
      <w:r w:rsidR="0039672D" w:rsidRPr="00D82AA0">
        <w:rPr>
          <w:lang w:val="en-US"/>
        </w:rPr>
        <w:t xml:space="preserve"> army (Roper, 2001). </w:t>
      </w:r>
      <w:r w:rsidR="002054F1" w:rsidRPr="00D82AA0">
        <w:rPr>
          <w:lang w:val="en-US"/>
        </w:rPr>
        <w:t>These clashes were followed by a declaration of state emergency on the 28</w:t>
      </w:r>
      <w:r w:rsidR="002054F1" w:rsidRPr="00D82AA0">
        <w:rPr>
          <w:vertAlign w:val="superscript"/>
          <w:lang w:val="en-US"/>
        </w:rPr>
        <w:t>th</w:t>
      </w:r>
      <w:r w:rsidR="002054F1" w:rsidRPr="00D82AA0">
        <w:rPr>
          <w:lang w:val="en-US"/>
        </w:rPr>
        <w:t xml:space="preserve"> of March (Vahl &amp; Emerson, 2004; OSCE, 1994). However, in May and June, fighting intensified again, ending in a decisive battle in Bender</w:t>
      </w:r>
      <w:r w:rsidR="00E4222A" w:rsidRPr="00D82AA0">
        <w:rPr>
          <w:lang w:val="en-US"/>
        </w:rPr>
        <w:t>y</w:t>
      </w:r>
      <w:r w:rsidR="002054F1" w:rsidRPr="00D82AA0">
        <w:rPr>
          <w:lang w:val="en-US"/>
        </w:rPr>
        <w:t xml:space="preserve"> from June 19</w:t>
      </w:r>
      <w:r w:rsidR="002054F1" w:rsidRPr="00D82AA0">
        <w:rPr>
          <w:vertAlign w:val="superscript"/>
          <w:lang w:val="en-US"/>
        </w:rPr>
        <w:t>th</w:t>
      </w:r>
      <w:r w:rsidR="002054F1" w:rsidRPr="00D82AA0">
        <w:rPr>
          <w:lang w:val="en-US"/>
        </w:rPr>
        <w:t xml:space="preserve"> until June 21</w:t>
      </w:r>
      <w:r w:rsidR="002054F1" w:rsidRPr="00D82AA0">
        <w:rPr>
          <w:vertAlign w:val="superscript"/>
          <w:lang w:val="en-US"/>
        </w:rPr>
        <w:t>st</w:t>
      </w:r>
      <w:r w:rsidR="002054F1" w:rsidRPr="00D82AA0">
        <w:rPr>
          <w:lang w:val="en-US"/>
        </w:rPr>
        <w:t>. This city is situated on the right bank of the Dniester river, but was claimed by Transnistrian authorities,</w:t>
      </w:r>
      <w:r w:rsidR="00761A5E" w:rsidRPr="00D82AA0">
        <w:rPr>
          <w:lang w:val="en-US"/>
        </w:rPr>
        <w:t xml:space="preserve"> </w:t>
      </w:r>
      <w:r w:rsidR="00E4222A" w:rsidRPr="00D82AA0">
        <w:rPr>
          <w:lang w:val="en-US"/>
        </w:rPr>
        <w:t xml:space="preserve">and is still the only city on the right bank that belongs to Transnistria (OSCE, 1994). </w:t>
      </w:r>
      <w:r w:rsidR="00245443" w:rsidRPr="00D82AA0">
        <w:rPr>
          <w:lang w:val="en-US"/>
        </w:rPr>
        <w:t>On the 21</w:t>
      </w:r>
      <w:r w:rsidR="00245443" w:rsidRPr="00D82AA0">
        <w:rPr>
          <w:vertAlign w:val="superscript"/>
          <w:lang w:val="en-US"/>
        </w:rPr>
        <w:t>st</w:t>
      </w:r>
      <w:r w:rsidR="00245443" w:rsidRPr="00D82AA0">
        <w:rPr>
          <w:lang w:val="en-US"/>
        </w:rPr>
        <w:t xml:space="preserve"> of June, PMR won the battle over Bendery, with help from the Russian forces. The war caused several hundred</w:t>
      </w:r>
      <w:r w:rsidR="007D3D8D" w:rsidRPr="00D82AA0">
        <w:rPr>
          <w:lang w:val="en-US"/>
        </w:rPr>
        <w:t xml:space="preserve"> up to a thousand</w:t>
      </w:r>
      <w:r w:rsidR="00245443" w:rsidRPr="00D82AA0">
        <w:rPr>
          <w:lang w:val="en-US"/>
        </w:rPr>
        <w:t xml:space="preserve"> deaths and around 100.000 refugees</w:t>
      </w:r>
      <w:r w:rsidR="00387FC0" w:rsidRPr="00D82AA0">
        <w:rPr>
          <w:lang w:val="en-US"/>
        </w:rPr>
        <w:t>, including internally displaced people</w:t>
      </w:r>
      <w:r w:rsidR="00245443" w:rsidRPr="00D82AA0">
        <w:rPr>
          <w:lang w:val="en-US"/>
        </w:rPr>
        <w:t xml:space="preserve"> (OSCE, 1994</w:t>
      </w:r>
      <w:r w:rsidR="007D3D8D" w:rsidRPr="00D82AA0">
        <w:rPr>
          <w:lang w:val="en-US"/>
        </w:rPr>
        <w:t>; Roper, 2001</w:t>
      </w:r>
      <w:r w:rsidR="00387FC0" w:rsidRPr="00D82AA0">
        <w:rPr>
          <w:lang w:val="en-US"/>
        </w:rPr>
        <w:t>; Vahl &amp; Emerson</w:t>
      </w:r>
      <w:r w:rsidR="00245443" w:rsidRPr="00D82AA0">
        <w:rPr>
          <w:lang w:val="en-US"/>
        </w:rPr>
        <w:t>).</w:t>
      </w:r>
      <w:r w:rsidR="00FB6BC3" w:rsidRPr="00D82AA0">
        <w:rPr>
          <w:lang w:val="en-US"/>
        </w:rPr>
        <w:t xml:space="preserve"> </w:t>
      </w:r>
    </w:p>
    <w:p w14:paraId="32224D46" w14:textId="34A1F9C8" w:rsidR="00F32551" w:rsidRPr="00D82AA0" w:rsidRDefault="00FB6BC3" w:rsidP="00A865EB">
      <w:pPr>
        <w:rPr>
          <w:lang w:val="en-US"/>
        </w:rPr>
      </w:pPr>
      <w:r w:rsidRPr="00D82AA0">
        <w:rPr>
          <w:lang w:val="en-US"/>
        </w:rPr>
        <w:t>During the war, Russia played a significant part, but Romania and Ukraine were also of some importance during the conflict. That is why, during March and April 1992</w:t>
      </w:r>
      <w:r w:rsidR="00097297" w:rsidRPr="00D82AA0">
        <w:rPr>
          <w:lang w:val="en-US"/>
        </w:rPr>
        <w:t xml:space="preserve">, the foreign ministries of Russia, Moldova, Romania and Ukraine met on several occasions to discuss a cease-fire and a framework for negotiations (Roper, 2001). “On the </w:t>
      </w:r>
      <w:r w:rsidR="00097297" w:rsidRPr="008E13AE">
        <w:rPr>
          <w:noProof/>
          <w:lang w:val="en-US"/>
        </w:rPr>
        <w:t>23</w:t>
      </w:r>
      <w:r w:rsidR="008E13AE">
        <w:rPr>
          <w:noProof/>
          <w:lang w:val="en-US"/>
        </w:rPr>
        <w:t>rd</w:t>
      </w:r>
      <w:r w:rsidR="00097297" w:rsidRPr="00D82AA0">
        <w:rPr>
          <w:lang w:val="en-US"/>
        </w:rPr>
        <w:t xml:space="preserve"> of </w:t>
      </w:r>
      <w:r w:rsidR="00097297" w:rsidRPr="008E13AE">
        <w:rPr>
          <w:noProof/>
          <w:lang w:val="en-US"/>
        </w:rPr>
        <w:t>March</w:t>
      </w:r>
      <w:r w:rsidR="008E13AE">
        <w:rPr>
          <w:noProof/>
          <w:lang w:val="en-US"/>
        </w:rPr>
        <w:t>,</w:t>
      </w:r>
      <w:r w:rsidR="00097297" w:rsidRPr="00D82AA0">
        <w:rPr>
          <w:lang w:val="en-US"/>
        </w:rPr>
        <w:t xml:space="preserve"> these ministers adopted a declaration in which they laid down a number of principles for a peaceful political settlement of the conflict, and agreed to create a mechanism for political consultations to </w:t>
      </w:r>
      <w:r w:rsidR="00097297" w:rsidRPr="008E13AE">
        <w:rPr>
          <w:noProof/>
          <w:lang w:val="en-US"/>
        </w:rPr>
        <w:t>coordinate</w:t>
      </w:r>
      <w:r w:rsidR="00097297" w:rsidRPr="00D82AA0">
        <w:rPr>
          <w:lang w:val="en-US"/>
        </w:rPr>
        <w:t xml:space="preserve"> their efforts (OSCE, 1994).” In following meetings in April and May, they decided to create a </w:t>
      </w:r>
      <w:r w:rsidR="00097297" w:rsidRPr="00D82AA0">
        <w:rPr>
          <w:lang w:val="en-US"/>
        </w:rPr>
        <w:lastRenderedPageBreak/>
        <w:t xml:space="preserve">‘Quadripartite Commission’ and a group of </w:t>
      </w:r>
      <w:r w:rsidR="00F32551" w:rsidRPr="00D82AA0">
        <w:rPr>
          <w:lang w:val="en-US"/>
        </w:rPr>
        <w:t xml:space="preserve">five </w:t>
      </w:r>
      <w:r w:rsidR="00097297" w:rsidRPr="00D82AA0">
        <w:rPr>
          <w:lang w:val="en-US"/>
        </w:rPr>
        <w:t xml:space="preserve">military observers </w:t>
      </w:r>
      <w:r w:rsidR="00F32551" w:rsidRPr="00D82AA0">
        <w:rPr>
          <w:lang w:val="en-US"/>
        </w:rPr>
        <w:t xml:space="preserve">per country </w:t>
      </w:r>
      <w:r w:rsidR="00097297" w:rsidRPr="00D82AA0">
        <w:rPr>
          <w:lang w:val="en-US"/>
        </w:rPr>
        <w:t xml:space="preserve">to monitor the implementations of an eventual cease-fire. However, due to the heavy fighting in </w:t>
      </w:r>
      <w:r w:rsidR="00F32551" w:rsidRPr="00D82AA0">
        <w:rPr>
          <w:lang w:val="en-US"/>
        </w:rPr>
        <w:t>June</w:t>
      </w:r>
      <w:r w:rsidR="00097297" w:rsidRPr="00D82AA0">
        <w:rPr>
          <w:lang w:val="en-US"/>
        </w:rPr>
        <w:t xml:space="preserve">, the plans for this Quadripartite mechanism failed to seriously </w:t>
      </w:r>
      <w:r w:rsidR="00F32551" w:rsidRPr="00D82AA0">
        <w:rPr>
          <w:lang w:val="en-US"/>
        </w:rPr>
        <w:t xml:space="preserve">take off (OSCE, 1994; Vahl &amp; Emerson, 2004).  </w:t>
      </w:r>
    </w:p>
    <w:p w14:paraId="148382BF" w14:textId="57E1969D" w:rsidR="00F32551" w:rsidRPr="00D82AA0" w:rsidRDefault="00F32551" w:rsidP="00F32551">
      <w:pPr>
        <w:rPr>
          <w:lang w:val="en-US"/>
        </w:rPr>
      </w:pPr>
      <w:r w:rsidRPr="00D82AA0">
        <w:rPr>
          <w:lang w:val="en-US"/>
        </w:rPr>
        <w:t>Immediately after the war, the Transnistrian Supreme Soviet passed some laws on the de facto independence of the PMR, like laws on Transnistrian citizenship, state organs, and organs of state security (Kolstø &amp; Malgin, 1998).</w:t>
      </w:r>
      <w:r w:rsidR="007D3D8D" w:rsidRPr="00D82AA0">
        <w:rPr>
          <w:lang w:val="en-US"/>
        </w:rPr>
        <w:t xml:space="preserve"> </w:t>
      </w:r>
      <w:r w:rsidR="00DD5038" w:rsidRPr="00D82AA0">
        <w:rPr>
          <w:lang w:val="en-US"/>
        </w:rPr>
        <w:t xml:space="preserve">However, this was of course not the way to </w:t>
      </w:r>
      <w:r w:rsidR="002C0114" w:rsidRPr="00D82AA0">
        <w:rPr>
          <w:lang w:val="en-US"/>
        </w:rPr>
        <w:t xml:space="preserve">irrevocably </w:t>
      </w:r>
      <w:r w:rsidR="00DD5038" w:rsidRPr="00D82AA0">
        <w:rPr>
          <w:lang w:val="en-US"/>
        </w:rPr>
        <w:t>end the conflict. So, o</w:t>
      </w:r>
      <w:r w:rsidR="007D3D8D" w:rsidRPr="00D82AA0">
        <w:rPr>
          <w:lang w:val="en-US"/>
        </w:rPr>
        <w:t>n July 21</w:t>
      </w:r>
      <w:r w:rsidR="007D3D8D" w:rsidRPr="00D82AA0">
        <w:rPr>
          <w:vertAlign w:val="superscript"/>
          <w:lang w:val="en-US"/>
        </w:rPr>
        <w:t>st</w:t>
      </w:r>
      <w:r w:rsidR="002C0114" w:rsidRPr="00D82AA0">
        <w:rPr>
          <w:lang w:val="en-US"/>
        </w:rPr>
        <w:t>,</w:t>
      </w:r>
      <w:r w:rsidR="007D3D8D" w:rsidRPr="00D82AA0">
        <w:rPr>
          <w:lang w:val="en-US"/>
        </w:rPr>
        <w:t xml:space="preserve"> Yeltsin and Snegur </w:t>
      </w:r>
      <w:r w:rsidR="00DD5038" w:rsidRPr="00D82AA0">
        <w:rPr>
          <w:lang w:val="en-US"/>
        </w:rPr>
        <w:t xml:space="preserve">– in the presence of Smirnov, who did not sign – </w:t>
      </w:r>
      <w:r w:rsidR="007D3D8D" w:rsidRPr="00D82AA0">
        <w:rPr>
          <w:lang w:val="en-US"/>
        </w:rPr>
        <w:t>signed an agreement for a peaceful solution of the conflict and an immediate cease-fire. Besides, they decided to create a demilitarized security zone between the parties, ten kilometres left and right of the Dniester river (OSCE, 1994; Roper, 2001).</w:t>
      </w:r>
      <w:r w:rsidR="002C0114" w:rsidRPr="00D82AA0">
        <w:rPr>
          <w:lang w:val="en-US"/>
        </w:rPr>
        <w:t xml:space="preserve"> </w:t>
      </w:r>
      <w:r w:rsidR="00F632CC" w:rsidRPr="00D82AA0">
        <w:rPr>
          <w:lang w:val="en-US"/>
        </w:rPr>
        <w:t>Furthermore, it was agreed that the left bank of the Dniester ne</w:t>
      </w:r>
      <w:r w:rsidR="00705EB0" w:rsidRPr="00D82AA0">
        <w:rPr>
          <w:lang w:val="en-US"/>
        </w:rPr>
        <w:t>eded a special status, that Tra</w:t>
      </w:r>
      <w:r w:rsidR="00F632CC" w:rsidRPr="00D82AA0">
        <w:rPr>
          <w:lang w:val="en-US"/>
        </w:rPr>
        <w:t>n</w:t>
      </w:r>
      <w:r w:rsidR="00705EB0" w:rsidRPr="00D82AA0">
        <w:rPr>
          <w:lang w:val="en-US"/>
        </w:rPr>
        <w:t>sn</w:t>
      </w:r>
      <w:r w:rsidR="00F632CC" w:rsidRPr="00D82AA0">
        <w:rPr>
          <w:lang w:val="en-US"/>
        </w:rPr>
        <w:t xml:space="preserve">istrians could decide on their own future if Moldova was to reunite with Romania and </w:t>
      </w:r>
      <w:r w:rsidR="00B210FA" w:rsidRPr="00D82AA0">
        <w:rPr>
          <w:lang w:val="en-US"/>
        </w:rPr>
        <w:t>that a tripartite Joint Control Commission</w:t>
      </w:r>
      <w:r w:rsidR="00705EB0" w:rsidRPr="00D82AA0">
        <w:rPr>
          <w:lang w:val="en-US"/>
        </w:rPr>
        <w:t xml:space="preserve"> (JCC)</w:t>
      </w:r>
      <w:r w:rsidR="00B210FA" w:rsidRPr="00D82AA0">
        <w:rPr>
          <w:lang w:val="en-US"/>
        </w:rPr>
        <w:t xml:space="preserve"> was to be established to implement the cease-fire. This JCC should consist of Moldovan</w:t>
      </w:r>
      <w:r w:rsidR="00705EB0" w:rsidRPr="00D82AA0">
        <w:rPr>
          <w:lang w:val="en-US"/>
        </w:rPr>
        <w:t>,</w:t>
      </w:r>
      <w:r w:rsidR="00B210FA" w:rsidRPr="00D82AA0">
        <w:rPr>
          <w:lang w:val="en-US"/>
        </w:rPr>
        <w:t xml:space="preserve"> Russian and PMR delegations assisted by a group of thirty military observers, ten from each party (OSCE, 1994). </w:t>
      </w:r>
      <w:r w:rsidR="00705EB0" w:rsidRPr="00D82AA0">
        <w:rPr>
          <w:lang w:val="en-US"/>
        </w:rPr>
        <w:t>The JCC was authorised to take urgent and appropriate measures in case the cease-fire was broken to re-establish law and order (Vahl &amp; Emerson, 2004). From July 29</w:t>
      </w:r>
      <w:r w:rsidR="00705EB0" w:rsidRPr="00D82AA0">
        <w:rPr>
          <w:vertAlign w:val="superscript"/>
          <w:lang w:val="en-US"/>
        </w:rPr>
        <w:t>th</w:t>
      </w:r>
      <w:r w:rsidR="00705EB0" w:rsidRPr="00D82AA0">
        <w:rPr>
          <w:lang w:val="en-US"/>
        </w:rPr>
        <w:t xml:space="preserve"> onwards, approximately 6.000 peacekeeping forces, consisting of six Russian, three Moldovan and three Transnistrian battalions </w:t>
      </w:r>
      <w:r w:rsidR="00705EB0" w:rsidRPr="008E13AE">
        <w:rPr>
          <w:noProof/>
          <w:lang w:val="en-US"/>
        </w:rPr>
        <w:t>w</w:t>
      </w:r>
      <w:r w:rsidR="008E13AE">
        <w:rPr>
          <w:noProof/>
          <w:lang w:val="en-US"/>
        </w:rPr>
        <w:t>ere</w:t>
      </w:r>
      <w:r w:rsidR="00705EB0" w:rsidRPr="00D82AA0">
        <w:rPr>
          <w:lang w:val="en-US"/>
        </w:rPr>
        <w:t xml:space="preserve"> deployed (Roper, 2001; Vahl &amp; Emerson, 2004).  </w:t>
      </w:r>
    </w:p>
    <w:p w14:paraId="5ADA512B" w14:textId="1C741212" w:rsidR="00387FC0" w:rsidRPr="00D82AA0" w:rsidRDefault="00387FC0" w:rsidP="00070AF7">
      <w:pPr>
        <w:pStyle w:val="Kop2"/>
        <w:numPr>
          <w:ilvl w:val="1"/>
          <w:numId w:val="1"/>
        </w:numPr>
        <w:rPr>
          <w:lang w:val="en-US"/>
        </w:rPr>
      </w:pPr>
      <w:bookmarkStart w:id="34" w:name="_Toc517985353"/>
      <w:r w:rsidRPr="00D82AA0">
        <w:rPr>
          <w:lang w:val="en-US"/>
        </w:rPr>
        <w:t xml:space="preserve">Afterwards – </w:t>
      </w:r>
      <w:r w:rsidR="009F4C01" w:rsidRPr="00D82AA0">
        <w:rPr>
          <w:lang w:val="en-US"/>
        </w:rPr>
        <w:t xml:space="preserve">(lack of) </w:t>
      </w:r>
      <w:r w:rsidRPr="00D82AA0">
        <w:rPr>
          <w:lang w:val="en-US"/>
        </w:rPr>
        <w:t>progress since 1992</w:t>
      </w:r>
      <w:bookmarkEnd w:id="34"/>
    </w:p>
    <w:p w14:paraId="769F3AEB" w14:textId="749E12B2" w:rsidR="00647D76" w:rsidRPr="00D82AA0" w:rsidRDefault="00E47922" w:rsidP="00387FC0">
      <w:pPr>
        <w:rPr>
          <w:lang w:val="en-US"/>
        </w:rPr>
      </w:pPr>
      <w:r w:rsidRPr="00D82AA0">
        <w:rPr>
          <w:lang w:val="en-US"/>
        </w:rPr>
        <w:t>Immediately after the cease-fire was established, the OSCE got engaged i</w:t>
      </w:r>
      <w:r w:rsidR="005C607E" w:rsidRPr="00D82AA0">
        <w:rPr>
          <w:lang w:val="en-US"/>
        </w:rPr>
        <w:t>n Moldova</w:t>
      </w:r>
      <w:r w:rsidR="00B57FC2" w:rsidRPr="00D82AA0">
        <w:rPr>
          <w:lang w:val="en-US"/>
        </w:rPr>
        <w:t xml:space="preserve"> (Wolff, 2011)</w:t>
      </w:r>
      <w:r w:rsidR="005C607E" w:rsidRPr="00D82AA0">
        <w:rPr>
          <w:lang w:val="en-US"/>
        </w:rPr>
        <w:t xml:space="preserve"> “to facilitate through peaceful negotiations a comprehensive settlement of the Transdniestrian conflict based on the sovereignty and territorial integrity of the Republic of Moldova with a special status for Transdniestria</w:t>
      </w:r>
      <w:r w:rsidR="008A1E1D" w:rsidRPr="00D82AA0">
        <w:rPr>
          <w:lang w:val="en-US"/>
        </w:rPr>
        <w:t xml:space="preserve"> within Moldova (OSCE, n.d.).” </w:t>
      </w:r>
      <w:r w:rsidR="00B57FC2" w:rsidRPr="00D82AA0">
        <w:rPr>
          <w:lang w:val="en-US"/>
        </w:rPr>
        <w:t xml:space="preserve">The OSCE started a ‘Mission to Moldova’ in February 1993 and opened offices in Chisinau in April. Two years later they also opened offices in Transnistria (Wolff, 2011). </w:t>
      </w:r>
      <w:r w:rsidR="00647D76" w:rsidRPr="00D82AA0">
        <w:rPr>
          <w:lang w:val="en-US"/>
        </w:rPr>
        <w:t>The objective of the mission was as follows (CSO Vienna Group, 1993):</w:t>
      </w:r>
    </w:p>
    <w:p w14:paraId="6B57F0C6" w14:textId="4D97D7ED" w:rsidR="00647D76" w:rsidRPr="00D82AA0" w:rsidRDefault="00647D76" w:rsidP="00387FC0">
      <w:pPr>
        <w:rPr>
          <w:lang w:val="en-US"/>
        </w:rPr>
      </w:pPr>
      <w:r w:rsidRPr="00D82AA0">
        <w:rPr>
          <w:lang w:val="en-US"/>
        </w:rPr>
        <w:t xml:space="preserve">“Bearing in mind the CSO decision and this commitment, the objective of the Mission is to facilitate the achievement of a lasting comprehensive political settlement, on the basis of CSCE </w:t>
      </w:r>
      <w:r w:rsidRPr="00D82AA0">
        <w:rPr>
          <w:lang w:val="en-US"/>
        </w:rPr>
        <w:lastRenderedPageBreak/>
        <w:t xml:space="preserve">principles and commitments, of the conflict in the Left-Bank Dniester areas of the Republic of Moldova in all its aspects.” </w:t>
      </w:r>
    </w:p>
    <w:p w14:paraId="08A676D8" w14:textId="748EF249" w:rsidR="00647D76" w:rsidRPr="00D82AA0" w:rsidRDefault="00996A60" w:rsidP="00387FC0">
      <w:pPr>
        <w:rPr>
          <w:lang w:val="en-US"/>
        </w:rPr>
      </w:pPr>
      <w:r w:rsidRPr="00D82AA0">
        <w:rPr>
          <w:lang w:val="en-US"/>
        </w:rPr>
        <w:t>There were different activities that the Mission had to fulfil to live up to the goal they had set, like “facilitating the establishment of a comprehensive political framework for dialogue and negotiations; assisting the parties … in pursuing negotiations on a lasting political settlement of the conflict; gathering and providing information on the situation, encouraging the States concerned in pursuing negotiations on an agreement; providing advice and expertise and initiating a visible presence in the region and establishing contacts with all parties to the conflict (CSO Vienna Group, 1993).”</w:t>
      </w:r>
    </w:p>
    <w:p w14:paraId="2AF1C4FF" w14:textId="4B225952" w:rsidR="00996A60" w:rsidRPr="00D82AA0" w:rsidRDefault="00C81A50" w:rsidP="00387FC0">
      <w:pPr>
        <w:rPr>
          <w:lang w:val="en-US"/>
        </w:rPr>
      </w:pPr>
      <w:r w:rsidRPr="00D82AA0">
        <w:rPr>
          <w:lang w:val="en-US"/>
        </w:rPr>
        <w:t xml:space="preserve">In 1993 and 1994, the OSCE tried to establish </w:t>
      </w:r>
      <w:r w:rsidRPr="008E13AE">
        <w:rPr>
          <w:noProof/>
          <w:lang w:val="en-US"/>
        </w:rPr>
        <w:t>conversation</w:t>
      </w:r>
      <w:r w:rsidRPr="00D82AA0">
        <w:rPr>
          <w:lang w:val="en-US"/>
        </w:rPr>
        <w:t xml:space="preserve"> between Transnistria and Moldova, but that was not successful, so, in order to make some progress, the OSCE advised the two sides two establish ‘expert groups’ that were responsible for the negotiations. However, this did not help either, and the head of the OSCE mission in 1994, Philip Hahn, said it would </w:t>
      </w:r>
      <w:r w:rsidR="00673460" w:rsidRPr="00D82AA0">
        <w:rPr>
          <w:lang w:val="en-US"/>
        </w:rPr>
        <w:t xml:space="preserve">take six to ten years for both sides to talk to each other again (Roper, 2001; Bahcheli et al., 2004). </w:t>
      </w:r>
    </w:p>
    <w:p w14:paraId="4A689B07" w14:textId="77777777" w:rsidR="00291D8A" w:rsidRPr="00D82AA0" w:rsidRDefault="00673460" w:rsidP="00387FC0">
      <w:pPr>
        <w:rPr>
          <w:lang w:val="en-US"/>
        </w:rPr>
      </w:pPr>
      <w:r w:rsidRPr="00D82AA0">
        <w:rPr>
          <w:lang w:val="en-US"/>
        </w:rPr>
        <w:t>In the rest of 1990’s, some bilateral and multilateral initiatives took place</w:t>
      </w:r>
      <w:r w:rsidR="00CF6835" w:rsidRPr="00D82AA0">
        <w:rPr>
          <w:lang w:val="en-US"/>
        </w:rPr>
        <w:t xml:space="preserve">. </w:t>
      </w:r>
      <w:r w:rsidR="00B4004F" w:rsidRPr="00D82AA0">
        <w:rPr>
          <w:lang w:val="en-US"/>
        </w:rPr>
        <w:t>In 1995, it was decided that Ukraine would</w:t>
      </w:r>
      <w:r w:rsidR="00CF6835" w:rsidRPr="00D82AA0">
        <w:rPr>
          <w:lang w:val="en-US"/>
        </w:rPr>
        <w:t xml:space="preserve"> also</w:t>
      </w:r>
      <w:r w:rsidR="00B4004F" w:rsidRPr="00D82AA0">
        <w:rPr>
          <w:lang w:val="en-US"/>
        </w:rPr>
        <w:t xml:space="preserve"> become </w:t>
      </w:r>
      <w:r w:rsidR="00CF6835" w:rsidRPr="00D82AA0">
        <w:rPr>
          <w:lang w:val="en-US"/>
        </w:rPr>
        <w:t>a</w:t>
      </w:r>
      <w:r w:rsidR="00B4004F" w:rsidRPr="00D82AA0">
        <w:rPr>
          <w:lang w:val="en-US"/>
        </w:rPr>
        <w:t xml:space="preserve"> mediator in the conflict and in January 1996, Russia, Ukraine and Moldova signed a Joint Declaration that stated the territorial integrity of the Republic of Moldova (Belitser, 2013). </w:t>
      </w:r>
      <w:r w:rsidR="00CF6835" w:rsidRPr="00D82AA0">
        <w:rPr>
          <w:lang w:val="en-US"/>
        </w:rPr>
        <w:t xml:space="preserve">Then, on May </w:t>
      </w:r>
      <w:r w:rsidR="00CF6835" w:rsidRPr="008E13AE">
        <w:rPr>
          <w:noProof/>
          <w:lang w:val="en-US"/>
        </w:rPr>
        <w:t>8</w:t>
      </w:r>
      <w:r w:rsidR="00CF6835" w:rsidRPr="008E13AE">
        <w:rPr>
          <w:noProof/>
          <w:vertAlign w:val="superscript"/>
          <w:lang w:val="en-US"/>
        </w:rPr>
        <w:t>th</w:t>
      </w:r>
      <w:r w:rsidR="00CF6835" w:rsidRPr="00D82AA0">
        <w:rPr>
          <w:lang w:val="en-US"/>
        </w:rPr>
        <w:t xml:space="preserve"> 1997, the Memorandum on the Bases for Normalization of Relations Between the Republic of Moldova and Transnistria (The Moscow Memorandum) was signed by Moldova, Transnistria, Russia and Ukraine. </w:t>
      </w:r>
      <w:r w:rsidR="00EF722C" w:rsidRPr="00D82AA0">
        <w:rPr>
          <w:lang w:val="en-US"/>
        </w:rPr>
        <w:t>The last point of this Memorandum, point 11, states that “The Parties shall build their relations in the framework of a common state within the borders of the Moldavian SSR as of January of the year 1990”</w:t>
      </w:r>
      <w:r w:rsidR="00794FBA" w:rsidRPr="00D82AA0">
        <w:rPr>
          <w:lang w:val="en-US"/>
        </w:rPr>
        <w:t xml:space="preserve"> (OSCE, 1997).</w:t>
      </w:r>
      <w:r w:rsidR="00EF722C" w:rsidRPr="00D82AA0">
        <w:rPr>
          <w:lang w:val="en-US"/>
        </w:rPr>
        <w:t xml:space="preserve"> </w:t>
      </w:r>
      <w:r w:rsidR="004823C9" w:rsidRPr="00D82AA0">
        <w:rPr>
          <w:lang w:val="en-US"/>
        </w:rPr>
        <w:t>This Memorandum looked to be the first serious attempt at a serious decision after eighteen months of negotiations. However, point 11, the common state clause, caused much concern. Transnistrians interpreted the cl</w:t>
      </w:r>
      <w:r w:rsidR="00D94D4E" w:rsidRPr="00D82AA0">
        <w:rPr>
          <w:lang w:val="en-US"/>
        </w:rPr>
        <w:t xml:space="preserve">ause differently than Moldovans (Roper, 2001). Because of this, further negotiations were blocked and there was never a discussion about the division of competences between Moldova and Transnistria (Belitser, 2013). The Memorandum had no lasting influence and throughout 1997, meetings of the JCC or expert groups occurred infrequently. All in all, during the 1990’s, little progress was made. Some minor bilateral agreements and statements were signed by both Moldova and Transnistria, but there was no </w:t>
      </w:r>
      <w:r w:rsidR="00D94D4E" w:rsidRPr="00D82AA0">
        <w:rPr>
          <w:lang w:val="en-US"/>
        </w:rPr>
        <w:lastRenderedPageBreak/>
        <w:t xml:space="preserve">serious implementation of any rules. </w:t>
      </w:r>
      <w:r w:rsidR="001D5271" w:rsidRPr="00D82AA0">
        <w:rPr>
          <w:lang w:val="en-US"/>
        </w:rPr>
        <w:t>The most important decision was made in November 1999, when Russia committed itself to withdraw all Russian troops and equipment in Moldova by the end of 2002 (Belitser, 2013). However, when Putin came to power in January 2000, the Russian Foreign Ministry backtracked from the commitment (Roper, 2001)</w:t>
      </w:r>
      <w:r w:rsidR="00D034CE" w:rsidRPr="00D82AA0">
        <w:rPr>
          <w:lang w:val="en-US"/>
        </w:rPr>
        <w:t>, so in 2003, the peacekeeping operation still consisted of around 1.000 troops</w:t>
      </w:r>
      <w:r w:rsidR="00FE238B" w:rsidRPr="00D82AA0">
        <w:rPr>
          <w:lang w:val="en-US"/>
        </w:rPr>
        <w:t>. These peacekeeping troops maintained the status-quo in Moldova and were part of the reason why negotiations were unsuccessful</w:t>
      </w:r>
      <w:r w:rsidR="00291D8A" w:rsidRPr="00D82AA0">
        <w:rPr>
          <w:lang w:val="en-US"/>
        </w:rPr>
        <w:t xml:space="preserve"> (Belitser, 2013)</w:t>
      </w:r>
      <w:r w:rsidR="00FE238B" w:rsidRPr="00D82AA0">
        <w:rPr>
          <w:lang w:val="en-US"/>
        </w:rPr>
        <w:t>.</w:t>
      </w:r>
    </w:p>
    <w:p w14:paraId="6EC1EB4B" w14:textId="7DBF4F64" w:rsidR="00835305" w:rsidRPr="00D82AA0" w:rsidRDefault="00291D8A" w:rsidP="00387FC0">
      <w:pPr>
        <w:rPr>
          <w:lang w:val="en-US"/>
        </w:rPr>
      </w:pPr>
      <w:r w:rsidRPr="00D82AA0">
        <w:rPr>
          <w:lang w:val="en-US"/>
        </w:rPr>
        <w:t>Meetings between Moldova and Transnistria were resumed after the elections in 2001. Communist Party leader Vladimir Voron</w:t>
      </w:r>
      <w:r w:rsidR="009D051B" w:rsidRPr="00D82AA0">
        <w:rPr>
          <w:lang w:val="en-US"/>
        </w:rPr>
        <w:t>in became president of Moldova and a new law on territorial and administrative reform was approved, with Moldova existing of 31 regions and 2 autonomous regions</w:t>
      </w:r>
      <w:r w:rsidR="004C5B57" w:rsidRPr="00D82AA0">
        <w:rPr>
          <w:lang w:val="en-US"/>
        </w:rPr>
        <w:t>, Gagauzia and Transnistria (Vahl &amp; Emerson, 2004</w:t>
      </w:r>
      <w:r w:rsidR="009D051B" w:rsidRPr="00D82AA0">
        <w:rPr>
          <w:lang w:val="en-US"/>
        </w:rPr>
        <w:t xml:space="preserve">). </w:t>
      </w:r>
      <w:r w:rsidR="004C5B57" w:rsidRPr="00D82AA0">
        <w:rPr>
          <w:lang w:val="en-US"/>
        </w:rPr>
        <w:t>At a meeting in Kyiv from July 1</w:t>
      </w:r>
      <w:r w:rsidR="004C5B57" w:rsidRPr="00D82AA0">
        <w:rPr>
          <w:vertAlign w:val="superscript"/>
          <w:lang w:val="en-US"/>
        </w:rPr>
        <w:t>st</w:t>
      </w:r>
      <w:r w:rsidR="004C5B57" w:rsidRPr="00D82AA0">
        <w:rPr>
          <w:lang w:val="en-US"/>
        </w:rPr>
        <w:t xml:space="preserve"> to 3</w:t>
      </w:r>
      <w:r w:rsidR="004C5B57" w:rsidRPr="00D82AA0">
        <w:rPr>
          <w:vertAlign w:val="superscript"/>
          <w:lang w:val="en-US"/>
        </w:rPr>
        <w:t>rd</w:t>
      </w:r>
      <w:r w:rsidR="009F4C01" w:rsidRPr="00D82AA0">
        <w:rPr>
          <w:vertAlign w:val="superscript"/>
          <w:lang w:val="en-US"/>
        </w:rPr>
        <w:t xml:space="preserve"> </w:t>
      </w:r>
      <w:r w:rsidR="009F4C01" w:rsidRPr="00D82AA0">
        <w:rPr>
          <w:lang w:val="en-US"/>
        </w:rPr>
        <w:t>2002</w:t>
      </w:r>
      <w:r w:rsidR="004C5B57" w:rsidRPr="00D82AA0">
        <w:rPr>
          <w:lang w:val="en-US"/>
        </w:rPr>
        <w:t xml:space="preserve">, a new agreement was presented and it was the most detailed up to then. However, again, there were some </w:t>
      </w:r>
      <w:r w:rsidR="00835305" w:rsidRPr="00D82AA0">
        <w:rPr>
          <w:lang w:val="en-US"/>
        </w:rPr>
        <w:t xml:space="preserve">key issues on which there was a difference of interpretations between the two parties. The document proposed a united federal Moldovan state, but it was not clear how the constitutional system would be formed and the list of joint competencies between Moldova and Transnistria was too long for the agreement to be successful (Vahl &amp; Emerson, 2004). However, according to Belitser (2013), this Kyiv draft agreement should have been discussed more widely, since it had supporters on both banks and among international experts. </w:t>
      </w:r>
    </w:p>
    <w:p w14:paraId="1CFBFF87" w14:textId="0F650599" w:rsidR="00835305" w:rsidRPr="00D82AA0" w:rsidRDefault="00835305" w:rsidP="00387FC0">
      <w:pPr>
        <w:rPr>
          <w:lang w:val="en-US"/>
        </w:rPr>
      </w:pPr>
      <w:r w:rsidRPr="00D82AA0">
        <w:rPr>
          <w:lang w:val="en-US"/>
        </w:rPr>
        <w:t>But, instead, a new federalisation plan, referred to as the ‘Kozak plan’, named after Dmitri Kozak, part of Putin’s staff, came to the table</w:t>
      </w:r>
      <w:r w:rsidR="009F4C01" w:rsidRPr="00D82AA0">
        <w:rPr>
          <w:lang w:val="en-US"/>
        </w:rPr>
        <w:t xml:space="preserve"> in 2003</w:t>
      </w:r>
      <w:r w:rsidRPr="00D82AA0">
        <w:rPr>
          <w:lang w:val="en-US"/>
        </w:rPr>
        <w:t xml:space="preserve">. This proposed the principles for a new constitution for the come to be </w:t>
      </w:r>
      <w:r w:rsidRPr="008E13AE">
        <w:rPr>
          <w:noProof/>
          <w:lang w:val="en-US"/>
        </w:rPr>
        <w:t>Federal</w:t>
      </w:r>
      <w:r w:rsidRPr="00D82AA0">
        <w:rPr>
          <w:lang w:val="en-US"/>
        </w:rPr>
        <w:t xml:space="preserve"> Republic of Moldova. It proposed a federal territory and two ‘subjects’ of the federation, Transnistria and Gagauzia. Because of the unequal status between the territory and the subjects, </w:t>
      </w:r>
      <w:r w:rsidRPr="008E13AE">
        <w:rPr>
          <w:noProof/>
          <w:lang w:val="en-US"/>
        </w:rPr>
        <w:t>i</w:t>
      </w:r>
      <w:r w:rsidR="008E13AE">
        <w:rPr>
          <w:noProof/>
          <w:lang w:val="en-US"/>
        </w:rPr>
        <w:t>t</w:t>
      </w:r>
      <w:r w:rsidRPr="00D82AA0">
        <w:rPr>
          <w:lang w:val="en-US"/>
        </w:rPr>
        <w:t xml:space="preserve"> was called the ‘asymmetric federation’. Competences would be divided into three categories: those of the federation, those of the subjects and joint competences (Vahl &amp; Emerson, 2004). However, again, critiques were large and as Dov Lynch wrote, “the Kozak plan, as it is now known, was so riddled with problems that one wonders if the Kremlin seriously expected it to succeed (Belitser, 2013; Lynch, 2004).” </w:t>
      </w:r>
    </w:p>
    <w:p w14:paraId="23122A34" w14:textId="77777777" w:rsidR="009F4C01" w:rsidRPr="00D82AA0" w:rsidRDefault="00835305" w:rsidP="00387FC0">
      <w:pPr>
        <w:rPr>
          <w:lang w:val="en-US"/>
        </w:rPr>
      </w:pPr>
      <w:r w:rsidRPr="00D82AA0">
        <w:rPr>
          <w:lang w:val="en-US"/>
        </w:rPr>
        <w:t xml:space="preserve">So, until 2004 there was still hardly any progress, despite the amount of negotiating and proposals made. General problems are that, </w:t>
      </w:r>
      <w:r w:rsidRPr="008E13AE">
        <w:rPr>
          <w:noProof/>
          <w:lang w:val="en-US"/>
        </w:rPr>
        <w:t>however</w:t>
      </w:r>
      <w:r w:rsidRPr="00D82AA0">
        <w:rPr>
          <w:lang w:val="en-US"/>
        </w:rPr>
        <w:t xml:space="preserve"> very detailed, practically every plan has some points with unclear formulations. Also, in every plan up till 2004, there are a lot of joint </w:t>
      </w:r>
      <w:r w:rsidRPr="00D82AA0">
        <w:rPr>
          <w:lang w:val="en-US"/>
        </w:rPr>
        <w:lastRenderedPageBreak/>
        <w:t xml:space="preserve">competences, which </w:t>
      </w:r>
      <w:r w:rsidR="009F4C01" w:rsidRPr="00D82AA0">
        <w:rPr>
          <w:lang w:val="en-US"/>
        </w:rPr>
        <w:t>was</w:t>
      </w:r>
      <w:r w:rsidRPr="00D82AA0">
        <w:rPr>
          <w:lang w:val="en-US"/>
        </w:rPr>
        <w:t xml:space="preserve"> not desirable for both Moldova and Transnistria. Another problem is that in a lot of plans one of both parties is or feels preferred over the other. Especially in the Kozak plan, the power that Transnistria would get was not proportionate to the power Moldova would have. </w:t>
      </w:r>
    </w:p>
    <w:p w14:paraId="37BB7341" w14:textId="58C804F8" w:rsidR="00323CE7" w:rsidRPr="00D82AA0" w:rsidRDefault="009F4C01" w:rsidP="00387FC0">
      <w:pPr>
        <w:rPr>
          <w:lang w:val="en-US"/>
        </w:rPr>
      </w:pPr>
      <w:r w:rsidRPr="00D82AA0">
        <w:rPr>
          <w:lang w:val="en-US"/>
        </w:rPr>
        <w:t xml:space="preserve">Large demonstrations against the Kozak memorandum took place in Chisinau and Moldovan parties joined forces to let the EU, US, Romania and Ukraine participate in the process of negotiating (Vahl &amp; Emerson, 2004). This changed in September 2005, when the sides agreed to invite the European Union and the United States to participate in the negotiations. With these 5+2 talks, the OSCE thought they would reach a breakthrough in the settlement process. The 5+2 talks meant that there were representatives of the conflict parties, Moldova and Transnistria, mediators from the Russian Federation, Ukraine and the OSCE, and observers from the European Union and the United States (Neukirch, 2012). At the same time, the fact that so many parties were needed for negotiations to be even a little successful </w:t>
      </w:r>
      <w:r w:rsidRPr="008E13AE">
        <w:rPr>
          <w:noProof/>
          <w:lang w:val="en-US"/>
        </w:rPr>
        <w:t>shows</w:t>
      </w:r>
      <w:r w:rsidRPr="00D82AA0">
        <w:rPr>
          <w:lang w:val="en-US"/>
        </w:rPr>
        <w:t xml:space="preserve"> how difficult the situation was and still is. </w:t>
      </w:r>
    </w:p>
    <w:p w14:paraId="67D7ADA5" w14:textId="0E28216F" w:rsidR="00490C3E" w:rsidRPr="00D82AA0" w:rsidRDefault="009F4C01" w:rsidP="00A865EB">
      <w:pPr>
        <w:rPr>
          <w:lang w:val="en-US"/>
        </w:rPr>
      </w:pPr>
      <w:r w:rsidRPr="00D82AA0">
        <w:rPr>
          <w:lang w:val="en-US"/>
        </w:rPr>
        <w:t>However, even with the 5+2 talks, no progress was</w:t>
      </w:r>
      <w:r w:rsidR="006F478B" w:rsidRPr="00D82AA0">
        <w:rPr>
          <w:lang w:val="en-US"/>
        </w:rPr>
        <w:t xml:space="preserve"> being</w:t>
      </w:r>
      <w:r w:rsidRPr="00D82AA0">
        <w:rPr>
          <w:lang w:val="en-US"/>
        </w:rPr>
        <w:t xml:space="preserve"> made. To illustrate that: in February 2006, Moldovans’ chief negotiator walked out of the meeting and in April 2006 the Transnistrian side cancelled its participation in the meeting. At the end of 2006, the settlement process had hit rock bottom. Because of this, the OSCE realised that common ground for discussions was missing. This made OSCE focus on confidence building, both to tackle upcoming conflicts and to create gr</w:t>
      </w:r>
      <w:r w:rsidR="009D15C7" w:rsidRPr="00D82AA0">
        <w:rPr>
          <w:lang w:val="en-US"/>
        </w:rPr>
        <w:t xml:space="preserve">ounds for serious negotiations (Neukirch, 2012). In April 2008, the first Joint Expert Working Groups on CBMs (confidence building measures) between Chisinau and Tiraspol were established to discuss health and social protection, education, economics and trade, infrastructure, and the environment. </w:t>
      </w:r>
      <w:r w:rsidR="00AE5EDF" w:rsidRPr="00D82AA0">
        <w:rPr>
          <w:lang w:val="en-US"/>
        </w:rPr>
        <w:t>But again, the parties only met to show their goodwill to the international community and no concrete results were produced (Neukirch, 2012). This changed when Vlad Filat became Prime Minister of Moldova in September 2009. Under his rule, the chief negotiators of Moldova and Transnistria agreed “to have regular bilateral meetings to resolve problems that affect the lives of people on both banks of the river and erode confidence between the two sides</w:t>
      </w:r>
      <w:r w:rsidR="00B44BC7" w:rsidRPr="00D82AA0">
        <w:rPr>
          <w:lang w:val="en-US"/>
        </w:rPr>
        <w:t xml:space="preserve"> (Neukirch, 2012)</w:t>
      </w:r>
      <w:r w:rsidR="00AE5EDF" w:rsidRPr="00D82AA0">
        <w:rPr>
          <w:lang w:val="en-US"/>
        </w:rPr>
        <w:t>.”</w:t>
      </w:r>
      <w:r w:rsidR="00B44BC7" w:rsidRPr="00D82AA0">
        <w:rPr>
          <w:lang w:val="en-US"/>
        </w:rPr>
        <w:t xml:space="preserve"> The Al</w:t>
      </w:r>
      <w:r w:rsidR="00876A73" w:rsidRPr="00D82AA0">
        <w:rPr>
          <w:lang w:val="en-US"/>
        </w:rPr>
        <w:t>liance for European Integration, as Filat’s coalition</w:t>
      </w:r>
      <w:r w:rsidR="005931E0">
        <w:rPr>
          <w:lang w:val="en-US"/>
        </w:rPr>
        <w:t xml:space="preserve"> was called, was much more pro-w</w:t>
      </w:r>
      <w:r w:rsidR="00876A73" w:rsidRPr="00D82AA0">
        <w:rPr>
          <w:lang w:val="en-US"/>
        </w:rPr>
        <w:t xml:space="preserve">estern and much more willing to deal with Transnistria than the Communist Party which had been ruling Moldova since 2001. </w:t>
      </w:r>
      <w:r w:rsidR="00F56FAE" w:rsidRPr="00D82AA0">
        <w:rPr>
          <w:lang w:val="en-US"/>
        </w:rPr>
        <w:t xml:space="preserve">About the same happened in Transnistria in 2011. </w:t>
      </w:r>
      <w:r w:rsidR="00F56FAE" w:rsidRPr="00D82AA0">
        <w:rPr>
          <w:lang w:val="en-US"/>
        </w:rPr>
        <w:lastRenderedPageBreak/>
        <w:t xml:space="preserve">Long-standing Igor Smirnov lost the elections and Russia’s favourite Kaminsky also failed to be elected. A large majority of the Transnistrians elected the younger leader of the ‘Revival movement’ Yevgeny Shevchuk (Belitser, 2013). </w:t>
      </w:r>
      <w:r w:rsidR="00676DDF" w:rsidRPr="00D82AA0">
        <w:rPr>
          <w:lang w:val="en-US"/>
        </w:rPr>
        <w:t xml:space="preserve">With this election, people hoped for a positive momentum in the settlement process. To some extent this happened, because for the first time after six years of informal talks, official negotiations were opened in November 2011. After that, six more meetings were held in 2012. However, this was still mostly about the Confidence Building Measures and not about substantial political decisions (Belitser, 2013). </w:t>
      </w:r>
      <w:r w:rsidR="007A3366" w:rsidRPr="00D82AA0">
        <w:rPr>
          <w:lang w:val="en-US"/>
        </w:rPr>
        <w:t xml:space="preserve">Also, the Working Groups on CBMs became more successful. In 2012, eleven Working Groups were actively discussing </w:t>
      </w:r>
      <w:r w:rsidR="007A3366" w:rsidRPr="008E13AE">
        <w:rPr>
          <w:noProof/>
          <w:lang w:val="en-US"/>
        </w:rPr>
        <w:t>economy</w:t>
      </w:r>
      <w:r w:rsidR="007A3366" w:rsidRPr="00D82AA0">
        <w:rPr>
          <w:lang w:val="en-US"/>
        </w:rPr>
        <w:t xml:space="preserve">, agriculture and environment, transport, railways, civil status acts, social and humanitarian aid, health, education, combating organised crimes and emergencies, telecommunications, and customs (Belitser, 2013). </w:t>
      </w:r>
      <w:r w:rsidR="00F3481C" w:rsidRPr="00D82AA0">
        <w:rPr>
          <w:lang w:val="en-US"/>
        </w:rPr>
        <w:t>During talks in 2012, the two sides agreed to a “Document of principles and procedures and for the conduct of negotiations”</w:t>
      </w:r>
      <w:r w:rsidR="00CB6591" w:rsidRPr="00D82AA0">
        <w:rPr>
          <w:lang w:val="en-US"/>
        </w:rPr>
        <w:t xml:space="preserve"> and an agenda for future talks. This turned out to be a peak in the talks </w:t>
      </w:r>
      <w:r w:rsidR="00CB6591" w:rsidRPr="008E13AE">
        <w:rPr>
          <w:noProof/>
          <w:lang w:val="en-US"/>
        </w:rPr>
        <w:t>however,</w:t>
      </w:r>
      <w:r w:rsidR="00CB6591" w:rsidRPr="00D82AA0">
        <w:rPr>
          <w:lang w:val="en-US"/>
        </w:rPr>
        <w:t xml:space="preserve"> since there were no official talks held in 2013 and 2014, after Leanca became Prime Minister of Moldova in early 2013</w:t>
      </w:r>
      <w:r w:rsidR="00A66673" w:rsidRPr="00D82AA0">
        <w:rPr>
          <w:lang w:val="en-US"/>
        </w:rPr>
        <w:t xml:space="preserve"> (Douglas &amp; Wolff, 2018)</w:t>
      </w:r>
      <w:r w:rsidR="00CB6591" w:rsidRPr="00D82AA0">
        <w:rPr>
          <w:lang w:val="en-US"/>
        </w:rPr>
        <w:t xml:space="preserve">. </w:t>
      </w:r>
    </w:p>
    <w:p w14:paraId="09895EE7" w14:textId="77777777" w:rsidR="00610D25" w:rsidRPr="00D82AA0" w:rsidRDefault="00490C3E" w:rsidP="00A865EB">
      <w:pPr>
        <w:rPr>
          <w:lang w:val="en-US"/>
        </w:rPr>
      </w:pPr>
      <w:r w:rsidRPr="00D82AA0">
        <w:rPr>
          <w:lang w:val="en-US"/>
        </w:rPr>
        <w:t>Only in 2016, at the meeting of the “Permanent Conference for Political Questions in the Framework of the Negotiating Process on the Transdniestrian Settlement” in Berlin, “the sides reconfirmed their adherence to the 2012 document on Principles and Procedures of conduct of negotiations in the framework of the Permanent Conference and expressed readiness to further work on improving the mechanism of implementation of the agreements reached (OSCE, 2016).”</w:t>
      </w:r>
      <w:r w:rsidR="00D1702F" w:rsidRPr="00D82AA0">
        <w:rPr>
          <w:lang w:val="en-US"/>
        </w:rPr>
        <w:t xml:space="preserve"> The Berlin Protocol also committed the sides to undertake concrete steps to build mutual confidence in the fields of ecology, education, transportation and telecommunication (OSCE, 2017).</w:t>
      </w:r>
      <w:r w:rsidRPr="00D82AA0">
        <w:rPr>
          <w:lang w:val="en-US"/>
        </w:rPr>
        <w:t xml:space="preserve"> </w:t>
      </w:r>
      <w:r w:rsidR="001F32DA" w:rsidRPr="00D82AA0">
        <w:rPr>
          <w:lang w:val="en-US"/>
        </w:rPr>
        <w:t>Besides that, in 2015 the first meeting in 13 years of the heads of the legislatures in Chisinau and Tiraspol took place (OSCE, 2016).</w:t>
      </w:r>
      <w:r w:rsidR="00D1702F" w:rsidRPr="00D82AA0">
        <w:rPr>
          <w:lang w:val="en-US"/>
        </w:rPr>
        <w:t xml:space="preserve"> And, concluding, on 18 November 2017, a first big step was taken when the Gura Bicului-Bychok Bridge over the Dniester River was opened for the first time since its destruction in the armed conflict in 1992. This also paved the way for some important social and economic agreements signed on the 25</w:t>
      </w:r>
      <w:r w:rsidR="00D1702F" w:rsidRPr="00D82AA0">
        <w:rPr>
          <w:vertAlign w:val="superscript"/>
          <w:lang w:val="en-US"/>
        </w:rPr>
        <w:t>th</w:t>
      </w:r>
      <w:r w:rsidR="00D1702F" w:rsidRPr="00D82AA0">
        <w:rPr>
          <w:lang w:val="en-US"/>
        </w:rPr>
        <w:t xml:space="preserve"> of November 2017</w:t>
      </w:r>
      <w:r w:rsidR="00610D25" w:rsidRPr="00D82AA0">
        <w:rPr>
          <w:lang w:val="en-US"/>
        </w:rPr>
        <w:t xml:space="preserve"> (OSCE, 2018)</w:t>
      </w:r>
      <w:r w:rsidR="00D1702F" w:rsidRPr="00D82AA0">
        <w:rPr>
          <w:lang w:val="en-US"/>
        </w:rPr>
        <w:t>.</w:t>
      </w:r>
      <w:r w:rsidR="00610D25" w:rsidRPr="00D82AA0">
        <w:rPr>
          <w:lang w:val="en-US"/>
        </w:rPr>
        <w:t xml:space="preserve"> “These included the </w:t>
      </w:r>
      <w:r w:rsidR="00610D25" w:rsidRPr="008E13AE">
        <w:rPr>
          <w:noProof/>
          <w:lang w:val="en-US"/>
        </w:rPr>
        <w:t>apostillisation</w:t>
      </w:r>
      <w:r w:rsidR="00610D25" w:rsidRPr="00D82AA0">
        <w:rPr>
          <w:lang w:val="en-US"/>
        </w:rPr>
        <w:t xml:space="preserve"> by the Moldovan authorities of higher-education diplomas issued in Transdniestria (which permits students from Transdniestria to study abroad in countries other than Russia), the facilitation of telecommunications links between the two banks of the river, further regulation of the functioning of Moldovan-administered Latin Script Schools in </w:t>
      </w:r>
      <w:r w:rsidR="00610D25" w:rsidRPr="00D82AA0">
        <w:rPr>
          <w:lang w:val="en-US"/>
        </w:rPr>
        <w:lastRenderedPageBreak/>
        <w:t>Transdniestria, and access for Moldovan farmer to their lands in the Transdniestrian-controlled Dubasari region (Douglas &amp; Wolff, 2018).”</w:t>
      </w:r>
    </w:p>
    <w:p w14:paraId="75A073A8" w14:textId="50333AE4" w:rsidR="00312812" w:rsidRPr="00D82AA0" w:rsidRDefault="00610D25" w:rsidP="00A865EB">
      <w:pPr>
        <w:rPr>
          <w:lang w:val="en-US"/>
        </w:rPr>
      </w:pPr>
      <w:r w:rsidRPr="00D82AA0">
        <w:rPr>
          <w:lang w:val="en-US"/>
        </w:rPr>
        <w:t>Finally, it looks like progress is being made in the conflict settlement between Moldova and Transnistria, with serious, lasting decisions made at the end of 2017. The question now is if this positive momentum will be continued into the coming years, or if the sides w</w:t>
      </w:r>
      <w:r w:rsidR="000A126E" w:rsidRPr="00D82AA0">
        <w:rPr>
          <w:lang w:val="en-US"/>
        </w:rPr>
        <w:t xml:space="preserve">ill fall back to their old habits of </w:t>
      </w:r>
      <w:r w:rsidR="000A126E" w:rsidRPr="008E13AE">
        <w:rPr>
          <w:noProof/>
          <w:lang w:val="en-US"/>
        </w:rPr>
        <w:t>fast</w:t>
      </w:r>
      <w:r w:rsidR="008E13AE">
        <w:rPr>
          <w:noProof/>
          <w:lang w:val="en-US"/>
        </w:rPr>
        <w:t>-</w:t>
      </w:r>
      <w:r w:rsidR="000A126E" w:rsidRPr="008E13AE">
        <w:rPr>
          <w:noProof/>
          <w:lang w:val="en-US"/>
        </w:rPr>
        <w:t>changing</w:t>
      </w:r>
      <w:r w:rsidR="000A126E" w:rsidRPr="00D82AA0">
        <w:rPr>
          <w:lang w:val="en-US"/>
        </w:rPr>
        <w:t xml:space="preserve"> governments and</w:t>
      </w:r>
      <w:r w:rsidR="00CF286B">
        <w:rPr>
          <w:lang w:val="en-US"/>
        </w:rPr>
        <w:t>,</w:t>
      </w:r>
      <w:r w:rsidR="000A126E" w:rsidRPr="00D82AA0">
        <w:rPr>
          <w:lang w:val="en-US"/>
        </w:rPr>
        <w:t xml:space="preserve"> with them</w:t>
      </w:r>
      <w:r w:rsidR="00CF286B">
        <w:rPr>
          <w:lang w:val="en-US"/>
        </w:rPr>
        <w:t>,</w:t>
      </w:r>
      <w:r w:rsidR="000A126E" w:rsidRPr="00D82AA0">
        <w:rPr>
          <w:lang w:val="en-US"/>
        </w:rPr>
        <w:t xml:space="preserve"> changing targets regarding the settlement. </w:t>
      </w:r>
      <w:r w:rsidR="00D1702F" w:rsidRPr="00D82AA0">
        <w:rPr>
          <w:lang w:val="en-US"/>
        </w:rPr>
        <w:t xml:space="preserve"> </w:t>
      </w:r>
      <w:r w:rsidR="00312812" w:rsidRPr="00D82AA0">
        <w:rPr>
          <w:lang w:val="en-US"/>
        </w:rPr>
        <w:br w:type="page"/>
      </w:r>
    </w:p>
    <w:p w14:paraId="70F80D30" w14:textId="52E37B2C" w:rsidR="00312812" w:rsidRPr="00D82AA0" w:rsidRDefault="00312812" w:rsidP="00A865EB">
      <w:pPr>
        <w:pStyle w:val="Kop1"/>
        <w:numPr>
          <w:ilvl w:val="0"/>
          <w:numId w:val="1"/>
        </w:numPr>
        <w:spacing w:line="360" w:lineRule="auto"/>
        <w:rPr>
          <w:lang w:val="en-US"/>
        </w:rPr>
      </w:pPr>
      <w:bookmarkStart w:id="35" w:name="_Toc517985354"/>
      <w:r w:rsidRPr="00D82AA0">
        <w:rPr>
          <w:lang w:val="en-US"/>
        </w:rPr>
        <w:lastRenderedPageBreak/>
        <w:t>European</w:t>
      </w:r>
      <w:r w:rsidR="009F4C01" w:rsidRPr="00D82AA0">
        <w:rPr>
          <w:lang w:val="en-US"/>
        </w:rPr>
        <w:t xml:space="preserve"> Union</w:t>
      </w:r>
      <w:r w:rsidRPr="00D82AA0">
        <w:rPr>
          <w:lang w:val="en-US"/>
        </w:rPr>
        <w:t xml:space="preserve"> </w:t>
      </w:r>
      <w:r w:rsidR="00AD72FF" w:rsidRPr="00D82AA0">
        <w:rPr>
          <w:lang w:val="en-US"/>
        </w:rPr>
        <w:t>policy regarding Moldova and Transnistria</w:t>
      </w:r>
      <w:bookmarkEnd w:id="35"/>
    </w:p>
    <w:p w14:paraId="7BF91B20" w14:textId="4FD0161B" w:rsidR="00956FC4" w:rsidRPr="00D82AA0" w:rsidRDefault="00956FC4" w:rsidP="00956FC4">
      <w:pPr>
        <w:pStyle w:val="Kop2"/>
        <w:numPr>
          <w:ilvl w:val="1"/>
          <w:numId w:val="1"/>
        </w:numPr>
        <w:rPr>
          <w:lang w:val="en-US"/>
        </w:rPr>
      </w:pPr>
      <w:bookmarkStart w:id="36" w:name="_Toc517985355"/>
      <w:r w:rsidRPr="00D82AA0">
        <w:rPr>
          <w:lang w:val="en-US"/>
        </w:rPr>
        <w:t>Introduction</w:t>
      </w:r>
      <w:bookmarkEnd w:id="36"/>
    </w:p>
    <w:p w14:paraId="7CECDC14" w14:textId="3F00799B" w:rsidR="00956FC4" w:rsidRPr="00D82AA0" w:rsidRDefault="00956FC4" w:rsidP="00956FC4">
      <w:pPr>
        <w:rPr>
          <w:lang w:val="en-US"/>
        </w:rPr>
      </w:pPr>
      <w:r w:rsidRPr="00D82AA0">
        <w:rPr>
          <w:lang w:val="en-US"/>
        </w:rPr>
        <w:t xml:space="preserve">In the last chapter, we have seen that over time there have been a lot of struggles to find a settlement for the conflict between Moldova and Transnistria. </w:t>
      </w:r>
      <w:r w:rsidR="009C6E00" w:rsidRPr="00D82AA0">
        <w:rPr>
          <w:lang w:val="en-US"/>
        </w:rPr>
        <w:t xml:space="preserve">In the negotiations to come to a settlement there was a very big role for the Organization for Security and Cooperation in Europe, but not for the European Union. However, this has changed over the last year, with Moldova willing to become a member state and with the establishment of the Eastern Partnership and the Black Sea Synergy, of which Moldova is both a member. To see what the EU has done over these last years, in this chapter the European Neighbourhood Policy and the Eastern Partnership regarding Moldova will be analyzed. This way the European policies concerning Moldova will become clear. </w:t>
      </w:r>
      <w:r w:rsidR="004F18E2" w:rsidRPr="00D82AA0">
        <w:rPr>
          <w:lang w:val="en-US"/>
        </w:rPr>
        <w:t xml:space="preserve">To reach clear answers on the research questions for this thesis, </w:t>
      </w:r>
      <w:r w:rsidR="004F18E2" w:rsidRPr="008E13AE">
        <w:rPr>
          <w:noProof/>
          <w:lang w:val="en-US"/>
        </w:rPr>
        <w:t>first</w:t>
      </w:r>
      <w:r w:rsidR="008E13AE">
        <w:rPr>
          <w:noProof/>
          <w:lang w:val="en-US"/>
        </w:rPr>
        <w:t>,</w:t>
      </w:r>
      <w:r w:rsidR="004F18E2" w:rsidRPr="00D82AA0">
        <w:rPr>
          <w:lang w:val="en-US"/>
        </w:rPr>
        <w:t xml:space="preserve"> the </w:t>
      </w:r>
      <w:r w:rsidR="005A73A2">
        <w:rPr>
          <w:lang w:val="en-US"/>
        </w:rPr>
        <w:t xml:space="preserve">organization behind the European Neighbourhood Policy and the Eastern Partnership will be explained more extensively than in paragraph </w:t>
      </w:r>
      <w:r w:rsidR="005A73A2" w:rsidRPr="008E13AE">
        <w:rPr>
          <w:noProof/>
          <w:lang w:val="en-US"/>
        </w:rPr>
        <w:t>2.4</w:t>
      </w:r>
      <w:r w:rsidR="005A73A2">
        <w:rPr>
          <w:lang w:val="en-US"/>
        </w:rPr>
        <w:t xml:space="preserve"> since the organization behind it is very comprehensive and hard to understand. After that, the </w:t>
      </w:r>
      <w:r w:rsidR="004F18E2" w:rsidRPr="00D82AA0">
        <w:rPr>
          <w:lang w:val="en-US"/>
        </w:rPr>
        <w:t>concrete EU-Moldova pa</w:t>
      </w:r>
      <w:r w:rsidR="00070AF7" w:rsidRPr="00D82AA0">
        <w:rPr>
          <w:lang w:val="en-US"/>
        </w:rPr>
        <w:t>rtnership will be discussed. Then,</w:t>
      </w:r>
      <w:r w:rsidR="004F18E2" w:rsidRPr="00D82AA0">
        <w:rPr>
          <w:lang w:val="en-US"/>
        </w:rPr>
        <w:t xml:space="preserve"> the geopolitical side</w:t>
      </w:r>
      <w:r w:rsidR="00070AF7" w:rsidRPr="00D82AA0">
        <w:rPr>
          <w:lang w:val="en-US"/>
        </w:rPr>
        <w:t xml:space="preserve"> and the bordering practices</w:t>
      </w:r>
      <w:r w:rsidR="004F18E2" w:rsidRPr="00D82AA0">
        <w:rPr>
          <w:lang w:val="en-US"/>
        </w:rPr>
        <w:t xml:space="preserve"> of these partnership programmes</w:t>
      </w:r>
      <w:r w:rsidR="00070AF7" w:rsidRPr="00D82AA0">
        <w:rPr>
          <w:lang w:val="en-US"/>
        </w:rPr>
        <w:t xml:space="preserve"> will be analyzed</w:t>
      </w:r>
      <w:r w:rsidR="004F18E2" w:rsidRPr="00D82AA0">
        <w:rPr>
          <w:lang w:val="en-US"/>
        </w:rPr>
        <w:t xml:space="preserve">. Lastly, with the prospect of the next chapter, the role of Russia, or the lack of it, in these partnership programmes will be analyzed. </w:t>
      </w:r>
    </w:p>
    <w:p w14:paraId="73D1F400" w14:textId="2150F8E7" w:rsidR="004F18E2" w:rsidRDefault="008E13AE" w:rsidP="004F18E2">
      <w:pPr>
        <w:pStyle w:val="Kop2"/>
        <w:numPr>
          <w:ilvl w:val="1"/>
          <w:numId w:val="1"/>
        </w:numPr>
        <w:rPr>
          <w:lang w:val="en-US"/>
        </w:rPr>
      </w:pPr>
      <w:bookmarkStart w:id="37" w:name="_Toc517985356"/>
      <w:r>
        <w:rPr>
          <w:noProof/>
          <w:lang w:val="en-US"/>
        </w:rPr>
        <w:t>The o</w:t>
      </w:r>
      <w:r w:rsidR="005A73A2" w:rsidRPr="008E13AE">
        <w:rPr>
          <w:noProof/>
          <w:lang w:val="en-US"/>
        </w:rPr>
        <w:t>rganization</w:t>
      </w:r>
      <w:r w:rsidR="005A73A2">
        <w:rPr>
          <w:lang w:val="en-US"/>
        </w:rPr>
        <w:t xml:space="preserve"> behind ENP and Eastern Partnership</w:t>
      </w:r>
      <w:bookmarkEnd w:id="37"/>
    </w:p>
    <w:p w14:paraId="1219056A" w14:textId="7A0EB3C3" w:rsidR="000D1250" w:rsidRDefault="000D1250" w:rsidP="000D1250">
      <w:pPr>
        <w:pStyle w:val="Kop4"/>
        <w:numPr>
          <w:ilvl w:val="2"/>
          <w:numId w:val="1"/>
        </w:numPr>
        <w:rPr>
          <w:lang w:val="en-US"/>
        </w:rPr>
      </w:pPr>
      <w:r>
        <w:rPr>
          <w:lang w:val="en-US"/>
        </w:rPr>
        <w:t>European Neighbourhood Policy</w:t>
      </w:r>
    </w:p>
    <w:p w14:paraId="288ECF6F" w14:textId="227C3564" w:rsidR="007C1257" w:rsidRDefault="007C1257" w:rsidP="00070AF7">
      <w:pPr>
        <w:rPr>
          <w:lang w:val="en-US"/>
        </w:rPr>
      </w:pPr>
      <w:r>
        <w:rPr>
          <w:lang w:val="en-US"/>
        </w:rPr>
        <w:t>The European Neighbourhood Policy governs the relationship between the EU and 16 neighbouring countries in the East and South. Moldova is one of these Eastern neighbours (European Commission, 2016). The EU aims to build on common interests with these neighbours and work together on key priority agendas. This way, the EU also offers countries potential greater access to EU’s markets and regulatory framework</w:t>
      </w:r>
      <w:r w:rsidR="00A42C85">
        <w:rPr>
          <w:lang w:val="en-US"/>
        </w:rPr>
        <w:t xml:space="preserve"> (European External Action Service, 2016)</w:t>
      </w:r>
      <w:r>
        <w:rPr>
          <w:lang w:val="en-US"/>
        </w:rPr>
        <w:t xml:space="preserve">. </w:t>
      </w:r>
    </w:p>
    <w:p w14:paraId="27A5E1C0" w14:textId="1FD0CCA5" w:rsidR="00A925E1" w:rsidRDefault="00A42C85" w:rsidP="00070AF7">
      <w:pPr>
        <w:rPr>
          <w:lang w:val="en-US"/>
        </w:rPr>
      </w:pPr>
      <w:r>
        <w:rPr>
          <w:lang w:val="en-US"/>
        </w:rPr>
        <w:t>To implement</w:t>
      </w:r>
      <w:r w:rsidR="007C1257">
        <w:rPr>
          <w:lang w:val="en-US"/>
        </w:rPr>
        <w:t xml:space="preserve"> ENP </w:t>
      </w:r>
      <w:r>
        <w:rPr>
          <w:lang w:val="en-US"/>
        </w:rPr>
        <w:t xml:space="preserve">decisions, both sides (EU and neighbours) are required to act on the decisions made. On the EU side, there are several institutions which are jointly responsible for the </w:t>
      </w:r>
      <w:r>
        <w:rPr>
          <w:lang w:val="en-US"/>
        </w:rPr>
        <w:lastRenderedPageBreak/>
        <w:t xml:space="preserve">implementation of the ENP. These are the European </w:t>
      </w:r>
      <w:r w:rsidR="008E13AE">
        <w:rPr>
          <w:noProof/>
          <w:lang w:val="en-US"/>
        </w:rPr>
        <w:t>C</w:t>
      </w:r>
      <w:r w:rsidRPr="008E13AE">
        <w:rPr>
          <w:noProof/>
          <w:lang w:val="en-US"/>
        </w:rPr>
        <w:t>ommission</w:t>
      </w:r>
      <w:r>
        <w:rPr>
          <w:lang w:val="en-US"/>
        </w:rPr>
        <w:t xml:space="preserve">, the European External Action Service and the Member States. The actions regarding the ENP need to be in line with the EU foreign and security policy actions (European External Action Service, 2016). </w:t>
      </w:r>
    </w:p>
    <w:p w14:paraId="50C0279F" w14:textId="2BA61779" w:rsidR="00B96C5D" w:rsidRDefault="00A925E1" w:rsidP="00070AF7">
      <w:pPr>
        <w:rPr>
          <w:lang w:val="en-US"/>
        </w:rPr>
      </w:pPr>
      <w:r>
        <w:rPr>
          <w:lang w:val="en-US"/>
        </w:rPr>
        <w:t xml:space="preserve">In the </w:t>
      </w:r>
      <w:r w:rsidRPr="008E13AE">
        <w:rPr>
          <w:noProof/>
          <w:lang w:val="en-US"/>
        </w:rPr>
        <w:t>beginning</w:t>
      </w:r>
      <w:r w:rsidR="008E13AE">
        <w:rPr>
          <w:noProof/>
          <w:lang w:val="en-US"/>
        </w:rPr>
        <w:t>,</w:t>
      </w:r>
      <w:r>
        <w:rPr>
          <w:lang w:val="en-US"/>
        </w:rPr>
        <w:t xml:space="preserve"> the ENP was set as a framework to achieve the closest possible political association and economic integration with the EU neighbours. In 2011, the ENP was revised and an important new principal was the ‘more for more’ principle. If neighbouring countries put more effort </w:t>
      </w:r>
      <w:r w:rsidRPr="008E13AE">
        <w:rPr>
          <w:noProof/>
          <w:lang w:val="en-US"/>
        </w:rPr>
        <w:t>in</w:t>
      </w:r>
      <w:r w:rsidR="008E13AE">
        <w:rPr>
          <w:noProof/>
          <w:lang w:val="en-US"/>
        </w:rPr>
        <w:t>to</w:t>
      </w:r>
      <w:r>
        <w:rPr>
          <w:lang w:val="en-US"/>
        </w:rPr>
        <w:t xml:space="preserve"> reforms according to the ENP, they would receive more support </w:t>
      </w:r>
      <w:r w:rsidR="008E13AE">
        <w:rPr>
          <w:noProof/>
          <w:lang w:val="en-US"/>
        </w:rPr>
        <w:t>from</w:t>
      </w:r>
      <w:r>
        <w:rPr>
          <w:lang w:val="en-US"/>
        </w:rPr>
        <w:t xml:space="preserve"> the EU. Then, in 2015, there was a new, big revision of the ENP. In accordance with the EU’s Global Strategy, security became an increasingly important point on the ENP agenda. </w:t>
      </w:r>
      <w:r w:rsidR="00B96C5D">
        <w:rPr>
          <w:lang w:val="en-US"/>
        </w:rPr>
        <w:t>So, at the heart of the new policy came four domains, to know: 1) Good governance, democracy, rule of law and human rights; 2) economic development for stabilization; 3) security and; 4) migration and mobility</w:t>
      </w:r>
      <w:r w:rsidR="00945676">
        <w:rPr>
          <w:lang w:val="en-US"/>
        </w:rPr>
        <w:t xml:space="preserve"> (European External Action Service, 2016)</w:t>
      </w:r>
      <w:r w:rsidR="00B96C5D">
        <w:rPr>
          <w:lang w:val="en-US"/>
        </w:rPr>
        <w:t xml:space="preserve">. </w:t>
      </w:r>
    </w:p>
    <w:p w14:paraId="54A98234" w14:textId="218E7120" w:rsidR="00700B4B" w:rsidRDefault="003B13A0" w:rsidP="00070AF7">
      <w:pPr>
        <w:rPr>
          <w:lang w:val="en-US"/>
        </w:rPr>
      </w:pPr>
      <w:r>
        <w:rPr>
          <w:lang w:val="en-US"/>
        </w:rPr>
        <w:t>The revised ENP works with differentiated partnerships and a tailor-made approach regarding each neighbouring country. T</w:t>
      </w:r>
      <w:r w:rsidR="00D01251">
        <w:rPr>
          <w:lang w:val="en-US"/>
        </w:rPr>
        <w:t xml:space="preserve">hese tailor-made approaches are made out of country-specific frameworks for bilateral cooperation in the forms of </w:t>
      </w:r>
      <w:r w:rsidR="00D01251" w:rsidRPr="008E13AE">
        <w:rPr>
          <w:noProof/>
          <w:lang w:val="en-US"/>
        </w:rPr>
        <w:t>so</w:t>
      </w:r>
      <w:r w:rsidR="008E13AE">
        <w:rPr>
          <w:noProof/>
          <w:lang w:val="en-US"/>
        </w:rPr>
        <w:t>-</w:t>
      </w:r>
      <w:r w:rsidR="00D01251" w:rsidRPr="008E13AE">
        <w:rPr>
          <w:noProof/>
          <w:lang w:val="en-US"/>
        </w:rPr>
        <w:t>called</w:t>
      </w:r>
      <w:r w:rsidR="00D01251">
        <w:rPr>
          <w:lang w:val="en-US"/>
        </w:rPr>
        <w:t xml:space="preserve"> Partnership Priorities and Association Agendas or existing Action Plans (European Commission, 2017). These frameworks build on existing legal agreements with the EU – Partnership &amp; Cooperation Agreements or Association Agreements (European External Action Service, 2016). </w:t>
      </w:r>
    </w:p>
    <w:p w14:paraId="37A770E2" w14:textId="4C3E023C" w:rsidR="00945676" w:rsidRDefault="00700B4B" w:rsidP="00070AF7">
      <w:pPr>
        <w:rPr>
          <w:lang w:val="en-US"/>
        </w:rPr>
      </w:pPr>
      <w:r>
        <w:rPr>
          <w:lang w:val="en-US"/>
        </w:rPr>
        <w:t>Although the ENP mainly exists out of bilateral agreements between the EU and the neighbouring countries, there are</w:t>
      </w:r>
      <w:r w:rsidR="00D52F63">
        <w:rPr>
          <w:lang w:val="en-US"/>
        </w:rPr>
        <w:t xml:space="preserve"> also</w:t>
      </w:r>
      <w:r>
        <w:rPr>
          <w:lang w:val="en-US"/>
        </w:rPr>
        <w:t xml:space="preserve"> two regional and multilateral cooperation initiatives</w:t>
      </w:r>
      <w:r w:rsidR="00D52F63">
        <w:rPr>
          <w:lang w:val="en-US"/>
        </w:rPr>
        <w:t xml:space="preserve"> that are part of the ENP</w:t>
      </w:r>
      <w:r>
        <w:rPr>
          <w:lang w:val="en-US"/>
        </w:rPr>
        <w:t xml:space="preserve">: the Eastern Partnership for the Eastern neighbours and the Union for the Mediterranean for the Southern neighbours (European External Action Service, 2016). </w:t>
      </w:r>
      <w:r w:rsidR="00D01251">
        <w:rPr>
          <w:lang w:val="en-US"/>
        </w:rPr>
        <w:t xml:space="preserve"> </w:t>
      </w:r>
    </w:p>
    <w:p w14:paraId="01E8A8A5" w14:textId="6E9E977D" w:rsidR="000D1250" w:rsidRDefault="000D1250" w:rsidP="000D1250">
      <w:pPr>
        <w:pStyle w:val="Kop4"/>
        <w:numPr>
          <w:ilvl w:val="2"/>
          <w:numId w:val="1"/>
        </w:numPr>
        <w:rPr>
          <w:lang w:val="en-US"/>
        </w:rPr>
      </w:pPr>
      <w:r>
        <w:rPr>
          <w:lang w:val="en-US"/>
        </w:rPr>
        <w:t>Eastern Partnership</w:t>
      </w:r>
    </w:p>
    <w:p w14:paraId="552697F6" w14:textId="00BBFAD9" w:rsidR="000D1250" w:rsidRDefault="000D1250" w:rsidP="000D1250">
      <w:pPr>
        <w:rPr>
          <w:lang w:val="en-US"/>
        </w:rPr>
      </w:pPr>
      <w:r>
        <w:rPr>
          <w:lang w:val="en-US"/>
        </w:rPr>
        <w:t>The Eastern Partnership</w:t>
      </w:r>
      <w:r w:rsidR="00530463">
        <w:rPr>
          <w:lang w:val="en-US"/>
        </w:rPr>
        <w:t xml:space="preserve"> (EaP)</w:t>
      </w:r>
      <w:r>
        <w:rPr>
          <w:lang w:val="en-US"/>
        </w:rPr>
        <w:t xml:space="preserve"> is a specific dimension of the European Neighbourhood Policy. It “aims at building a common area of shared democracy, prosperity, stability and increased cooperation.” The Eastern Partnership does not work with bilateral agreements, like the ENP. Every other year, the heads of state or government from EU member states meet with the six Partnership countries at </w:t>
      </w:r>
      <w:r w:rsidRPr="008E13AE">
        <w:rPr>
          <w:noProof/>
          <w:lang w:val="en-US"/>
        </w:rPr>
        <w:t>a</w:t>
      </w:r>
      <w:r w:rsidR="008E13AE">
        <w:rPr>
          <w:noProof/>
          <w:lang w:val="en-US"/>
        </w:rPr>
        <w:t>n</w:t>
      </w:r>
      <w:r w:rsidRPr="008E13AE">
        <w:rPr>
          <w:noProof/>
          <w:lang w:val="en-US"/>
        </w:rPr>
        <w:t xml:space="preserve"> Eastern</w:t>
      </w:r>
      <w:r>
        <w:rPr>
          <w:lang w:val="en-US"/>
        </w:rPr>
        <w:t xml:space="preserve"> Partnership Summit (European External Action Service, 2016). </w:t>
      </w:r>
    </w:p>
    <w:p w14:paraId="51EE301A" w14:textId="2EAD2B59" w:rsidR="000D1250" w:rsidRDefault="00530463" w:rsidP="000D1250">
      <w:pPr>
        <w:rPr>
          <w:lang w:val="en-US"/>
        </w:rPr>
      </w:pPr>
      <w:r>
        <w:rPr>
          <w:lang w:val="en-US"/>
        </w:rPr>
        <w:lastRenderedPageBreak/>
        <w:t xml:space="preserve">The Eastern Partnership was launched at the Prague Summit in 2009 as a specific Eastern dimension of the ENP. Since then, the policy has broadened and deepened into a further developed level of cooperation. </w:t>
      </w:r>
      <w:r w:rsidR="00583706">
        <w:rPr>
          <w:lang w:val="en-US"/>
        </w:rPr>
        <w:t xml:space="preserve">The central aim of the Eastern Partnership is tangible results for the citizens. This has resulted in twenty ‘deliverables of Eastern Partnership cooperation for 2020’. </w:t>
      </w:r>
      <w:r w:rsidR="00216440">
        <w:rPr>
          <w:lang w:val="en-US"/>
        </w:rPr>
        <w:t xml:space="preserve">There are four priority areas of cooperation, agreed on at the Riga Summit in 2015, namely: 1) stronger governance – strengthening of institutions and good governance; 2) stronger economy – economic development and market opportunities; 3) better connectivity – interconnectivity and mobility; and 4) stronger society – people-to-people contacts (European External Action Service, 2016). </w:t>
      </w:r>
    </w:p>
    <w:p w14:paraId="4464C907" w14:textId="2EF5A27E" w:rsidR="00583706" w:rsidRDefault="00583706" w:rsidP="000D1250">
      <w:pPr>
        <w:rPr>
          <w:lang w:val="en-US"/>
        </w:rPr>
      </w:pPr>
      <w:r>
        <w:rPr>
          <w:lang w:val="en-US"/>
        </w:rPr>
        <w:t xml:space="preserve">The Partner Countries all have different characteristics and ambitions concerning the EU. For those different aspects, they have the ENP bilateral agreements. However, the countries also share opportunities and challenges. It is for these shared elements, that the Eastern Partnership complements the ENP. Typical areas in which the Eastern Partnership </w:t>
      </w:r>
      <w:r w:rsidR="00D90236">
        <w:rPr>
          <w:lang w:val="en-US"/>
        </w:rPr>
        <w:t xml:space="preserve">functions require a transnational approach, like border management, environment and climate change, migration, and disaster prevention. At the same time, best practices can easily be exchanged between the partner countries. This way, the multilateral approach aims to foster links and regional cooperation among the partners and between them and the EU member states (European External Action Service, 2016). </w:t>
      </w:r>
    </w:p>
    <w:p w14:paraId="20679038" w14:textId="24583387" w:rsidR="00D90236" w:rsidRDefault="00D90236" w:rsidP="000D1250">
      <w:pPr>
        <w:rPr>
          <w:lang w:val="en-US"/>
        </w:rPr>
      </w:pPr>
      <w:r>
        <w:rPr>
          <w:lang w:val="en-US"/>
        </w:rPr>
        <w:t>Looking at the organization of the Eastern Partnership in the broader spectrum of the European External Action Service, the partnership is part of a very large framework of European partnerships and policies. The whole overview of this organization is shown on the next page.</w:t>
      </w:r>
    </w:p>
    <w:p w14:paraId="37A7014C" w14:textId="77777777" w:rsidR="007B6DBA" w:rsidRDefault="00D90236" w:rsidP="007B6DBA">
      <w:pPr>
        <w:keepNext/>
      </w:pPr>
      <w:r w:rsidRPr="007B6DBA">
        <w:rPr>
          <w:noProof/>
          <w:lang w:eastAsia="nl-NL"/>
        </w:rPr>
        <w:lastRenderedPageBreak/>
        <w:drawing>
          <wp:inline distT="0" distB="0" distL="0" distR="0" wp14:anchorId="069E0489" wp14:editId="7C97F1EC">
            <wp:extent cx="7743135" cy="5492994"/>
            <wp:effectExtent l="953"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5400000">
                      <a:off x="0" y="0"/>
                      <a:ext cx="7778345" cy="5517972"/>
                    </a:xfrm>
                    <a:prstGeom prst="rect">
                      <a:avLst/>
                    </a:prstGeom>
                    <a:noFill/>
                    <a:ln>
                      <a:noFill/>
                    </a:ln>
                  </pic:spPr>
                </pic:pic>
              </a:graphicData>
            </a:graphic>
          </wp:inline>
        </w:drawing>
      </w:r>
    </w:p>
    <w:p w14:paraId="563A93D9" w14:textId="5473B931" w:rsidR="00D90236" w:rsidRPr="007B6DBA" w:rsidRDefault="007B6DBA" w:rsidP="007B6DBA">
      <w:pPr>
        <w:pStyle w:val="Bijschrift"/>
        <w:rPr>
          <w:color w:val="auto"/>
          <w:lang w:val="en-US"/>
        </w:rPr>
      </w:pPr>
      <w:r w:rsidRPr="007B6DBA">
        <w:rPr>
          <w:color w:val="auto"/>
          <w:lang w:val="en-US"/>
        </w:rPr>
        <w:t xml:space="preserve">Figure </w:t>
      </w:r>
      <w:r w:rsidRPr="007B6DBA">
        <w:rPr>
          <w:color w:val="auto"/>
        </w:rPr>
        <w:fldChar w:fldCharType="begin"/>
      </w:r>
      <w:r w:rsidRPr="007B6DBA">
        <w:rPr>
          <w:color w:val="auto"/>
          <w:lang w:val="en-US"/>
        </w:rPr>
        <w:instrText xml:space="preserve"> SEQ Figure \* ARABIC </w:instrText>
      </w:r>
      <w:r w:rsidRPr="007B6DBA">
        <w:rPr>
          <w:color w:val="auto"/>
        </w:rPr>
        <w:fldChar w:fldCharType="separate"/>
      </w:r>
      <w:r w:rsidRPr="007B6DBA">
        <w:rPr>
          <w:noProof/>
          <w:color w:val="auto"/>
          <w:lang w:val="en-US"/>
        </w:rPr>
        <w:t>4</w:t>
      </w:r>
      <w:r w:rsidRPr="007B6DBA">
        <w:rPr>
          <w:color w:val="auto"/>
        </w:rPr>
        <w:fldChar w:fldCharType="end"/>
      </w:r>
      <w:r w:rsidRPr="007B6DBA">
        <w:rPr>
          <w:color w:val="auto"/>
          <w:lang w:val="en-US"/>
        </w:rPr>
        <w:t xml:space="preserve"> Organization Chart EEAS (Source: European External Action Service, 2018)</w:t>
      </w:r>
    </w:p>
    <w:p w14:paraId="4EF16A5B" w14:textId="6E73E482" w:rsidR="007B6DBA" w:rsidRDefault="007B6DBA" w:rsidP="000D1250">
      <w:pPr>
        <w:rPr>
          <w:lang w:val="en-US"/>
        </w:rPr>
      </w:pPr>
      <w:r w:rsidRPr="007B6DBA">
        <w:rPr>
          <w:noProof/>
          <w:lang w:eastAsia="nl-NL"/>
        </w:rPr>
        <w:lastRenderedPageBreak/>
        <w:drawing>
          <wp:anchor distT="0" distB="0" distL="114300" distR="114300" simplePos="0" relativeHeight="251658246" behindDoc="0" locked="0" layoutInCell="1" allowOverlap="1" wp14:anchorId="6FAC0FC3" wp14:editId="489CB02B">
            <wp:simplePos x="0" y="0"/>
            <wp:positionH relativeFrom="margin">
              <wp:align>right</wp:align>
            </wp:positionH>
            <wp:positionV relativeFrom="paragraph">
              <wp:posOffset>4445</wp:posOffset>
            </wp:positionV>
            <wp:extent cx="2521585" cy="302895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21585" cy="3028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lang w:val="en-US"/>
        </w:rPr>
        <w:t xml:space="preserve">In this organization chart, the Eastern Partnership can be found as only a small part of the whole European External Action. In </w:t>
      </w:r>
      <w:r w:rsidRPr="00B70AD5">
        <w:rPr>
          <w:lang w:val="en-US"/>
        </w:rPr>
        <w:t>figure 5</w:t>
      </w:r>
      <w:r>
        <w:rPr>
          <w:lang w:val="en-US"/>
        </w:rPr>
        <w:t xml:space="preserve">, it is shown where the Eastern Partnership can be found. </w:t>
      </w:r>
    </w:p>
    <w:p w14:paraId="6F1249E2" w14:textId="4E0606A8" w:rsidR="00554DA7" w:rsidRDefault="00A4302C" w:rsidP="000D1250">
      <w:pPr>
        <w:rPr>
          <w:lang w:val="en-US"/>
        </w:rPr>
      </w:pPr>
      <w:r>
        <w:rPr>
          <w:noProof/>
          <w:lang w:eastAsia="nl-NL"/>
        </w:rPr>
        <mc:AlternateContent>
          <mc:Choice Requires="wps">
            <w:drawing>
              <wp:anchor distT="0" distB="0" distL="114300" distR="114300" simplePos="0" relativeHeight="251658247" behindDoc="0" locked="0" layoutInCell="1" allowOverlap="1" wp14:anchorId="077115D1" wp14:editId="6095A2F3">
                <wp:simplePos x="0" y="0"/>
                <wp:positionH relativeFrom="margin">
                  <wp:align>right</wp:align>
                </wp:positionH>
                <wp:positionV relativeFrom="paragraph">
                  <wp:posOffset>1866900</wp:posOffset>
                </wp:positionV>
                <wp:extent cx="2495550" cy="561975"/>
                <wp:effectExtent l="0" t="0" r="0" b="9525"/>
                <wp:wrapSquare wrapText="bothSides"/>
                <wp:docPr id="11" name="Text Box 11"/>
                <wp:cNvGraphicFramePr/>
                <a:graphic xmlns:a="http://schemas.openxmlformats.org/drawingml/2006/main">
                  <a:graphicData uri="http://schemas.microsoft.com/office/word/2010/wordprocessingShape">
                    <wps:wsp>
                      <wps:cNvSpPr txBox="1"/>
                      <wps:spPr>
                        <a:xfrm>
                          <a:off x="0" y="0"/>
                          <a:ext cx="2495550" cy="561975"/>
                        </a:xfrm>
                        <a:prstGeom prst="rect">
                          <a:avLst/>
                        </a:prstGeom>
                        <a:solidFill>
                          <a:prstClr val="white"/>
                        </a:solidFill>
                        <a:ln>
                          <a:noFill/>
                        </a:ln>
                      </wps:spPr>
                      <wps:txbx>
                        <w:txbxContent>
                          <w:p w14:paraId="4603FBD4" w14:textId="2F9CA16A" w:rsidR="008E13AE" w:rsidRPr="007B6DBA" w:rsidRDefault="008E13AE" w:rsidP="007B6DBA">
                            <w:pPr>
                              <w:pStyle w:val="Bijschrift"/>
                              <w:rPr>
                                <w:noProof/>
                                <w:color w:val="auto"/>
                                <w:szCs w:val="21"/>
                                <w:lang w:val="en-US"/>
                              </w:rPr>
                            </w:pPr>
                            <w:r w:rsidRPr="007B6DBA">
                              <w:rPr>
                                <w:color w:val="auto"/>
                                <w:lang w:val="en-US"/>
                              </w:rPr>
                              <w:t xml:space="preserve">Figure </w:t>
                            </w:r>
                            <w:r w:rsidRPr="007B6DBA">
                              <w:rPr>
                                <w:color w:val="auto"/>
                              </w:rPr>
                              <w:fldChar w:fldCharType="begin"/>
                            </w:r>
                            <w:r w:rsidRPr="007B6DBA">
                              <w:rPr>
                                <w:color w:val="auto"/>
                                <w:lang w:val="en-US"/>
                              </w:rPr>
                              <w:instrText xml:space="preserve"> SEQ Figure \* ARABIC </w:instrText>
                            </w:r>
                            <w:r w:rsidRPr="007B6DBA">
                              <w:rPr>
                                <w:color w:val="auto"/>
                              </w:rPr>
                              <w:fldChar w:fldCharType="separate"/>
                            </w:r>
                            <w:r w:rsidRPr="007B6DBA">
                              <w:rPr>
                                <w:noProof/>
                                <w:color w:val="auto"/>
                                <w:lang w:val="en-US"/>
                              </w:rPr>
                              <w:t>5</w:t>
                            </w:r>
                            <w:r w:rsidRPr="007B6DBA">
                              <w:rPr>
                                <w:color w:val="auto"/>
                              </w:rPr>
                              <w:fldChar w:fldCharType="end"/>
                            </w:r>
                            <w:r w:rsidRPr="007B6DBA">
                              <w:rPr>
                                <w:color w:val="auto"/>
                                <w:lang w:val="en-US"/>
                              </w:rPr>
                              <w:t xml:space="preserve"> The Eastern Partnership in the Organization Chart (Source: European External Action Service, 2018)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 w14:anchorId="077115D1" id="Text Box 11" o:spid="_x0000_s1028" type="#_x0000_t202" style="position:absolute;margin-left:145.3pt;margin-top:147pt;width:196.5pt;height:44.25pt;z-index:251658247;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" stroked="f">
                <v:textbox inset="0,0,0,0">
                  <w:txbxContent>
                    <w:p w14:paraId="4603FBD4" w14:textId="2F9CA16A" w:rsidR="008E13AE" w:rsidRPr="007B6DBA" w:rsidRDefault="008E13AE" w:rsidP="007B6DBA">
                      <w:pPr>
                        <w:pStyle w:val="Bijschrift"/>
                        <w:rPr>
                          <w:noProof/>
                          <w:color w:val="auto"/>
                          <w:szCs w:val="21"/>
                          <w:lang w:val="en-US"/>
                        </w:rPr>
                      </w:pPr>
                      <w:r w:rsidRPr="007B6DBA">
                        <w:rPr>
                          <w:color w:val="auto"/>
                          <w:lang w:val="en-US"/>
                        </w:rPr>
                        <w:t xml:space="preserve">Figure </w:t>
                      </w:r>
                      <w:r w:rsidRPr="007B6DBA">
                        <w:rPr>
                          <w:color w:val="auto"/>
                        </w:rPr>
                        <w:fldChar w:fldCharType="begin"/>
                      </w:r>
                      <w:r w:rsidRPr="007B6DBA">
                        <w:rPr>
                          <w:color w:val="auto"/>
                          <w:lang w:val="en-US"/>
                        </w:rPr>
                        <w:instrText xml:space="preserve"> SEQ Figure \* ARABIC </w:instrText>
                      </w:r>
                      <w:r w:rsidRPr="007B6DBA">
                        <w:rPr>
                          <w:color w:val="auto"/>
                        </w:rPr>
                        <w:fldChar w:fldCharType="separate"/>
                      </w:r>
                      <w:r w:rsidRPr="007B6DBA">
                        <w:rPr>
                          <w:noProof/>
                          <w:color w:val="auto"/>
                          <w:lang w:val="en-US"/>
                        </w:rPr>
                        <w:t>5</w:t>
                      </w:r>
                      <w:r w:rsidRPr="007B6DBA">
                        <w:rPr>
                          <w:color w:val="auto"/>
                        </w:rPr>
                        <w:fldChar w:fldCharType="end"/>
                      </w:r>
                      <w:r w:rsidRPr="007B6DBA">
                        <w:rPr>
                          <w:color w:val="auto"/>
                          <w:lang w:val="en-US"/>
                        </w:rPr>
                        <w:t xml:space="preserve"> The Eastern Partnership in the Organization Chart (Source: European External Action Service, 2018)</w:t>
                      </w:r>
                    </w:p>
                  </w:txbxContent>
                </v:textbox>
                <w10:wrap type="square" anchorx="margin"/>
              </v:shape>
            </w:pict>
          </mc:Fallback>
        </mc:AlternateContent>
      </w:r>
      <w:r w:rsidR="00554DA7">
        <w:rPr>
          <w:lang w:val="en-US"/>
        </w:rPr>
        <w:t xml:space="preserve">This shows just how big the European External Action is and in how big a part of the world the European Union plays a role in. </w:t>
      </w:r>
      <w:r>
        <w:rPr>
          <w:lang w:val="en-US"/>
        </w:rPr>
        <w:t>In the next paragraph, a closer look will be taken on the concrete EU-Moldova partnership programmes that are part of the ENP and the Eastern Partnership.</w:t>
      </w:r>
    </w:p>
    <w:p w14:paraId="06E3EE26" w14:textId="336F4064" w:rsidR="007B6DBA" w:rsidRPr="00554DA7" w:rsidRDefault="007B6DBA" w:rsidP="000D1250">
      <w:pPr>
        <w:rPr>
          <w:lang w:val="en-US"/>
        </w:rPr>
      </w:pPr>
    </w:p>
    <w:p w14:paraId="366FFFFE" w14:textId="773A1067" w:rsidR="00B96C5D" w:rsidRDefault="00B96C5D" w:rsidP="00B96C5D">
      <w:pPr>
        <w:pStyle w:val="Kop2"/>
        <w:numPr>
          <w:ilvl w:val="1"/>
          <w:numId w:val="1"/>
        </w:numPr>
        <w:rPr>
          <w:lang w:val="en-US"/>
        </w:rPr>
      </w:pPr>
      <w:bookmarkStart w:id="38" w:name="_Toc517985357"/>
      <w:r>
        <w:rPr>
          <w:lang w:val="en-US"/>
        </w:rPr>
        <w:t>EU-Moldova partnership</w:t>
      </w:r>
      <w:bookmarkEnd w:id="38"/>
    </w:p>
    <w:p w14:paraId="099448B1" w14:textId="7DF228BD" w:rsidR="002B3E23" w:rsidRPr="002B3E23" w:rsidRDefault="002B3E23" w:rsidP="002B3E23">
      <w:pPr>
        <w:rPr>
          <w:lang w:val="en-US"/>
        </w:rPr>
      </w:pPr>
      <w:r>
        <w:rPr>
          <w:lang w:val="en-US"/>
        </w:rPr>
        <w:t xml:space="preserve">For the aim of the research and to find thorough answers </w:t>
      </w:r>
      <w:r w:rsidR="00596782">
        <w:rPr>
          <w:lang w:val="en-US"/>
        </w:rPr>
        <w:t>to</w:t>
      </w:r>
      <w:r>
        <w:rPr>
          <w:lang w:val="en-US"/>
        </w:rPr>
        <w:t xml:space="preserve"> the research questions, only issues regarding Transnistria and general policy points will be discussed. These will be analyzed in paragraph 5.4 to see how geopolitics and border policies are </w:t>
      </w:r>
      <w:r w:rsidR="00596782">
        <w:rPr>
          <w:lang w:val="en-US"/>
        </w:rPr>
        <w:t>incorporated into the ENP and EaP.</w:t>
      </w:r>
    </w:p>
    <w:p w14:paraId="3F0C7580" w14:textId="40910A88" w:rsidR="00B96C5D" w:rsidRDefault="00AB578E" w:rsidP="00A4302C">
      <w:pPr>
        <w:pStyle w:val="Kop4"/>
        <w:numPr>
          <w:ilvl w:val="2"/>
          <w:numId w:val="1"/>
        </w:numPr>
        <w:rPr>
          <w:lang w:val="en-US"/>
        </w:rPr>
      </w:pPr>
      <w:r>
        <w:rPr>
          <w:lang w:val="en-US"/>
        </w:rPr>
        <w:t>ENP P</w:t>
      </w:r>
      <w:r w:rsidR="00A4302C">
        <w:rPr>
          <w:lang w:val="en-US"/>
        </w:rPr>
        <w:t>artnership</w:t>
      </w:r>
      <w:r w:rsidR="0085046C">
        <w:rPr>
          <w:lang w:val="en-US"/>
        </w:rPr>
        <w:t xml:space="preserve"> – From Action Plan to </w:t>
      </w:r>
      <w:r w:rsidR="00EC4DD4">
        <w:rPr>
          <w:lang w:val="en-US"/>
        </w:rPr>
        <w:t xml:space="preserve">Joint </w:t>
      </w:r>
      <w:r w:rsidR="00F36C78">
        <w:rPr>
          <w:lang w:val="en-US"/>
        </w:rPr>
        <w:t>Strategy</w:t>
      </w:r>
    </w:p>
    <w:p w14:paraId="30AC6B96" w14:textId="77777777" w:rsidR="00516BF9" w:rsidRDefault="00AB578E" w:rsidP="00A4302C">
      <w:pPr>
        <w:rPr>
          <w:lang w:val="en-US"/>
        </w:rPr>
      </w:pPr>
      <w:r>
        <w:rPr>
          <w:lang w:val="en-US"/>
        </w:rPr>
        <w:t xml:space="preserve">As was said in the paragraph above, the ENP functions through bilateral agreements between the EU and the member state. </w:t>
      </w:r>
      <w:r w:rsidR="0085046C">
        <w:rPr>
          <w:lang w:val="en-US"/>
        </w:rPr>
        <w:t>Over the last years, since 2005 when the EU Moldova Action Plan was signed, a lot of bilateral agreements have been signed, among which are legal agreements, agreements for financial aid, and agreements on actio</w:t>
      </w:r>
      <w:r w:rsidR="00516BF9">
        <w:rPr>
          <w:lang w:val="en-US"/>
        </w:rPr>
        <w:t xml:space="preserve">ns, visions and goals for the future. </w:t>
      </w:r>
    </w:p>
    <w:p w14:paraId="27485E8A" w14:textId="641ED5FA" w:rsidR="00A4302C" w:rsidRDefault="00516BF9" w:rsidP="00A4302C">
      <w:pPr>
        <w:rPr>
          <w:lang w:val="en-US"/>
        </w:rPr>
      </w:pPr>
      <w:r>
        <w:rPr>
          <w:lang w:val="en-US"/>
        </w:rPr>
        <w:t xml:space="preserve">For the purpose of this research, the legal and financial agreements are not of such importance that it influences the Moldova-Transnistria conflict. That is why the focus here will be on the Association Agenda, the successor of the EU Moldova Action Plan. Besides this Association Agenda, </w:t>
      </w:r>
      <w:r w:rsidR="00A42207">
        <w:rPr>
          <w:lang w:val="en-US"/>
        </w:rPr>
        <w:t xml:space="preserve">the EU Joint </w:t>
      </w:r>
      <w:r w:rsidR="00F36C78">
        <w:rPr>
          <w:lang w:val="en-US"/>
        </w:rPr>
        <w:t>Strategy</w:t>
      </w:r>
      <w:r w:rsidR="00A42207">
        <w:rPr>
          <w:lang w:val="en-US"/>
        </w:rPr>
        <w:t xml:space="preserve"> will be discussed to see what the future, up to 2020, holds. </w:t>
      </w:r>
    </w:p>
    <w:p w14:paraId="7C150510" w14:textId="6CDA47F9" w:rsidR="00AC71EB" w:rsidRDefault="003F25B2" w:rsidP="00A4302C">
      <w:pPr>
        <w:rPr>
          <w:lang w:val="en-US"/>
        </w:rPr>
      </w:pPr>
      <w:r>
        <w:rPr>
          <w:lang w:val="en-US"/>
        </w:rPr>
        <w:t>The EU-Moldova Action Plan was</w:t>
      </w:r>
      <w:r w:rsidR="003F27D3">
        <w:rPr>
          <w:lang w:val="en-US"/>
        </w:rPr>
        <w:t xml:space="preserve"> created after the big expansion of the EU in 2004. </w:t>
      </w:r>
      <w:r w:rsidR="00F74321">
        <w:rPr>
          <w:lang w:val="en-US"/>
        </w:rPr>
        <w:t xml:space="preserve">After this enlargement, Moldova became a neighbouring country and because of that, the political and </w:t>
      </w:r>
      <w:r w:rsidR="00F74321">
        <w:rPr>
          <w:lang w:val="en-US"/>
        </w:rPr>
        <w:lastRenderedPageBreak/>
        <w:t xml:space="preserve">economic interdependence between Moldova and the EU were to be further developed. </w:t>
      </w:r>
      <w:r w:rsidR="00C22026">
        <w:rPr>
          <w:lang w:val="en-US"/>
        </w:rPr>
        <w:t xml:space="preserve">This action plan was part of the ENP and one of the key objectives of the plan was to further support a viable solution </w:t>
      </w:r>
      <w:r w:rsidR="008E13AE">
        <w:rPr>
          <w:noProof/>
          <w:lang w:val="en-US"/>
        </w:rPr>
        <w:t>to</w:t>
      </w:r>
      <w:r w:rsidR="00C22026">
        <w:rPr>
          <w:lang w:val="en-US"/>
        </w:rPr>
        <w:t xml:space="preserve"> the Transnistria conflict. </w:t>
      </w:r>
      <w:r w:rsidR="00AC71EB">
        <w:rPr>
          <w:lang w:val="en-US"/>
        </w:rPr>
        <w:t>Generally speaking, the Action Plan is a political document laying out the strategic objectives of the cooperation between Moldova and the EU</w:t>
      </w:r>
      <w:r w:rsidR="00C22026">
        <w:rPr>
          <w:lang w:val="en-US"/>
        </w:rPr>
        <w:t xml:space="preserve"> (</w:t>
      </w:r>
      <w:r w:rsidR="009545B5">
        <w:rPr>
          <w:lang w:val="en-US"/>
        </w:rPr>
        <w:t>European Commission</w:t>
      </w:r>
      <w:r w:rsidR="00C22026">
        <w:rPr>
          <w:lang w:val="en-US"/>
        </w:rPr>
        <w:t xml:space="preserve">, 2004). </w:t>
      </w:r>
      <w:r w:rsidR="00AC71EB">
        <w:rPr>
          <w:lang w:val="en-US"/>
        </w:rPr>
        <w:t>In doing so, ten partnership perspectives were named, of which “continuing strong EU commitment to support the settlement of the Transnistria conflict, drawing on the instruments at the EU’s disposal, and in close consultation with the OSCE. The EU is ready to consider ways to streng</w:t>
      </w:r>
      <w:r w:rsidR="009545B5">
        <w:rPr>
          <w:lang w:val="en-US"/>
        </w:rPr>
        <w:t>then further its engagement” (European Commission</w:t>
      </w:r>
      <w:r w:rsidR="00AC71EB">
        <w:rPr>
          <w:lang w:val="en-US"/>
        </w:rPr>
        <w:t xml:space="preserve">, 2004), is the most important regarding this thesis. Besides these perspectives, ten Priorities for Action were named, of which “sustained efforts towards a viable solution to the Transnistria conflict” and “progress towards a system of efficient, comprehensive state border management on all sectors of the Moldovan border including the Transnistrian sector” are the most important ones. </w:t>
      </w:r>
      <w:r w:rsidR="00652EE8">
        <w:rPr>
          <w:lang w:val="en-US"/>
        </w:rPr>
        <w:t xml:space="preserve">Besides these points </w:t>
      </w:r>
      <w:r w:rsidR="00652EE8" w:rsidRPr="008E13AE">
        <w:rPr>
          <w:noProof/>
          <w:lang w:val="en-US"/>
        </w:rPr>
        <w:t>however</w:t>
      </w:r>
      <w:r w:rsidR="00AC71EB">
        <w:rPr>
          <w:lang w:val="en-US"/>
        </w:rPr>
        <w:t>, with the eye on border practices and geopolitics, it is important to stress that almost all of the other points of the Action Plan are focused on creating deeper relations, and</w:t>
      </w:r>
      <w:r w:rsidR="00652EE8">
        <w:rPr>
          <w:lang w:val="en-US"/>
        </w:rPr>
        <w:t xml:space="preserve"> thus</w:t>
      </w:r>
      <w:r w:rsidR="00AC71EB">
        <w:rPr>
          <w:lang w:val="en-US"/>
        </w:rPr>
        <w:t xml:space="preserve"> creating a bigger European influence in Moldova. </w:t>
      </w:r>
    </w:p>
    <w:p w14:paraId="73128D07" w14:textId="7C093DFE" w:rsidR="00DA19F4" w:rsidRDefault="00652EE8" w:rsidP="00A4302C">
      <w:pPr>
        <w:rPr>
          <w:lang w:val="en-US"/>
        </w:rPr>
      </w:pPr>
      <w:r>
        <w:rPr>
          <w:lang w:val="en-US"/>
        </w:rPr>
        <w:t>The total Action Plan exists out of eighty points regarding practically</w:t>
      </w:r>
      <w:r w:rsidR="00DA19F4">
        <w:rPr>
          <w:lang w:val="en-US"/>
        </w:rPr>
        <w:t xml:space="preserve"> every</w:t>
      </w:r>
      <w:r>
        <w:rPr>
          <w:lang w:val="en-US"/>
        </w:rPr>
        <w:t xml:space="preserve"> kind of policy one could think of. Of these eighty </w:t>
      </w:r>
      <w:r w:rsidRPr="008E13AE">
        <w:rPr>
          <w:noProof/>
          <w:lang w:val="en-US"/>
        </w:rPr>
        <w:t>points</w:t>
      </w:r>
      <w:r w:rsidR="008E13AE">
        <w:rPr>
          <w:noProof/>
          <w:lang w:val="en-US"/>
        </w:rPr>
        <w:t>,</w:t>
      </w:r>
      <w:r>
        <w:rPr>
          <w:lang w:val="en-US"/>
        </w:rPr>
        <w:t xml:space="preserve"> there </w:t>
      </w:r>
      <w:r w:rsidR="00DA19F4">
        <w:rPr>
          <w:lang w:val="en-US"/>
        </w:rPr>
        <w:t>is one main action point for Transnistria and several sub-points. This one main point is point 16 of the Action Plan and reads as follows:</w:t>
      </w:r>
    </w:p>
    <w:p w14:paraId="0D8517FB" w14:textId="02A1D32C" w:rsidR="00DA19F4" w:rsidRDefault="00DA19F4" w:rsidP="00DA19F4">
      <w:pPr>
        <w:ind w:firstLine="708"/>
        <w:rPr>
          <w:lang w:val="en-US"/>
        </w:rPr>
      </w:pPr>
      <w:r>
        <w:rPr>
          <w:lang w:val="en-US"/>
        </w:rPr>
        <w:t>“Sustained efforts towards a settlement of the Transnistria conflict, respecting the sovereignty and territorial integrity of the Republic of Moldova within its internationally recognized borders, and guaranteeing respect for democracy, the rule of law and human rights</w:t>
      </w:r>
      <w:r w:rsidR="006919FF">
        <w:rPr>
          <w:lang w:val="en-US"/>
        </w:rPr>
        <w:t xml:space="preserve"> (European Commission, 200</w:t>
      </w:r>
      <w:r w:rsidR="00CF286B">
        <w:rPr>
          <w:lang w:val="en-US"/>
        </w:rPr>
        <w:t>4)</w:t>
      </w:r>
      <w:r>
        <w:rPr>
          <w:lang w:val="en-US"/>
        </w:rPr>
        <w:t>.”</w:t>
      </w:r>
    </w:p>
    <w:p w14:paraId="13C2D344" w14:textId="72038E54" w:rsidR="00734C17" w:rsidRDefault="00DA19F4" w:rsidP="00DA19F4">
      <w:pPr>
        <w:rPr>
          <w:lang w:val="en-US"/>
        </w:rPr>
      </w:pPr>
      <w:r>
        <w:rPr>
          <w:lang w:val="en-US"/>
        </w:rPr>
        <w:t>There are several sub-points</w:t>
      </w:r>
      <w:r w:rsidR="00734C17">
        <w:rPr>
          <w:lang w:val="en-US"/>
        </w:rPr>
        <w:t>, part of this point 16,</w:t>
      </w:r>
      <w:r>
        <w:rPr>
          <w:lang w:val="en-US"/>
        </w:rPr>
        <w:t xml:space="preserve"> to </w:t>
      </w:r>
      <w:r w:rsidR="00734C17">
        <w:rPr>
          <w:lang w:val="en-US"/>
        </w:rPr>
        <w:t>create concrete goals that the EU and Moldova could work on</w:t>
      </w:r>
      <w:r>
        <w:rPr>
          <w:lang w:val="en-US"/>
        </w:rPr>
        <w:t>. These are listed below</w:t>
      </w:r>
      <w:r w:rsidR="00CF286B">
        <w:rPr>
          <w:lang w:val="en-US"/>
        </w:rPr>
        <w:t xml:space="preserve"> (</w:t>
      </w:r>
      <w:r w:rsidR="009545B5">
        <w:rPr>
          <w:lang w:val="en-US"/>
        </w:rPr>
        <w:t>European Commission</w:t>
      </w:r>
      <w:r w:rsidR="00CF286B">
        <w:rPr>
          <w:lang w:val="en-US"/>
        </w:rPr>
        <w:t>, 2004)</w:t>
      </w:r>
      <w:r w:rsidR="00734C17">
        <w:rPr>
          <w:lang w:val="en-US"/>
        </w:rPr>
        <w:t>:</w:t>
      </w:r>
    </w:p>
    <w:p w14:paraId="4728200D" w14:textId="4669AE1D" w:rsidR="00734C17" w:rsidRDefault="00734C17" w:rsidP="00734C17">
      <w:pPr>
        <w:pStyle w:val="Lijstalinea"/>
        <w:numPr>
          <w:ilvl w:val="0"/>
          <w:numId w:val="9"/>
        </w:numPr>
        <w:rPr>
          <w:lang w:val="en-US"/>
        </w:rPr>
      </w:pPr>
      <w:r>
        <w:rPr>
          <w:lang w:val="en-US"/>
        </w:rPr>
        <w:t xml:space="preserve">Constructive participation of Moldova, together </w:t>
      </w:r>
      <w:r w:rsidR="00871E04">
        <w:rPr>
          <w:lang w:val="en-US"/>
        </w:rPr>
        <w:t>with the other party and mediat</w:t>
      </w:r>
      <w:r>
        <w:rPr>
          <w:lang w:val="en-US"/>
        </w:rPr>
        <w:t>ors in the OSCE-led negotiation process aimed at reaching a settlement of the Transnistria conflict;</w:t>
      </w:r>
    </w:p>
    <w:p w14:paraId="4011EEE3" w14:textId="77777777" w:rsidR="00734C17" w:rsidRDefault="00734C17" w:rsidP="00734C17">
      <w:pPr>
        <w:pStyle w:val="Lijstalinea"/>
        <w:numPr>
          <w:ilvl w:val="0"/>
          <w:numId w:val="9"/>
        </w:numPr>
        <w:rPr>
          <w:lang w:val="en-US"/>
        </w:rPr>
      </w:pPr>
      <w:r>
        <w:rPr>
          <w:lang w:val="en-US"/>
        </w:rPr>
        <w:t>Effective co-operation between the EU and Moldova towards a settlement of the Transnistria conflict within agreed formats, including consultation on post-settlement arrangements and guarantees as appropriate;</w:t>
      </w:r>
    </w:p>
    <w:p w14:paraId="4611C1FD" w14:textId="51E6981D" w:rsidR="00734C17" w:rsidRDefault="00734C17" w:rsidP="00734C17">
      <w:pPr>
        <w:pStyle w:val="Lijstalinea"/>
        <w:numPr>
          <w:ilvl w:val="0"/>
          <w:numId w:val="9"/>
        </w:numPr>
        <w:rPr>
          <w:lang w:val="en-US"/>
        </w:rPr>
      </w:pPr>
      <w:r>
        <w:rPr>
          <w:lang w:val="en-US"/>
        </w:rPr>
        <w:lastRenderedPageBreak/>
        <w:t xml:space="preserve">EU to further step up its involvement in supporting the OSCE and mediators in this process, assist the efforts of the Joint Constitutional Commission, and to prepare engagement in </w:t>
      </w:r>
      <w:r w:rsidR="008E13AE">
        <w:rPr>
          <w:lang w:val="en-US"/>
        </w:rPr>
        <w:t xml:space="preserve">the </w:t>
      </w:r>
      <w:r w:rsidRPr="008E13AE">
        <w:rPr>
          <w:noProof/>
          <w:lang w:val="en-US"/>
        </w:rPr>
        <w:t>post-settlement</w:t>
      </w:r>
      <w:r>
        <w:rPr>
          <w:lang w:val="en-US"/>
        </w:rPr>
        <w:t xml:space="preserve"> scenario;</w:t>
      </w:r>
    </w:p>
    <w:p w14:paraId="0F6385F6" w14:textId="77777777" w:rsidR="00734C17" w:rsidRDefault="00734C17" w:rsidP="00734C17">
      <w:pPr>
        <w:pStyle w:val="Lijstalinea"/>
        <w:numPr>
          <w:ilvl w:val="0"/>
          <w:numId w:val="9"/>
        </w:numPr>
        <w:rPr>
          <w:lang w:val="en-US"/>
        </w:rPr>
      </w:pPr>
      <w:r>
        <w:rPr>
          <w:lang w:val="en-US"/>
        </w:rPr>
        <w:t>EU to continue its efforts to ensure the fulfilment by Russia of the Istanbul commitments with regard to Moldova;</w:t>
      </w:r>
    </w:p>
    <w:p w14:paraId="0ED6CE1A" w14:textId="77777777" w:rsidR="00734C17" w:rsidRDefault="00734C17" w:rsidP="00734C17">
      <w:pPr>
        <w:pStyle w:val="Lijstalinea"/>
        <w:numPr>
          <w:ilvl w:val="0"/>
          <w:numId w:val="9"/>
        </w:numPr>
        <w:rPr>
          <w:lang w:val="en-US"/>
        </w:rPr>
      </w:pPr>
      <w:r>
        <w:rPr>
          <w:lang w:val="en-US"/>
        </w:rPr>
        <w:t>Reinforce political dialogue between the EU and Moldova on the Transnistria conflict;</w:t>
      </w:r>
    </w:p>
    <w:p w14:paraId="344DC257" w14:textId="3EF9858A" w:rsidR="00E31617" w:rsidRDefault="00734C17" w:rsidP="00734C17">
      <w:pPr>
        <w:pStyle w:val="Lijstalinea"/>
        <w:numPr>
          <w:ilvl w:val="0"/>
          <w:numId w:val="9"/>
        </w:numPr>
        <w:rPr>
          <w:lang w:val="en-US"/>
        </w:rPr>
      </w:pPr>
      <w:r>
        <w:rPr>
          <w:lang w:val="en-US"/>
        </w:rPr>
        <w:t>Signi</w:t>
      </w:r>
      <w:r w:rsidR="00871E04">
        <w:rPr>
          <w:lang w:val="en-US"/>
        </w:rPr>
        <w:t>f</w:t>
      </w:r>
      <w:r>
        <w:rPr>
          <w:lang w:val="en-US"/>
        </w:rPr>
        <w:t xml:space="preserve">icant further progress with Ukraine on pending border questions along the Transnistrian border section; strengthen cooperation with Ukrainian administration including </w:t>
      </w:r>
      <w:r w:rsidRPr="008E13AE">
        <w:rPr>
          <w:noProof/>
          <w:lang w:val="en-US"/>
        </w:rPr>
        <w:t>effective</w:t>
      </w:r>
      <w:r>
        <w:rPr>
          <w:lang w:val="en-US"/>
        </w:rPr>
        <w:t xml:space="preserve"> exchange of information about </w:t>
      </w:r>
      <w:r w:rsidRPr="008E13AE">
        <w:rPr>
          <w:noProof/>
          <w:lang w:val="en-US"/>
        </w:rPr>
        <w:t>flow</w:t>
      </w:r>
      <w:r>
        <w:rPr>
          <w:lang w:val="en-US"/>
        </w:rPr>
        <w:t xml:space="preserve"> of goods and people across the common border</w:t>
      </w:r>
      <w:r w:rsidR="00E31617">
        <w:rPr>
          <w:lang w:val="en-US"/>
        </w:rPr>
        <w:t>;</w:t>
      </w:r>
    </w:p>
    <w:p w14:paraId="76A1C400" w14:textId="51401FC3" w:rsidR="00AC71EB" w:rsidRDefault="00E31617" w:rsidP="00734C17">
      <w:pPr>
        <w:pStyle w:val="Lijstalinea"/>
        <w:numPr>
          <w:ilvl w:val="0"/>
          <w:numId w:val="9"/>
        </w:numPr>
        <w:rPr>
          <w:lang w:val="en-US"/>
        </w:rPr>
      </w:pPr>
      <w:r>
        <w:rPr>
          <w:lang w:val="en-US"/>
        </w:rPr>
        <w:t>Support the active involvement of civil society and the promotion of democratic values and respect for human rights.</w:t>
      </w:r>
      <w:r w:rsidR="00DA19F4" w:rsidRPr="00734C17">
        <w:rPr>
          <w:lang w:val="en-US"/>
        </w:rPr>
        <w:t xml:space="preserve"> </w:t>
      </w:r>
      <w:r w:rsidR="00652EE8" w:rsidRPr="00734C17">
        <w:rPr>
          <w:lang w:val="en-US"/>
        </w:rPr>
        <w:t xml:space="preserve"> </w:t>
      </w:r>
    </w:p>
    <w:p w14:paraId="6D6EA3B0" w14:textId="72FEB4CB" w:rsidR="00F52F7D" w:rsidRPr="00F52F7D" w:rsidRDefault="00F52F7D" w:rsidP="00F52F7D">
      <w:pPr>
        <w:rPr>
          <w:lang w:val="en-US"/>
        </w:rPr>
      </w:pPr>
      <w:r>
        <w:rPr>
          <w:lang w:val="en-US"/>
        </w:rPr>
        <w:t>The general idea behind these goals is t</w:t>
      </w:r>
      <w:r w:rsidR="00CF286B">
        <w:rPr>
          <w:lang w:val="en-US"/>
        </w:rPr>
        <w:t xml:space="preserve">hat the EU wanted to intensify their cooperation, especially politically, to grow further to a possible solution </w:t>
      </w:r>
      <w:r w:rsidR="008E13AE">
        <w:rPr>
          <w:noProof/>
          <w:lang w:val="en-US"/>
        </w:rPr>
        <w:t>to</w:t>
      </w:r>
      <w:r w:rsidR="00CF286B">
        <w:rPr>
          <w:lang w:val="en-US"/>
        </w:rPr>
        <w:t xml:space="preserve"> the conflict. It becomes clear in this Action Plan that the EU wanted a re-united Moldova and did not want Transnistria to become an independent state. </w:t>
      </w:r>
    </w:p>
    <w:p w14:paraId="256AF45B" w14:textId="5500543F" w:rsidR="00A42207" w:rsidRDefault="00CF286B" w:rsidP="00A4302C">
      <w:pPr>
        <w:rPr>
          <w:lang w:val="en-US"/>
        </w:rPr>
      </w:pPr>
      <w:r>
        <w:rPr>
          <w:lang w:val="en-US"/>
        </w:rPr>
        <w:t>However, in chapter four it was described that there was no real progress on any level of policy in creating a settlement for the conflict</w:t>
      </w:r>
      <w:r w:rsidR="004E6A4D">
        <w:rPr>
          <w:lang w:val="en-US"/>
        </w:rPr>
        <w:t xml:space="preserve"> after the implementation of the Action Plan. </w:t>
      </w:r>
      <w:r w:rsidR="00C21C4E">
        <w:rPr>
          <w:lang w:val="en-US"/>
        </w:rPr>
        <w:t xml:space="preserve">On top of that, Minzarari (2008) argued that the whole Action Plan had failed. He stated that the EU </w:t>
      </w:r>
      <w:r w:rsidR="0021151D">
        <w:rPr>
          <w:lang w:val="en-US"/>
        </w:rPr>
        <w:t xml:space="preserve">approached Moldova the same way as the other Central European countries which had just </w:t>
      </w:r>
      <w:r w:rsidR="0021151D" w:rsidRPr="008E13AE">
        <w:rPr>
          <w:noProof/>
          <w:lang w:val="en-US"/>
        </w:rPr>
        <w:t>bec</w:t>
      </w:r>
      <w:r w:rsidR="008E13AE">
        <w:rPr>
          <w:noProof/>
          <w:lang w:val="en-US"/>
        </w:rPr>
        <w:t>o</w:t>
      </w:r>
      <w:r w:rsidR="0021151D" w:rsidRPr="008E13AE">
        <w:rPr>
          <w:noProof/>
          <w:lang w:val="en-US"/>
        </w:rPr>
        <w:t>me</w:t>
      </w:r>
      <w:r w:rsidR="0021151D">
        <w:rPr>
          <w:lang w:val="en-US"/>
        </w:rPr>
        <w:t xml:space="preserve"> </w:t>
      </w:r>
      <w:r w:rsidR="008E13AE">
        <w:rPr>
          <w:lang w:val="en-US"/>
        </w:rPr>
        <w:t xml:space="preserve">a </w:t>
      </w:r>
      <w:r w:rsidR="0021151D" w:rsidRPr="008E13AE">
        <w:rPr>
          <w:noProof/>
          <w:lang w:val="en-US"/>
        </w:rPr>
        <w:t>member</w:t>
      </w:r>
      <w:r w:rsidR="0021151D">
        <w:rPr>
          <w:lang w:val="en-US"/>
        </w:rPr>
        <w:t xml:space="preserve"> state, but in doing so failed to recognize that Moldova was a one-man’s country, ruled by a one-man’s party. These types of governments are usually very unstable and unpredictable. </w:t>
      </w:r>
      <w:r w:rsidR="00F17BDD">
        <w:rPr>
          <w:lang w:val="en-US"/>
        </w:rPr>
        <w:t xml:space="preserve">Through the Action Plan, the EU wanted to democratize Moldova, but that is very hard to do on such a short notice. There were serious issues, with corruption, threatened media freedom, a non-independent judicial system and state interference in business (Minzarari, 2008). Because of the overall failure of the Action Plan, the focus will now be shifted to the EU Moldova Association Agenda, to see what this policy holds. </w:t>
      </w:r>
    </w:p>
    <w:p w14:paraId="6F20D508" w14:textId="70A4E625" w:rsidR="00201E76" w:rsidRDefault="00CE4F18" w:rsidP="00A4302C">
      <w:pPr>
        <w:rPr>
          <w:lang w:val="en-US"/>
        </w:rPr>
      </w:pPr>
      <w:r>
        <w:rPr>
          <w:lang w:val="en-US"/>
        </w:rPr>
        <w:t xml:space="preserve">The Association Agenda was created in </w:t>
      </w:r>
      <w:r w:rsidRPr="008E13AE">
        <w:rPr>
          <w:noProof/>
          <w:lang w:val="en-US"/>
        </w:rPr>
        <w:t>2014,</w:t>
      </w:r>
      <w:r>
        <w:rPr>
          <w:lang w:val="en-US"/>
        </w:rPr>
        <w:t xml:space="preserve"> after several agreements had been made between EU and Moldova. The biggest and most important of these agreements was the EU-Moldova Association Agreement, on which both parties had been negotiating from 2010 until 2013. </w:t>
      </w:r>
      <w:r>
        <w:rPr>
          <w:lang w:val="en-US"/>
        </w:rPr>
        <w:lastRenderedPageBreak/>
        <w:t xml:space="preserve">Besides this Association Agreement, the EU and Moldova also agreed on the implementation of a Deep and </w:t>
      </w:r>
      <w:r w:rsidR="008E13AE">
        <w:rPr>
          <w:noProof/>
          <w:lang w:val="en-US"/>
        </w:rPr>
        <w:t>C</w:t>
      </w:r>
      <w:r w:rsidRPr="008E13AE">
        <w:rPr>
          <w:noProof/>
          <w:lang w:val="en-US"/>
        </w:rPr>
        <w:t>omprehensive</w:t>
      </w:r>
      <w:r>
        <w:rPr>
          <w:lang w:val="en-US"/>
        </w:rPr>
        <w:t xml:space="preserve"> Free-Trade Area (DCFTA) as an integral part of the Association Agreement. </w:t>
      </w:r>
      <w:r w:rsidR="00201E76">
        <w:rPr>
          <w:lang w:val="en-US"/>
        </w:rPr>
        <w:t>The goals of the Association Agreement were</w:t>
      </w:r>
      <w:r w:rsidR="009545B5">
        <w:rPr>
          <w:lang w:val="en-US"/>
        </w:rPr>
        <w:t xml:space="preserve"> (European Union, 2016)</w:t>
      </w:r>
      <w:r w:rsidR="00201E76">
        <w:rPr>
          <w:lang w:val="en-US"/>
        </w:rPr>
        <w:t>:</w:t>
      </w:r>
    </w:p>
    <w:p w14:paraId="1FA5029B" w14:textId="0E390D0D" w:rsidR="00201E76" w:rsidRPr="00201E76" w:rsidRDefault="00201E76" w:rsidP="00201E76">
      <w:pPr>
        <w:pStyle w:val="Lijstalinea"/>
        <w:numPr>
          <w:ilvl w:val="0"/>
          <w:numId w:val="15"/>
        </w:numPr>
        <w:rPr>
          <w:lang w:val="en-US"/>
        </w:rPr>
      </w:pPr>
      <w:r w:rsidRPr="00201E76">
        <w:rPr>
          <w:lang w:val="en-US"/>
        </w:rPr>
        <w:t xml:space="preserve">to promote </w:t>
      </w:r>
      <w:r w:rsidRPr="008E13AE">
        <w:rPr>
          <w:noProof/>
          <w:lang w:val="en-US"/>
        </w:rPr>
        <w:t>political</w:t>
      </w:r>
      <w:r w:rsidRPr="00201E76">
        <w:rPr>
          <w:lang w:val="en-US"/>
        </w:rPr>
        <w:t xml:space="preserve"> assoc</w:t>
      </w:r>
      <w:r>
        <w:rPr>
          <w:lang w:val="en-US"/>
        </w:rPr>
        <w:t>iation and economic integration;</w:t>
      </w:r>
      <w:r w:rsidRPr="00201E76">
        <w:rPr>
          <w:lang w:val="en-US"/>
        </w:rPr>
        <w:t xml:space="preserve"> </w:t>
      </w:r>
    </w:p>
    <w:p w14:paraId="4D2CF85B" w14:textId="60767D9B" w:rsidR="00201E76" w:rsidRPr="00201E76" w:rsidRDefault="00201E76" w:rsidP="00201E76">
      <w:pPr>
        <w:pStyle w:val="Lijstalinea"/>
        <w:numPr>
          <w:ilvl w:val="0"/>
          <w:numId w:val="15"/>
        </w:numPr>
        <w:rPr>
          <w:lang w:val="en-US"/>
        </w:rPr>
      </w:pPr>
      <w:r w:rsidRPr="00201E76">
        <w:rPr>
          <w:lang w:val="en-US"/>
        </w:rPr>
        <w:t xml:space="preserve">to strengthen the framework </w:t>
      </w:r>
      <w:r>
        <w:rPr>
          <w:lang w:val="en-US"/>
        </w:rPr>
        <w:t>for enhanced political dialogue;</w:t>
      </w:r>
      <w:r w:rsidRPr="00201E76">
        <w:rPr>
          <w:lang w:val="en-US"/>
        </w:rPr>
        <w:t xml:space="preserve"> </w:t>
      </w:r>
    </w:p>
    <w:p w14:paraId="092B1E84" w14:textId="7E505358" w:rsidR="00201E76" w:rsidRPr="00201E76" w:rsidRDefault="00201E76" w:rsidP="00201E76">
      <w:pPr>
        <w:pStyle w:val="Lijstalinea"/>
        <w:numPr>
          <w:ilvl w:val="0"/>
          <w:numId w:val="15"/>
        </w:numPr>
        <w:rPr>
          <w:lang w:val="en-US"/>
        </w:rPr>
      </w:pPr>
      <w:r w:rsidRPr="00201E76">
        <w:rPr>
          <w:lang w:val="en-US"/>
        </w:rPr>
        <w:t>to contribute to the strengthening of democracy and to political, economic and institutional</w:t>
      </w:r>
      <w:r>
        <w:rPr>
          <w:lang w:val="en-US"/>
        </w:rPr>
        <w:t xml:space="preserve"> stability;</w:t>
      </w:r>
    </w:p>
    <w:p w14:paraId="210E308A" w14:textId="6F616205" w:rsidR="00CE4F18" w:rsidRDefault="00201E76" w:rsidP="00201E76">
      <w:pPr>
        <w:pStyle w:val="Lijstalinea"/>
        <w:numPr>
          <w:ilvl w:val="0"/>
          <w:numId w:val="15"/>
        </w:numPr>
        <w:rPr>
          <w:lang w:val="en-US"/>
        </w:rPr>
      </w:pPr>
      <w:r w:rsidRPr="00201E76">
        <w:rPr>
          <w:lang w:val="en-US"/>
        </w:rPr>
        <w:t>to promote, preserve and strengthen peace and stability in the regional and international dimensions</w:t>
      </w:r>
      <w:r>
        <w:rPr>
          <w:lang w:val="en-US"/>
        </w:rPr>
        <w:t>, including through joining efforts to eliminate sources of tension, enhancing border security, promoting cross-border cooperation and good neighbourly relations;</w:t>
      </w:r>
    </w:p>
    <w:p w14:paraId="5FEE829A" w14:textId="13EAC82E" w:rsidR="00201E76" w:rsidRDefault="00201E76" w:rsidP="00201E76">
      <w:pPr>
        <w:pStyle w:val="Lijstalinea"/>
        <w:numPr>
          <w:ilvl w:val="0"/>
          <w:numId w:val="15"/>
        </w:numPr>
        <w:rPr>
          <w:lang w:val="en-US"/>
        </w:rPr>
      </w:pPr>
      <w:r>
        <w:rPr>
          <w:lang w:val="en-US"/>
        </w:rPr>
        <w:t>to support and enhance cooperation in the area of freedom, security and justice;</w:t>
      </w:r>
    </w:p>
    <w:p w14:paraId="09C3F23C" w14:textId="000C2CA8" w:rsidR="00201E76" w:rsidRDefault="00201E76" w:rsidP="00201E76">
      <w:pPr>
        <w:pStyle w:val="Lijstalinea"/>
        <w:numPr>
          <w:ilvl w:val="0"/>
          <w:numId w:val="15"/>
        </w:numPr>
        <w:rPr>
          <w:lang w:val="en-US"/>
        </w:rPr>
      </w:pPr>
      <w:r>
        <w:rPr>
          <w:lang w:val="en-US"/>
        </w:rPr>
        <w:t>to support the efforts of the Republic of Moldova to develop its economic potential;</w:t>
      </w:r>
    </w:p>
    <w:p w14:paraId="63F43600" w14:textId="693C60E9" w:rsidR="00201E76" w:rsidRDefault="00201E76" w:rsidP="00201E76">
      <w:pPr>
        <w:pStyle w:val="Lijstalinea"/>
        <w:numPr>
          <w:ilvl w:val="0"/>
          <w:numId w:val="15"/>
        </w:numPr>
        <w:rPr>
          <w:lang w:val="en-US"/>
        </w:rPr>
      </w:pPr>
      <w:r>
        <w:rPr>
          <w:lang w:val="en-US"/>
        </w:rPr>
        <w:t>to establish conditions for enhanced economic and trade relations;</w:t>
      </w:r>
    </w:p>
    <w:p w14:paraId="4C5EB6FE" w14:textId="077CA3DB" w:rsidR="00201E76" w:rsidRDefault="00201E76" w:rsidP="00201E76">
      <w:pPr>
        <w:pStyle w:val="Lijstalinea"/>
        <w:numPr>
          <w:ilvl w:val="0"/>
          <w:numId w:val="15"/>
        </w:numPr>
        <w:rPr>
          <w:lang w:val="en-US"/>
        </w:rPr>
      </w:pPr>
      <w:r>
        <w:rPr>
          <w:lang w:val="en-US"/>
        </w:rPr>
        <w:t>to establish conditions for increasingly close cooperation in other areas of mutual interest</w:t>
      </w:r>
    </w:p>
    <w:p w14:paraId="53A6C1CE" w14:textId="78904047" w:rsidR="00201E76" w:rsidRDefault="00201E76" w:rsidP="00201E76">
      <w:pPr>
        <w:rPr>
          <w:lang w:val="en-GB"/>
        </w:rPr>
      </w:pPr>
      <w:r>
        <w:rPr>
          <w:lang w:val="en-US"/>
        </w:rPr>
        <w:t xml:space="preserve">Especially point d) is important regarding the conflict of Transnistria. </w:t>
      </w:r>
      <w:r w:rsidR="009545B5">
        <w:rPr>
          <w:lang w:val="en-US"/>
        </w:rPr>
        <w:t>However, there is only one point in the Association Agreement, which counts 735 pages and 465 articles, in which Transnistria gets named. This is article 8 paragraph 2: “</w:t>
      </w:r>
      <w:r w:rsidR="009545B5" w:rsidRPr="009545B5">
        <w:rPr>
          <w:lang w:val="en-GB"/>
        </w:rPr>
        <w:t>The Parties reiterate their commitment to a sustainable solution to the Transnistrian issue, in full respect of the sovereignty and territorial integrity of the Republic of Moldova, as well as to facilitating jointly post-conflict rehabilitation. Pending its resolution and without prejudice to the established negotiating format, the Transnistrian issue will constitute one of the central subjects on the agenda of political dialogue and cooperation between the Parties, as well as in the dialogue and cooperation with other interested international actors</w:t>
      </w:r>
      <w:r w:rsidR="009545B5">
        <w:rPr>
          <w:lang w:val="en-GB"/>
        </w:rPr>
        <w:t>.”</w:t>
      </w:r>
    </w:p>
    <w:p w14:paraId="696C3DEB" w14:textId="285F6751" w:rsidR="009545B5" w:rsidRDefault="009545B5" w:rsidP="00201E76">
      <w:pPr>
        <w:rPr>
          <w:lang w:val="en-GB"/>
        </w:rPr>
      </w:pPr>
      <w:r>
        <w:rPr>
          <w:lang w:val="en-GB"/>
        </w:rPr>
        <w:t xml:space="preserve">The reason why this Association Agreement is </w:t>
      </w:r>
      <w:r w:rsidRPr="008E13AE">
        <w:rPr>
          <w:noProof/>
          <w:lang w:val="en-GB"/>
        </w:rPr>
        <w:t>discussed</w:t>
      </w:r>
      <w:r>
        <w:rPr>
          <w:lang w:val="en-GB"/>
        </w:rPr>
        <w:t xml:space="preserve"> is </w:t>
      </w:r>
      <w:r w:rsidRPr="008E1FBB">
        <w:rPr>
          <w:noProof/>
          <w:lang w:val="en-GB"/>
        </w:rPr>
        <w:t>because it</w:t>
      </w:r>
      <w:r>
        <w:rPr>
          <w:lang w:val="en-GB"/>
        </w:rPr>
        <w:t xml:space="preserve"> is the legal basis for every cooperation initiative made afterwards. Likewise, the Association Agenda is based on the structure of the Association Agreement. “The aim of the Association Agenda is to prepare and facilitate the implementation of the Association Agreement, by creating a practical framework through which the overriding objectives of political association and economic integration can be achieved. It replaces the EU-Moldova European Neighbourhood Policy Action Plan.” The Association Agenda set out priorities to work on between 2014 and 2016. </w:t>
      </w:r>
      <w:r w:rsidR="006919FF">
        <w:rPr>
          <w:lang w:val="en-GB"/>
        </w:rPr>
        <w:t xml:space="preserve">The focus will now be </w:t>
      </w:r>
      <w:r w:rsidR="006919FF">
        <w:rPr>
          <w:lang w:val="en-GB"/>
        </w:rPr>
        <w:lastRenderedPageBreak/>
        <w:t xml:space="preserve">on the differences with the Action Plan regarding Transnistria, to see what has changed in the decade between the two policies (European Union, 2014). </w:t>
      </w:r>
    </w:p>
    <w:p w14:paraId="34E16389" w14:textId="72470C54" w:rsidR="006919FF" w:rsidRDefault="006919FF" w:rsidP="00201E76">
      <w:pPr>
        <w:rPr>
          <w:lang w:val="en-GB"/>
        </w:rPr>
      </w:pPr>
      <w:r>
        <w:rPr>
          <w:lang w:val="en-GB"/>
        </w:rPr>
        <w:t xml:space="preserve">In the Association </w:t>
      </w:r>
      <w:r w:rsidRPr="008E13AE">
        <w:rPr>
          <w:noProof/>
          <w:lang w:val="en-GB"/>
        </w:rPr>
        <w:t>Agenda</w:t>
      </w:r>
      <w:r>
        <w:rPr>
          <w:lang w:val="en-GB"/>
        </w:rPr>
        <w:t xml:space="preserve"> there is, again, one point dedicated to the Transnistria conflict. This point falls under paragraph 2.2 ‘Foreign and Security Policy’. It reads as follows (European Union, 2014):</w:t>
      </w:r>
    </w:p>
    <w:p w14:paraId="575206E6" w14:textId="242E3FD8" w:rsidR="006919FF" w:rsidRPr="006919FF" w:rsidRDefault="006919FF" w:rsidP="00201E76">
      <w:pPr>
        <w:rPr>
          <w:lang w:val="en-GB"/>
        </w:rPr>
      </w:pPr>
      <w:r w:rsidRPr="006919FF">
        <w:rPr>
          <w:lang w:val="en-GB"/>
        </w:rPr>
        <w:t>The T</w:t>
      </w:r>
      <w:r>
        <w:rPr>
          <w:lang w:val="en-GB"/>
        </w:rPr>
        <w:t>ransnistria Conflict includes:</w:t>
      </w:r>
      <w:r w:rsidRPr="006919FF">
        <w:rPr>
          <w:lang w:val="en-GB"/>
        </w:rPr>
        <w:t xml:space="preserve"> </w:t>
      </w:r>
    </w:p>
    <w:p w14:paraId="21F67BC1" w14:textId="708D8573" w:rsidR="006919FF" w:rsidRDefault="006919FF" w:rsidP="006919FF">
      <w:pPr>
        <w:pStyle w:val="Lijstalinea"/>
        <w:numPr>
          <w:ilvl w:val="0"/>
          <w:numId w:val="9"/>
        </w:numPr>
        <w:rPr>
          <w:lang w:val="en-GB"/>
        </w:rPr>
      </w:pPr>
      <w:r>
        <w:rPr>
          <w:lang w:val="en-GB"/>
        </w:rPr>
        <w:t>Work to maintain the parties’ constructive participation in the OSCE-led negotiation process aimed at settling the Transnistria conflict;</w:t>
      </w:r>
    </w:p>
    <w:p w14:paraId="14EE572D" w14:textId="256D8AE8" w:rsidR="006919FF" w:rsidRDefault="006919FF" w:rsidP="006919FF">
      <w:pPr>
        <w:pStyle w:val="Lijstalinea"/>
        <w:numPr>
          <w:ilvl w:val="0"/>
          <w:numId w:val="9"/>
        </w:numPr>
        <w:rPr>
          <w:lang w:val="en-GB"/>
        </w:rPr>
      </w:pPr>
      <w:r>
        <w:rPr>
          <w:lang w:val="en-GB"/>
        </w:rPr>
        <w:t>Work to maintain effective cooperation between the EU and the Republic of Moldova on settling the Transnistria conflict, within agreed formats, including consultations on post-settlement arrangements;</w:t>
      </w:r>
    </w:p>
    <w:p w14:paraId="0EAD3240" w14:textId="4222F48D" w:rsidR="006919FF" w:rsidRDefault="006919FF" w:rsidP="006919FF">
      <w:pPr>
        <w:pStyle w:val="Lijstalinea"/>
        <w:numPr>
          <w:ilvl w:val="0"/>
          <w:numId w:val="9"/>
        </w:numPr>
        <w:rPr>
          <w:lang w:val="en-GB"/>
        </w:rPr>
      </w:pPr>
      <w:r>
        <w:rPr>
          <w:lang w:val="en-GB"/>
        </w:rPr>
        <w:t>Work to strengthen dialogue, with the aim of explaining the benefits of the Association Agreement and ensuring its applicability in the entire territory of the Republic of Moldova;</w:t>
      </w:r>
    </w:p>
    <w:p w14:paraId="7676AEF5" w14:textId="77777777" w:rsidR="006919FF" w:rsidRDefault="006919FF" w:rsidP="006919FF">
      <w:pPr>
        <w:pStyle w:val="Lijstalinea"/>
        <w:numPr>
          <w:ilvl w:val="0"/>
          <w:numId w:val="9"/>
        </w:numPr>
        <w:rPr>
          <w:lang w:val="en-GB"/>
        </w:rPr>
      </w:pPr>
      <w:r>
        <w:rPr>
          <w:lang w:val="en-GB"/>
        </w:rPr>
        <w:t xml:space="preserve">Work to continue </w:t>
      </w:r>
      <w:r w:rsidRPr="008E13AE">
        <w:rPr>
          <w:noProof/>
          <w:lang w:val="en-GB"/>
        </w:rPr>
        <w:t>constructive</w:t>
      </w:r>
      <w:r>
        <w:rPr>
          <w:lang w:val="en-GB"/>
        </w:rPr>
        <w:t xml:space="preserve"> dialogue with all relevant counterparts on border issues pertaining to the Transnistria conflict. </w:t>
      </w:r>
    </w:p>
    <w:p w14:paraId="7CFB14DC" w14:textId="76534074" w:rsidR="006919FF" w:rsidRPr="006919FF" w:rsidRDefault="006919FF" w:rsidP="006919FF">
      <w:pPr>
        <w:rPr>
          <w:lang w:val="en-GB"/>
        </w:rPr>
      </w:pPr>
      <w:r>
        <w:rPr>
          <w:lang w:val="en-GB"/>
        </w:rPr>
        <w:t xml:space="preserve">In comparing the Association Agenda and the Action Plan, it becomes visible that the first two points of the Association Agenda have not changed over the ten years between the two policies. </w:t>
      </w:r>
      <w:r w:rsidR="00E31617">
        <w:rPr>
          <w:lang w:val="en-GB"/>
        </w:rPr>
        <w:t xml:space="preserve">These two points also largely cover the content of the third and fifth point of the Action Plan. </w:t>
      </w:r>
      <w:r>
        <w:rPr>
          <w:lang w:val="en-GB"/>
        </w:rPr>
        <w:t>The third point is new since it involves the Association Agreement which was created in the decade between the Association Agenda and the Action Plan.</w:t>
      </w:r>
      <w:r w:rsidR="00BE0B6C">
        <w:rPr>
          <w:lang w:val="en-GB"/>
        </w:rPr>
        <w:t xml:space="preserve"> Then, there is the fourth point remaining. This partly builds on different points of the Action Plan, only now it is written shorter and sharper. Point 6 of the Action Plan has been removed from the paragraph about Transnistria, but is now, also partly shortened, under the paragraph of border management in the Association Agenda, within the paragraph on justice, freedom and security. This point reads as follows, “explore opportunities with Ukrainian partners for additional shared Border Crossing Points and joint patrolling of the border, including on the central part of the common border between the Republic of Moldova and Ukraine (European Union, 2014).” </w:t>
      </w:r>
      <w:r w:rsidR="00EC4DD4">
        <w:rPr>
          <w:lang w:val="en-GB"/>
        </w:rPr>
        <w:t xml:space="preserve">This does roughly correspond with the sixth point of the Action Plan. This means that only point four and seven of the Action Plan </w:t>
      </w:r>
      <w:r w:rsidR="00EC4DD4">
        <w:rPr>
          <w:lang w:val="en-GB"/>
        </w:rPr>
        <w:lastRenderedPageBreak/>
        <w:t xml:space="preserve">have disappeared in the Association Agenda. From </w:t>
      </w:r>
      <w:r w:rsidR="00EC4DD4" w:rsidRPr="008E13AE">
        <w:rPr>
          <w:noProof/>
          <w:lang w:val="en-GB"/>
        </w:rPr>
        <w:t>this</w:t>
      </w:r>
      <w:r w:rsidR="008E13AE">
        <w:rPr>
          <w:noProof/>
          <w:lang w:val="en-GB"/>
        </w:rPr>
        <w:t>,</w:t>
      </w:r>
      <w:r w:rsidR="00EC4DD4">
        <w:rPr>
          <w:lang w:val="en-GB"/>
        </w:rPr>
        <w:t xml:space="preserve"> it is possible to derive that there has not been a lot of progress over the ten years between both policies. Point four and point seven could also be eliminated because of the fact that the Association Agenda focuses upon a limited number of priorities</w:t>
      </w:r>
      <w:r w:rsidR="00C669E8">
        <w:rPr>
          <w:lang w:val="en-GB"/>
        </w:rPr>
        <w:t xml:space="preserve"> (European Union, 2014)</w:t>
      </w:r>
      <w:r w:rsidR="00EC4DD4">
        <w:rPr>
          <w:lang w:val="en-GB"/>
        </w:rPr>
        <w:t xml:space="preserve">.  </w:t>
      </w:r>
    </w:p>
    <w:p w14:paraId="2AB0EF46" w14:textId="1EB93621" w:rsidR="006919FF" w:rsidRDefault="00F36C78" w:rsidP="00BE0B6C">
      <w:pPr>
        <w:tabs>
          <w:tab w:val="left" w:pos="3735"/>
        </w:tabs>
        <w:rPr>
          <w:lang w:val="en-GB"/>
        </w:rPr>
      </w:pPr>
      <w:r>
        <w:rPr>
          <w:lang w:val="en-GB"/>
        </w:rPr>
        <w:t>The analysis concerning border practices and geopolitics will come in paragraph 5.4. This paragraph only discusses the cooperation points named in different policies to compare the policy points over the years. That is why the focus will now be on the future, by looking at the “European Joint Development Cooperation Strategy For the Republic of Moldova”.</w:t>
      </w:r>
      <w:r w:rsidR="000E1923">
        <w:rPr>
          <w:lang w:val="en-GB"/>
        </w:rPr>
        <w:t xml:space="preserve"> This Joint </w:t>
      </w:r>
      <w:r>
        <w:rPr>
          <w:lang w:val="en-GB"/>
        </w:rPr>
        <w:t>Strategy</w:t>
      </w:r>
      <w:r w:rsidR="000E1923">
        <w:rPr>
          <w:lang w:val="en-GB"/>
        </w:rPr>
        <w:t xml:space="preserve"> was presented by the EU Delegation to the Republic of Moldova (European External Action Service, 2018), which is an institution situated in Chisinau with the status of a diplomatic mission and it officially represents the European Union in Moldova. Two of their mandates are “to monitor the implementation of the Partnership and Cooperation Agreements between the EU and Moldova” and “to participate in the implementation of the European Union’s external assistance programmes” (Delegation of the European Union to the Republic of Moldova, 2016). </w:t>
      </w:r>
    </w:p>
    <w:p w14:paraId="425E47A9" w14:textId="1EE13B01" w:rsidR="00F36C78" w:rsidRDefault="00F36C78" w:rsidP="00BE0B6C">
      <w:pPr>
        <w:tabs>
          <w:tab w:val="left" w:pos="3735"/>
        </w:tabs>
        <w:rPr>
          <w:lang w:val="en-GB"/>
        </w:rPr>
      </w:pPr>
      <w:r>
        <w:rPr>
          <w:lang w:val="en-GB"/>
        </w:rPr>
        <w:t>The Joint Strategy reflects the European Neighbourhood Policy, the Association Agenda and the Eastern Partnership and is built upon the findings of the ‘European Union Joint Analysis – Programming in the Republic of Moldova until 2020’. In this Analysis, published in 2016, a broad description was made on the whole state of Moldova and the state of Transnistria, in which a focus was made on the points in which the cooperation between the EU and Moldova could improve. Regarding Transnistria, several focus points were distinguished in the Joint Analysis. The challenges for the future named in the Analysis were the following:</w:t>
      </w:r>
    </w:p>
    <w:p w14:paraId="1E46D835" w14:textId="4890BAFC" w:rsidR="00F36C78" w:rsidRDefault="00F36C78" w:rsidP="00F36C78">
      <w:pPr>
        <w:pStyle w:val="Lijstalinea"/>
        <w:numPr>
          <w:ilvl w:val="0"/>
          <w:numId w:val="9"/>
        </w:numPr>
        <w:tabs>
          <w:tab w:val="left" w:pos="3735"/>
        </w:tabs>
        <w:rPr>
          <w:lang w:val="en-GB"/>
        </w:rPr>
      </w:pPr>
      <w:r>
        <w:rPr>
          <w:lang w:val="en-GB"/>
        </w:rPr>
        <w:t>The greatest challenge is the resistance of Transnistrian authorities in subscribing to the Association Agreement and the DCFTA</w:t>
      </w:r>
    </w:p>
    <w:p w14:paraId="0B9FFDAA" w14:textId="77777777" w:rsidR="00F36C78" w:rsidRDefault="00F36C78" w:rsidP="00F36C78">
      <w:pPr>
        <w:pStyle w:val="Lijstalinea"/>
        <w:numPr>
          <w:ilvl w:val="0"/>
          <w:numId w:val="9"/>
        </w:numPr>
        <w:tabs>
          <w:tab w:val="left" w:pos="3735"/>
        </w:tabs>
        <w:rPr>
          <w:lang w:val="en-GB"/>
        </w:rPr>
      </w:pPr>
      <w:r>
        <w:rPr>
          <w:lang w:val="en-GB"/>
        </w:rPr>
        <w:t>Make Moldova more attractive to Transnistria</w:t>
      </w:r>
    </w:p>
    <w:p w14:paraId="702DA22A" w14:textId="35F48CB0" w:rsidR="00F36C78" w:rsidRDefault="00F36C78" w:rsidP="00F36C78">
      <w:pPr>
        <w:pStyle w:val="Lijstalinea"/>
        <w:numPr>
          <w:ilvl w:val="0"/>
          <w:numId w:val="9"/>
        </w:numPr>
        <w:tabs>
          <w:tab w:val="left" w:pos="3735"/>
        </w:tabs>
        <w:rPr>
          <w:lang w:val="en-GB"/>
        </w:rPr>
      </w:pPr>
      <w:r>
        <w:rPr>
          <w:lang w:val="en-GB"/>
        </w:rPr>
        <w:t xml:space="preserve">Growing disparity between Transnistria and the rest of the country, with an impending financial crisis as the local currency faces hyperinflationary pressure. Besides </w:t>
      </w:r>
      <w:r w:rsidRPr="008E13AE">
        <w:rPr>
          <w:noProof/>
          <w:lang w:val="en-GB"/>
        </w:rPr>
        <w:t>that</w:t>
      </w:r>
      <w:r w:rsidR="008E13AE">
        <w:rPr>
          <w:noProof/>
          <w:lang w:val="en-GB"/>
        </w:rPr>
        <w:t>,</w:t>
      </w:r>
      <w:r>
        <w:rPr>
          <w:lang w:val="en-GB"/>
        </w:rPr>
        <w:t xml:space="preserve"> the Transnistrian citizens cannot profit from the effects of the Association Agreement as much as the normal Moldovan people can </w:t>
      </w:r>
    </w:p>
    <w:p w14:paraId="0DDA4F3B" w14:textId="3108CE31" w:rsidR="00F36C78" w:rsidRDefault="00F36C78" w:rsidP="00F36C78">
      <w:pPr>
        <w:pStyle w:val="Lijstalinea"/>
        <w:numPr>
          <w:ilvl w:val="0"/>
          <w:numId w:val="9"/>
        </w:numPr>
        <w:tabs>
          <w:tab w:val="left" w:pos="3735"/>
        </w:tabs>
        <w:rPr>
          <w:lang w:val="en-GB"/>
        </w:rPr>
      </w:pPr>
      <w:r>
        <w:rPr>
          <w:lang w:val="en-GB"/>
        </w:rPr>
        <w:t xml:space="preserve">Consider diversifying channels of support to Transnistrian Civil Society Organizations (CSO’s) through competence and capacity-building training oriented to behavioural </w:t>
      </w:r>
      <w:r>
        <w:rPr>
          <w:lang w:val="en-GB"/>
        </w:rPr>
        <w:lastRenderedPageBreak/>
        <w:t xml:space="preserve">change and to </w:t>
      </w:r>
      <w:r w:rsidRPr="008E13AE">
        <w:rPr>
          <w:noProof/>
          <w:lang w:val="en-GB"/>
        </w:rPr>
        <w:t>narrow</w:t>
      </w:r>
      <w:r>
        <w:rPr>
          <w:lang w:val="en-GB"/>
        </w:rPr>
        <w:t xml:space="preserve"> the gap of perceptions and mentalities between the two banks of river Dniester. </w:t>
      </w:r>
    </w:p>
    <w:p w14:paraId="73623201" w14:textId="51C587B0" w:rsidR="00F36C78" w:rsidRDefault="00F36C78" w:rsidP="00F36C78">
      <w:pPr>
        <w:pStyle w:val="Lijstalinea"/>
        <w:numPr>
          <w:ilvl w:val="0"/>
          <w:numId w:val="9"/>
        </w:numPr>
        <w:tabs>
          <w:tab w:val="left" w:pos="3735"/>
        </w:tabs>
        <w:rPr>
          <w:lang w:val="en-GB"/>
        </w:rPr>
      </w:pPr>
      <w:r>
        <w:rPr>
          <w:lang w:val="en-GB"/>
        </w:rPr>
        <w:t xml:space="preserve">Limited Transnistrian political will and back-up for the Deputy Prime Minister (DPM) for Reintegration in exercising own mandate as </w:t>
      </w:r>
      <w:r w:rsidR="008E13AE">
        <w:rPr>
          <w:lang w:val="en-GB"/>
        </w:rPr>
        <w:t xml:space="preserve">a </w:t>
      </w:r>
      <w:r w:rsidRPr="008E13AE">
        <w:rPr>
          <w:noProof/>
          <w:lang w:val="en-GB"/>
        </w:rPr>
        <w:t>negotiator</w:t>
      </w:r>
      <w:r>
        <w:rPr>
          <w:lang w:val="en-GB"/>
        </w:rPr>
        <w:t>, as well as the lack of developed inter-institutional strategic vision of a political settlement for the Transnistrian conflict. The DPM</w:t>
      </w:r>
      <w:r w:rsidR="008E13AE">
        <w:rPr>
          <w:lang w:val="en-GB"/>
        </w:rPr>
        <w:t>, as well as the Bureau for Reintegration,</w:t>
      </w:r>
      <w:r>
        <w:rPr>
          <w:lang w:val="en-GB"/>
        </w:rPr>
        <w:t xml:space="preserve"> should be properly empowered: the DPM with actual decision-making and coordinating power, whilst the Bureau requires competence building and better resourcing. </w:t>
      </w:r>
    </w:p>
    <w:p w14:paraId="3473602D" w14:textId="77777777" w:rsidR="00F36C78" w:rsidRDefault="00F36C78" w:rsidP="00F36C78">
      <w:pPr>
        <w:pStyle w:val="Lijstalinea"/>
        <w:numPr>
          <w:ilvl w:val="0"/>
          <w:numId w:val="9"/>
        </w:numPr>
        <w:tabs>
          <w:tab w:val="left" w:pos="3735"/>
        </w:tabs>
        <w:rPr>
          <w:lang w:val="en-GB"/>
        </w:rPr>
      </w:pPr>
      <w:r>
        <w:rPr>
          <w:lang w:val="en-GB"/>
        </w:rPr>
        <w:t>A comprehensive strategy which will provide increased EU support for developing the necessary capacities of Moldova’s institutions dealing with reintegration as well as for launching new bold CBM (Confidence Building Measures) initiatives needs to be put in place.</w:t>
      </w:r>
    </w:p>
    <w:p w14:paraId="5D54B431" w14:textId="77777777" w:rsidR="00F36C78" w:rsidRDefault="00F36C78" w:rsidP="00F36C78">
      <w:pPr>
        <w:pStyle w:val="Lijstalinea"/>
        <w:numPr>
          <w:ilvl w:val="0"/>
          <w:numId w:val="9"/>
        </w:numPr>
        <w:tabs>
          <w:tab w:val="left" w:pos="3735"/>
        </w:tabs>
        <w:rPr>
          <w:lang w:val="en-GB"/>
        </w:rPr>
      </w:pPr>
      <w:r>
        <w:rPr>
          <w:lang w:val="en-GB"/>
        </w:rPr>
        <w:t>The lack of a comprehensive communication policy on behalf of the Chisinau authorities with regard to the country’s reintegration and reaching out to residents on the left bank too. The longer there is no communication policy, the higher the chances that the gap between the two banks will further widen and even deepen in the mid to long term.</w:t>
      </w:r>
    </w:p>
    <w:p w14:paraId="31372EBD" w14:textId="38A44EDC" w:rsidR="00F36C78" w:rsidRDefault="00F36C78" w:rsidP="00F36C78">
      <w:pPr>
        <w:tabs>
          <w:tab w:val="left" w:pos="3735"/>
        </w:tabs>
        <w:rPr>
          <w:lang w:val="en-GB"/>
        </w:rPr>
      </w:pPr>
      <w:r>
        <w:rPr>
          <w:lang w:val="en-GB"/>
        </w:rPr>
        <w:t>These challenges were made to design a good strategy which was, as said earlie</w:t>
      </w:r>
      <w:r w:rsidR="006A3936">
        <w:rPr>
          <w:lang w:val="en-GB"/>
        </w:rPr>
        <w:t>r</w:t>
      </w:r>
      <w:r>
        <w:rPr>
          <w:lang w:val="en-GB"/>
        </w:rPr>
        <w:t xml:space="preserve">, created in February 2018. </w:t>
      </w:r>
      <w:r w:rsidR="0084701B">
        <w:rPr>
          <w:lang w:val="en-GB"/>
        </w:rPr>
        <w:t xml:space="preserve">This Joint </w:t>
      </w:r>
      <w:r w:rsidR="00697DFD">
        <w:rPr>
          <w:lang w:val="en-GB"/>
        </w:rPr>
        <w:t>Development Strategy is structured in line with the EU Single Support Framework 2017-2020 and Moldova’s National Development Strategy(EU Delegation to the Republic of Moldova, 2018).</w:t>
      </w:r>
      <w:r w:rsidRPr="00F36C78">
        <w:rPr>
          <w:lang w:val="en-GB"/>
        </w:rPr>
        <w:t xml:space="preserve"> </w:t>
      </w:r>
      <w:r w:rsidR="001A6686">
        <w:rPr>
          <w:lang w:val="en-GB"/>
        </w:rPr>
        <w:t>There are five goals to be achieved with this Strategy, namely:</w:t>
      </w:r>
    </w:p>
    <w:p w14:paraId="2BE79BCA" w14:textId="691A780C" w:rsidR="001A6686" w:rsidRDefault="001A6686" w:rsidP="001A6686">
      <w:pPr>
        <w:pStyle w:val="Lijstalinea"/>
        <w:numPr>
          <w:ilvl w:val="0"/>
          <w:numId w:val="9"/>
        </w:numPr>
        <w:tabs>
          <w:tab w:val="left" w:pos="3735"/>
        </w:tabs>
        <w:rPr>
          <w:lang w:val="en-GB"/>
        </w:rPr>
      </w:pPr>
      <w:r>
        <w:rPr>
          <w:lang w:val="en-GB"/>
        </w:rPr>
        <w:t>Focus on delivering tangible and visible results for citizens</w:t>
      </w:r>
    </w:p>
    <w:p w14:paraId="377C4EAF" w14:textId="7FCDD98C" w:rsidR="001A6686" w:rsidRDefault="001A6686" w:rsidP="001A6686">
      <w:pPr>
        <w:pStyle w:val="Lijstalinea"/>
        <w:numPr>
          <w:ilvl w:val="0"/>
          <w:numId w:val="9"/>
        </w:numPr>
        <w:tabs>
          <w:tab w:val="left" w:pos="3735"/>
        </w:tabs>
        <w:rPr>
          <w:lang w:val="en-GB"/>
        </w:rPr>
      </w:pPr>
      <w:r>
        <w:rPr>
          <w:lang w:val="en-GB"/>
        </w:rPr>
        <w:t>Programme assistance within the framework of clear national sector strategies supported by costed action plans, consistent with the State Budget</w:t>
      </w:r>
    </w:p>
    <w:p w14:paraId="171FD589" w14:textId="02FAA41E" w:rsidR="001A6686" w:rsidRDefault="001A6686" w:rsidP="001A6686">
      <w:pPr>
        <w:pStyle w:val="Lijstalinea"/>
        <w:numPr>
          <w:ilvl w:val="0"/>
          <w:numId w:val="9"/>
        </w:numPr>
        <w:tabs>
          <w:tab w:val="left" w:pos="3735"/>
        </w:tabs>
        <w:rPr>
          <w:lang w:val="en-GB"/>
        </w:rPr>
      </w:pPr>
      <w:r>
        <w:rPr>
          <w:lang w:val="en-GB"/>
        </w:rPr>
        <w:t>Ensure involvement of stakeholders, civil society and private sector</w:t>
      </w:r>
    </w:p>
    <w:p w14:paraId="6476CB51" w14:textId="2C18881E" w:rsidR="001A6686" w:rsidRDefault="001A6686" w:rsidP="001A6686">
      <w:pPr>
        <w:pStyle w:val="Lijstalinea"/>
        <w:numPr>
          <w:ilvl w:val="0"/>
          <w:numId w:val="9"/>
        </w:numPr>
        <w:tabs>
          <w:tab w:val="left" w:pos="3735"/>
        </w:tabs>
        <w:rPr>
          <w:lang w:val="en-GB"/>
        </w:rPr>
      </w:pPr>
      <w:r>
        <w:rPr>
          <w:lang w:val="en-GB"/>
        </w:rPr>
        <w:t>Ensure communication awareness and visibility of the support provided by European donors and strengthen public diplomacy</w:t>
      </w:r>
    </w:p>
    <w:p w14:paraId="442ABD71" w14:textId="6454FEBC" w:rsidR="001A6686" w:rsidRDefault="001A6686" w:rsidP="001A6686">
      <w:pPr>
        <w:pStyle w:val="Lijstalinea"/>
        <w:numPr>
          <w:ilvl w:val="0"/>
          <w:numId w:val="9"/>
        </w:numPr>
        <w:tabs>
          <w:tab w:val="left" w:pos="3735"/>
        </w:tabs>
        <w:rPr>
          <w:lang w:val="en-GB"/>
        </w:rPr>
      </w:pPr>
      <w:r>
        <w:rPr>
          <w:lang w:val="en-GB"/>
        </w:rPr>
        <w:t>Ensure constructive and effective policy dialogue</w:t>
      </w:r>
    </w:p>
    <w:p w14:paraId="02033E11" w14:textId="77777777" w:rsidR="00725843" w:rsidRDefault="00A54139" w:rsidP="001A6686">
      <w:pPr>
        <w:tabs>
          <w:tab w:val="left" w:pos="3735"/>
        </w:tabs>
        <w:rPr>
          <w:lang w:val="en-GB"/>
        </w:rPr>
      </w:pPr>
      <w:r>
        <w:rPr>
          <w:lang w:val="en-GB"/>
        </w:rPr>
        <w:t xml:space="preserve">The Strategy “integrates the programming priorities of the EU and its Member States, following their commitment </w:t>
      </w:r>
      <w:r>
        <w:rPr>
          <w:i/>
          <w:lang w:val="en-GB"/>
        </w:rPr>
        <w:t xml:space="preserve">to strengthening the efficiency, coherence, transparency, predictability and </w:t>
      </w:r>
      <w:r>
        <w:rPr>
          <w:i/>
          <w:lang w:val="en-GB"/>
        </w:rPr>
        <w:lastRenderedPageBreak/>
        <w:t>visibility of the external assistance of the EU and its Member States</w:t>
      </w:r>
      <w:r>
        <w:rPr>
          <w:lang w:val="en-GB"/>
        </w:rPr>
        <w:t>.”</w:t>
      </w:r>
      <w:r w:rsidR="005F3A57">
        <w:rPr>
          <w:lang w:val="en-GB"/>
        </w:rPr>
        <w:t xml:space="preserve"> It is complementary to the bilateral strategies but does not replace them.</w:t>
      </w:r>
      <w:r w:rsidR="00725843">
        <w:rPr>
          <w:lang w:val="en-GB"/>
        </w:rPr>
        <w:t xml:space="preserve"> </w:t>
      </w:r>
    </w:p>
    <w:p w14:paraId="6FBAEE80" w14:textId="02D35B43" w:rsidR="004F2EB9" w:rsidRDefault="00725843" w:rsidP="001A6686">
      <w:pPr>
        <w:tabs>
          <w:tab w:val="left" w:pos="3735"/>
        </w:tabs>
        <w:rPr>
          <w:lang w:val="en-GB"/>
        </w:rPr>
      </w:pPr>
      <w:r>
        <w:rPr>
          <w:lang w:val="en-GB"/>
        </w:rPr>
        <w:t xml:space="preserve">Concerning Transnistria, the strategy is very limited. </w:t>
      </w:r>
      <w:r w:rsidR="004F2EB9">
        <w:rPr>
          <w:lang w:val="en-GB"/>
        </w:rPr>
        <w:t xml:space="preserve">The issue of Transnistria falls under the point called ‘Strengthening institutions and good governance including the Rule of Law and Security’. In the Strategy, the main point of focus is still contributing to a comprehensive resolution of the Transnistrian conflict, which has been the main focus point since the first Action Plan in 2004 (EU Delegation to the Republic of Moldova, 2018). </w:t>
      </w:r>
    </w:p>
    <w:p w14:paraId="51923B29" w14:textId="10D7EFA9" w:rsidR="00A42207" w:rsidRPr="00C40B98" w:rsidRDefault="004F2EB9" w:rsidP="00C40B98">
      <w:pPr>
        <w:tabs>
          <w:tab w:val="left" w:pos="3735"/>
        </w:tabs>
        <w:rPr>
          <w:lang w:val="en-GB"/>
        </w:rPr>
      </w:pPr>
      <w:r>
        <w:rPr>
          <w:lang w:val="en-GB"/>
        </w:rPr>
        <w:t xml:space="preserve">In reading the policy documents discussed in this paragraph it stands out that the conflict regarding Transnistria is said to be one of the main focus points in every one of them, but concrete points of development and cooperation are very scarce. In every </w:t>
      </w:r>
      <w:r w:rsidRPr="008E13AE">
        <w:rPr>
          <w:noProof/>
          <w:lang w:val="en-GB"/>
        </w:rPr>
        <w:t>document</w:t>
      </w:r>
      <w:r w:rsidR="008E13AE">
        <w:rPr>
          <w:noProof/>
          <w:lang w:val="en-GB"/>
        </w:rPr>
        <w:t>,</w:t>
      </w:r>
      <w:r>
        <w:rPr>
          <w:lang w:val="en-GB"/>
        </w:rPr>
        <w:t xml:space="preserve"> it is said that the EU should contribute to a resolution for the conflict and that it should achieve this through </w:t>
      </w:r>
      <w:r w:rsidR="00C40B98">
        <w:rPr>
          <w:lang w:val="en-GB"/>
        </w:rPr>
        <w:t xml:space="preserve">constructive participation and dialogue. </w:t>
      </w:r>
      <w:r>
        <w:rPr>
          <w:lang w:val="en-GB"/>
        </w:rPr>
        <w:t xml:space="preserve"> </w:t>
      </w:r>
      <w:r w:rsidR="00C40B98">
        <w:rPr>
          <w:lang w:val="en-GB"/>
        </w:rPr>
        <w:t xml:space="preserve">In the next </w:t>
      </w:r>
      <w:r w:rsidR="00C40B98" w:rsidRPr="008E13AE">
        <w:rPr>
          <w:noProof/>
          <w:lang w:val="en-GB"/>
        </w:rPr>
        <w:t>paragraph</w:t>
      </w:r>
      <w:r w:rsidR="008E13AE">
        <w:rPr>
          <w:noProof/>
          <w:lang w:val="en-GB"/>
        </w:rPr>
        <w:t>,</w:t>
      </w:r>
      <w:r w:rsidR="00C40B98">
        <w:rPr>
          <w:lang w:val="en-GB"/>
        </w:rPr>
        <w:t xml:space="preserve"> it will become clear if the Eastern Partnership brings forth any real development points for the Transnistria conflict. </w:t>
      </w:r>
    </w:p>
    <w:p w14:paraId="75148D41" w14:textId="24575CD6" w:rsidR="00AB578E" w:rsidRDefault="00AB578E" w:rsidP="00AB578E">
      <w:pPr>
        <w:pStyle w:val="Kop4"/>
        <w:numPr>
          <w:ilvl w:val="2"/>
          <w:numId w:val="1"/>
        </w:numPr>
        <w:rPr>
          <w:lang w:val="en-US"/>
        </w:rPr>
      </w:pPr>
      <w:r>
        <w:rPr>
          <w:lang w:val="en-US"/>
        </w:rPr>
        <w:t>Eastern Partnership Programmes</w:t>
      </w:r>
    </w:p>
    <w:p w14:paraId="469137D0" w14:textId="12DA51F2" w:rsidR="00C40B98" w:rsidRDefault="00C40B98" w:rsidP="00C40B98">
      <w:pPr>
        <w:rPr>
          <w:lang w:val="en-US"/>
        </w:rPr>
      </w:pPr>
      <w:r>
        <w:rPr>
          <w:lang w:val="en-US"/>
        </w:rPr>
        <w:t xml:space="preserve">In the last paragraph on ENP programmes, the accent was on bilateral development plans between the EU and Moldova. In this </w:t>
      </w:r>
      <w:r w:rsidRPr="008E13AE">
        <w:rPr>
          <w:noProof/>
          <w:lang w:val="en-US"/>
        </w:rPr>
        <w:t>paragraph</w:t>
      </w:r>
      <w:r w:rsidR="008E13AE">
        <w:rPr>
          <w:noProof/>
          <w:lang w:val="en-US"/>
        </w:rPr>
        <w:t>,</w:t>
      </w:r>
      <w:r>
        <w:rPr>
          <w:lang w:val="en-US"/>
        </w:rPr>
        <w:t xml:space="preserve"> </w:t>
      </w:r>
      <w:r w:rsidR="00454670">
        <w:rPr>
          <w:lang w:val="en-US"/>
        </w:rPr>
        <w:t xml:space="preserve">the focus will be on the bigger, multilateral side of the ENP, which is laid down in the Eastern Partnership. </w:t>
      </w:r>
      <w:r w:rsidR="00342A74">
        <w:rPr>
          <w:lang w:val="en-US"/>
        </w:rPr>
        <w:t xml:space="preserve">Because of the multilateral point of view of the Eastern Partnership, the focus on Transnistria will be smaller than in the bilateral documents of the ENP. However, it is relevant to look at the general points of democratization, rule of law, institutions and good governance, to see </w:t>
      </w:r>
      <w:r w:rsidR="00154796">
        <w:rPr>
          <w:lang w:val="en-US"/>
        </w:rPr>
        <w:t xml:space="preserve">if there are any policies regarding de facto states – as Georgia and Azerbaijan are also part of the Eastern Partnership – and to look forward to the next paragraph, in which the influence of the EU in the region will be discussed. </w:t>
      </w:r>
    </w:p>
    <w:p w14:paraId="0F459DB0" w14:textId="65A3BC0B" w:rsidR="00154796" w:rsidRDefault="0090156C" w:rsidP="00C40B98">
      <w:pPr>
        <w:rPr>
          <w:lang w:val="en-US"/>
        </w:rPr>
      </w:pPr>
      <w:r>
        <w:rPr>
          <w:lang w:val="en-US"/>
        </w:rPr>
        <w:t xml:space="preserve">The Eastern Partnership is divided up into four different multilateral platforms. </w:t>
      </w:r>
      <w:r w:rsidR="00B11295">
        <w:rPr>
          <w:lang w:val="en-US"/>
        </w:rPr>
        <w:t>These are:</w:t>
      </w:r>
    </w:p>
    <w:p w14:paraId="5571E143" w14:textId="7107A3EE" w:rsidR="00B11295" w:rsidRDefault="00B11295" w:rsidP="00B11295">
      <w:pPr>
        <w:pStyle w:val="Lijstalinea"/>
        <w:numPr>
          <w:ilvl w:val="0"/>
          <w:numId w:val="9"/>
        </w:numPr>
        <w:rPr>
          <w:lang w:val="en-US"/>
        </w:rPr>
      </w:pPr>
      <w:r>
        <w:rPr>
          <w:lang w:val="en-US"/>
        </w:rPr>
        <w:t>Platform 1 – Democracy and rule of law</w:t>
      </w:r>
    </w:p>
    <w:p w14:paraId="4D28C245" w14:textId="7F9B28C1" w:rsidR="00B11295" w:rsidRDefault="00B11295" w:rsidP="00B11295">
      <w:pPr>
        <w:pStyle w:val="Lijstalinea"/>
        <w:numPr>
          <w:ilvl w:val="0"/>
          <w:numId w:val="9"/>
        </w:numPr>
        <w:rPr>
          <w:lang w:val="en-US"/>
        </w:rPr>
      </w:pPr>
      <w:r>
        <w:rPr>
          <w:lang w:val="en-US"/>
        </w:rPr>
        <w:t>Platform 2 – Economic integration and convergence with EU policies</w:t>
      </w:r>
    </w:p>
    <w:p w14:paraId="7E7768FF" w14:textId="0D89528B" w:rsidR="00B11295" w:rsidRDefault="00B11295" w:rsidP="00B11295">
      <w:pPr>
        <w:pStyle w:val="Lijstalinea"/>
        <w:numPr>
          <w:ilvl w:val="0"/>
          <w:numId w:val="9"/>
        </w:numPr>
        <w:rPr>
          <w:lang w:val="en-US"/>
        </w:rPr>
      </w:pPr>
      <w:r>
        <w:rPr>
          <w:lang w:val="en-US"/>
        </w:rPr>
        <w:t>Platform 3 – Energy Security</w:t>
      </w:r>
    </w:p>
    <w:p w14:paraId="683065E7" w14:textId="53B99B9F" w:rsidR="00B11295" w:rsidRDefault="00B11295" w:rsidP="00B11295">
      <w:pPr>
        <w:pStyle w:val="Lijstalinea"/>
        <w:numPr>
          <w:ilvl w:val="0"/>
          <w:numId w:val="9"/>
        </w:numPr>
        <w:rPr>
          <w:lang w:val="en-US"/>
        </w:rPr>
      </w:pPr>
      <w:r>
        <w:rPr>
          <w:lang w:val="en-US"/>
        </w:rPr>
        <w:t>Platform 4 – Contacts between people</w:t>
      </w:r>
    </w:p>
    <w:p w14:paraId="12940D17" w14:textId="486CF5BB" w:rsidR="00B11295" w:rsidRDefault="00B11295" w:rsidP="00B11295">
      <w:pPr>
        <w:rPr>
          <w:lang w:val="en-US"/>
        </w:rPr>
      </w:pPr>
      <w:r>
        <w:rPr>
          <w:lang w:val="en-US"/>
        </w:rPr>
        <w:lastRenderedPageBreak/>
        <w:t xml:space="preserve">These </w:t>
      </w:r>
      <w:r w:rsidRPr="008E13AE">
        <w:rPr>
          <w:noProof/>
          <w:lang w:val="en-US"/>
        </w:rPr>
        <w:t>platform</w:t>
      </w:r>
      <w:r w:rsidR="008E13AE">
        <w:rPr>
          <w:noProof/>
          <w:lang w:val="en-US"/>
        </w:rPr>
        <w:t>s</w:t>
      </w:r>
      <w:r>
        <w:rPr>
          <w:lang w:val="en-US"/>
        </w:rPr>
        <w:t xml:space="preserve"> are themselves divided into different panels and flagship initiatives. </w:t>
      </w:r>
      <w:r w:rsidR="00A7784D">
        <w:rPr>
          <w:lang w:val="en-US"/>
        </w:rPr>
        <w:t>For this research, platform 1 is most relevant. This platform consists of the panels ‘border management’, ‘anti-corruption’, ‘public administration reform’, ‘asylum and migration’, ‘justice reform’ and ‘CSDP (Common Security and Defense Policy)’ (</w:t>
      </w:r>
      <w:r w:rsidR="001665B2">
        <w:rPr>
          <w:lang w:val="en-US"/>
        </w:rPr>
        <w:t>European External Action Service, 2014)</w:t>
      </w:r>
      <w:r w:rsidR="00A7784D">
        <w:rPr>
          <w:lang w:val="en-US"/>
        </w:rPr>
        <w:t xml:space="preserve">. </w:t>
      </w:r>
      <w:r w:rsidR="00252E47">
        <w:rPr>
          <w:lang w:val="en-US"/>
        </w:rPr>
        <w:t xml:space="preserve">Through the platforms, the parties can exchange best practices and </w:t>
      </w:r>
      <w:r w:rsidR="0077044F">
        <w:rPr>
          <w:lang w:val="en-US"/>
        </w:rPr>
        <w:t xml:space="preserve">function as forums for open discussion which include representatives from government ministries and agencies, parliaments, civil society, international organizations, international financial institutions, the private sector and economic and social partners (European Commission, 2015). </w:t>
      </w:r>
      <w:r w:rsidR="006F2E59">
        <w:rPr>
          <w:lang w:val="en-US"/>
        </w:rPr>
        <w:t xml:space="preserve">An example of how these platforms operate is the following. Border management is one of the panels of platform 1 but is also a Flagship Initiative in this platform, a policy point which gets extra attention. The cooperation on border management contributes to better collaboration between the states’ border control services. Besides </w:t>
      </w:r>
      <w:r w:rsidR="006F2E59" w:rsidRPr="008E13AE">
        <w:rPr>
          <w:noProof/>
          <w:lang w:val="en-US"/>
        </w:rPr>
        <w:t>that</w:t>
      </w:r>
      <w:r w:rsidR="008E13AE">
        <w:rPr>
          <w:noProof/>
          <w:lang w:val="en-US"/>
        </w:rPr>
        <w:t>,</w:t>
      </w:r>
      <w:r w:rsidR="006F2E59">
        <w:rPr>
          <w:lang w:val="en-US"/>
        </w:rPr>
        <w:t xml:space="preserve"> they can share best practices and hundreds of official</w:t>
      </w:r>
      <w:r w:rsidR="008E13AE">
        <w:rPr>
          <w:lang w:val="en-US"/>
        </w:rPr>
        <w:t>s</w:t>
      </w:r>
      <w:r w:rsidR="006F2E59">
        <w:rPr>
          <w:lang w:val="en-US"/>
        </w:rPr>
        <w:t xml:space="preserve"> get trained in skills linked to safer and more efficient border controls. </w:t>
      </w:r>
      <w:r w:rsidR="00457164">
        <w:rPr>
          <w:lang w:val="en-US"/>
        </w:rPr>
        <w:t xml:space="preserve">In doing this the EU </w:t>
      </w:r>
      <w:r w:rsidR="00727F63">
        <w:rPr>
          <w:lang w:val="en-US"/>
        </w:rPr>
        <w:t>Frontex</w:t>
      </w:r>
      <w:r w:rsidR="00457164">
        <w:rPr>
          <w:lang w:val="en-US"/>
        </w:rPr>
        <w:t xml:space="preserve"> Agency can help them through training and assistance (European External Action Service, n.d.). These platforms, however, do not discuss conflicts like the Transnistrian one. For that, there needs to be looked at the formal side of the Eastern Partnership. </w:t>
      </w:r>
    </w:p>
    <w:p w14:paraId="3F10A4E5" w14:textId="5DF099F0" w:rsidR="00AB578E" w:rsidRDefault="00457164" w:rsidP="00AB578E">
      <w:pPr>
        <w:rPr>
          <w:lang w:val="en-US"/>
        </w:rPr>
      </w:pPr>
      <w:r>
        <w:rPr>
          <w:lang w:val="en-US"/>
        </w:rPr>
        <w:t>This formal side exists of</w:t>
      </w:r>
      <w:r w:rsidR="0077044F">
        <w:rPr>
          <w:lang w:val="en-US"/>
        </w:rPr>
        <w:t xml:space="preserve"> Eastern Partnership Summits. These were held in 2009 in Prague, in 2011 in Warsaw, in 2013 in Vilnius</w:t>
      </w:r>
      <w:r w:rsidR="00D97AC8">
        <w:rPr>
          <w:lang w:val="en-US"/>
        </w:rPr>
        <w:t xml:space="preserve">, </w:t>
      </w:r>
      <w:r w:rsidR="0077044F">
        <w:rPr>
          <w:lang w:val="en-US"/>
        </w:rPr>
        <w:t>in 2015 in Riga</w:t>
      </w:r>
      <w:r w:rsidR="00D97AC8">
        <w:rPr>
          <w:lang w:val="en-US"/>
        </w:rPr>
        <w:t xml:space="preserve"> and in 2017 in Brussels. </w:t>
      </w:r>
      <w:r>
        <w:rPr>
          <w:lang w:val="en-US"/>
        </w:rPr>
        <w:t>The Prague summit was the establishment of the Eastern Partnership as a more ambitious partnership between the EU and partner countries. The overall goals of the partnership were discussed and put to paper in this summit, but there were hardly any substantive points on any problems yet (</w:t>
      </w:r>
      <w:r w:rsidR="009407B5">
        <w:rPr>
          <w:lang w:val="en-US"/>
        </w:rPr>
        <w:t>C</w:t>
      </w:r>
      <w:r>
        <w:rPr>
          <w:lang w:val="en-US"/>
        </w:rPr>
        <w:t xml:space="preserve">ouncil of the European Union, 2009). </w:t>
      </w:r>
    </w:p>
    <w:p w14:paraId="1F80E6A3" w14:textId="4C925A07" w:rsidR="00C5385C" w:rsidRDefault="00C5385C" w:rsidP="00AB578E">
      <w:pPr>
        <w:rPr>
          <w:lang w:val="en-US"/>
        </w:rPr>
      </w:pPr>
      <w:r>
        <w:rPr>
          <w:lang w:val="en-US"/>
        </w:rPr>
        <w:t xml:space="preserve">Then came the Warsaw summit, in which the role for the Eastern Partnership as a support for those who seek a closer relationship with the EU was stressed. </w:t>
      </w:r>
      <w:r w:rsidR="009407B5">
        <w:rPr>
          <w:lang w:val="en-US"/>
        </w:rPr>
        <w:t xml:space="preserve">Neo-imperialistically </w:t>
      </w:r>
      <w:r w:rsidR="009407B5" w:rsidRPr="008E13AE">
        <w:rPr>
          <w:noProof/>
          <w:lang w:val="en-US"/>
        </w:rPr>
        <w:t>seen</w:t>
      </w:r>
      <w:r w:rsidR="009407B5">
        <w:rPr>
          <w:lang w:val="en-US"/>
        </w:rPr>
        <w:t xml:space="preserve"> that is an interesting effect of the Eastern Partnership. In this summit, the parties agreed that the Eastern Partnership “must be significantly strengthened and commit to stepping up its implementation, with the objective of building a common area of democracy, prosperity, stability and increased interactions and exchanges (Council of the European Union, 2011).” </w:t>
      </w:r>
      <w:r w:rsidR="006B1484">
        <w:rPr>
          <w:lang w:val="en-US"/>
        </w:rPr>
        <w:t>This summit was also the first one in which Transnistria was named as a policy point. In this point (point 26), it was reaffirmed that the Eastern Partnership should promote stability and</w:t>
      </w:r>
      <w:r w:rsidR="00964913">
        <w:rPr>
          <w:lang w:val="en-US"/>
        </w:rPr>
        <w:t xml:space="preserve"> multilateral</w:t>
      </w:r>
      <w:r w:rsidR="006B1484">
        <w:rPr>
          <w:lang w:val="en-US"/>
        </w:rPr>
        <w:t xml:space="preserve"> confidence </w:t>
      </w:r>
      <w:r w:rsidR="006B1484">
        <w:rPr>
          <w:lang w:val="en-US"/>
        </w:rPr>
        <w:lastRenderedPageBreak/>
        <w:t xml:space="preserve">building and that </w:t>
      </w:r>
      <w:r w:rsidR="00964913">
        <w:rPr>
          <w:lang w:val="en-US"/>
        </w:rPr>
        <w:t xml:space="preserve">conflicts impede cooperation efforts. Therefore it was emphasized that conflicts should be settled as fast as possible. The partnership countries welcomed the stronger role taken up by the EU in conflict resolution and confidence building. Finally, the countries welcomed the decision to resume the 5+2 talks to reach a viable and comprehensive political settlement of the Transnistrian conflict (Council of the European Union, 2011). </w:t>
      </w:r>
    </w:p>
    <w:p w14:paraId="1DAF5B58" w14:textId="27ABED84" w:rsidR="00964913" w:rsidRDefault="003B60D9" w:rsidP="00AB578E">
      <w:pPr>
        <w:rPr>
          <w:lang w:val="en-US"/>
        </w:rPr>
      </w:pPr>
      <w:r>
        <w:rPr>
          <w:lang w:val="en-US"/>
        </w:rPr>
        <w:t xml:space="preserve">In 2013 there was the Vilnius summit. Here, the parties agreed </w:t>
      </w:r>
      <w:r w:rsidR="00D1013A">
        <w:rPr>
          <w:lang w:val="en-US"/>
        </w:rPr>
        <w:t>on</w:t>
      </w:r>
      <w:r>
        <w:rPr>
          <w:lang w:val="en-US"/>
        </w:rPr>
        <w:t xml:space="preserve"> an ‘ambitious agenda’ for the future. </w:t>
      </w:r>
      <w:r w:rsidR="00D1013A">
        <w:rPr>
          <w:lang w:val="en-US"/>
        </w:rPr>
        <w:t xml:space="preserve">This was done by setting 16 goals, to be attained by 2015. </w:t>
      </w:r>
      <w:r w:rsidR="00D13640">
        <w:rPr>
          <w:lang w:val="en-US"/>
        </w:rPr>
        <w:t xml:space="preserve">However, not one of these goals had anything to do with the de facto states in the region. Still, there was, again, one point devoted to the conflicts in the region. </w:t>
      </w:r>
      <w:r w:rsidR="001C7986">
        <w:rPr>
          <w:lang w:val="en-US"/>
        </w:rPr>
        <w:t xml:space="preserve">The content of this point was approximately the same as the one in the Warsaw summit. Regarding Transnistria, the following was said: “The participants stress the importance of progress in resolving the Transnistrian conflict and look forward to the advancement of the negotiations in the 5+2 format on all three baskets of the agreed agenda, in particular institutional, political and security issues. They also commend the valued continuous contribution of the EUBAM (EU Border Assistance Mission) on the border between the Republic of Moldova and Ukraine (Council of the European Union, 2013).” </w:t>
      </w:r>
      <w:r w:rsidR="003878D2">
        <w:rPr>
          <w:lang w:val="en-US"/>
        </w:rPr>
        <w:t xml:space="preserve">Looking at what was said at the Warsaw summit, the progress made over the two years between the summits is very minimal. </w:t>
      </w:r>
    </w:p>
    <w:p w14:paraId="0607C0C9" w14:textId="77777777" w:rsidR="00BA75AC" w:rsidRDefault="003878D2" w:rsidP="00AB578E">
      <w:pPr>
        <w:rPr>
          <w:lang w:val="en-US"/>
        </w:rPr>
      </w:pPr>
      <w:r>
        <w:rPr>
          <w:lang w:val="en-US"/>
        </w:rPr>
        <w:t xml:space="preserve">At the 2015 summit in Riga, </w:t>
      </w:r>
      <w:r w:rsidR="006E5F9F">
        <w:rPr>
          <w:lang w:val="en-US"/>
        </w:rPr>
        <w:t>the emphasis was on Ukraine, after the Crimea conflict. Concerning this research, there was again one point</w:t>
      </w:r>
      <w:r w:rsidR="00CD28BE">
        <w:rPr>
          <w:lang w:val="en-US"/>
        </w:rPr>
        <w:t xml:space="preserve"> partly</w:t>
      </w:r>
      <w:r w:rsidR="006E5F9F">
        <w:rPr>
          <w:lang w:val="en-US"/>
        </w:rPr>
        <w:t xml:space="preserve"> devoted to </w:t>
      </w:r>
      <w:r w:rsidR="00CD28BE">
        <w:rPr>
          <w:lang w:val="en-US"/>
        </w:rPr>
        <w:t xml:space="preserve">the Transnistrian conflict, with the rest of the focus on the conflicts in Azerbaijan and Georgia. </w:t>
      </w:r>
      <w:r w:rsidR="00B32259">
        <w:rPr>
          <w:lang w:val="en-US"/>
        </w:rPr>
        <w:t xml:space="preserve">However, once again, the main point is that the parties emphasize the need for the earliest peaceful settlement of conflicts in the region. </w:t>
      </w:r>
      <w:r w:rsidR="00806B8D">
        <w:rPr>
          <w:lang w:val="en-US"/>
        </w:rPr>
        <w:t>Besides that, they welcome the EU’s strengthened role in conflict resolution, including through field presence and they welcome intensified Chisinau-Tiraspol dialogue in all formats. This last remark is new and it looks like a little progress was made between the Moldovan and Transnistrian governments (Council of the European Union, 2015).</w:t>
      </w:r>
    </w:p>
    <w:p w14:paraId="09C3A1D8" w14:textId="0B54B9CD" w:rsidR="003878D2" w:rsidRDefault="00BA75AC" w:rsidP="00AB578E">
      <w:pPr>
        <w:rPr>
          <w:lang w:val="en-US"/>
        </w:rPr>
      </w:pPr>
      <w:r>
        <w:rPr>
          <w:lang w:val="en-US"/>
        </w:rPr>
        <w:t xml:space="preserve">The last summit, for the time being, was held in Brussels in 2017. It looks like the parties also noticed the lack of progress in the settlement of the conflicts in the </w:t>
      </w:r>
      <w:r w:rsidRPr="008E13AE">
        <w:rPr>
          <w:noProof/>
          <w:lang w:val="en-US"/>
        </w:rPr>
        <w:t>region</w:t>
      </w:r>
      <w:r>
        <w:rPr>
          <w:lang w:val="en-US"/>
        </w:rPr>
        <w:t xml:space="preserve"> since the part about the conflicts was defined in another way than at the previous summits. At this summit, “the summit participants remain deeply concerned about the continued violations of principles of international law in many parts of the region. The summit participants call for renewed efforts to promote the peaceful settlement of unresolved conflicts</w:t>
      </w:r>
      <w:r w:rsidR="008E3125">
        <w:rPr>
          <w:lang w:val="en-US"/>
        </w:rPr>
        <w:t xml:space="preserve"> in the region on the basis of the </w:t>
      </w:r>
      <w:r w:rsidR="008E3125">
        <w:rPr>
          <w:lang w:val="en-US"/>
        </w:rPr>
        <w:lastRenderedPageBreak/>
        <w:t>principles and norms of international law. The resolution of conflicts</w:t>
      </w:r>
      <w:r>
        <w:rPr>
          <w:lang w:val="en-US"/>
        </w:rPr>
        <w:t xml:space="preserve">, building trust and good neighbourly relations are essential to </w:t>
      </w:r>
      <w:r w:rsidRPr="008E13AE">
        <w:rPr>
          <w:noProof/>
          <w:lang w:val="en-US"/>
        </w:rPr>
        <w:t>economic</w:t>
      </w:r>
      <w:r>
        <w:rPr>
          <w:lang w:val="en-US"/>
        </w:rPr>
        <w:t xml:space="preserve"> and social development and cooperation. The summit participants welcome efforts and the EU’s strengthened role in conflict resolution and confidence building in the framework or in support of existing agreed negotiating formats and processes, including through field presence, when appropriate</w:t>
      </w:r>
      <w:r w:rsidR="00084AAD">
        <w:rPr>
          <w:lang w:val="en-US"/>
        </w:rPr>
        <w:t xml:space="preserve"> (Council of the European Union, 2017)</w:t>
      </w:r>
      <w:r>
        <w:rPr>
          <w:lang w:val="en-US"/>
        </w:rPr>
        <w:t>.”</w:t>
      </w:r>
      <w:r w:rsidR="00806B8D">
        <w:rPr>
          <w:lang w:val="en-US"/>
        </w:rPr>
        <w:t xml:space="preserve"> </w:t>
      </w:r>
      <w:r w:rsidR="008E3125">
        <w:rPr>
          <w:lang w:val="en-US"/>
        </w:rPr>
        <w:t xml:space="preserve">This point does not only work for Transnistria but focuses on all the conflicts in the region, which all lack serious progress over the last decades. </w:t>
      </w:r>
      <w:r w:rsidR="00084AAD">
        <w:rPr>
          <w:lang w:val="en-US"/>
        </w:rPr>
        <w:t xml:space="preserve">However, all in </w:t>
      </w:r>
      <w:r w:rsidR="00084AAD" w:rsidRPr="008E13AE">
        <w:rPr>
          <w:noProof/>
          <w:lang w:val="en-US"/>
        </w:rPr>
        <w:t>all</w:t>
      </w:r>
      <w:r w:rsidR="008E13AE">
        <w:rPr>
          <w:noProof/>
          <w:lang w:val="en-US"/>
        </w:rPr>
        <w:t>,</w:t>
      </w:r>
      <w:r w:rsidR="00084AAD">
        <w:rPr>
          <w:lang w:val="en-US"/>
        </w:rPr>
        <w:t xml:space="preserve"> there are still a lot of similarities between this description and the ones in earlier summits. </w:t>
      </w:r>
    </w:p>
    <w:p w14:paraId="6CAC9F6E" w14:textId="3C28E98F" w:rsidR="00096CD1" w:rsidRDefault="00096CD1" w:rsidP="00AB578E">
      <w:pPr>
        <w:rPr>
          <w:lang w:val="en-US"/>
        </w:rPr>
      </w:pPr>
      <w:r>
        <w:rPr>
          <w:lang w:val="en-US"/>
        </w:rPr>
        <w:t>For the future, until 2020, the Eastern Partnership has released 20 deliverables, goals set to be achieved by 2020. Concerning stronger governance, one of the four key pillars, the four goals are</w:t>
      </w:r>
      <w:r w:rsidR="00476ED1">
        <w:rPr>
          <w:lang w:val="en-US"/>
        </w:rPr>
        <w:t xml:space="preserve"> (European External Action Service, </w:t>
      </w:r>
      <w:r w:rsidR="00E76FCD">
        <w:rPr>
          <w:lang w:val="en-US"/>
        </w:rPr>
        <w:t>2017)</w:t>
      </w:r>
      <w:r>
        <w:rPr>
          <w:lang w:val="en-US"/>
        </w:rPr>
        <w:t>:</w:t>
      </w:r>
    </w:p>
    <w:p w14:paraId="48C483C4" w14:textId="5CF2DC73" w:rsidR="00096CD1" w:rsidRDefault="00096CD1" w:rsidP="00096CD1">
      <w:pPr>
        <w:pStyle w:val="Lijstalinea"/>
        <w:numPr>
          <w:ilvl w:val="0"/>
          <w:numId w:val="9"/>
        </w:numPr>
        <w:rPr>
          <w:lang w:val="en-US"/>
        </w:rPr>
      </w:pPr>
      <w:r>
        <w:rPr>
          <w:lang w:val="en-US"/>
        </w:rPr>
        <w:t>Strengthen the rule of law and anti-corruption mechanisms</w:t>
      </w:r>
    </w:p>
    <w:p w14:paraId="6C000D74" w14:textId="4A6532CE" w:rsidR="00096CD1" w:rsidRDefault="00096CD1" w:rsidP="00096CD1">
      <w:pPr>
        <w:pStyle w:val="Lijstalinea"/>
        <w:numPr>
          <w:ilvl w:val="0"/>
          <w:numId w:val="9"/>
        </w:numPr>
        <w:rPr>
          <w:lang w:val="en-US"/>
        </w:rPr>
      </w:pPr>
      <w:r>
        <w:rPr>
          <w:lang w:val="en-US"/>
        </w:rPr>
        <w:t>Support the implementation of key judicial reforms</w:t>
      </w:r>
    </w:p>
    <w:p w14:paraId="275AE8D2" w14:textId="49758F8A" w:rsidR="00096CD1" w:rsidRDefault="00096CD1" w:rsidP="00096CD1">
      <w:pPr>
        <w:pStyle w:val="Lijstalinea"/>
        <w:numPr>
          <w:ilvl w:val="0"/>
          <w:numId w:val="9"/>
        </w:numPr>
        <w:rPr>
          <w:lang w:val="en-US"/>
        </w:rPr>
      </w:pPr>
      <w:r>
        <w:rPr>
          <w:lang w:val="en-US"/>
        </w:rPr>
        <w:t>Support the implementation of public administration reform</w:t>
      </w:r>
    </w:p>
    <w:p w14:paraId="3E1081A4" w14:textId="4C53B74A" w:rsidR="00096CD1" w:rsidRDefault="00096CD1" w:rsidP="00096CD1">
      <w:pPr>
        <w:pStyle w:val="Lijstalinea"/>
        <w:numPr>
          <w:ilvl w:val="0"/>
          <w:numId w:val="9"/>
        </w:numPr>
        <w:rPr>
          <w:lang w:val="en-US"/>
        </w:rPr>
      </w:pPr>
      <w:r>
        <w:rPr>
          <w:lang w:val="en-US"/>
        </w:rPr>
        <w:t>Stronger security cooperation</w:t>
      </w:r>
    </w:p>
    <w:p w14:paraId="42AB6D98" w14:textId="16AA9CD6" w:rsidR="00E76FCD" w:rsidRPr="00E76FCD" w:rsidRDefault="00E76FCD" w:rsidP="00E76FCD">
      <w:pPr>
        <w:rPr>
          <w:lang w:val="en-US"/>
        </w:rPr>
      </w:pPr>
      <w:r>
        <w:rPr>
          <w:lang w:val="en-US"/>
        </w:rPr>
        <w:t xml:space="preserve">The conflicts are not named as priorities in these deliverables, which makes it hard to believe that the parties will achieve some serious progress in the coming years. </w:t>
      </w:r>
    </w:p>
    <w:p w14:paraId="500FD2BA" w14:textId="645A4A66" w:rsidR="00084AAD" w:rsidRPr="00AB578E" w:rsidRDefault="00E76FCD" w:rsidP="00AB578E">
      <w:pPr>
        <w:rPr>
          <w:lang w:val="en-US"/>
        </w:rPr>
      </w:pPr>
      <w:r>
        <w:rPr>
          <w:lang w:val="en-US"/>
        </w:rPr>
        <w:t>Concluding,</w:t>
      </w:r>
      <w:r w:rsidR="00084AAD">
        <w:rPr>
          <w:lang w:val="en-US"/>
        </w:rPr>
        <w:t xml:space="preserve"> it is safe to say that progress in the settlement of all conflicts in the regions is missing. This was the case in chapter four with the efforts of the OSCE and in this chapter with both the ENP and the Eastern Partnership. </w:t>
      </w:r>
      <w:r w:rsidR="00096CD1">
        <w:rPr>
          <w:lang w:val="en-US"/>
        </w:rPr>
        <w:t xml:space="preserve">However, the geopolitical intentions behind the goals set in these policy arrangements are rather clear, especially when reading the overall goals of the policies. The geopolitics behind the points regarding Transnistria will be analyzed in the next paragraph. </w:t>
      </w:r>
    </w:p>
    <w:p w14:paraId="4F8FB779" w14:textId="5BAB1DCA" w:rsidR="00945676" w:rsidRDefault="00945676" w:rsidP="00945676">
      <w:pPr>
        <w:pStyle w:val="Kop2"/>
        <w:numPr>
          <w:ilvl w:val="1"/>
          <w:numId w:val="1"/>
        </w:numPr>
        <w:rPr>
          <w:lang w:val="en-US"/>
        </w:rPr>
      </w:pPr>
      <w:bookmarkStart w:id="39" w:name="_Toc517985358"/>
      <w:r>
        <w:rPr>
          <w:lang w:val="en-US"/>
        </w:rPr>
        <w:t>Analyzing geopolitics and border practices in partnership</w:t>
      </w:r>
      <w:bookmarkEnd w:id="39"/>
    </w:p>
    <w:p w14:paraId="53CDE492" w14:textId="77777777" w:rsidR="009D543F" w:rsidRDefault="000F4430" w:rsidP="000F4430">
      <w:pPr>
        <w:rPr>
          <w:lang w:val="en-US"/>
        </w:rPr>
      </w:pPr>
      <w:r>
        <w:rPr>
          <w:lang w:val="en-US"/>
        </w:rPr>
        <w:t>“</w:t>
      </w:r>
      <w:r w:rsidR="00222901" w:rsidRPr="000F4430">
        <w:rPr>
          <w:lang w:val="en-US"/>
        </w:rPr>
        <w:t xml:space="preserve">If we deconstruct the text of the Plan, meaning trying to understand the fundamental framework in both its explicit and implicit forms, excluding the elements that complicate its essence and which are only auxiliary, it is clear that EUMAP aims at nothing less than a transformation of the political system in Moldova under the principles of democratization, establishment of a </w:t>
      </w:r>
      <w:r w:rsidR="00222901" w:rsidRPr="000F4430">
        <w:rPr>
          <w:lang w:val="en-US"/>
        </w:rPr>
        <w:lastRenderedPageBreak/>
        <w:t>competitive political regime, and a functional and competitive economy, as well as the social, educational and cultural modernization of this ex-Soviet society.</w:t>
      </w:r>
      <w:r>
        <w:rPr>
          <w:lang w:val="en-US"/>
        </w:rPr>
        <w:t>”</w:t>
      </w:r>
      <w:r w:rsidR="00222901" w:rsidRPr="000F4430">
        <w:rPr>
          <w:lang w:val="en-US"/>
        </w:rPr>
        <w:t xml:space="preserve"> </w:t>
      </w:r>
      <w:r w:rsidRPr="000F4430">
        <w:rPr>
          <w:lang w:val="en-US"/>
        </w:rPr>
        <w:t xml:space="preserve">This is what Minzarari (2008) said as to how people should interpret the EU Moldova Action Plan, created in 2004. </w:t>
      </w:r>
      <w:r>
        <w:rPr>
          <w:lang w:val="en-US"/>
        </w:rPr>
        <w:t>This quote sh</w:t>
      </w:r>
      <w:r w:rsidR="00A466D0">
        <w:rPr>
          <w:lang w:val="en-US"/>
        </w:rPr>
        <w:t>ows exactly what the geopolitical intentions</w:t>
      </w:r>
      <w:r>
        <w:rPr>
          <w:lang w:val="en-US"/>
        </w:rPr>
        <w:t xml:space="preserve"> behind all the cooperation policies of the EU are. </w:t>
      </w:r>
      <w:r w:rsidR="00034CB5">
        <w:rPr>
          <w:lang w:val="en-US"/>
        </w:rPr>
        <w:t xml:space="preserve">After the big expansion in 2004, new neighbours meant new dangers and unknowns. As was discussed earlier on, the EU tries to influence its direct neighbours and create a safe borderland, with neighbouring countries acting as if they were EU member states. It is clear that this is </w:t>
      </w:r>
      <w:r w:rsidR="00BE0640">
        <w:rPr>
          <w:lang w:val="en-US"/>
        </w:rPr>
        <w:t>the case in th</w:t>
      </w:r>
      <w:r w:rsidR="001B15C4">
        <w:rPr>
          <w:lang w:val="en-US"/>
        </w:rPr>
        <w:t>e general goals of the policies</w:t>
      </w:r>
      <w:r w:rsidR="009D543F">
        <w:rPr>
          <w:lang w:val="en-US"/>
        </w:rPr>
        <w:t>.</w:t>
      </w:r>
      <w:r w:rsidR="001B15C4">
        <w:rPr>
          <w:lang w:val="en-US"/>
        </w:rPr>
        <w:t xml:space="preserve"> </w:t>
      </w:r>
    </w:p>
    <w:p w14:paraId="7E4F69AF" w14:textId="054D23C1" w:rsidR="00D12115" w:rsidRDefault="009D543F" w:rsidP="000F4430">
      <w:pPr>
        <w:rPr>
          <w:lang w:val="en-US"/>
        </w:rPr>
      </w:pPr>
      <w:r>
        <w:rPr>
          <w:lang w:val="en-US"/>
        </w:rPr>
        <w:t xml:space="preserve">For instance, </w:t>
      </w:r>
      <w:r w:rsidR="001B15C4">
        <w:rPr>
          <w:lang w:val="en-US"/>
        </w:rPr>
        <w:t xml:space="preserve">with the EU “promoting </w:t>
      </w:r>
      <w:r w:rsidR="001B15C4" w:rsidRPr="008E13AE">
        <w:rPr>
          <w:noProof/>
          <w:lang w:val="en-US"/>
        </w:rPr>
        <w:t>political</w:t>
      </w:r>
      <w:r w:rsidR="001B15C4">
        <w:rPr>
          <w:lang w:val="en-US"/>
        </w:rPr>
        <w:t xml:space="preserve"> association and economic integration” and “contributing to the strengthening of democracy and to political, economic and institutional stability (European Union, 2016)”</w:t>
      </w:r>
      <w:r>
        <w:rPr>
          <w:lang w:val="en-US"/>
        </w:rPr>
        <w:t xml:space="preserve"> in the Association Agreement.</w:t>
      </w:r>
      <w:r w:rsidR="001B15C4">
        <w:rPr>
          <w:lang w:val="en-US"/>
        </w:rPr>
        <w:t xml:space="preserve"> </w:t>
      </w:r>
      <w:r w:rsidR="00E242EE">
        <w:rPr>
          <w:lang w:val="en-US"/>
        </w:rPr>
        <w:t xml:space="preserve">And, in the Association Agenda (European Union, 2014) the aim is “to…implement the Association Agreement, by creating a practical framework through which the overriding objectives of political association and economic integration can be achieved.” </w:t>
      </w:r>
      <w:r w:rsidR="00AD0104">
        <w:rPr>
          <w:lang w:val="en-US"/>
        </w:rPr>
        <w:t>Another example can be found in the</w:t>
      </w:r>
      <w:r w:rsidR="00D12115">
        <w:rPr>
          <w:lang w:val="en-US"/>
        </w:rPr>
        <w:t xml:space="preserve"> 2004 Action Plan</w:t>
      </w:r>
      <w:r w:rsidR="00AD0104">
        <w:rPr>
          <w:lang w:val="en-US"/>
        </w:rPr>
        <w:t>. There</w:t>
      </w:r>
      <w:r w:rsidR="00D12115">
        <w:rPr>
          <w:lang w:val="en-US"/>
        </w:rPr>
        <w:t xml:space="preserve"> it is said that the “EU is ready to consider ways to strengthen further </w:t>
      </w:r>
      <w:r w:rsidR="00D12115" w:rsidRPr="008E13AE">
        <w:rPr>
          <w:noProof/>
          <w:lang w:val="en-US"/>
        </w:rPr>
        <w:t>it</w:t>
      </w:r>
      <w:r w:rsidR="008E13AE">
        <w:rPr>
          <w:noProof/>
          <w:lang w:val="en-US"/>
        </w:rPr>
        <w:t>s</w:t>
      </w:r>
      <w:r w:rsidR="00D12115">
        <w:rPr>
          <w:lang w:val="en-US"/>
        </w:rPr>
        <w:t xml:space="preserve"> engagement” in the settlement of the Transnistria conflict. This way, the EU </w:t>
      </w:r>
      <w:r w:rsidR="006C18C3">
        <w:rPr>
          <w:lang w:val="en-US"/>
        </w:rPr>
        <w:t xml:space="preserve">tries to change the political systems of the countries surrounding the EU. </w:t>
      </w:r>
      <w:r w:rsidR="00492F77">
        <w:rPr>
          <w:lang w:val="en-US"/>
        </w:rPr>
        <w:t xml:space="preserve"> </w:t>
      </w:r>
    </w:p>
    <w:p w14:paraId="157D5654" w14:textId="40630B33" w:rsidR="00C86016" w:rsidRDefault="00C86016" w:rsidP="000F4430">
      <w:pPr>
        <w:rPr>
          <w:lang w:val="en-US"/>
        </w:rPr>
      </w:pPr>
      <w:r>
        <w:rPr>
          <w:lang w:val="en-US"/>
        </w:rPr>
        <w:t>Besides the fact that they try to influence their border countries, the ENP also differentiates European space from the rest of the world</w:t>
      </w:r>
      <w:r w:rsidR="004C1449">
        <w:rPr>
          <w:lang w:val="en-US"/>
        </w:rPr>
        <w:t xml:space="preserve"> by geopolitical discourses and practices that extol the EU’s core values</w:t>
      </w:r>
      <w:r>
        <w:rPr>
          <w:lang w:val="en-US"/>
        </w:rPr>
        <w:t xml:space="preserve">, as Scott (2009) justly notices. </w:t>
      </w:r>
      <w:r w:rsidR="00181B3E">
        <w:rPr>
          <w:lang w:val="en-US"/>
        </w:rPr>
        <w:t>However, with the ENP the EU also tries to involve their partner states in meeting these core values. This way the EU practically shifts its</w:t>
      </w:r>
      <w:r w:rsidR="00A21113">
        <w:rPr>
          <w:lang w:val="en-US"/>
        </w:rPr>
        <w:t xml:space="preserve"> border away from the physical border.</w:t>
      </w:r>
    </w:p>
    <w:p w14:paraId="524F0209" w14:textId="07434BCE" w:rsidR="004C1449" w:rsidRDefault="00201D81" w:rsidP="000F4430">
      <w:pPr>
        <w:rPr>
          <w:lang w:val="en-US"/>
        </w:rPr>
      </w:pPr>
      <w:r>
        <w:rPr>
          <w:lang w:val="en-US"/>
        </w:rPr>
        <w:t>Coming back to the analysis</w:t>
      </w:r>
      <w:r w:rsidR="004C1449">
        <w:rPr>
          <w:lang w:val="en-US"/>
        </w:rPr>
        <w:t xml:space="preserve">, one of the goals of this research was to investigate the ways in which the EU influences the conflict between Moldova and Transnistria. This is harder than expected, as Transnistria is said to be </w:t>
      </w:r>
      <w:r w:rsidR="008E13AE">
        <w:rPr>
          <w:noProof/>
          <w:lang w:val="en-US"/>
        </w:rPr>
        <w:t>one of the main</w:t>
      </w:r>
      <w:r w:rsidR="004C1449">
        <w:rPr>
          <w:lang w:val="en-US"/>
        </w:rPr>
        <w:t xml:space="preserve"> focus point</w:t>
      </w:r>
      <w:r w:rsidR="008E13AE">
        <w:rPr>
          <w:lang w:val="en-US"/>
        </w:rPr>
        <w:t>s</w:t>
      </w:r>
      <w:r w:rsidR="004C1449">
        <w:rPr>
          <w:lang w:val="en-US"/>
        </w:rPr>
        <w:t xml:space="preserve"> of EU’s cooperation programmes, but the conflict is hardly ever really named</w:t>
      </w:r>
      <w:r w:rsidR="00486DED">
        <w:rPr>
          <w:lang w:val="en-US"/>
        </w:rPr>
        <w:t xml:space="preserve"> in the European policies</w:t>
      </w:r>
      <w:r w:rsidR="004C1449">
        <w:rPr>
          <w:lang w:val="en-US"/>
        </w:rPr>
        <w:t xml:space="preserve">. In </w:t>
      </w:r>
      <w:r w:rsidR="00A21113">
        <w:rPr>
          <w:lang w:val="en-US"/>
        </w:rPr>
        <w:t>almost every</w:t>
      </w:r>
      <w:r w:rsidR="004C1449">
        <w:rPr>
          <w:lang w:val="en-US"/>
        </w:rPr>
        <w:t xml:space="preserve"> policy</w:t>
      </w:r>
      <w:r w:rsidR="00A21113">
        <w:rPr>
          <w:lang w:val="en-US"/>
        </w:rPr>
        <w:t xml:space="preserve"> document</w:t>
      </w:r>
      <w:r w:rsidR="004C1449">
        <w:rPr>
          <w:lang w:val="en-US"/>
        </w:rPr>
        <w:t xml:space="preserve"> there were </w:t>
      </w:r>
      <w:r w:rsidR="003B3FED">
        <w:rPr>
          <w:lang w:val="en-US"/>
        </w:rPr>
        <w:t>very little</w:t>
      </w:r>
      <w:r w:rsidR="004C1449">
        <w:rPr>
          <w:lang w:val="en-US"/>
        </w:rPr>
        <w:t xml:space="preserve"> points dedicated to the Transnistrian conflict in which the EU and its partner state</w:t>
      </w:r>
      <w:r w:rsidR="003B3FED">
        <w:rPr>
          <w:lang w:val="en-US"/>
        </w:rPr>
        <w:t>(s)</w:t>
      </w:r>
      <w:r w:rsidR="004C1449">
        <w:rPr>
          <w:lang w:val="en-US"/>
        </w:rPr>
        <w:t xml:space="preserve"> said more or less the same. </w:t>
      </w:r>
      <w:r w:rsidR="00A21113">
        <w:rPr>
          <w:lang w:val="en-US"/>
        </w:rPr>
        <w:t>The overall message is that the EU plans to further support a viable solution to the conflict or trie</w:t>
      </w:r>
      <w:r w:rsidR="003B3FED">
        <w:rPr>
          <w:lang w:val="en-US"/>
        </w:rPr>
        <w:t xml:space="preserve">s to reach a settlement through political dialogue and OSCE-led negotiations, although these negotiations have proved to be very unsuccessful in the past. </w:t>
      </w:r>
    </w:p>
    <w:p w14:paraId="4953C152" w14:textId="3CCC34DE" w:rsidR="0070114C" w:rsidRDefault="003B3FED" w:rsidP="000F4430">
      <w:pPr>
        <w:rPr>
          <w:lang w:val="en-US"/>
        </w:rPr>
      </w:pPr>
      <w:r>
        <w:rPr>
          <w:lang w:val="en-US"/>
        </w:rPr>
        <w:lastRenderedPageBreak/>
        <w:t xml:space="preserve">Still, the </w:t>
      </w:r>
      <w:r w:rsidR="009F6596">
        <w:rPr>
          <w:lang w:val="en-US"/>
        </w:rPr>
        <w:t>policy points</w:t>
      </w:r>
      <w:r w:rsidR="00997FD5">
        <w:rPr>
          <w:lang w:val="en-US"/>
        </w:rPr>
        <w:t>,</w:t>
      </w:r>
      <w:r w:rsidR="009F6596">
        <w:rPr>
          <w:lang w:val="en-US"/>
        </w:rPr>
        <w:t xml:space="preserve"> which deviate from the </w:t>
      </w:r>
      <w:r w:rsidR="00997FD5">
        <w:rPr>
          <w:lang w:val="en-US"/>
        </w:rPr>
        <w:t xml:space="preserve">standard overall message explained above, </w:t>
      </w:r>
      <w:r>
        <w:rPr>
          <w:lang w:val="en-US"/>
        </w:rPr>
        <w:t xml:space="preserve">in which Transnistria </w:t>
      </w:r>
      <w:r w:rsidR="00997FD5">
        <w:rPr>
          <w:lang w:val="en-US"/>
        </w:rPr>
        <w:t>was</w:t>
      </w:r>
      <w:r>
        <w:rPr>
          <w:lang w:val="en-US"/>
        </w:rPr>
        <w:t xml:space="preserve"> named will be looked at from a different angle now,</w:t>
      </w:r>
      <w:r w:rsidR="00F4628D">
        <w:rPr>
          <w:lang w:val="en-US"/>
        </w:rPr>
        <w:t xml:space="preserve"> to see if there is anything in which the influence of the EU can be derived</w:t>
      </w:r>
      <w:r w:rsidR="00997FD5">
        <w:rPr>
          <w:lang w:val="en-US"/>
        </w:rPr>
        <w:t xml:space="preserve">. </w:t>
      </w:r>
      <w:r w:rsidR="0029181B">
        <w:rPr>
          <w:lang w:val="en-US"/>
        </w:rPr>
        <w:t>One interesting point in the Action Plan is where the EU sees “progress towards a system of efficient comprehensive state border management on all sectors of the Moldovan border including the Transnistrian sector” as a Priority for Action</w:t>
      </w:r>
      <w:r w:rsidR="0070114C">
        <w:rPr>
          <w:lang w:val="en-US"/>
        </w:rPr>
        <w:t xml:space="preserve"> (European Commission, 2004)</w:t>
      </w:r>
      <w:r w:rsidR="0029181B">
        <w:rPr>
          <w:lang w:val="en-US"/>
        </w:rPr>
        <w:t xml:space="preserve">. Through this point, the EU tries to influence Moldova’s border management, which is a very important Moldovan policy subject since that is where the conflict takes place. </w:t>
      </w:r>
      <w:r w:rsidR="0070114C">
        <w:rPr>
          <w:lang w:val="en-US"/>
        </w:rPr>
        <w:t xml:space="preserve">In later policies, it shows that this policy point has succeeded to a certain extent, as the European </w:t>
      </w:r>
      <w:r w:rsidR="00727F63">
        <w:rPr>
          <w:lang w:val="en-US"/>
        </w:rPr>
        <w:t>Frontex</w:t>
      </w:r>
      <w:r w:rsidR="0070114C">
        <w:rPr>
          <w:lang w:val="en-US"/>
        </w:rPr>
        <w:t xml:space="preserve"> border agency is involved in Eastern Partnership talks on border controls (European External Action Service, n.d.).</w:t>
      </w:r>
    </w:p>
    <w:p w14:paraId="7AF36C59" w14:textId="49260BFE" w:rsidR="0029181B" w:rsidRDefault="00C669E8" w:rsidP="000F4430">
      <w:pPr>
        <w:rPr>
          <w:lang w:val="en-US"/>
        </w:rPr>
      </w:pPr>
      <w:r>
        <w:rPr>
          <w:lang w:val="en-US"/>
        </w:rPr>
        <w:t>When the points in which the EU talks about strengthening political dialogue and maintaining effective cooperation</w:t>
      </w:r>
      <w:r w:rsidR="008913B6">
        <w:rPr>
          <w:lang w:val="en-US"/>
        </w:rPr>
        <w:t xml:space="preserve"> are skipped, all the points of the Association Agenda can be left out of this analysis and we can already get on with the Analysis and Strategy created by the EU Delegation to the Republic of Moldova. This delegation plays an important role in implementing the European </w:t>
      </w:r>
      <w:r w:rsidR="008913B6" w:rsidRPr="008E13AE">
        <w:rPr>
          <w:noProof/>
          <w:lang w:val="en-US"/>
        </w:rPr>
        <w:t>geopolitics</w:t>
      </w:r>
      <w:r w:rsidR="008913B6">
        <w:rPr>
          <w:lang w:val="en-US"/>
        </w:rPr>
        <w:t xml:space="preserve"> since it is officially involved with participating in the implementation of the European Union’s external assistance programmes (Delegation of the European Union to the Republic of Moldova, 2016). The challenges described in the Joint Analysis are the most tangible points of improvement of all the poli</w:t>
      </w:r>
      <w:r w:rsidR="000D6F64">
        <w:rPr>
          <w:lang w:val="en-US"/>
        </w:rPr>
        <w:t>cy documents created by the EU.</w:t>
      </w:r>
    </w:p>
    <w:p w14:paraId="25D3B3BE" w14:textId="5DB177BB" w:rsidR="000D6F64" w:rsidRDefault="000D6F64" w:rsidP="000F4430">
      <w:pPr>
        <w:rPr>
          <w:lang w:val="en-US"/>
        </w:rPr>
      </w:pPr>
      <w:r>
        <w:rPr>
          <w:lang w:val="en-US"/>
        </w:rPr>
        <w:t xml:space="preserve">Concerning the influence on the Transnistrian conflict, point 3 of the Analysis is very important. To recall, it </w:t>
      </w:r>
      <w:r w:rsidR="00803C16">
        <w:rPr>
          <w:lang w:val="en-US"/>
        </w:rPr>
        <w:t xml:space="preserve">aims to “consider diversifying channels of support to Transnistrian Civil Society Organizations through competence and capacity-building training oriented to behavioural change and to narrowing the gap of perceptions and mentalities between the two banks of river Dniester (Delegation of the European Union to the Republic of Moldova, 2016).” </w:t>
      </w:r>
      <w:r w:rsidR="006A3936">
        <w:rPr>
          <w:lang w:val="en-US"/>
        </w:rPr>
        <w:t xml:space="preserve">By integrating </w:t>
      </w:r>
      <w:r w:rsidR="006A3936" w:rsidRPr="008E13AE">
        <w:rPr>
          <w:noProof/>
          <w:lang w:val="en-US"/>
        </w:rPr>
        <w:t>in</w:t>
      </w:r>
      <w:r w:rsidR="008E13AE">
        <w:rPr>
          <w:noProof/>
          <w:lang w:val="en-US"/>
        </w:rPr>
        <w:t>to</w:t>
      </w:r>
      <w:r w:rsidR="006A3936">
        <w:rPr>
          <w:lang w:val="en-US"/>
        </w:rPr>
        <w:t xml:space="preserve"> non-governmental organizations, the EU also tries to influence and re</w:t>
      </w:r>
      <w:r w:rsidR="004D2EE2">
        <w:rPr>
          <w:lang w:val="en-US"/>
        </w:rPr>
        <w:t xml:space="preserve">solve the conflict outside of the ongoing negotiations that have not delivered any lasting results. Besides, this point is the first one that focuses on Transnistria as it takes Transnistrian CSO’s into account. </w:t>
      </w:r>
      <w:r w:rsidR="004F1D9A">
        <w:rPr>
          <w:lang w:val="en-US"/>
        </w:rPr>
        <w:t xml:space="preserve">Since the strategy that was based on this analysis has only been produced in 2018, it is impossible to say yet, if this focus on Transnistria will help to get to an end of the conflict. </w:t>
      </w:r>
    </w:p>
    <w:p w14:paraId="3D206A55" w14:textId="2FCC776F" w:rsidR="00BD3E1A" w:rsidRDefault="004F1D9A" w:rsidP="000F4430">
      <w:pPr>
        <w:rPr>
          <w:lang w:val="en-US"/>
        </w:rPr>
      </w:pPr>
      <w:r>
        <w:rPr>
          <w:lang w:val="en-US"/>
        </w:rPr>
        <w:t xml:space="preserve">Another interesting point of the Joint Analysis is the last </w:t>
      </w:r>
      <w:r w:rsidR="00BD3E1A">
        <w:rPr>
          <w:lang w:val="en-US"/>
        </w:rPr>
        <w:t>challenge</w:t>
      </w:r>
      <w:r>
        <w:rPr>
          <w:lang w:val="en-US"/>
        </w:rPr>
        <w:t xml:space="preserve"> named above. </w:t>
      </w:r>
      <w:r w:rsidR="00BD3E1A">
        <w:rPr>
          <w:lang w:val="en-US"/>
        </w:rPr>
        <w:t xml:space="preserve">“The lack of a comprehensive communication policy on behalf of the Chisinau authorities with regard to the </w:t>
      </w:r>
      <w:r w:rsidR="00BD3E1A">
        <w:rPr>
          <w:lang w:val="en-US"/>
        </w:rPr>
        <w:lastRenderedPageBreak/>
        <w:t>country’s reintegration and reaching out to residents on the left bank too. The longer there is no communication policy, the higher the chances that the gap between the two banks will further widen and even deepen in the mid</w:t>
      </w:r>
      <w:r w:rsidR="008E13AE">
        <w:rPr>
          <w:lang w:val="en-US"/>
        </w:rPr>
        <w:t>-</w:t>
      </w:r>
      <w:r w:rsidR="00BD3E1A">
        <w:rPr>
          <w:lang w:val="en-US"/>
        </w:rPr>
        <w:t xml:space="preserve"> to </w:t>
      </w:r>
      <w:r w:rsidR="00BD3E1A" w:rsidRPr="008E13AE">
        <w:rPr>
          <w:noProof/>
          <w:lang w:val="en-US"/>
        </w:rPr>
        <w:t>long</w:t>
      </w:r>
      <w:r w:rsidR="008E13AE">
        <w:rPr>
          <w:noProof/>
          <w:lang w:val="en-US"/>
        </w:rPr>
        <w:t>-</w:t>
      </w:r>
      <w:r w:rsidR="00BD3E1A" w:rsidRPr="008E13AE">
        <w:rPr>
          <w:noProof/>
          <w:lang w:val="en-US"/>
        </w:rPr>
        <w:t>term</w:t>
      </w:r>
      <w:r w:rsidR="00BD3E1A">
        <w:rPr>
          <w:lang w:val="en-US"/>
        </w:rPr>
        <w:t>.” This challenge again does not only focu</w:t>
      </w:r>
      <w:r w:rsidR="00201D81">
        <w:rPr>
          <w:lang w:val="en-US"/>
        </w:rPr>
        <w:t xml:space="preserve">s on governmental dialogues and </w:t>
      </w:r>
      <w:r w:rsidR="00201D81" w:rsidRPr="008E13AE">
        <w:rPr>
          <w:noProof/>
          <w:lang w:val="en-US"/>
        </w:rPr>
        <w:t>negotiations</w:t>
      </w:r>
      <w:r w:rsidR="00201D81">
        <w:rPr>
          <w:lang w:val="en-US"/>
        </w:rPr>
        <w:t xml:space="preserve"> but also looks at </w:t>
      </w:r>
      <w:r w:rsidR="00F14FA2">
        <w:rPr>
          <w:lang w:val="en-US"/>
        </w:rPr>
        <w:t xml:space="preserve">communication between Moldova and Transnistria and emphasizes the need for better communication to not worsen the conflict at hand. </w:t>
      </w:r>
    </w:p>
    <w:p w14:paraId="0A968D47" w14:textId="7B1F3EAD" w:rsidR="00F14FA2" w:rsidRDefault="00BD3E1A" w:rsidP="000F4430">
      <w:pPr>
        <w:rPr>
          <w:lang w:val="en-US"/>
        </w:rPr>
      </w:pPr>
      <w:r>
        <w:rPr>
          <w:lang w:val="en-US"/>
        </w:rPr>
        <w:t xml:space="preserve">However, the Joint Analysis is not a policy document, concerned with the planning of the conflict resolution. It only focuses on the challenges </w:t>
      </w:r>
      <w:r w:rsidR="00F14FA2">
        <w:rPr>
          <w:lang w:val="en-US"/>
        </w:rPr>
        <w:t>to</w:t>
      </w:r>
      <w:r>
        <w:rPr>
          <w:lang w:val="en-US"/>
        </w:rPr>
        <w:t xml:space="preserve"> which the Strategy should act</w:t>
      </w:r>
      <w:r w:rsidR="00F14FA2">
        <w:rPr>
          <w:lang w:val="en-US"/>
        </w:rPr>
        <w:t xml:space="preserve"> on</w:t>
      </w:r>
      <w:r>
        <w:rPr>
          <w:lang w:val="en-US"/>
        </w:rPr>
        <w:t xml:space="preserve">. </w:t>
      </w:r>
      <w:r w:rsidR="00F14FA2">
        <w:rPr>
          <w:lang w:val="en-US"/>
        </w:rPr>
        <w:t>But, regrettably, the Strategy looks like it fails to meet the challenges put down in the Analysis.</w:t>
      </w:r>
    </w:p>
    <w:p w14:paraId="33D3A064" w14:textId="7913D6ED" w:rsidR="00E51869" w:rsidRDefault="00F14FA2" w:rsidP="00064B0A">
      <w:pPr>
        <w:rPr>
          <w:lang w:val="en-US"/>
        </w:rPr>
      </w:pPr>
      <w:r>
        <w:rPr>
          <w:lang w:val="en-US"/>
        </w:rPr>
        <w:t xml:space="preserve">In focusing on the Eastern Partnership, it becomes visible that the EU uses different ways of cooperation to influence Moldova’s national politics. Through the </w:t>
      </w:r>
      <w:r w:rsidR="00064B0A">
        <w:rPr>
          <w:lang w:val="en-US"/>
        </w:rPr>
        <w:t>platforms of the Eastern Partnership, the EU has different, informal ways of interfering in national politics and creating a regional policy. But, regarding this research, the platforms do not discuss conflicts like the Transnistrian one. The official meetings of the Eastern Partnership, the summits, do discuss the conflicts, although again only a little.</w:t>
      </w:r>
      <w:r w:rsidR="00E51869">
        <w:rPr>
          <w:lang w:val="en-US"/>
        </w:rPr>
        <w:t xml:space="preserve"> In these summits, the parties do not go much further as to say that they recognize the importance of resolving the Transnistria conflict and that they look forward to the negotiations in the 5+2 talks. </w:t>
      </w:r>
    </w:p>
    <w:p w14:paraId="2EF3A13D" w14:textId="728FD3EB" w:rsidR="00312812" w:rsidRDefault="00E51869" w:rsidP="00064B0A">
      <w:pPr>
        <w:rPr>
          <w:lang w:val="en-US"/>
        </w:rPr>
      </w:pPr>
      <w:r>
        <w:rPr>
          <w:lang w:val="en-US"/>
        </w:rPr>
        <w:t xml:space="preserve">Concluding, the EU actively involves itself in shaping Moldova’s politics. </w:t>
      </w:r>
      <w:r w:rsidR="008D779D">
        <w:rPr>
          <w:lang w:val="en-US"/>
        </w:rPr>
        <w:t xml:space="preserve">It interferes with probably any policy area one can think of. However, concerning the Transnistrian conflict, the official policy points are very limited and it does not seem like the EU is able to really interfere with the conflict as actively as it </w:t>
      </w:r>
      <w:r w:rsidR="008D779D" w:rsidRPr="008E13AE">
        <w:rPr>
          <w:noProof/>
          <w:lang w:val="en-US"/>
        </w:rPr>
        <w:t>would,</w:t>
      </w:r>
      <w:r w:rsidR="008D779D">
        <w:rPr>
          <w:lang w:val="en-US"/>
        </w:rPr>
        <w:t xml:space="preserve"> since the EU keeps pronouncing that the conflict is one of their main goals to resolve. It looks like the unwillingness of Transnistria and Moldova to make concessions in the negotiations plays a crucial role in the fact that the conflict cannot be resolved so </w:t>
      </w:r>
      <w:r w:rsidR="008D779D" w:rsidRPr="008E13AE">
        <w:rPr>
          <w:noProof/>
          <w:lang w:val="en-US"/>
        </w:rPr>
        <w:t>eas</w:t>
      </w:r>
      <w:r w:rsidR="008E13AE">
        <w:rPr>
          <w:noProof/>
          <w:lang w:val="en-US"/>
        </w:rPr>
        <w:t>il</w:t>
      </w:r>
      <w:r w:rsidR="008D779D" w:rsidRPr="008E13AE">
        <w:rPr>
          <w:noProof/>
          <w:lang w:val="en-US"/>
        </w:rPr>
        <w:t>y</w:t>
      </w:r>
      <w:r w:rsidR="008D779D">
        <w:rPr>
          <w:lang w:val="en-US"/>
        </w:rPr>
        <w:t xml:space="preserve">. </w:t>
      </w:r>
    </w:p>
    <w:p w14:paraId="624F7894" w14:textId="2D453C2A" w:rsidR="00E51869" w:rsidRPr="00064B0A" w:rsidRDefault="00E51869" w:rsidP="008D779D">
      <w:pPr>
        <w:pStyle w:val="Kop2"/>
        <w:numPr>
          <w:ilvl w:val="1"/>
          <w:numId w:val="1"/>
        </w:numPr>
        <w:spacing w:line="360" w:lineRule="auto"/>
        <w:rPr>
          <w:lang w:val="en-US"/>
        </w:rPr>
      </w:pPr>
      <w:bookmarkStart w:id="40" w:name="_Toc517985359"/>
      <w:r>
        <w:rPr>
          <w:lang w:val="en-US"/>
        </w:rPr>
        <w:t>The role of Russia</w:t>
      </w:r>
      <w:bookmarkEnd w:id="40"/>
    </w:p>
    <w:p w14:paraId="4FF5FB69" w14:textId="5EF9C4EB" w:rsidR="00865CE2" w:rsidRDefault="00397603" w:rsidP="008D779D">
      <w:pPr>
        <w:spacing w:before="0" w:after="160"/>
        <w:rPr>
          <w:lang w:val="en-US"/>
        </w:rPr>
      </w:pPr>
      <w:r>
        <w:rPr>
          <w:lang w:val="en-US"/>
        </w:rPr>
        <w:t xml:space="preserve">Russia was not mentioned once in the official joint declaration of the Brussels summit. This does not seem too weird since Russia is not part of the Eastern Partnership. However, the talks during the summit were dominated by Russia, after five Ukrainian servicemen were killed days before the summit and Russia was blamed. Then, </w:t>
      </w:r>
      <w:r w:rsidR="00865CE2">
        <w:rPr>
          <w:lang w:val="en-US"/>
        </w:rPr>
        <w:t>this occasion was used by Angela Merkel to name a list of conflicts in the six Eastern Partnership countries for which Russia was also to blame</w:t>
      </w:r>
      <w:r w:rsidR="006A27AC">
        <w:rPr>
          <w:lang w:val="en-US"/>
        </w:rPr>
        <w:t xml:space="preserve"> </w:t>
      </w:r>
      <w:r w:rsidR="006A27AC">
        <w:rPr>
          <w:lang w:val="en-US"/>
        </w:rPr>
        <w:lastRenderedPageBreak/>
        <w:t>(Herszenhorn &amp; Barigazzi, 2017)</w:t>
      </w:r>
      <w:r w:rsidR="00865CE2">
        <w:rPr>
          <w:lang w:val="en-US"/>
        </w:rPr>
        <w:t xml:space="preserve">. </w:t>
      </w:r>
      <w:r w:rsidR="006A27AC">
        <w:rPr>
          <w:lang w:val="en-US"/>
        </w:rPr>
        <w:t>This shows that Europe accepts every possibility to cast a shadow on Russia’s practices in the Eastern Partnership countries. Later, EU president Donald Tusk denied that the Eastern Partnership was designed to reduce Russia’s influence in the Eastern Partnership countries: “The Eastern Partnership is not directed against Russia. It is not a geopolitical beauty contest between Russia and the EU (Herszenhorn &amp; Barigazzi, 2017).” In the rest of the talks during the summit attention was paid to Russia</w:t>
      </w:r>
      <w:r w:rsidR="00632B88">
        <w:rPr>
          <w:lang w:val="en-US"/>
        </w:rPr>
        <w:t xml:space="preserve"> creating a propaganda war against Europe and to the relation between the EU and Russia (Herszenhorn &amp; Barigazzi, 2017). </w:t>
      </w:r>
    </w:p>
    <w:p w14:paraId="2F044C1B" w14:textId="656C123E" w:rsidR="00632B88" w:rsidRDefault="00632B88" w:rsidP="008D779D">
      <w:pPr>
        <w:spacing w:before="0" w:after="160"/>
        <w:rPr>
          <w:lang w:val="en-US"/>
        </w:rPr>
      </w:pPr>
      <w:r>
        <w:rPr>
          <w:lang w:val="en-US"/>
        </w:rPr>
        <w:t xml:space="preserve">All these statements show that, although Russia is not named in the official declarations, Russia does definitely play a key role in the European policies concerning the eastern neighbouring countries. </w:t>
      </w:r>
      <w:r w:rsidR="00571627">
        <w:rPr>
          <w:lang w:val="en-US"/>
        </w:rPr>
        <w:t xml:space="preserve">The eastern countries seem to have become disputed space, with the EU and Russia as contenders for the indirect control over the area. </w:t>
      </w:r>
      <w:r w:rsidR="00D842CE">
        <w:rPr>
          <w:lang w:val="en-US"/>
        </w:rPr>
        <w:t xml:space="preserve">In this disputed space, the EU wants the six countries to </w:t>
      </w:r>
      <w:r w:rsidR="00D842CE" w:rsidRPr="008E13AE">
        <w:rPr>
          <w:noProof/>
          <w:lang w:val="en-US"/>
        </w:rPr>
        <w:t>develop</w:t>
      </w:r>
      <w:r w:rsidR="00D842CE">
        <w:rPr>
          <w:lang w:val="en-US"/>
        </w:rPr>
        <w:t xml:space="preserve"> but does not want them to be EU member states. Russia wants to keep the countries within their sphere of influence. However, the different countries have developed in different ways, and the west, Europe, seems to be more attractive to the Eastern Partnership countries, although some regions, like Transnistria, still very much hang on to Russia (Bond, 2017). </w:t>
      </w:r>
    </w:p>
    <w:p w14:paraId="3F2B768A" w14:textId="77777777" w:rsidR="00D86BA2" w:rsidRDefault="00D842CE" w:rsidP="008D779D">
      <w:pPr>
        <w:spacing w:before="0" w:after="160"/>
        <w:rPr>
          <w:lang w:val="en-US"/>
        </w:rPr>
      </w:pPr>
      <w:r>
        <w:rPr>
          <w:lang w:val="en-US"/>
        </w:rPr>
        <w:t xml:space="preserve">The fact that the Eastern Partnership has become a central policy in the relationship between Russia and the EU is underlined by Gretskiy et al. (2014). They even say that the Russian influence on the Eastern Partnership is very big. </w:t>
      </w:r>
      <w:r w:rsidR="00D86BA2">
        <w:rPr>
          <w:lang w:val="en-US"/>
        </w:rPr>
        <w:t xml:space="preserve">As Gretskiy et al. (2014) say, </w:t>
      </w:r>
    </w:p>
    <w:p w14:paraId="752E49BB" w14:textId="61E75896" w:rsidR="00D842CE" w:rsidRDefault="00D86BA2" w:rsidP="00D86BA2">
      <w:pPr>
        <w:spacing w:before="0" w:after="160"/>
        <w:ind w:firstLine="360"/>
        <w:rPr>
          <w:lang w:val="en-US"/>
        </w:rPr>
      </w:pPr>
      <w:r>
        <w:rPr>
          <w:lang w:val="en-US"/>
        </w:rPr>
        <w:t xml:space="preserve">“shifting away from participating in the European Neighbourhood Policy and having revitalized its policy in the post-Soviet territory, Russia, like no one else, has influenced the </w:t>
      </w:r>
      <w:r w:rsidRPr="008E13AE">
        <w:rPr>
          <w:noProof/>
          <w:lang w:val="en-US"/>
        </w:rPr>
        <w:t>EaP</w:t>
      </w:r>
      <w:r>
        <w:rPr>
          <w:lang w:val="en-US"/>
        </w:rPr>
        <w:t xml:space="preserve"> to take the very form that causes its own most fierce criticism; that is, Russian policy in the post-Soviet area became hostage to the longevity of the logic of confrontation with the </w:t>
      </w:r>
      <w:r w:rsidR="005931E0">
        <w:rPr>
          <w:lang w:val="en-US"/>
        </w:rPr>
        <w:t>w</w:t>
      </w:r>
      <w:r>
        <w:rPr>
          <w:lang w:val="en-US"/>
        </w:rPr>
        <w:t>est. Russia’s actions, aimed to consolidate the post-Soviet area, often against the will of individual states in that region, provoked retaliatory measures by Brussels and vice versa. As a result, the air of mutual distrust between the EU and Russia was growing worse. The EaP became, in part, one of the unintended consequences of this mistrust.”</w:t>
      </w:r>
    </w:p>
    <w:p w14:paraId="2D4CB1BA" w14:textId="61E2D33C" w:rsidR="00D86BA2" w:rsidRDefault="00F64D03" w:rsidP="00D86BA2">
      <w:pPr>
        <w:spacing w:before="0" w:after="160"/>
        <w:rPr>
          <w:lang w:val="en-US"/>
        </w:rPr>
      </w:pPr>
      <w:r>
        <w:rPr>
          <w:lang w:val="en-US"/>
        </w:rPr>
        <w:t>Besides this, Russia influences the Eastern Partnership in another way. Russia has created a counterpart for the Eastern Partnership, the Eurasian Economic Union (EAEU)</w:t>
      </w:r>
      <w:r w:rsidR="00B16E51">
        <w:rPr>
          <w:lang w:val="en-US"/>
        </w:rPr>
        <w:t xml:space="preserve">. This has caused Eastern Partnership countries, Belarus and Armenia to be specific, to also take part in the EAEU (Gretskiy et al., 2014). When Russia influences these countries through the EAEU, the decision </w:t>
      </w:r>
      <w:r w:rsidR="00B16E51">
        <w:rPr>
          <w:lang w:val="en-US"/>
        </w:rPr>
        <w:lastRenderedPageBreak/>
        <w:t xml:space="preserve">making in the Eastern Partnership becomes way harder. All in all, this has caused both partnership programs to be largely unsuccessful up to now.  </w:t>
      </w:r>
    </w:p>
    <w:p w14:paraId="3BFD4D56" w14:textId="77777777" w:rsidR="00CD7682" w:rsidRDefault="00B16E51" w:rsidP="008D779D">
      <w:pPr>
        <w:spacing w:before="0" w:after="160"/>
        <w:rPr>
          <w:lang w:val="en-US"/>
        </w:rPr>
      </w:pPr>
      <w:r>
        <w:rPr>
          <w:lang w:val="en-US"/>
        </w:rPr>
        <w:t xml:space="preserve">The fact that two countries have joined the EAEU, has led to the EU promising </w:t>
      </w:r>
      <w:r w:rsidR="000C412A">
        <w:rPr>
          <w:lang w:val="en-US"/>
        </w:rPr>
        <w:t>NATO membership for Georgia and Ukraine, without the intention to really make good on that promise. Besides, with Georgia, Moldova and Ukraine being the most pro-EU countries, the Association Agreements with these countries have been treated as technocratic exercises (Bond, 2017). But, with the EU only focusing on these three pro-European countries, the basis for the Eastern Partnership has been disrupted.</w:t>
      </w:r>
    </w:p>
    <w:p w14:paraId="52637F03" w14:textId="683A5F24" w:rsidR="002B61B6" w:rsidRDefault="00CD7682" w:rsidP="008D779D">
      <w:pPr>
        <w:spacing w:before="0" w:after="160"/>
        <w:rPr>
          <w:lang w:val="en-US"/>
        </w:rPr>
      </w:pPr>
      <w:r>
        <w:rPr>
          <w:lang w:val="en-US"/>
        </w:rPr>
        <w:t xml:space="preserve">Besides through the EAEU, Russia has another way of influencing the Eastern Partnership countries. They still have troops deployed in Transnistria, Armenia, Abkhazia, South Ossetia, Crimea and Donbas (Bond, 2017). With Russia ‘protecting’ these pro-Russian regions, it is very hard for the EU to make any progress in agreements with the countries and also in contributing to a settlement for the Transnistrian conflict. </w:t>
      </w:r>
      <w:r w:rsidR="0056422D">
        <w:rPr>
          <w:lang w:val="en-US"/>
        </w:rPr>
        <w:t xml:space="preserve">Also, </w:t>
      </w:r>
      <w:r w:rsidR="002F0AB7">
        <w:rPr>
          <w:lang w:val="en-US"/>
        </w:rPr>
        <w:t>there is always still the threat</w:t>
      </w:r>
      <w:r w:rsidR="0056422D">
        <w:rPr>
          <w:lang w:val="en-US"/>
        </w:rPr>
        <w:t xml:space="preserve"> of Russia invading an Eastern Partnership country, to not lose its power in the region. </w:t>
      </w:r>
    </w:p>
    <w:p w14:paraId="2AB42CD8" w14:textId="19AB7F26" w:rsidR="00064B0A" w:rsidRDefault="002B61B6" w:rsidP="008D779D">
      <w:pPr>
        <w:spacing w:before="0" w:after="160"/>
        <w:rPr>
          <w:rFonts w:asciiTheme="majorHAnsi" w:eastAsiaTheme="majorEastAsia" w:hAnsiTheme="majorHAnsi" w:cstheme="majorBidi"/>
          <w:caps/>
          <w:spacing w:val="10"/>
          <w:sz w:val="36"/>
          <w:szCs w:val="36"/>
          <w:lang w:val="en-US"/>
        </w:rPr>
      </w:pPr>
      <w:r>
        <w:rPr>
          <w:lang w:val="en-US"/>
        </w:rPr>
        <w:t xml:space="preserve">Concluding, it can be said that both the European Neighbourhood Policy and the Eastern Partnership have not been very successful up to now. Both in its main goals as relating to the Transnistrian conflict is has not been able to match the goals </w:t>
      </w:r>
      <w:r w:rsidR="00FB01EF">
        <w:rPr>
          <w:lang w:val="en-US"/>
        </w:rPr>
        <w:t xml:space="preserve">they set in their policies. This also means that the ways in which the EU tries to influence the region have not been very successful. It could be that the Joint Strategy and the last Eastern Partnership summit will turn out to be successful in the future, but with the ongoing struggles with Russia, it does not seem realistic to think that </w:t>
      </w:r>
      <w:r w:rsidR="00FB01EF" w:rsidRPr="008E13AE">
        <w:rPr>
          <w:noProof/>
          <w:lang w:val="en-US"/>
        </w:rPr>
        <w:t>these</w:t>
      </w:r>
      <w:r w:rsidR="00FB01EF">
        <w:rPr>
          <w:lang w:val="en-US"/>
        </w:rPr>
        <w:t xml:space="preserve"> will be any more successful than earlier policies.</w:t>
      </w:r>
      <w:r w:rsidR="00064B0A">
        <w:rPr>
          <w:lang w:val="en-US"/>
        </w:rPr>
        <w:br w:type="page"/>
      </w:r>
    </w:p>
    <w:p w14:paraId="359BC6BB" w14:textId="034FE295" w:rsidR="00312812" w:rsidRPr="00D82AA0" w:rsidRDefault="00AD72FF" w:rsidP="00A865EB">
      <w:pPr>
        <w:pStyle w:val="Kop1"/>
        <w:numPr>
          <w:ilvl w:val="0"/>
          <w:numId w:val="1"/>
        </w:numPr>
        <w:spacing w:line="360" w:lineRule="auto"/>
        <w:rPr>
          <w:lang w:val="en-US"/>
        </w:rPr>
      </w:pPr>
      <w:bookmarkStart w:id="41" w:name="_Toc517985360"/>
      <w:r w:rsidRPr="00D82AA0">
        <w:rPr>
          <w:lang w:val="en-US"/>
        </w:rPr>
        <w:lastRenderedPageBreak/>
        <w:t>Po</w:t>
      </w:r>
      <w:r w:rsidR="00312812" w:rsidRPr="00D82AA0">
        <w:rPr>
          <w:lang w:val="en-US"/>
        </w:rPr>
        <w:t>st-colonialism and</w:t>
      </w:r>
      <w:r w:rsidR="003E20A4" w:rsidRPr="00D82AA0">
        <w:rPr>
          <w:lang w:val="en-US"/>
        </w:rPr>
        <w:t xml:space="preserve"> neo-imperialism in</w:t>
      </w:r>
      <w:r w:rsidR="00312812" w:rsidRPr="00D82AA0">
        <w:rPr>
          <w:lang w:val="en-US"/>
        </w:rPr>
        <w:t xml:space="preserve"> Transnistria</w:t>
      </w:r>
      <w:bookmarkEnd w:id="41"/>
    </w:p>
    <w:p w14:paraId="7372BBE7" w14:textId="7121E4EF" w:rsidR="00FB01EF" w:rsidRDefault="00FB01EF" w:rsidP="001A0527">
      <w:pPr>
        <w:rPr>
          <w:lang w:val="en-US"/>
        </w:rPr>
      </w:pPr>
      <w:r>
        <w:rPr>
          <w:lang w:val="en-US"/>
        </w:rPr>
        <w:t xml:space="preserve">This chapter will look deeper at the Russian and European influences in Transnistria from a post-colonial and neo-imperialistic point of view. </w:t>
      </w:r>
      <w:r w:rsidR="00DC0CCC">
        <w:rPr>
          <w:lang w:val="en-US"/>
        </w:rPr>
        <w:t>First, a deeper look will be taken at Russian post-colonialism in breakaway regions like Transnistria. After that, the other point of view, a European neo-imperialistic one, will be highlighted</w:t>
      </w:r>
      <w:r w:rsidR="007806D2">
        <w:rPr>
          <w:lang w:val="en-US"/>
        </w:rPr>
        <w:t xml:space="preserve">. Since the theoretical part has already been dealt with in chapter two, this chapter will consist of a more substantive view </w:t>
      </w:r>
      <w:r w:rsidR="007806D2" w:rsidRPr="008E13AE">
        <w:rPr>
          <w:noProof/>
          <w:lang w:val="en-US"/>
        </w:rPr>
        <w:t>on</w:t>
      </w:r>
      <w:r w:rsidR="007806D2">
        <w:rPr>
          <w:lang w:val="en-US"/>
        </w:rPr>
        <w:t xml:space="preserve"> both theories in relation to Transnistria. </w:t>
      </w:r>
    </w:p>
    <w:p w14:paraId="1CC6AC6C" w14:textId="44C9B7B1" w:rsidR="00DC0CCC" w:rsidRDefault="00DC0CCC" w:rsidP="00DC0CCC">
      <w:pPr>
        <w:pStyle w:val="Kop2"/>
        <w:numPr>
          <w:ilvl w:val="1"/>
          <w:numId w:val="1"/>
        </w:numPr>
        <w:rPr>
          <w:lang w:val="en-US"/>
        </w:rPr>
      </w:pPr>
      <w:bookmarkStart w:id="42" w:name="_Toc517985361"/>
      <w:r>
        <w:rPr>
          <w:lang w:val="en-US"/>
        </w:rPr>
        <w:t>Russian post-colonialism</w:t>
      </w:r>
      <w:bookmarkEnd w:id="42"/>
    </w:p>
    <w:p w14:paraId="3245B0C5" w14:textId="107CA007" w:rsidR="001A0527" w:rsidRDefault="00FE04ED" w:rsidP="001A0527">
      <w:pPr>
        <w:rPr>
          <w:lang w:val="en-US"/>
        </w:rPr>
      </w:pPr>
      <w:r>
        <w:rPr>
          <w:lang w:val="en-US"/>
        </w:rPr>
        <w:t xml:space="preserve"> “According to a rough consensus, the cultures of postcolonial lands are characterized by tensions between the desire for autonomy and a history of dependence (Moore, 2001).” This is the case in Transnistria, where throughout history</w:t>
      </w:r>
      <w:r w:rsidR="001A0527" w:rsidRPr="00D82AA0">
        <w:rPr>
          <w:lang w:val="en-US"/>
        </w:rPr>
        <w:t xml:space="preserve"> Russia has been very important, much more so than in the rest of Moldova. People in Transnistria still identify more with Russians than with Moldovans and their trust in Russian leadership is very big (O’Loughlin et al., 2015). </w:t>
      </w:r>
      <w:r>
        <w:rPr>
          <w:lang w:val="en-US"/>
        </w:rPr>
        <w:t>Transnistria wanted to become independent after the fall of the Soviet-Union, but have received so much support</w:t>
      </w:r>
      <w:r w:rsidR="003C1B62">
        <w:rPr>
          <w:lang w:val="en-US"/>
        </w:rPr>
        <w:t xml:space="preserve"> from Russia</w:t>
      </w:r>
      <w:r>
        <w:rPr>
          <w:lang w:val="en-US"/>
        </w:rPr>
        <w:t xml:space="preserve"> against Moldova, that Transnistria would like to become part of Russia. </w:t>
      </w:r>
    </w:p>
    <w:p w14:paraId="55FD4645" w14:textId="36B70ADB" w:rsidR="008C5D83" w:rsidRDefault="003F0C87" w:rsidP="003F0C87">
      <w:pPr>
        <w:rPr>
          <w:lang w:val="en-US"/>
        </w:rPr>
      </w:pPr>
      <w:r>
        <w:rPr>
          <w:lang w:val="en-US"/>
        </w:rPr>
        <w:t xml:space="preserve">Post-colonialism has been discussed earlier on in the theoretical framework, which is why it will not be discussed again here. What will be discussed though, is post-Soviet post-colonialism. Moore (2001) created room for this post-Soviet post-colonialism. He saw a gap in post-colonial discourse. Moore stated that there was a silence, a lack of dialogue between postcolonial critique on the one side and scholarship on Central and Eastern Europe, the Caucasus, and Central Asia on the other hand. </w:t>
      </w:r>
      <w:r w:rsidR="00AB023E">
        <w:rPr>
          <w:lang w:val="en-US"/>
        </w:rPr>
        <w:t xml:space="preserve">On the postcolonial </w:t>
      </w:r>
      <w:r w:rsidR="00AB023E" w:rsidRPr="008E13AE">
        <w:rPr>
          <w:noProof/>
          <w:lang w:val="en-US"/>
        </w:rPr>
        <w:t>side</w:t>
      </w:r>
      <w:r w:rsidR="008E13AE">
        <w:rPr>
          <w:noProof/>
          <w:lang w:val="en-US"/>
        </w:rPr>
        <w:t>,</w:t>
      </w:r>
      <w:r w:rsidR="00AB023E">
        <w:rPr>
          <w:lang w:val="en-US"/>
        </w:rPr>
        <w:t xml:space="preserve"> this silence was partly caused by the three-worlds theory in which Western Europe and North America constitute the first world, the socialist economies the second and the </w:t>
      </w:r>
      <w:r w:rsidR="00AB023E" w:rsidRPr="008E1FBB">
        <w:rPr>
          <w:noProof/>
          <w:lang w:val="en-US"/>
        </w:rPr>
        <w:t>rest</w:t>
      </w:r>
      <w:r w:rsidR="00AB023E">
        <w:rPr>
          <w:lang w:val="en-US"/>
        </w:rPr>
        <w:t xml:space="preserve"> the third world. </w:t>
      </w:r>
      <w:r w:rsidR="008C5D83">
        <w:rPr>
          <w:lang w:val="en-US"/>
        </w:rPr>
        <w:t>It still remains difficult for three-world theorists to recognize the second world in the postcolonial dynamic</w:t>
      </w:r>
      <w:r w:rsidR="000E0CAE">
        <w:rPr>
          <w:lang w:val="en-US"/>
        </w:rPr>
        <w:t>, as classic colonialism often existed out of a first world country colonizing a third world country</w:t>
      </w:r>
      <w:r w:rsidR="008C5D83">
        <w:rPr>
          <w:lang w:val="en-US"/>
        </w:rPr>
        <w:t xml:space="preserve"> (Moore,2001). Besides this, most postcolonial scholars have been Marxist or strongly left and were reluctant to “make the Soviet Union a French- o</w:t>
      </w:r>
      <w:r w:rsidR="008E13AE">
        <w:rPr>
          <w:lang w:val="en-US"/>
        </w:rPr>
        <w:t>r</w:t>
      </w:r>
      <w:r w:rsidR="008C5D83">
        <w:rPr>
          <w:lang w:val="en-US"/>
        </w:rPr>
        <w:t xml:space="preserve"> </w:t>
      </w:r>
      <w:r w:rsidR="008C5D83" w:rsidRPr="008E13AE">
        <w:rPr>
          <w:noProof/>
          <w:lang w:val="en-US"/>
        </w:rPr>
        <w:t>British-style</w:t>
      </w:r>
      <w:r w:rsidR="008C5D83">
        <w:rPr>
          <w:lang w:val="en-US"/>
        </w:rPr>
        <w:t xml:space="preserve"> villain (Moore,2001).</w:t>
      </w:r>
    </w:p>
    <w:p w14:paraId="1813F959" w14:textId="38428363" w:rsidR="003F0C87" w:rsidRDefault="008C5D83" w:rsidP="003F0C87">
      <w:pPr>
        <w:rPr>
          <w:lang w:val="en-US"/>
        </w:rPr>
      </w:pPr>
      <w:r>
        <w:rPr>
          <w:lang w:val="en-US"/>
        </w:rPr>
        <w:lastRenderedPageBreak/>
        <w:t xml:space="preserve">After this Moore (2001) discusses the fact that Russo-Soviet colonial activity does not fit in </w:t>
      </w:r>
      <w:r w:rsidR="005931E0">
        <w:rPr>
          <w:lang w:val="en-US"/>
        </w:rPr>
        <w:t>any of three classic w</w:t>
      </w:r>
      <w:r w:rsidR="0062650C">
        <w:rPr>
          <w:lang w:val="en-US"/>
        </w:rPr>
        <w:t xml:space="preserve">estern </w:t>
      </w:r>
      <w:r w:rsidR="0062650C" w:rsidRPr="008E13AE">
        <w:rPr>
          <w:noProof/>
          <w:lang w:val="en-US"/>
        </w:rPr>
        <w:t>colonialisms</w:t>
      </w:r>
      <w:r w:rsidR="0062650C">
        <w:rPr>
          <w:lang w:val="en-US"/>
        </w:rPr>
        <w:t xml:space="preserve">. These three are the ‘classic’ colonization, for </w:t>
      </w:r>
      <w:r w:rsidR="0062650C" w:rsidRPr="008E13AE">
        <w:rPr>
          <w:noProof/>
          <w:lang w:val="en-US"/>
        </w:rPr>
        <w:t>example</w:t>
      </w:r>
      <w:r w:rsidR="008E13AE">
        <w:rPr>
          <w:noProof/>
          <w:lang w:val="en-US"/>
        </w:rPr>
        <w:t>,</w:t>
      </w:r>
      <w:r w:rsidR="0062650C">
        <w:rPr>
          <w:lang w:val="en-US"/>
        </w:rPr>
        <w:t xml:space="preserve"> Britain in Kenya. The second type is one in which the colonizers settle and turn the indigenous populations into ‘fourth world’ subjects. The third one is the ‘standard’ type in which a power conquers its neighbours. Moore argues that all three types can be found throughout Russian history, but none of the types fits Russia perfectly. </w:t>
      </w:r>
    </w:p>
    <w:p w14:paraId="541A306E" w14:textId="78E0A544" w:rsidR="0062650C" w:rsidRDefault="00141E78" w:rsidP="003F0C87">
      <w:pPr>
        <w:rPr>
          <w:lang w:val="en-US"/>
        </w:rPr>
      </w:pPr>
      <w:r>
        <w:rPr>
          <w:lang w:val="en-US"/>
        </w:rPr>
        <w:t>There is another poin</w:t>
      </w:r>
      <w:r w:rsidR="005931E0">
        <w:rPr>
          <w:lang w:val="en-US"/>
        </w:rPr>
        <w:t>t in which Russia differs from w</w:t>
      </w:r>
      <w:r>
        <w:rPr>
          <w:lang w:val="en-US"/>
        </w:rPr>
        <w:t>estern colonialism. There is no ocean between the colonized countries and Russia, as there was</w:t>
      </w:r>
      <w:r w:rsidR="005931E0">
        <w:rPr>
          <w:lang w:val="en-US"/>
        </w:rPr>
        <w:t xml:space="preserve"> with the W</w:t>
      </w:r>
      <w:r>
        <w:rPr>
          <w:lang w:val="en-US"/>
        </w:rPr>
        <w:t>estern European countries.</w:t>
      </w:r>
      <w:r w:rsidR="0062650C">
        <w:rPr>
          <w:lang w:val="en-US"/>
        </w:rPr>
        <w:t xml:space="preserve"> </w:t>
      </w:r>
      <w:r w:rsidR="008633B9">
        <w:rPr>
          <w:lang w:val="en-US"/>
        </w:rPr>
        <w:t>However, he refutes this point by arguing that the route from Moscow to Tashkent in Central Asia is way harder than the routes from England to Cairo or from Marseille to Algiers (Moore, 2001).</w:t>
      </w:r>
      <w:r w:rsidR="002640BF">
        <w:rPr>
          <w:lang w:val="en-US"/>
        </w:rPr>
        <w:t xml:space="preserve"> Another difference was the colonization of the Baltic and Central European states as ‘reverse-cultural-colonization’. Standard western colonization was accompanied by </w:t>
      </w:r>
      <w:r w:rsidR="002640BF" w:rsidRPr="008E13AE">
        <w:rPr>
          <w:noProof/>
          <w:lang w:val="en-US"/>
        </w:rPr>
        <w:t>orientalization</w:t>
      </w:r>
      <w:r w:rsidR="002640BF">
        <w:rPr>
          <w:lang w:val="en-US"/>
        </w:rPr>
        <w:t xml:space="preserve">, in which the colonized were seen as passive, ahistorical, feminine or barbaric. But, in Russian-Central European colonization, this relation was reversed, as Russia was the party settled with the belief that it was culturally inferior compared to capitals such as Budapest, Berlin and Prague. These cities were seen as victories instead of places that needed civilizing (Moore, 2001). </w:t>
      </w:r>
    </w:p>
    <w:p w14:paraId="7F791BF3" w14:textId="77777777" w:rsidR="00CA7CB4" w:rsidRDefault="002640BF" w:rsidP="003F0C87">
      <w:pPr>
        <w:rPr>
          <w:lang w:val="en-US"/>
        </w:rPr>
      </w:pPr>
      <w:r>
        <w:rPr>
          <w:lang w:val="en-US"/>
        </w:rPr>
        <w:t>In his concluding remarks, Moo</w:t>
      </w:r>
      <w:r w:rsidR="00CA7CB4">
        <w:rPr>
          <w:lang w:val="en-US"/>
        </w:rPr>
        <w:t xml:space="preserve">re (2001) distinguishes several dimensions to consider, when judging if the Soviets were colonizers. He argues, that looking from the perspective of a former Soviet state, one should say that they were colonizers and that the consequences of this are “post”. He closes with “defending an inflation of the postcolonial to include the enormous post-Soviet sphere.” Primarily, “because Russia and then the Soviet Union exercised powerful colonial control over much of the earth for from fifty to two hundred years, much of the control has now ended, and its ending has had manifest effects on the </w:t>
      </w:r>
      <w:r w:rsidR="00CA7CB4" w:rsidRPr="008E13AE">
        <w:rPr>
          <w:noProof/>
          <w:lang w:val="en-US"/>
        </w:rPr>
        <w:t>literatures</w:t>
      </w:r>
      <w:r w:rsidR="00CA7CB4">
        <w:rPr>
          <w:lang w:val="en-US"/>
        </w:rPr>
        <w:t xml:space="preserve"> and cultures of the postcolonial-post-Soviet nations, including Russia.” Besides that, he argues that it is wrong to perpetuate the superannuated centrality of the Western or Anglo-Franco world, in which the Russo-Soviet control has been looked at as different from the standard Anglo-Franco cases (Moore, 2001).</w:t>
      </w:r>
    </w:p>
    <w:p w14:paraId="611E5723" w14:textId="1E32C685" w:rsidR="00CA7CB4" w:rsidRDefault="00884305" w:rsidP="003F0C87">
      <w:pPr>
        <w:rPr>
          <w:lang w:val="en-US"/>
        </w:rPr>
      </w:pPr>
      <w:r>
        <w:rPr>
          <w:lang w:val="en-US"/>
        </w:rPr>
        <w:t>Spivak et al. (2006) argue that, up to the 1990s, postcolonialism was maybe the only major theoretical discourse persistently ignored by Russian academics.</w:t>
      </w:r>
      <w:r w:rsidR="00085490">
        <w:rPr>
          <w:lang w:val="en-US"/>
        </w:rPr>
        <w:t xml:space="preserve"> This is the case because Russian colonization was viewed as being of a settler type, an expansion of Russian people, a</w:t>
      </w:r>
      <w:r w:rsidR="005931E0">
        <w:rPr>
          <w:lang w:val="en-US"/>
        </w:rPr>
        <w:t>s Moore also said. This, while w</w:t>
      </w:r>
      <w:r w:rsidR="00085490">
        <w:rPr>
          <w:lang w:val="en-US"/>
        </w:rPr>
        <w:t xml:space="preserve">estern colonization was approached from a geographical point of view, which </w:t>
      </w:r>
      <w:r w:rsidR="00085490">
        <w:rPr>
          <w:lang w:val="en-US"/>
        </w:rPr>
        <w:lastRenderedPageBreak/>
        <w:t xml:space="preserve">makes the Russian colonization come across as a good deed and European as bad (Etkind, A., 2001; Spivak et al., 2006). </w:t>
      </w:r>
      <w:r w:rsidR="002107D6">
        <w:rPr>
          <w:lang w:val="en-US"/>
        </w:rPr>
        <w:t xml:space="preserve">But, in 2004, Madina Tlostanova wrote a book called </w:t>
      </w:r>
      <w:r w:rsidR="002107D6" w:rsidRPr="002107D6">
        <w:rPr>
          <w:i/>
          <w:lang w:val="en-US"/>
        </w:rPr>
        <w:t xml:space="preserve">Postsoveskaia literature I </w:t>
      </w:r>
      <w:r w:rsidR="002107D6" w:rsidRPr="008E13AE">
        <w:rPr>
          <w:i/>
          <w:noProof/>
          <w:lang w:val="en-US"/>
        </w:rPr>
        <w:t>estetika</w:t>
      </w:r>
      <w:r w:rsidR="002107D6" w:rsidRPr="002107D6">
        <w:rPr>
          <w:i/>
          <w:lang w:val="en-US"/>
        </w:rPr>
        <w:t xml:space="preserve"> </w:t>
      </w:r>
      <w:r w:rsidR="002107D6" w:rsidRPr="008E13AE">
        <w:rPr>
          <w:i/>
          <w:noProof/>
          <w:lang w:val="en-US"/>
        </w:rPr>
        <w:t>transkul’turatsii</w:t>
      </w:r>
      <w:r w:rsidR="002107D6">
        <w:rPr>
          <w:lang w:val="en-US"/>
        </w:rPr>
        <w:t xml:space="preserve">, translated “Post-Soviet Literature and the Aesthetics of </w:t>
      </w:r>
      <w:r w:rsidR="002107D6" w:rsidRPr="008E13AE">
        <w:rPr>
          <w:noProof/>
          <w:lang w:val="en-US"/>
        </w:rPr>
        <w:t>Tra</w:t>
      </w:r>
      <w:r w:rsidR="008E13AE">
        <w:rPr>
          <w:noProof/>
          <w:lang w:val="en-US"/>
        </w:rPr>
        <w:t>ns</w:t>
      </w:r>
      <w:r w:rsidR="002107D6" w:rsidRPr="008E13AE">
        <w:rPr>
          <w:noProof/>
          <w:lang w:val="en-US"/>
        </w:rPr>
        <w:t>culturation</w:t>
      </w:r>
      <w:r w:rsidR="002107D6">
        <w:rPr>
          <w:lang w:val="en-US"/>
        </w:rPr>
        <w:t xml:space="preserve"> (Spivak et al., 2006)”. This was the first Russian work on theorizations of postcolonialism and globalization and is the start of Russian scholars beginning to engage with the discourse on postcolonialism (Spivak et al., 2006). </w:t>
      </w:r>
    </w:p>
    <w:p w14:paraId="57E8FC95" w14:textId="02279CEC" w:rsidR="00F36C4E" w:rsidRDefault="002107D6" w:rsidP="001A0527">
      <w:pPr>
        <w:rPr>
          <w:lang w:val="en-US"/>
        </w:rPr>
      </w:pPr>
      <w:r>
        <w:rPr>
          <w:lang w:val="en-US"/>
        </w:rPr>
        <w:t xml:space="preserve">Within this framework of post-Soviet post-colonialism, it is safe to explore Transnistria from </w:t>
      </w:r>
      <w:r w:rsidR="001E7AF7">
        <w:rPr>
          <w:lang w:val="en-US"/>
        </w:rPr>
        <w:t>a Russian postcolonial</w:t>
      </w:r>
      <w:r>
        <w:rPr>
          <w:lang w:val="en-US"/>
        </w:rPr>
        <w:t xml:space="preserve"> point of view. As was said, Transnistria </w:t>
      </w:r>
      <w:r w:rsidR="009D26A6">
        <w:rPr>
          <w:lang w:val="en-US"/>
        </w:rPr>
        <w:t xml:space="preserve">only belongs to Moldova since 1944, only a few years before the establishment of the Soviet Union. As a consequence of this, Transnistria was used to the Soviet </w:t>
      </w:r>
      <w:r w:rsidR="00135346">
        <w:rPr>
          <w:lang w:val="en-US"/>
        </w:rPr>
        <w:t xml:space="preserve">regime and has much more in common with Russia than with </w:t>
      </w:r>
      <w:r w:rsidR="001E7AF7">
        <w:rPr>
          <w:lang w:val="en-US"/>
        </w:rPr>
        <w:t xml:space="preserve">western orientated </w:t>
      </w:r>
      <w:r w:rsidR="00135346">
        <w:rPr>
          <w:lang w:val="en-US"/>
        </w:rPr>
        <w:t xml:space="preserve">Moldova. Russia knows this and strengthens this feeling by helping them when Transnistria declared its independence and supporting them afterwards with money, men, soldiers ‘keeping the region safe’, and weapons during the armed conflict between Transnistria and Moldova. </w:t>
      </w:r>
    </w:p>
    <w:p w14:paraId="410B6D1E" w14:textId="1126B1A6" w:rsidR="00C7293A" w:rsidRDefault="001E7AF7" w:rsidP="001A0527">
      <w:pPr>
        <w:rPr>
          <w:lang w:val="en-US"/>
        </w:rPr>
      </w:pPr>
      <w:r>
        <w:rPr>
          <w:lang w:val="en-US"/>
        </w:rPr>
        <w:t xml:space="preserve">This Russian help will now be further discussed, to </w:t>
      </w:r>
      <w:r w:rsidR="000E0CAE">
        <w:rPr>
          <w:lang w:val="en-US"/>
        </w:rPr>
        <w:t xml:space="preserve">get a clear view on the postcolonial influence of Russia in Transnistria and in the conflict between Transnistria and Moldova. </w:t>
      </w:r>
      <w:r w:rsidR="009D4C83">
        <w:rPr>
          <w:lang w:val="en-US"/>
        </w:rPr>
        <w:t>Russian leverage in Moldova and Transnistria is all based on economics, because of the weaknesses of the Moldovan and Transnistrian economies. Gas is a big issue between Moldova and Russia, with Russian Gazprom having a substantial stake in Moldova’s Moldovagaz.</w:t>
      </w:r>
      <w:r w:rsidR="000E0CAE">
        <w:rPr>
          <w:lang w:val="en-US"/>
        </w:rPr>
        <w:t xml:space="preserve"> </w:t>
      </w:r>
      <w:r w:rsidR="009D4C83">
        <w:rPr>
          <w:lang w:val="en-US"/>
        </w:rPr>
        <w:t xml:space="preserve">Russia uses this for their own geopolitical purposes. When Moldova enters the EAEU, they could receive cheaper gas. </w:t>
      </w:r>
      <w:r w:rsidR="002F0AB7">
        <w:rPr>
          <w:lang w:val="en-US"/>
        </w:rPr>
        <w:t>On the other hand, Russia also uses the gas prizes as a threat. If Moldova draws closer to the EU, this might affect the gas prices (Beyer &amp; Wolff, 2016). This is an example of how Russia uses its economic advantages for political purposes. Besides gas, Russia is the biggest single investor in Moldova and Moldova is highly dependent on remittance</w:t>
      </w:r>
      <w:r w:rsidR="00C7293A">
        <w:rPr>
          <w:lang w:val="en-US"/>
        </w:rPr>
        <w:t>s</w:t>
      </w:r>
      <w:r w:rsidR="002F0AB7">
        <w:rPr>
          <w:lang w:val="en-US"/>
        </w:rPr>
        <w:t xml:space="preserve"> sent back by Moldovans working in Russia (Beyer &amp; Wolff, 2016)</w:t>
      </w:r>
      <w:r w:rsidR="00C7293A">
        <w:rPr>
          <w:lang w:val="en-US"/>
        </w:rPr>
        <w:t xml:space="preserve">. Sometimes, Russia threatens to expel and repatriate these workers, which would be shattering the Moldovan economy. A lot of these threats were </w:t>
      </w:r>
      <w:r w:rsidR="00C7293A" w:rsidRPr="008E13AE">
        <w:rPr>
          <w:noProof/>
          <w:lang w:val="en-US"/>
        </w:rPr>
        <w:t>posed</w:t>
      </w:r>
      <w:r w:rsidR="00C7293A">
        <w:rPr>
          <w:lang w:val="en-US"/>
        </w:rPr>
        <w:t xml:space="preserve"> after </w:t>
      </w:r>
      <w:r w:rsidR="00C7293A" w:rsidRPr="008E13AE">
        <w:rPr>
          <w:noProof/>
          <w:lang w:val="en-US"/>
        </w:rPr>
        <w:t>2012</w:t>
      </w:r>
      <w:r w:rsidR="00C7293A">
        <w:rPr>
          <w:lang w:val="en-US"/>
        </w:rPr>
        <w:t xml:space="preserve"> when Moldova </w:t>
      </w:r>
      <w:r w:rsidR="00C7293A" w:rsidRPr="008E13AE">
        <w:rPr>
          <w:noProof/>
          <w:lang w:val="en-US"/>
        </w:rPr>
        <w:t>initia</w:t>
      </w:r>
      <w:r w:rsidR="008E13AE">
        <w:rPr>
          <w:noProof/>
          <w:lang w:val="en-US"/>
        </w:rPr>
        <w:t>l</w:t>
      </w:r>
      <w:r w:rsidR="00C7293A" w:rsidRPr="008E13AE">
        <w:rPr>
          <w:noProof/>
          <w:lang w:val="en-US"/>
        </w:rPr>
        <w:t>led</w:t>
      </w:r>
      <w:r w:rsidR="00C7293A">
        <w:rPr>
          <w:lang w:val="en-US"/>
        </w:rPr>
        <w:t xml:space="preserve"> the Association Agreement and DCFTA with the EU. (Beyer &amp; Wolff, 2016). However, up to now, Russia has not really acted on the threats and Moldova sticks to their pro-EU course, but the threats have contributed to the consolidation and enhancement of the significant linkages between Russia and Moldova (Beyer &amp; Wolff, 2016). </w:t>
      </w:r>
    </w:p>
    <w:p w14:paraId="44BBBBC9" w14:textId="6BE51859" w:rsidR="001E7AF7" w:rsidRDefault="008C06B8" w:rsidP="001A0527">
      <w:pPr>
        <w:rPr>
          <w:lang w:val="en-US"/>
        </w:rPr>
      </w:pPr>
      <w:r>
        <w:rPr>
          <w:lang w:val="en-US"/>
        </w:rPr>
        <w:lastRenderedPageBreak/>
        <w:t xml:space="preserve">Russia also uses the Transnistrian conflict to keep the region far from stable. It has extensively supported Transnistria in fighting for its independence. On the other hand, in </w:t>
      </w:r>
      <w:r w:rsidRPr="008E13AE">
        <w:rPr>
          <w:noProof/>
          <w:lang w:val="en-US"/>
        </w:rPr>
        <w:t>negotiations</w:t>
      </w:r>
      <w:r w:rsidR="008E13AE">
        <w:rPr>
          <w:noProof/>
          <w:lang w:val="en-US"/>
        </w:rPr>
        <w:t>,</w:t>
      </w:r>
      <w:r>
        <w:rPr>
          <w:lang w:val="en-US"/>
        </w:rPr>
        <w:t xml:space="preserve"> Russia say they support a settlement that respects the sovereignty and territorial integrity of Moldova within its pre-conflict borders (Beyer &amp; Wolff, 2016). Besides, Russia has not recognized Transnistria as an independent state. It is generally assumed that Russia wants Transnistria to reintegrate in Moldova on Russian </w:t>
      </w:r>
      <w:r w:rsidRPr="008E13AE">
        <w:rPr>
          <w:noProof/>
          <w:lang w:val="en-US"/>
        </w:rPr>
        <w:t>terms</w:t>
      </w:r>
      <w:r>
        <w:rPr>
          <w:lang w:val="en-US"/>
        </w:rPr>
        <w:t xml:space="preserve"> so that Russia’s influence in the whole of Moldova will increase (Beyer &amp; Wolff, 2016). </w:t>
      </w:r>
    </w:p>
    <w:p w14:paraId="38B36FB7" w14:textId="7F4BD387" w:rsidR="008E452D" w:rsidRDefault="008E452D" w:rsidP="001A0527">
      <w:pPr>
        <w:rPr>
          <w:lang w:val="en-US"/>
        </w:rPr>
      </w:pPr>
      <w:r>
        <w:rPr>
          <w:lang w:val="en-US"/>
        </w:rPr>
        <w:t xml:space="preserve">This leverage of Russia on Moldova through the Transnistrian conflict can be maintained because of the dependence of Transnistria on Moldova. The Transnistrian economy would collapse without the Russian aid. </w:t>
      </w:r>
      <w:r w:rsidRPr="008E13AE">
        <w:rPr>
          <w:noProof/>
          <w:lang w:val="en-US"/>
        </w:rPr>
        <w:t>Beside</w:t>
      </w:r>
      <w:r w:rsidR="008E13AE">
        <w:rPr>
          <w:noProof/>
          <w:lang w:val="en-US"/>
        </w:rPr>
        <w:t>s</w:t>
      </w:r>
      <w:r>
        <w:rPr>
          <w:lang w:val="en-US"/>
        </w:rPr>
        <w:t xml:space="preserve"> the money Transnistria receives from Russia, they also receive cheap gas. Without this cheap gas, production and</w:t>
      </w:r>
      <w:r w:rsidR="00744530">
        <w:rPr>
          <w:lang w:val="en-US"/>
        </w:rPr>
        <w:t xml:space="preserve"> manufacturing would not be profitable (Beyer &amp; Wolff, 2016). But, with </w:t>
      </w:r>
      <w:r w:rsidR="00744530" w:rsidRPr="008E13AE">
        <w:rPr>
          <w:noProof/>
          <w:lang w:val="en-US"/>
        </w:rPr>
        <w:t>Transnistria</w:t>
      </w:r>
      <w:r w:rsidR="008E13AE">
        <w:rPr>
          <w:noProof/>
          <w:lang w:val="en-US"/>
        </w:rPr>
        <w:t>,</w:t>
      </w:r>
      <w:r w:rsidR="00744530">
        <w:rPr>
          <w:lang w:val="en-US"/>
        </w:rPr>
        <w:t xml:space="preserve"> it is not only economics that </w:t>
      </w:r>
      <w:r w:rsidR="00744530" w:rsidRPr="008E13AE">
        <w:rPr>
          <w:noProof/>
          <w:lang w:val="en-US"/>
        </w:rPr>
        <w:t>pressure</w:t>
      </w:r>
      <w:r w:rsidR="008E13AE">
        <w:rPr>
          <w:noProof/>
          <w:lang w:val="en-US"/>
        </w:rPr>
        <w:t>s</w:t>
      </w:r>
      <w:r w:rsidR="00744530">
        <w:rPr>
          <w:lang w:val="en-US"/>
        </w:rPr>
        <w:t xml:space="preserve"> them. There are serious social, cultural and political links between Russia and Transnistria as well. This social and cultural link with Russia </w:t>
      </w:r>
      <w:r w:rsidR="00FA7523">
        <w:rPr>
          <w:lang w:val="en-US"/>
        </w:rPr>
        <w:t xml:space="preserve">is opposed to the ‘Romanianization’ of Moldova and with that Transnistria. The Transnistrian fear for Romanianization and the pro-EU attitude of Moldova pushes Transnistria towards Russia. Transnistria fears that closer links to the EU would have a damaging impact on the Transnistrian economy, its residents’ living standards and their cultural identity (Beyer &amp; Wolff, 2016). </w:t>
      </w:r>
    </w:p>
    <w:p w14:paraId="41586AC7" w14:textId="6A1270FB" w:rsidR="008C06B8" w:rsidRDefault="008D2867" w:rsidP="001A0527">
      <w:pPr>
        <w:rPr>
          <w:lang w:val="en-US"/>
        </w:rPr>
      </w:pPr>
      <w:r>
        <w:rPr>
          <w:lang w:val="en-US"/>
        </w:rPr>
        <w:t>Relating this to post-colonialism</w:t>
      </w:r>
      <w:r w:rsidR="00F9580E">
        <w:rPr>
          <w:lang w:val="en-US"/>
        </w:rPr>
        <w:t xml:space="preserve">, it becomes clear that Russian influence in the Transnistrian conflict is very big. Russia uses the conflict to influence both Moldovan and Transnistrian politics and does this in a very clever way. As a former Soviet state, Moldova is forced to maintain the links with Russia, although Moldova would rather become an EU member state and get free from its Soviet history. However, Moldova also does not want to give up Transnistria, which feels a deep link to Russia and is not interested in the EU. Transnistria shows real ‘colonized’ </w:t>
      </w:r>
      <w:r w:rsidR="00F9580E" w:rsidRPr="008E13AE">
        <w:rPr>
          <w:noProof/>
          <w:lang w:val="en-US"/>
        </w:rPr>
        <w:t>behavio</w:t>
      </w:r>
      <w:r w:rsidR="008E13AE">
        <w:rPr>
          <w:noProof/>
          <w:lang w:val="en-US"/>
        </w:rPr>
        <w:t>u</w:t>
      </w:r>
      <w:r w:rsidR="00F9580E" w:rsidRPr="008E13AE">
        <w:rPr>
          <w:noProof/>
          <w:lang w:val="en-US"/>
        </w:rPr>
        <w:t>r</w:t>
      </w:r>
      <w:r w:rsidR="00F9580E">
        <w:rPr>
          <w:lang w:val="en-US"/>
        </w:rPr>
        <w:t xml:space="preserve"> in the way that it still feels connected to Russia and would like to become part of Russia. </w:t>
      </w:r>
    </w:p>
    <w:p w14:paraId="7E804B3A" w14:textId="77777777" w:rsidR="00F36C4E" w:rsidRDefault="00F36C4E" w:rsidP="00F36C4E">
      <w:pPr>
        <w:pStyle w:val="Kop2"/>
        <w:numPr>
          <w:ilvl w:val="1"/>
          <w:numId w:val="1"/>
        </w:numPr>
        <w:rPr>
          <w:lang w:val="en-US"/>
        </w:rPr>
      </w:pPr>
      <w:bookmarkStart w:id="43" w:name="_Toc517985362"/>
      <w:r>
        <w:rPr>
          <w:lang w:val="en-US"/>
        </w:rPr>
        <w:t>European neo-imperialism</w:t>
      </w:r>
      <w:bookmarkEnd w:id="43"/>
    </w:p>
    <w:p w14:paraId="75D4EE55" w14:textId="0AFEEBDD" w:rsidR="00760852" w:rsidRDefault="009D26A6" w:rsidP="00D55B7F">
      <w:pPr>
        <w:rPr>
          <w:lang w:val="en-US"/>
        </w:rPr>
      </w:pPr>
      <w:r>
        <w:rPr>
          <w:lang w:val="en-US"/>
        </w:rPr>
        <w:t xml:space="preserve"> </w:t>
      </w:r>
      <w:r w:rsidR="00F9580E">
        <w:rPr>
          <w:lang w:val="en-US"/>
        </w:rPr>
        <w:t xml:space="preserve">The Russian post-colonial influence in the Transnistrian conflict has become clear. In this paragraph, the focus will be on the ways in which the EU influences the conflict and both countries involved. </w:t>
      </w:r>
      <w:r w:rsidR="00D55B7F">
        <w:rPr>
          <w:lang w:val="en-US"/>
        </w:rPr>
        <w:t xml:space="preserve">In doing this, there will be a focus on the </w:t>
      </w:r>
      <w:r w:rsidR="00D55B7F" w:rsidRPr="008E1FBB">
        <w:rPr>
          <w:noProof/>
          <w:lang w:val="en-US"/>
        </w:rPr>
        <w:t>neo-imperialism</w:t>
      </w:r>
      <w:r w:rsidR="00D55B7F">
        <w:rPr>
          <w:lang w:val="en-US"/>
        </w:rPr>
        <w:t xml:space="preserve"> </w:t>
      </w:r>
      <w:r w:rsidR="008E1FBB">
        <w:rPr>
          <w:lang w:val="en-US"/>
        </w:rPr>
        <w:t xml:space="preserve">as </w:t>
      </w:r>
      <w:r w:rsidR="00D55B7F">
        <w:rPr>
          <w:lang w:val="en-US"/>
        </w:rPr>
        <w:t xml:space="preserve">explained by </w:t>
      </w:r>
      <w:r w:rsidR="00D55B7F">
        <w:rPr>
          <w:lang w:val="en-US"/>
        </w:rPr>
        <w:lastRenderedPageBreak/>
        <w:t xml:space="preserve">Borosz (2001), which was described in the theoretical framework in chapter two. </w:t>
      </w:r>
      <w:r w:rsidR="00F8506D">
        <w:rPr>
          <w:lang w:val="en-US"/>
        </w:rPr>
        <w:t>Here, Borosz called the imperi</w:t>
      </w:r>
      <w:r w:rsidR="00D55B7F">
        <w:rPr>
          <w:lang w:val="en-US"/>
        </w:rPr>
        <w:t xml:space="preserve">al European </w:t>
      </w:r>
      <w:r w:rsidR="00F8506D">
        <w:rPr>
          <w:lang w:val="en-US"/>
        </w:rPr>
        <w:t>eastern politics “Eastern Enlargement”, by which he meant the geopolitical process “wherein the European Union explicitly and repeatedly rethinks the question of its borders and constantly refashions its relation to its immediate hinterland by a multidimensional system of dependence.”</w:t>
      </w:r>
    </w:p>
    <w:p w14:paraId="24E871AD" w14:textId="49998561" w:rsidR="00F8506D" w:rsidRDefault="00F8506D" w:rsidP="00D55B7F">
      <w:pPr>
        <w:rPr>
          <w:lang w:val="en-US"/>
        </w:rPr>
      </w:pPr>
      <w:r>
        <w:rPr>
          <w:lang w:val="en-US"/>
        </w:rPr>
        <w:t>The European Union did not have a lot of attention for Moldova during the 1990s and the first half of the 2000s. There was hardly any European presence on the ground and relatively limited spending, with the EU ‘only’ spending 320 million euro’s between 1991 and 2006, approximately 20 million per year (Beyer &amp; Wolff, 2006). This lack of attention within the EU was also visible in earlier chapters, as the EU did not get involved in the early stages of negotiations after the conflict. However, this is also partly logical, given that Moldova only became an EU neighbouring country after the big expansion of 2004</w:t>
      </w:r>
      <w:r w:rsidR="003C7366">
        <w:rPr>
          <w:lang w:val="en-US"/>
        </w:rPr>
        <w:t xml:space="preserve"> and the membership of Romania and Bulgaria in 2007</w:t>
      </w:r>
      <w:r>
        <w:rPr>
          <w:lang w:val="en-US"/>
        </w:rPr>
        <w:t>. Nonetheless, with the start of the ENP, the governing of neighbour states</w:t>
      </w:r>
      <w:r w:rsidR="003C7366">
        <w:rPr>
          <w:lang w:val="en-US"/>
        </w:rPr>
        <w:t>, and thus Moldova,</w:t>
      </w:r>
      <w:r>
        <w:rPr>
          <w:lang w:val="en-US"/>
        </w:rPr>
        <w:t xml:space="preserve"> came to the attention.    </w:t>
      </w:r>
    </w:p>
    <w:p w14:paraId="58AC23BB" w14:textId="77777777" w:rsidR="003C7366" w:rsidRDefault="003C7366" w:rsidP="00760852">
      <w:pPr>
        <w:rPr>
          <w:lang w:val="en-US"/>
        </w:rPr>
      </w:pPr>
      <w:r>
        <w:rPr>
          <w:lang w:val="en-US"/>
        </w:rPr>
        <w:t xml:space="preserve">With these Eastern member states, a more active policy regarding Moldova emerged. This was visible in the amount of money that went to Moldova compared to earlier on. In 2013, Moldova received 131 million euro’s, which is roughly more than six times as much as they received before the eastern expansion (Beyer &amp; Wolff, 2016). Besides, the presence of the EU and its member states increased in Moldova. This increased presence, funding and engagement also caught the attention of Russia, as we saw in the previous paragraph. </w:t>
      </w:r>
    </w:p>
    <w:p w14:paraId="129F7FE8" w14:textId="2C156BAF" w:rsidR="003C7366" w:rsidRDefault="003C7366" w:rsidP="00760852">
      <w:pPr>
        <w:rPr>
          <w:lang w:val="en-US"/>
        </w:rPr>
      </w:pPr>
      <w:r>
        <w:rPr>
          <w:lang w:val="en-US"/>
        </w:rPr>
        <w:t>The EU also got involved with the Transnistrian conflict after it had left the conflict settlement process to the OSCE for the first ten years. In 2002, the EU first sent representatives to the negotiations between Transnistria and Moldova.</w:t>
      </w:r>
      <w:r w:rsidR="00686990">
        <w:rPr>
          <w:lang w:val="en-US"/>
        </w:rPr>
        <w:t xml:space="preserve"> The involvement of the EU and Romania in the conflict made the conflict a challenge for the EU’s to create a stable neighbourhood (Beyer &amp; Wolff, 2016). </w:t>
      </w:r>
      <w:r w:rsidR="00F15A37">
        <w:rPr>
          <w:lang w:val="en-US"/>
        </w:rPr>
        <w:t>An important example of the influence of the EU on Moldova is again the Kozak memorandum. The EU and USA convinced Moldovan president Vo</w:t>
      </w:r>
      <w:r w:rsidR="004D0E5F">
        <w:rPr>
          <w:lang w:val="en-US"/>
        </w:rPr>
        <w:t xml:space="preserve">ronin not to sign it since their view was that the agreement would give Transnistria (and thus Russia) a disproportionate advantage in key government and policy decision making (Beyer &amp; Wolff, 2016). </w:t>
      </w:r>
      <w:r w:rsidR="00686990">
        <w:rPr>
          <w:lang w:val="en-US"/>
        </w:rPr>
        <w:t xml:space="preserve"> </w:t>
      </w:r>
    </w:p>
    <w:p w14:paraId="4EF1C9DA" w14:textId="77777777" w:rsidR="008D567F" w:rsidRDefault="004D0E5F" w:rsidP="00760852">
      <w:pPr>
        <w:rPr>
          <w:lang w:val="en-US"/>
        </w:rPr>
      </w:pPr>
      <w:r>
        <w:rPr>
          <w:lang w:val="en-US"/>
        </w:rPr>
        <w:lastRenderedPageBreak/>
        <w:t>In not signing the Kozak plan, Moldova had practically chosen the EU side and thus committed to a pro-European policy. This marked the beginning of an increasing linkage across different sectors between the EU and Moldova, both in absolute terms as relative to Russian influence. With the deal on the Association Agreement and the DCFTA, Moldova’s orientation towards the EU became very clear</w:t>
      </w:r>
      <w:r w:rsidR="008D567F">
        <w:rPr>
          <w:lang w:val="en-US"/>
        </w:rPr>
        <w:t>, despite Russian threats of problems to come if Moldova would sign with Europe and not with the Russian EAEU (Beyer &amp; Wolff, 2016)</w:t>
      </w:r>
      <w:r>
        <w:rPr>
          <w:lang w:val="en-US"/>
        </w:rPr>
        <w:t>.</w:t>
      </w:r>
    </w:p>
    <w:p w14:paraId="09FEB65E" w14:textId="239DA119" w:rsidR="004D0E5F" w:rsidRDefault="002D44A8" w:rsidP="00760852">
      <w:pPr>
        <w:rPr>
          <w:lang w:val="en-US"/>
        </w:rPr>
      </w:pPr>
      <w:r>
        <w:rPr>
          <w:lang w:val="en-US"/>
        </w:rPr>
        <w:t xml:space="preserve">The EU’s influence in Transnistria is much more limited than that in Moldova. Since it only got involved with Transnistria years after the conflict had started it had to catch up on the conflict. The EU became part of the OSCE-led sessions and installed a ‘Special Representative for Moldova’ to be concerned with the Transnistria issue. This </w:t>
      </w:r>
      <w:r w:rsidRPr="008E13AE">
        <w:rPr>
          <w:noProof/>
          <w:lang w:val="en-US"/>
        </w:rPr>
        <w:t>enable</w:t>
      </w:r>
      <w:r w:rsidR="008E13AE">
        <w:rPr>
          <w:noProof/>
          <w:lang w:val="en-US"/>
        </w:rPr>
        <w:t>s</w:t>
      </w:r>
      <w:r>
        <w:rPr>
          <w:lang w:val="en-US"/>
        </w:rPr>
        <w:t xml:space="preserve"> the EU to start contact with Transnistrian leaders and start its own </w:t>
      </w:r>
      <w:r w:rsidRPr="008E13AE">
        <w:rPr>
          <w:noProof/>
          <w:lang w:val="en-US"/>
        </w:rPr>
        <w:t>confidence</w:t>
      </w:r>
      <w:r w:rsidR="008E13AE">
        <w:rPr>
          <w:noProof/>
          <w:lang w:val="en-US"/>
        </w:rPr>
        <w:t>-</w:t>
      </w:r>
      <w:r w:rsidRPr="008E13AE">
        <w:rPr>
          <w:noProof/>
          <w:lang w:val="en-US"/>
        </w:rPr>
        <w:t>building</w:t>
      </w:r>
      <w:r>
        <w:rPr>
          <w:lang w:val="en-US"/>
        </w:rPr>
        <w:t xml:space="preserve"> measures (Beyer &amp; Wolff, 2016). However, when talks in the beginning years were unsuccessful, the EU’s new strategy was to create linkages on the ground, by creating western-style institutions in Ukraine and Moldova and by gaining control for Moldova over the border between Transnistria and Ukraine through the EUBAM policy (Beyer &amp; Wolff, 2016). Because of the control that Moldova (with EU help) now had over the border, Moldova was able to implement an agreement under which Ukraine only recognizes Chisinau’s </w:t>
      </w:r>
      <w:r w:rsidRPr="008E13AE">
        <w:rPr>
          <w:noProof/>
          <w:lang w:val="en-US"/>
        </w:rPr>
        <w:t>custom</w:t>
      </w:r>
      <w:r w:rsidR="008E13AE">
        <w:rPr>
          <w:noProof/>
          <w:lang w:val="en-US"/>
        </w:rPr>
        <w:t>s</w:t>
      </w:r>
      <w:r>
        <w:rPr>
          <w:lang w:val="en-US"/>
        </w:rPr>
        <w:t xml:space="preserve"> documents. This meant that for Transnistrian companies to be able to export to Ukraine, they had </w:t>
      </w:r>
      <w:r w:rsidR="005D330A">
        <w:rPr>
          <w:lang w:val="en-US"/>
        </w:rPr>
        <w:t xml:space="preserve">to be registered in Chisinau. This enlarged the influence the EU had in Transnistria and it also increased economic links between the EU and Transnistria, as 29% of Transnistrian exports went to EU markets in 2012 (Beyer &amp; Wolff, 2012), which was higher than the 22.2% going to Russia. This meant that Transnistria became very dependent </w:t>
      </w:r>
      <w:r w:rsidR="005D330A" w:rsidRPr="008E13AE">
        <w:rPr>
          <w:noProof/>
          <w:lang w:val="en-US"/>
        </w:rPr>
        <w:t>of</w:t>
      </w:r>
      <w:r w:rsidR="005D330A">
        <w:rPr>
          <w:lang w:val="en-US"/>
        </w:rPr>
        <w:t xml:space="preserve"> the DCFTA between the EU and Moldova. </w:t>
      </w:r>
    </w:p>
    <w:p w14:paraId="25C2F557" w14:textId="0791347D" w:rsidR="005D330A" w:rsidRDefault="005D330A" w:rsidP="00760852">
      <w:pPr>
        <w:rPr>
          <w:lang w:val="en-US"/>
        </w:rPr>
      </w:pPr>
      <w:r>
        <w:rPr>
          <w:lang w:val="en-US"/>
        </w:rPr>
        <w:t xml:space="preserve">However, all the European influence in Transnistria discussed up to now is almost all economic. Politically seen, the EU influence is very little. As the EU still wants Transnistria to be part of Moldova they have little to offer to Transnistria in the sense of political cooperation, especially opposed to the influence that Russia has, with Transnistrian government and inhabitants continuing to be more oriented towards Russia. One part where the EU is succeeding in creating linkages is in the contact between people on both banks of the Dniester river, within the “Transnistrian Dialogues” concept (Beyer &amp; Wolff, 2016). </w:t>
      </w:r>
    </w:p>
    <w:p w14:paraId="20A95E3A" w14:textId="171AA292" w:rsidR="00F7448C" w:rsidRDefault="005D330A" w:rsidP="00760852">
      <w:pPr>
        <w:rPr>
          <w:lang w:val="en-US"/>
        </w:rPr>
      </w:pPr>
      <w:r>
        <w:rPr>
          <w:lang w:val="en-US"/>
        </w:rPr>
        <w:lastRenderedPageBreak/>
        <w:t xml:space="preserve">The EU aims to create better linkages with Moldova and Transnistria has not been successful yet in the </w:t>
      </w:r>
      <w:r w:rsidR="00F7448C">
        <w:rPr>
          <w:lang w:val="en-US"/>
        </w:rPr>
        <w:t xml:space="preserve">settlement of the conflict. It might even be said that it has had a negative influence on the settlement process. With Moldova becoming more and more linked to the EU under the ENP and the Eastern Partnership, the gap between Moldova and Transnistria is only getting bigger. Especially with Russian influence in Transnistria, a settlement for the conflict in which Transnistria comes to belong to Moldova seems not to have come any closer over the years. </w:t>
      </w:r>
    </w:p>
    <w:p w14:paraId="73DB8896" w14:textId="64E526E2" w:rsidR="00F7448C" w:rsidRDefault="00F7448C" w:rsidP="00760852">
      <w:pPr>
        <w:rPr>
          <w:lang w:val="en-US"/>
        </w:rPr>
      </w:pPr>
      <w:r>
        <w:rPr>
          <w:lang w:val="en-US"/>
        </w:rPr>
        <w:t xml:space="preserve">Concluding, it can be said that the big European expansion to the east in 2004 can be seen as a neo-imperial activity. With the EU trying to increase its governance in the Eastern Partnership countries, this can also be seen as part of this European imperial program. It has become clear that this program succeeds in </w:t>
      </w:r>
      <w:r w:rsidRPr="008E13AE">
        <w:rPr>
          <w:noProof/>
          <w:lang w:val="en-US"/>
        </w:rPr>
        <w:t>Moldova</w:t>
      </w:r>
      <w:r>
        <w:rPr>
          <w:lang w:val="en-US"/>
        </w:rPr>
        <w:t xml:space="preserve"> but definitely does not succeed in Transnistria. The gap between both sides of the Dniester seems to be too big to reach an easy settlement. Plus, the big western influences in Moldova and the big Russian influence in Transnistria makes it a conflict between the EU and US on one side and Russia on the other side. A solution for such a conflict cannot be found through simple negotiations in OSCE-led sessions.  </w:t>
      </w:r>
    </w:p>
    <w:p w14:paraId="721F7380" w14:textId="77777777" w:rsidR="00F7448C" w:rsidRDefault="00F7448C">
      <w:pPr>
        <w:spacing w:before="0" w:after="160" w:line="312" w:lineRule="auto"/>
        <w:rPr>
          <w:rFonts w:asciiTheme="majorHAnsi" w:eastAsiaTheme="majorEastAsia" w:hAnsiTheme="majorHAnsi" w:cstheme="majorBidi"/>
          <w:caps/>
          <w:spacing w:val="10"/>
          <w:sz w:val="36"/>
          <w:szCs w:val="36"/>
          <w:lang w:val="en-US"/>
        </w:rPr>
      </w:pPr>
      <w:r>
        <w:rPr>
          <w:lang w:val="en-US"/>
        </w:rPr>
        <w:br w:type="page"/>
      </w:r>
    </w:p>
    <w:p w14:paraId="6F558599" w14:textId="6BD2BA29" w:rsidR="00312812" w:rsidRDefault="00312812" w:rsidP="00A865EB">
      <w:pPr>
        <w:pStyle w:val="Kop1"/>
        <w:numPr>
          <w:ilvl w:val="0"/>
          <w:numId w:val="1"/>
        </w:numPr>
        <w:spacing w:line="360" w:lineRule="auto"/>
        <w:rPr>
          <w:lang w:val="en-US"/>
        </w:rPr>
      </w:pPr>
      <w:bookmarkStart w:id="44" w:name="_Toc517985363"/>
      <w:r w:rsidRPr="00D82AA0">
        <w:rPr>
          <w:lang w:val="en-US"/>
        </w:rPr>
        <w:lastRenderedPageBreak/>
        <w:t>Conclus</w:t>
      </w:r>
      <w:r w:rsidR="0027152B">
        <w:rPr>
          <w:lang w:val="en-US"/>
        </w:rPr>
        <w:t>ion</w:t>
      </w:r>
      <w:bookmarkEnd w:id="44"/>
    </w:p>
    <w:p w14:paraId="20AC70E6" w14:textId="659ACE9A" w:rsidR="00B67689" w:rsidRDefault="00B67689" w:rsidP="0027152B">
      <w:pPr>
        <w:rPr>
          <w:lang w:val="en-US"/>
        </w:rPr>
      </w:pPr>
      <w:r>
        <w:rPr>
          <w:lang w:val="en-US"/>
        </w:rPr>
        <w:t xml:space="preserve">In this </w:t>
      </w:r>
      <w:r w:rsidRPr="008E13AE">
        <w:rPr>
          <w:noProof/>
          <w:lang w:val="en-US"/>
        </w:rPr>
        <w:t>conclusion</w:t>
      </w:r>
      <w:r w:rsidR="008E13AE">
        <w:rPr>
          <w:noProof/>
          <w:lang w:val="en-US"/>
        </w:rPr>
        <w:t>,</w:t>
      </w:r>
      <w:r>
        <w:rPr>
          <w:lang w:val="en-US"/>
        </w:rPr>
        <w:t xml:space="preserve"> the main question of this thesis will be answered by moving through the several </w:t>
      </w:r>
      <w:r w:rsidRPr="008E13AE">
        <w:rPr>
          <w:noProof/>
          <w:lang w:val="en-US"/>
        </w:rPr>
        <w:t>sub</w:t>
      </w:r>
      <w:r w:rsidR="008E13AE">
        <w:rPr>
          <w:noProof/>
          <w:lang w:val="en-US"/>
        </w:rPr>
        <w:t>-</w:t>
      </w:r>
      <w:r w:rsidRPr="008E13AE">
        <w:rPr>
          <w:noProof/>
          <w:lang w:val="en-US"/>
        </w:rPr>
        <w:t>questions</w:t>
      </w:r>
      <w:r>
        <w:rPr>
          <w:lang w:val="en-US"/>
        </w:rPr>
        <w:t xml:space="preserve">. This main question was as follows: </w:t>
      </w:r>
      <w:r>
        <w:rPr>
          <w:i/>
          <w:lang w:val="en-US"/>
        </w:rPr>
        <w:t>How does the European Union use geopolitics, focusing on the European Neighbourhood Policy, in the Transnistria region in Moldova?</w:t>
      </w:r>
    </w:p>
    <w:p w14:paraId="05E598B5" w14:textId="66AB3956" w:rsidR="00B67689" w:rsidRDefault="0011433D" w:rsidP="0027152B">
      <w:pPr>
        <w:rPr>
          <w:lang w:val="en-US"/>
        </w:rPr>
      </w:pPr>
      <w:r>
        <w:rPr>
          <w:lang w:val="en-US"/>
        </w:rPr>
        <w:t xml:space="preserve">The research was started by understanding the history of Transnistria and Moldova, and the ways in which it was linked to other regions throughout the past. This was done to get a clear view on why some of the links that now still exist were created in the past. Here, it was also discussed how the Transnistria region was created, how it came to declare itself independent and what the consequences of this were. Transnistria was only part of Moldova since 1944 and </w:t>
      </w:r>
      <w:r w:rsidR="006C624D">
        <w:rPr>
          <w:lang w:val="en-US"/>
        </w:rPr>
        <w:t xml:space="preserve">most of the years under the Moldovan regime, it was part of the Soviet Union. This is a big cause for the fact that Transnistrians do not feel a link with Moldova. Especially, when the link is compared to the bond Transnistrians feel with Russia. When this became clear, the short conflict and the lack of progress after the ceasefire were discussed. There have been numerous attempts to create a framework in which a settlement for the conflict could be discussed. However, as could be seen later, with the influence and different interests of the EU and Russia, progress in the settlement of the conflict was extremely hard. </w:t>
      </w:r>
      <w:r w:rsidR="004A19FB">
        <w:rPr>
          <w:lang w:val="en-US"/>
        </w:rPr>
        <w:t xml:space="preserve">This lack of progress results in the fact that the current state of affairs in Transnistria is not extremely different than it was two decades ago. Moldova does not want to give Transnistria up and Transnistria does not want to be part of Moldova anymore, and would actually like to belong to Russia. However, not one country, not even Russia, has recognized Transnistria as an independent country. All of this creates a status quo which is hard to break through. </w:t>
      </w:r>
    </w:p>
    <w:p w14:paraId="51C388C9" w14:textId="008DC372" w:rsidR="004A19FB" w:rsidRDefault="004A19FB" w:rsidP="0027152B">
      <w:pPr>
        <w:rPr>
          <w:lang w:val="en-US"/>
        </w:rPr>
      </w:pPr>
      <w:r>
        <w:rPr>
          <w:lang w:val="en-US"/>
        </w:rPr>
        <w:t xml:space="preserve">When the history and the current state of Transnistria were clear, the framework for the rest of the research was also clear. So, in the next chapter, the focus went to the different cooperation programs and joint declarations between the EU, its member states, Moldova and the Eastern Partnership. </w:t>
      </w:r>
      <w:r w:rsidR="007E08DC">
        <w:rPr>
          <w:lang w:val="en-US"/>
        </w:rPr>
        <w:t>This was done</w:t>
      </w:r>
      <w:r w:rsidR="00B3545C">
        <w:rPr>
          <w:lang w:val="en-US"/>
        </w:rPr>
        <w:t xml:space="preserve"> by an </w:t>
      </w:r>
      <w:r w:rsidR="00B3545C" w:rsidRPr="008E13AE">
        <w:rPr>
          <w:noProof/>
          <w:lang w:val="en-US"/>
        </w:rPr>
        <w:t>in</w:t>
      </w:r>
      <w:r w:rsidR="008E13AE">
        <w:rPr>
          <w:noProof/>
          <w:lang w:val="en-US"/>
        </w:rPr>
        <w:t>-</w:t>
      </w:r>
      <w:r w:rsidR="00B3545C" w:rsidRPr="008E13AE">
        <w:rPr>
          <w:noProof/>
          <w:lang w:val="en-US"/>
        </w:rPr>
        <w:t>depth</w:t>
      </w:r>
      <w:r w:rsidR="00B3545C">
        <w:rPr>
          <w:lang w:val="en-US"/>
        </w:rPr>
        <w:t xml:space="preserve"> analysis of ENP </w:t>
      </w:r>
      <w:r w:rsidR="00B3545C" w:rsidRPr="008E13AE">
        <w:rPr>
          <w:noProof/>
          <w:lang w:val="en-US"/>
        </w:rPr>
        <w:t>documents</w:t>
      </w:r>
      <w:r w:rsidR="007E08DC">
        <w:rPr>
          <w:lang w:val="en-US"/>
        </w:rPr>
        <w:t xml:space="preserve"> because the goal of the research was to focus on the European Neighbourhood Policy. </w:t>
      </w:r>
      <w:r w:rsidR="009274E0">
        <w:rPr>
          <w:lang w:val="en-US"/>
        </w:rPr>
        <w:t xml:space="preserve">However, as part of the ENP, there were a lot of bilateral agreements to understand. To get a hold of all those agreements, only the goals in which Transnistria was named were taken into account. Out of </w:t>
      </w:r>
      <w:r w:rsidR="00CC2C27">
        <w:rPr>
          <w:lang w:val="en-US"/>
        </w:rPr>
        <w:t xml:space="preserve">the analysis of the </w:t>
      </w:r>
      <w:r w:rsidR="00CC2C27">
        <w:rPr>
          <w:lang w:val="en-US"/>
        </w:rPr>
        <w:lastRenderedPageBreak/>
        <w:t>different bilateral agreements</w:t>
      </w:r>
      <w:r w:rsidR="009274E0">
        <w:rPr>
          <w:lang w:val="en-US"/>
        </w:rPr>
        <w:t>, it bec</w:t>
      </w:r>
      <w:r w:rsidR="0038739C">
        <w:rPr>
          <w:lang w:val="en-US"/>
        </w:rPr>
        <w:t xml:space="preserve">ame clear that the EU often uses the same ways of formulating their policy goals. </w:t>
      </w:r>
      <w:r w:rsidR="00CC2C27">
        <w:rPr>
          <w:lang w:val="en-US"/>
        </w:rPr>
        <w:t>Examples of the use of geopolitics in their general policy goals are the following:</w:t>
      </w:r>
    </w:p>
    <w:p w14:paraId="68E70AD6" w14:textId="437C4CC1" w:rsidR="00CC2C27" w:rsidRDefault="00CC2C27" w:rsidP="00CC2C27">
      <w:pPr>
        <w:pStyle w:val="Lijstalinea"/>
        <w:numPr>
          <w:ilvl w:val="0"/>
          <w:numId w:val="9"/>
        </w:numPr>
        <w:rPr>
          <w:lang w:val="en-US"/>
        </w:rPr>
      </w:pPr>
      <w:r>
        <w:rPr>
          <w:lang w:val="en-US"/>
        </w:rPr>
        <w:t>“The perspective of moving beyond cooperation to a significant degree of integration, including through a stake in the EU’s Internal Market, and the possibility for Moldova to participate progressively in key aspects of EU policies and programmes” (European Commission, 2004)</w:t>
      </w:r>
    </w:p>
    <w:p w14:paraId="3CBDB9C4" w14:textId="19F57A80" w:rsidR="00141ADD" w:rsidRDefault="00141ADD" w:rsidP="00141ADD">
      <w:pPr>
        <w:pStyle w:val="Lijstalinea"/>
        <w:numPr>
          <w:ilvl w:val="0"/>
          <w:numId w:val="9"/>
        </w:numPr>
        <w:rPr>
          <w:lang w:val="en-US"/>
        </w:rPr>
      </w:pPr>
      <w:r>
        <w:rPr>
          <w:lang w:val="en-US"/>
        </w:rPr>
        <w:t xml:space="preserve">“Deepening trade and economic relations” (European Commission, 2004) </w:t>
      </w:r>
    </w:p>
    <w:p w14:paraId="796938C5" w14:textId="78C6549B" w:rsidR="00141ADD" w:rsidRDefault="00141ADD" w:rsidP="00141ADD">
      <w:pPr>
        <w:pStyle w:val="Lijstalinea"/>
        <w:numPr>
          <w:ilvl w:val="0"/>
          <w:numId w:val="9"/>
        </w:numPr>
        <w:rPr>
          <w:lang w:val="en-US"/>
        </w:rPr>
      </w:pPr>
      <w:r>
        <w:rPr>
          <w:lang w:val="en-US"/>
        </w:rPr>
        <w:t>“Ensure constructive and effective policy dialogue” (European Union External Action Service, 2018)</w:t>
      </w:r>
    </w:p>
    <w:p w14:paraId="1269C082" w14:textId="77777777" w:rsidR="00B3545C" w:rsidRDefault="00141ADD" w:rsidP="0027152B">
      <w:pPr>
        <w:rPr>
          <w:lang w:val="en-US"/>
        </w:rPr>
      </w:pPr>
      <w:r>
        <w:rPr>
          <w:lang w:val="en-US"/>
        </w:rPr>
        <w:t xml:space="preserve">These general goals can be found in the bilateral documents between the EU and Moldova. With these goals, the EU tries to </w:t>
      </w:r>
      <w:r w:rsidR="00B3545C">
        <w:rPr>
          <w:lang w:val="en-US"/>
        </w:rPr>
        <w:t>integrate their geopolitical agenda into joint policy programs</w:t>
      </w:r>
      <w:r>
        <w:rPr>
          <w:lang w:val="en-US"/>
        </w:rPr>
        <w:t xml:space="preserve">. </w:t>
      </w:r>
    </w:p>
    <w:p w14:paraId="0E3C990E" w14:textId="35EEA47D" w:rsidR="0027152B" w:rsidRDefault="00B3545C" w:rsidP="0027152B">
      <w:pPr>
        <w:rPr>
          <w:lang w:val="en-US"/>
        </w:rPr>
      </w:pPr>
      <w:r>
        <w:rPr>
          <w:lang w:val="en-US"/>
        </w:rPr>
        <w:t xml:space="preserve">When it comes to the formulations of goals concerning Transnistria, one can also find the same formulations in the programs. However, this is for a big part for another reason than geopolitics. There is hardly any progress in the situation regarding the settlement of the conflict which is why the goals concerning this settlement never really change. </w:t>
      </w:r>
    </w:p>
    <w:p w14:paraId="1F292F19" w14:textId="4FE296D3" w:rsidR="00B3545C" w:rsidRDefault="00B3545C" w:rsidP="0027152B">
      <w:pPr>
        <w:rPr>
          <w:lang w:val="en-US"/>
        </w:rPr>
      </w:pPr>
      <w:r>
        <w:rPr>
          <w:lang w:val="en-US"/>
        </w:rPr>
        <w:t xml:space="preserve">In focusing on the Eastern Partnership as part of the ENP, the goals concerning frozen conflicts in the region and especially </w:t>
      </w:r>
      <w:r w:rsidRPr="008E1FBB">
        <w:rPr>
          <w:noProof/>
          <w:lang w:val="en-US"/>
        </w:rPr>
        <w:t>Transnistria,</w:t>
      </w:r>
      <w:r>
        <w:rPr>
          <w:lang w:val="en-US"/>
        </w:rPr>
        <w:t xml:space="preserve"> only became </w:t>
      </w:r>
      <w:r w:rsidR="00002F63">
        <w:rPr>
          <w:lang w:val="en-US"/>
        </w:rPr>
        <w:t xml:space="preserve">more and more universal. Besides, there was a lot less attention for the conflicts in the Eastern Partnership declarations than in the bilateral documents. All in all, in almost all analyzed documents, the conflict between Transnistria and Moldova was said to be a key goal in the development of the region. However, this was not that visible in the documents itself with often only one policy point devoted to the conflict. </w:t>
      </w:r>
    </w:p>
    <w:p w14:paraId="42C10674" w14:textId="6044F6C9" w:rsidR="00002F63" w:rsidRDefault="00002F63" w:rsidP="0027152B">
      <w:pPr>
        <w:rPr>
          <w:lang w:val="en-US"/>
        </w:rPr>
      </w:pPr>
      <w:r>
        <w:rPr>
          <w:lang w:val="en-US"/>
        </w:rPr>
        <w:t xml:space="preserve">To understand why hardly any progress was booked in so many years of negotiations, the focus went to the role of Russia in the partnership programs and in the Transnistria region. This cleared a </w:t>
      </w:r>
      <w:r w:rsidRPr="008E1FBB">
        <w:rPr>
          <w:noProof/>
          <w:lang w:val="en-US"/>
        </w:rPr>
        <w:t>lot,</w:t>
      </w:r>
      <w:r>
        <w:rPr>
          <w:lang w:val="en-US"/>
        </w:rPr>
        <w:t xml:space="preserve"> since it became clear that, although Russia was not named in the official documents, Russia was a big talking point within the Eastern Partnership. To show that, </w:t>
      </w:r>
      <w:r w:rsidR="00C41D47">
        <w:rPr>
          <w:lang w:val="en-US"/>
        </w:rPr>
        <w:t xml:space="preserve">the last Eastern Partnership summit in Brussels was discussed, as an incident just before the summit drew all of the attention on the summit to Russia’s external policy. This was the second summit in a row that Russia </w:t>
      </w:r>
      <w:r w:rsidR="00C41D47">
        <w:rPr>
          <w:lang w:val="en-US"/>
        </w:rPr>
        <w:lastRenderedPageBreak/>
        <w:t xml:space="preserve">created a lot of </w:t>
      </w:r>
      <w:r w:rsidR="00C41D47" w:rsidRPr="008E1FBB">
        <w:rPr>
          <w:noProof/>
          <w:lang w:val="en-US"/>
        </w:rPr>
        <w:t>commotion</w:t>
      </w:r>
      <w:r w:rsidR="00C41D47">
        <w:rPr>
          <w:lang w:val="en-US"/>
        </w:rPr>
        <w:t xml:space="preserve"> since the 2015 summit came after the crisis in Crimea, which also created a lot of discussion about Russia’s external actions. </w:t>
      </w:r>
    </w:p>
    <w:p w14:paraId="14A3CC5D" w14:textId="6B94644C" w:rsidR="00C41D47" w:rsidRDefault="00C41D47" w:rsidP="0027152B">
      <w:pPr>
        <w:rPr>
          <w:lang w:val="en-US"/>
        </w:rPr>
      </w:pPr>
      <w:r>
        <w:rPr>
          <w:lang w:val="en-US"/>
        </w:rPr>
        <w:t xml:space="preserve">The overall struggles with the influence that Russia tries to exercise in the region </w:t>
      </w:r>
      <w:r w:rsidRPr="008E1FBB">
        <w:rPr>
          <w:noProof/>
          <w:lang w:val="en-US"/>
        </w:rPr>
        <w:t>cause</w:t>
      </w:r>
      <w:r>
        <w:rPr>
          <w:lang w:val="en-US"/>
        </w:rPr>
        <w:t xml:space="preserve"> the ENP and Eastern Partnership to not be very successful. This was discussed in the last chapter, where the focus moved to the influence of Russia and the EU in Moldova and Transnistria and the emerging of an indirect conflict between Russia and the EU. These influences were looked at from a post-colonial point of view for Russia and a neo-imperial approach for the EU. </w:t>
      </w:r>
    </w:p>
    <w:p w14:paraId="428EAED6" w14:textId="680B27C7" w:rsidR="00E54F29" w:rsidRDefault="00E54F29" w:rsidP="0027152B">
      <w:pPr>
        <w:rPr>
          <w:lang w:val="en-US"/>
        </w:rPr>
      </w:pPr>
      <w:r>
        <w:rPr>
          <w:lang w:val="en-US"/>
        </w:rPr>
        <w:t xml:space="preserve">First, the choice for a post-Soviet post-colonial point of view was defended on the basis of an article by D.C. Moore, in which he argues that Russian post-colonialism should be part of the post-colonial map. When one looks from this point of view to the conflict at hand, </w:t>
      </w:r>
      <w:r w:rsidR="004341B5">
        <w:rPr>
          <w:lang w:val="en-US"/>
        </w:rPr>
        <w:t xml:space="preserve">it becomes clear why the conflict exists. Transnistria has, throughout history, always had more in common with the Soviet-Union and Russia, whereas Moldova, although a former Soviet state, has more </w:t>
      </w:r>
      <w:r w:rsidR="005931E0">
        <w:rPr>
          <w:lang w:val="en-US"/>
        </w:rPr>
        <w:t>in common with Romania and the w</w:t>
      </w:r>
      <w:r w:rsidR="004341B5">
        <w:rPr>
          <w:lang w:val="en-US"/>
        </w:rPr>
        <w:t xml:space="preserve">est. Through post-colonialism, Russia influences Transnistria in claiming its independence and in the negotiations around the conflict. </w:t>
      </w:r>
    </w:p>
    <w:p w14:paraId="6494ABBD" w14:textId="6966416E" w:rsidR="004341B5" w:rsidRDefault="004341B5" w:rsidP="0027152B">
      <w:pPr>
        <w:rPr>
          <w:lang w:val="en-US"/>
        </w:rPr>
      </w:pPr>
      <w:r>
        <w:rPr>
          <w:lang w:val="en-US"/>
        </w:rPr>
        <w:t xml:space="preserve">On the other hand, Moldova can be looked at from a neo-imperial point of view, with Europe expanding to the east over the last 15 years. With Moldova willing to become part of the EU, the influence that the EU can exercise over Moldova is big. </w:t>
      </w:r>
      <w:r w:rsidR="004A27E8">
        <w:rPr>
          <w:lang w:val="en-US"/>
        </w:rPr>
        <w:t xml:space="preserve">Relating this to the last question of the research, the EU can exercise their geopolitical agenda through neo-imperialism in Moldova, just as Russia can exercise their geopolitical agenda in Transnistria. This makes the conflict between Moldova and Transnistria a conflict between the EU and Russia, or, historically </w:t>
      </w:r>
      <w:r w:rsidR="005931E0">
        <w:rPr>
          <w:lang w:val="en-US"/>
        </w:rPr>
        <w:t>seen, between east and w</w:t>
      </w:r>
      <w:r w:rsidR="004A27E8">
        <w:rPr>
          <w:lang w:val="en-US"/>
        </w:rPr>
        <w:t xml:space="preserve">est. </w:t>
      </w:r>
    </w:p>
    <w:p w14:paraId="621C7909" w14:textId="78B3D4E4" w:rsidR="0053213C" w:rsidRPr="00D82AA0" w:rsidRDefault="004A27E8" w:rsidP="00A865EB">
      <w:pPr>
        <w:rPr>
          <w:lang w:val="en-US"/>
        </w:rPr>
      </w:pPr>
      <w:r>
        <w:rPr>
          <w:lang w:val="en-US"/>
        </w:rPr>
        <w:t xml:space="preserve">To answer the main question, the EU exercises their geopolitical agenda in different ways. Through bilateral agreements with Moldova, through the Eastern partnership with different eastern European countries and through the use of neo-imperialism. However, the role that Russia plays in the conflict should not be underestimated. This makes finding a solution </w:t>
      </w:r>
      <w:r w:rsidR="008E1FBB">
        <w:rPr>
          <w:noProof/>
          <w:lang w:val="en-US"/>
        </w:rPr>
        <w:t>to</w:t>
      </w:r>
      <w:r>
        <w:rPr>
          <w:lang w:val="en-US"/>
        </w:rPr>
        <w:t xml:space="preserve"> the conflict very difficult, if not impossibl</w:t>
      </w:r>
      <w:r w:rsidR="005931E0">
        <w:rPr>
          <w:lang w:val="en-US"/>
        </w:rPr>
        <w:t>e. The differences between the w</w:t>
      </w:r>
      <w:r>
        <w:rPr>
          <w:lang w:val="en-US"/>
        </w:rPr>
        <w:t xml:space="preserve">est and Russia have proven to be big throughout history and prove to be big in this case too. </w:t>
      </w:r>
    </w:p>
    <w:p w14:paraId="54D9A134" w14:textId="77777777" w:rsidR="00FE46A2" w:rsidRDefault="00FE46A2">
      <w:pPr>
        <w:spacing w:before="0" w:after="160" w:line="312" w:lineRule="auto"/>
        <w:rPr>
          <w:rFonts w:asciiTheme="majorHAnsi" w:eastAsiaTheme="majorEastAsia" w:hAnsiTheme="majorHAnsi" w:cstheme="majorBidi"/>
          <w:caps/>
          <w:spacing w:val="10"/>
          <w:sz w:val="36"/>
          <w:szCs w:val="36"/>
          <w:lang w:val="en-US"/>
        </w:rPr>
      </w:pPr>
      <w:r>
        <w:rPr>
          <w:lang w:val="en-US"/>
        </w:rPr>
        <w:br w:type="page"/>
      </w:r>
    </w:p>
    <w:p w14:paraId="621C7917" w14:textId="06A72240" w:rsidR="0053213C" w:rsidRPr="00D82AA0" w:rsidRDefault="00E40860" w:rsidP="00A865EB">
      <w:pPr>
        <w:pStyle w:val="Kop1"/>
        <w:numPr>
          <w:ilvl w:val="0"/>
          <w:numId w:val="1"/>
        </w:numPr>
        <w:spacing w:line="360" w:lineRule="auto"/>
        <w:rPr>
          <w:lang w:val="en-US"/>
        </w:rPr>
      </w:pPr>
      <w:bookmarkStart w:id="45" w:name="_Toc517985364"/>
      <w:r w:rsidRPr="00D82AA0">
        <w:rPr>
          <w:lang w:val="en-US"/>
        </w:rPr>
        <w:lastRenderedPageBreak/>
        <w:t>Literature</w:t>
      </w:r>
      <w:bookmarkEnd w:id="45"/>
    </w:p>
    <w:p w14:paraId="4BB742AC" w14:textId="6C3D5554" w:rsidR="005F5059" w:rsidRPr="00D82AA0" w:rsidRDefault="005F5059" w:rsidP="00A865EB">
      <w:pPr>
        <w:rPr>
          <w:szCs w:val="22"/>
          <w:lang w:val="en-US"/>
        </w:rPr>
      </w:pPr>
      <w:r w:rsidRPr="00D82AA0">
        <w:rPr>
          <w:rStyle w:val="normaltextrun"/>
          <w:rFonts w:ascii="Calibri" w:hAnsi="Calibri" w:cs="Calibri"/>
          <w:color w:val="000000"/>
          <w:shd w:val="clear" w:color="auto" w:fill="FFFFFF"/>
          <w:lang w:val="en-US"/>
        </w:rPr>
        <w:t>Ashcroft, B., Griffiths, G. &amp; Tiffin, H. (2007). </w:t>
      </w:r>
      <w:r w:rsidRPr="00D82AA0">
        <w:rPr>
          <w:rStyle w:val="normaltextrun"/>
          <w:rFonts w:ascii="Calibri" w:hAnsi="Calibri" w:cs="Calibri"/>
          <w:i/>
          <w:iCs/>
          <w:color w:val="000000"/>
          <w:shd w:val="clear" w:color="auto" w:fill="FFFFFF"/>
          <w:lang w:val="en-US"/>
        </w:rPr>
        <w:t>Postcolonial studies – The key concepts. </w:t>
      </w:r>
      <w:r w:rsidRPr="00D82AA0">
        <w:rPr>
          <w:rStyle w:val="normaltextrun"/>
          <w:rFonts w:ascii="Calibri" w:hAnsi="Calibri" w:cs="Calibri"/>
          <w:color w:val="000000"/>
          <w:shd w:val="clear" w:color="auto" w:fill="FFFFFF"/>
          <w:lang w:val="en-US"/>
        </w:rPr>
        <w:t>New York: Routledge</w:t>
      </w:r>
      <w:r w:rsidRPr="00D82AA0">
        <w:rPr>
          <w:rStyle w:val="eop"/>
          <w:rFonts w:ascii="Calibri" w:hAnsi="Calibri" w:cs="Calibri"/>
          <w:color w:val="000000"/>
          <w:shd w:val="clear" w:color="auto" w:fill="FFFFFF"/>
          <w:lang w:val="en-US"/>
        </w:rPr>
        <w:t> </w:t>
      </w:r>
    </w:p>
    <w:p w14:paraId="288AAF39" w14:textId="1A63A52E" w:rsidR="00673460" w:rsidRPr="00D82AA0" w:rsidRDefault="00673460" w:rsidP="00A865EB">
      <w:pPr>
        <w:rPr>
          <w:szCs w:val="22"/>
          <w:lang w:val="en-US"/>
        </w:rPr>
      </w:pPr>
      <w:r w:rsidRPr="005931E0">
        <w:rPr>
          <w:szCs w:val="22"/>
          <w:lang w:val="en-US"/>
        </w:rPr>
        <w:t xml:space="preserve">Bahcheli, </w:t>
      </w:r>
      <w:r w:rsidRPr="005931E0">
        <w:rPr>
          <w:noProof/>
          <w:szCs w:val="22"/>
          <w:lang w:val="en-US"/>
        </w:rPr>
        <w:t>T</w:t>
      </w:r>
      <w:r w:rsidR="008E1FBB" w:rsidRPr="005931E0">
        <w:rPr>
          <w:noProof/>
          <w:szCs w:val="22"/>
          <w:lang w:val="en-US"/>
        </w:rPr>
        <w:t>.,</w:t>
      </w:r>
      <w:r w:rsidRPr="005931E0">
        <w:rPr>
          <w:szCs w:val="22"/>
          <w:lang w:val="en-US"/>
        </w:rPr>
        <w:t xml:space="preserve"> Bartmann, B</w:t>
      </w:r>
      <w:r w:rsidR="008E1FBB" w:rsidRPr="005931E0">
        <w:rPr>
          <w:szCs w:val="22"/>
          <w:lang w:val="en-US"/>
        </w:rPr>
        <w:t>.</w:t>
      </w:r>
      <w:r w:rsidRPr="005931E0">
        <w:rPr>
          <w:szCs w:val="22"/>
          <w:lang w:val="en-US"/>
        </w:rPr>
        <w:t xml:space="preserve"> &amp; Srebnik, H. (2004). </w:t>
      </w:r>
      <w:r w:rsidRPr="00D82AA0">
        <w:rPr>
          <w:i/>
          <w:szCs w:val="22"/>
          <w:lang w:val="en-US"/>
        </w:rPr>
        <w:t>De Facto States: The Quest for Sovereignty.</w:t>
      </w:r>
      <w:r w:rsidRPr="00D82AA0">
        <w:rPr>
          <w:szCs w:val="22"/>
          <w:lang w:val="en-US"/>
        </w:rPr>
        <w:t xml:space="preserve"> New York: Routledge</w:t>
      </w:r>
    </w:p>
    <w:p w14:paraId="5DAD5892" w14:textId="75873846" w:rsidR="00B4004F" w:rsidRDefault="00B4004F" w:rsidP="00A865EB">
      <w:pPr>
        <w:rPr>
          <w:szCs w:val="22"/>
          <w:lang w:val="en-US"/>
        </w:rPr>
      </w:pPr>
      <w:r w:rsidRPr="00D82AA0">
        <w:rPr>
          <w:szCs w:val="22"/>
          <w:lang w:val="en-US"/>
        </w:rPr>
        <w:t xml:space="preserve">Belitser, N. (2013). </w:t>
      </w:r>
      <w:r w:rsidRPr="00D82AA0">
        <w:rPr>
          <w:i/>
          <w:szCs w:val="22"/>
          <w:lang w:val="en-US"/>
        </w:rPr>
        <w:t xml:space="preserve">Transnistrian Conflict: State of Affairs and Prospects of Settlement. </w:t>
      </w:r>
      <w:r w:rsidRPr="00D82AA0">
        <w:rPr>
          <w:szCs w:val="22"/>
          <w:lang w:val="en-US"/>
        </w:rPr>
        <w:t>Black Sea News. Retrieved from http://www.blackseanews.net/en/read/55025 on 07-06-2018</w:t>
      </w:r>
    </w:p>
    <w:p w14:paraId="5F86CF1D" w14:textId="7E935A46" w:rsidR="002F0AB7" w:rsidRPr="002F0AB7" w:rsidRDefault="002F0AB7" w:rsidP="00A865EB">
      <w:pPr>
        <w:rPr>
          <w:szCs w:val="22"/>
          <w:lang w:val="en-US"/>
        </w:rPr>
      </w:pPr>
      <w:r>
        <w:rPr>
          <w:szCs w:val="22"/>
          <w:lang w:val="en-US"/>
        </w:rPr>
        <w:t xml:space="preserve">Beyer, J. &amp; Wolff, S. (2016). </w:t>
      </w:r>
      <w:r>
        <w:rPr>
          <w:i/>
          <w:szCs w:val="22"/>
          <w:lang w:val="en-US"/>
        </w:rPr>
        <w:t xml:space="preserve">Linkage and leverage effects on Moldova’s Transnistria problem. </w:t>
      </w:r>
      <w:r>
        <w:rPr>
          <w:szCs w:val="22"/>
          <w:lang w:val="en-US"/>
        </w:rPr>
        <w:t>East European Politics, 32:3, 335-354. London: Routledge</w:t>
      </w:r>
    </w:p>
    <w:p w14:paraId="4603B914" w14:textId="00D925D0" w:rsidR="00D60AA8" w:rsidRDefault="00D60AA8" w:rsidP="00A865EB">
      <w:pPr>
        <w:rPr>
          <w:szCs w:val="22"/>
          <w:lang w:val="en-US"/>
        </w:rPr>
      </w:pPr>
      <w:r w:rsidRPr="00D82AA0">
        <w:rPr>
          <w:szCs w:val="22"/>
          <w:lang w:val="en-US"/>
        </w:rPr>
        <w:t xml:space="preserve">Bialasiewicz, L.,  Dahlman, C.,  Apuzzo, G.M., Ciută, F., Jones, A., Rumford, C., Wodak, R., Anderson, J. &amp; Ingram, A. (2009). </w:t>
      </w:r>
      <w:r w:rsidRPr="00D82AA0">
        <w:rPr>
          <w:i/>
          <w:szCs w:val="22"/>
          <w:lang w:val="en-US"/>
        </w:rPr>
        <w:t>Interventions in the new political geographies of the European ‘</w:t>
      </w:r>
      <w:r w:rsidRPr="008E1FBB">
        <w:rPr>
          <w:i/>
          <w:noProof/>
          <w:szCs w:val="22"/>
          <w:lang w:val="en-US"/>
        </w:rPr>
        <w:t>neighborhood</w:t>
      </w:r>
      <w:r w:rsidRPr="00D82AA0">
        <w:rPr>
          <w:i/>
          <w:szCs w:val="22"/>
          <w:lang w:val="en-US"/>
        </w:rPr>
        <w:t>’</w:t>
      </w:r>
      <w:r w:rsidRPr="00D82AA0">
        <w:rPr>
          <w:szCs w:val="22"/>
          <w:lang w:val="en-US"/>
        </w:rPr>
        <w:t>. Political Geography, 28(2), 79-80. Amsterdam: Elsevier</w:t>
      </w:r>
    </w:p>
    <w:p w14:paraId="258C513D" w14:textId="360BB45A" w:rsidR="00D842CE" w:rsidRPr="00D842CE" w:rsidRDefault="00D842CE" w:rsidP="00A865EB">
      <w:pPr>
        <w:rPr>
          <w:szCs w:val="22"/>
          <w:lang w:val="en-US"/>
        </w:rPr>
      </w:pPr>
      <w:r>
        <w:rPr>
          <w:szCs w:val="22"/>
          <w:lang w:val="en-US"/>
        </w:rPr>
        <w:t xml:space="preserve">Bond, I. (2017). </w:t>
      </w:r>
      <w:r>
        <w:rPr>
          <w:i/>
          <w:szCs w:val="22"/>
          <w:lang w:val="en-US"/>
        </w:rPr>
        <w:t xml:space="preserve">Contested space: Eastern Europe between Russia and the EU. </w:t>
      </w:r>
      <w:r>
        <w:rPr>
          <w:szCs w:val="22"/>
          <w:lang w:val="en-US"/>
        </w:rPr>
        <w:t>Centre for European Reform. London: Centre for European Reform</w:t>
      </w:r>
    </w:p>
    <w:p w14:paraId="1A73583F" w14:textId="4D6233A8" w:rsidR="00841B47" w:rsidRPr="00D82AA0" w:rsidRDefault="00841B47" w:rsidP="00A865EB">
      <w:pPr>
        <w:rPr>
          <w:szCs w:val="22"/>
          <w:lang w:val="en-US"/>
        </w:rPr>
      </w:pPr>
      <w:r w:rsidRPr="00D82AA0">
        <w:rPr>
          <w:szCs w:val="22"/>
          <w:lang w:val="en-US"/>
        </w:rPr>
        <w:t xml:space="preserve">Borocz, J. &amp; Kovacs, M. (2001). </w:t>
      </w:r>
      <w:r w:rsidRPr="00D82AA0">
        <w:rPr>
          <w:i/>
          <w:szCs w:val="22"/>
          <w:lang w:val="en-US"/>
        </w:rPr>
        <w:t>Empire’s New Clothes – Unveiling EU Enlargement</w:t>
      </w:r>
      <w:r w:rsidRPr="00D82AA0">
        <w:rPr>
          <w:szCs w:val="22"/>
          <w:lang w:val="en-US"/>
        </w:rPr>
        <w:t>. Telford: Central Europe Review Ltd.</w:t>
      </w:r>
    </w:p>
    <w:p w14:paraId="5210207A" w14:textId="426B5B91" w:rsidR="00FC564D" w:rsidRPr="00D82AA0" w:rsidRDefault="00FC564D" w:rsidP="00A865EB">
      <w:pPr>
        <w:rPr>
          <w:szCs w:val="22"/>
          <w:lang w:val="en-US"/>
        </w:rPr>
      </w:pPr>
      <w:r w:rsidRPr="00D82AA0">
        <w:rPr>
          <w:szCs w:val="22"/>
          <w:lang w:val="en-US"/>
        </w:rPr>
        <w:t>Bulmer, S. &amp; Burch, M. (1998)</w:t>
      </w:r>
      <w:r w:rsidR="00034318" w:rsidRPr="00D82AA0">
        <w:rPr>
          <w:szCs w:val="22"/>
          <w:lang w:val="en-US"/>
        </w:rPr>
        <w:t xml:space="preserve">. </w:t>
      </w:r>
      <w:r w:rsidR="00034318" w:rsidRPr="00D82AA0">
        <w:rPr>
          <w:i/>
          <w:szCs w:val="22"/>
          <w:lang w:val="en-US"/>
        </w:rPr>
        <w:t xml:space="preserve">Organizing for Europe: Whitehall, the British State and European Union. </w:t>
      </w:r>
      <w:r w:rsidR="00034318" w:rsidRPr="00D82AA0">
        <w:rPr>
          <w:szCs w:val="22"/>
          <w:lang w:val="en-US"/>
        </w:rPr>
        <w:t>Public Administration Vol. 72, 601-628. Oxford: Blackwell Publishers Ltd.</w:t>
      </w:r>
    </w:p>
    <w:p w14:paraId="2BA4A4DD" w14:textId="00115AB2" w:rsidR="006933E9" w:rsidRPr="00D82AA0" w:rsidRDefault="006933E9" w:rsidP="00A865EB">
      <w:pPr>
        <w:rPr>
          <w:szCs w:val="22"/>
          <w:lang w:val="en-US"/>
        </w:rPr>
      </w:pPr>
      <w:r w:rsidRPr="00D82AA0">
        <w:rPr>
          <w:szCs w:val="22"/>
          <w:lang w:val="en-US"/>
        </w:rPr>
        <w:t xml:space="preserve">Brunet-Jailly, E. (2011). </w:t>
      </w:r>
      <w:r w:rsidRPr="00D82AA0">
        <w:rPr>
          <w:i/>
          <w:szCs w:val="22"/>
          <w:lang w:val="en-US"/>
        </w:rPr>
        <w:t>Special Section: Borders, Borderlands and Theory: An Introduction.</w:t>
      </w:r>
      <w:r w:rsidRPr="00D82AA0">
        <w:rPr>
          <w:szCs w:val="22"/>
          <w:lang w:val="en-US"/>
        </w:rPr>
        <w:t xml:space="preserve"> Geopolitics, 16:1, 1-6. London: Routledge</w:t>
      </w:r>
    </w:p>
    <w:p w14:paraId="6A8CC599" w14:textId="3B30EEE7" w:rsidR="008263B4" w:rsidRPr="00D82AA0" w:rsidRDefault="008263B4" w:rsidP="00A865EB">
      <w:pPr>
        <w:rPr>
          <w:szCs w:val="22"/>
          <w:lang w:val="en-US"/>
        </w:rPr>
      </w:pPr>
      <w:r w:rsidRPr="00D82AA0">
        <w:rPr>
          <w:szCs w:val="22"/>
          <w:lang w:val="en-US"/>
        </w:rPr>
        <w:t xml:space="preserve">Bruter, M. (2004). </w:t>
      </w:r>
      <w:r w:rsidRPr="00D82AA0">
        <w:rPr>
          <w:i/>
          <w:szCs w:val="22"/>
          <w:lang w:val="en-US"/>
        </w:rPr>
        <w:t>On what citizens mean by feeling ‘European’: perceptions of news, symbols and borderless-ness</w:t>
      </w:r>
      <w:r w:rsidRPr="00D82AA0">
        <w:rPr>
          <w:szCs w:val="22"/>
          <w:lang w:val="en-US"/>
        </w:rPr>
        <w:t>. Journal of Ethnic and Migration Studies, 30:1, 21-39. London: Routledge</w:t>
      </w:r>
    </w:p>
    <w:p w14:paraId="5F49E789" w14:textId="11434601" w:rsidR="004564D6" w:rsidRPr="00D82AA0" w:rsidRDefault="004564D6" w:rsidP="00A865EB">
      <w:pPr>
        <w:rPr>
          <w:szCs w:val="22"/>
          <w:lang w:val="en-US"/>
        </w:rPr>
      </w:pPr>
      <w:r w:rsidRPr="00D82AA0">
        <w:rPr>
          <w:lang w:val="en-US"/>
        </w:rPr>
        <w:t>Ca</w:t>
      </w:r>
      <w:r w:rsidRPr="00D82AA0">
        <w:rPr>
          <w:rFonts w:cstheme="minorHAnsi"/>
          <w:lang w:val="en-US"/>
        </w:rPr>
        <w:t>ł</w:t>
      </w:r>
      <w:r w:rsidRPr="00D82AA0">
        <w:rPr>
          <w:lang w:val="en-US"/>
        </w:rPr>
        <w:t xml:space="preserve">us, K. (2013). </w:t>
      </w:r>
      <w:r w:rsidRPr="00D82AA0">
        <w:rPr>
          <w:i/>
          <w:lang w:val="en-US"/>
        </w:rPr>
        <w:t xml:space="preserve">An aided economy. The characteristics of the Transnistrian economic model. </w:t>
      </w:r>
      <w:r w:rsidRPr="00D82AA0">
        <w:rPr>
          <w:lang w:val="en-US"/>
        </w:rPr>
        <w:t>OSW Commentary, number 108. Warsaw: OSW Centre for Eastern Studies</w:t>
      </w:r>
    </w:p>
    <w:p w14:paraId="2EC97A7E" w14:textId="2C50D440" w:rsidR="00596600" w:rsidRDefault="00596600" w:rsidP="00A865EB">
      <w:pPr>
        <w:rPr>
          <w:szCs w:val="22"/>
          <w:lang w:val="en-US"/>
        </w:rPr>
      </w:pPr>
      <w:r w:rsidRPr="00D82AA0">
        <w:rPr>
          <w:szCs w:val="22"/>
          <w:lang w:val="en-US"/>
        </w:rPr>
        <w:lastRenderedPageBreak/>
        <w:t xml:space="preserve">Cojacaru, N. (2006). </w:t>
      </w:r>
      <w:r w:rsidRPr="00D82AA0">
        <w:rPr>
          <w:i/>
          <w:szCs w:val="22"/>
          <w:lang w:val="en-US"/>
        </w:rPr>
        <w:t>Nationalism and Identity in Transnistria.</w:t>
      </w:r>
      <w:r w:rsidRPr="00D82AA0">
        <w:rPr>
          <w:szCs w:val="22"/>
          <w:lang w:val="en-US"/>
        </w:rPr>
        <w:t xml:space="preserve"> Innovation, Vol. 19, Nos. 3/4. London: Routledge</w:t>
      </w:r>
    </w:p>
    <w:p w14:paraId="33EB7517" w14:textId="55CB304F" w:rsidR="00457164" w:rsidRDefault="00457164" w:rsidP="00A865EB">
      <w:pPr>
        <w:rPr>
          <w:szCs w:val="22"/>
          <w:lang w:val="en-US"/>
        </w:rPr>
      </w:pPr>
      <w:r>
        <w:rPr>
          <w:szCs w:val="22"/>
          <w:lang w:val="en-US"/>
        </w:rPr>
        <w:t xml:space="preserve">Council of the European Union (2009). </w:t>
      </w:r>
      <w:r>
        <w:rPr>
          <w:i/>
          <w:szCs w:val="22"/>
          <w:lang w:val="en-US"/>
        </w:rPr>
        <w:t xml:space="preserve">Joint Declaration of the Prague Eastern Partnership Summit. </w:t>
      </w:r>
      <w:r w:rsidR="00C5385C" w:rsidRPr="00B84700">
        <w:rPr>
          <w:lang w:val="en-US"/>
        </w:rPr>
        <w:t xml:space="preserve">8435/09. </w:t>
      </w:r>
      <w:r w:rsidR="00C5385C">
        <w:rPr>
          <w:szCs w:val="22"/>
          <w:lang w:val="en-US"/>
        </w:rPr>
        <w:t xml:space="preserve">Brussels: Council of the European Union </w:t>
      </w:r>
    </w:p>
    <w:p w14:paraId="50A6FE02" w14:textId="54CDB699" w:rsidR="00964913" w:rsidRDefault="00964913" w:rsidP="003B60D9">
      <w:pPr>
        <w:rPr>
          <w:lang w:val="en-US"/>
        </w:rPr>
      </w:pPr>
      <w:r>
        <w:rPr>
          <w:szCs w:val="22"/>
          <w:lang w:val="en-US"/>
        </w:rPr>
        <w:t xml:space="preserve">Council of the European Union (2011). </w:t>
      </w:r>
      <w:r>
        <w:rPr>
          <w:i/>
          <w:szCs w:val="22"/>
          <w:lang w:val="en-US"/>
        </w:rPr>
        <w:t>Joint Declaration of the Eastern Partnership Summit, Warsaw, 29-30 September 2011.</w:t>
      </w:r>
      <w:r>
        <w:rPr>
          <w:szCs w:val="22"/>
          <w:lang w:val="en-US"/>
        </w:rPr>
        <w:t xml:space="preserve"> </w:t>
      </w:r>
      <w:r w:rsidR="003B60D9" w:rsidRPr="003B60D9">
        <w:rPr>
          <w:lang w:val="en-US"/>
        </w:rPr>
        <w:t>14983/11. Brussels: Council of the European Union</w:t>
      </w:r>
    </w:p>
    <w:p w14:paraId="7468885E" w14:textId="77777777" w:rsidR="00806B8D" w:rsidRDefault="003878D2" w:rsidP="00A865EB">
      <w:pPr>
        <w:rPr>
          <w:szCs w:val="22"/>
          <w:lang w:val="en-US"/>
        </w:rPr>
      </w:pPr>
      <w:r>
        <w:rPr>
          <w:lang w:val="en-US"/>
        </w:rPr>
        <w:t xml:space="preserve">Council of the European Union (2013). </w:t>
      </w:r>
      <w:r>
        <w:rPr>
          <w:i/>
          <w:lang w:val="en-US"/>
        </w:rPr>
        <w:t xml:space="preserve">Joint Declaration of the Eastern Partnership Summit, Vilnius, 28-29 </w:t>
      </w:r>
      <w:r w:rsidRPr="008E1FBB">
        <w:rPr>
          <w:i/>
          <w:noProof/>
          <w:lang w:val="en-US"/>
        </w:rPr>
        <w:t>November,</w:t>
      </w:r>
      <w:r>
        <w:rPr>
          <w:i/>
          <w:lang w:val="en-US"/>
        </w:rPr>
        <w:t xml:space="preserve"> 2013. </w:t>
      </w:r>
      <w:r w:rsidRPr="00806B8D">
        <w:rPr>
          <w:lang w:val="en-US"/>
        </w:rPr>
        <w:t>17130/13. Brussels: Council of the European Union</w:t>
      </w:r>
    </w:p>
    <w:p w14:paraId="29039E77" w14:textId="3B50AB16" w:rsidR="00806B8D" w:rsidRDefault="00806B8D" w:rsidP="00A865EB">
      <w:pPr>
        <w:rPr>
          <w:szCs w:val="22"/>
          <w:lang w:val="en-US"/>
        </w:rPr>
      </w:pPr>
      <w:r>
        <w:rPr>
          <w:szCs w:val="22"/>
          <w:lang w:val="en-US"/>
        </w:rPr>
        <w:t xml:space="preserve">Council of the European Union (2015). </w:t>
      </w:r>
      <w:r>
        <w:rPr>
          <w:i/>
          <w:szCs w:val="22"/>
          <w:lang w:val="en-US"/>
        </w:rPr>
        <w:t>Joint Declaration of the Eastern Partnership Summit (Riga, 21-22 May 2015.</w:t>
      </w:r>
      <w:r>
        <w:rPr>
          <w:szCs w:val="22"/>
          <w:lang w:val="en-US"/>
        </w:rPr>
        <w:t xml:space="preserve"> </w:t>
      </w:r>
      <w:r w:rsidR="00443B39">
        <w:rPr>
          <w:szCs w:val="22"/>
          <w:lang w:val="en-US"/>
        </w:rPr>
        <w:t>Brussels: Council of the European Union</w:t>
      </w:r>
    </w:p>
    <w:p w14:paraId="20C042E3" w14:textId="1D3AA704" w:rsidR="00084AAD" w:rsidRPr="00084AAD" w:rsidRDefault="00084AAD" w:rsidP="00A865EB">
      <w:pPr>
        <w:rPr>
          <w:szCs w:val="22"/>
          <w:lang w:val="en-US"/>
        </w:rPr>
      </w:pPr>
      <w:r>
        <w:rPr>
          <w:szCs w:val="22"/>
          <w:lang w:val="en-US"/>
        </w:rPr>
        <w:t xml:space="preserve">Council of the European Union (2017). </w:t>
      </w:r>
      <w:r>
        <w:rPr>
          <w:i/>
          <w:szCs w:val="22"/>
          <w:lang w:val="en-US"/>
        </w:rPr>
        <w:t>Joint Declaration of the Eastern Partnership Summit (Brussels, 24 November 2017).</w:t>
      </w:r>
      <w:r>
        <w:rPr>
          <w:szCs w:val="22"/>
          <w:lang w:val="en-US"/>
        </w:rPr>
        <w:t xml:space="preserve"> 14821/17. Brussels: Council of the European Union</w:t>
      </w:r>
    </w:p>
    <w:p w14:paraId="4F9996D7" w14:textId="56878B9B" w:rsidR="00647D76" w:rsidRPr="00D82AA0" w:rsidRDefault="00647D76" w:rsidP="00A865EB">
      <w:pPr>
        <w:rPr>
          <w:szCs w:val="22"/>
          <w:lang w:val="en-US"/>
        </w:rPr>
      </w:pPr>
      <w:r w:rsidRPr="00D82AA0">
        <w:rPr>
          <w:szCs w:val="22"/>
          <w:lang w:val="en-US"/>
        </w:rPr>
        <w:t xml:space="preserve">CSO Vienna Group (1993). </w:t>
      </w:r>
      <w:r w:rsidRPr="00D82AA0">
        <w:rPr>
          <w:i/>
          <w:szCs w:val="22"/>
          <w:lang w:val="en-US"/>
        </w:rPr>
        <w:t>CSCE Mission to the Republic of Moldova</w:t>
      </w:r>
      <w:r w:rsidRPr="00D82AA0">
        <w:rPr>
          <w:szCs w:val="22"/>
          <w:lang w:val="en-US"/>
        </w:rPr>
        <w:t xml:space="preserve">. CSO Journal no. 7, </w:t>
      </w:r>
      <w:r w:rsidRPr="008E1FBB">
        <w:rPr>
          <w:noProof/>
          <w:szCs w:val="22"/>
          <w:lang w:val="en-US"/>
        </w:rPr>
        <w:t>annex</w:t>
      </w:r>
      <w:r w:rsidRPr="00D82AA0">
        <w:rPr>
          <w:szCs w:val="22"/>
          <w:lang w:val="en-US"/>
        </w:rPr>
        <w:t xml:space="preserve"> 1. Retrieved from https://www.osce.org/moldova/41137 on 07-06-2018</w:t>
      </w:r>
    </w:p>
    <w:p w14:paraId="2FFB0B55" w14:textId="0992E723" w:rsidR="002F2617" w:rsidRPr="00D82AA0" w:rsidRDefault="002F2617" w:rsidP="00A865EB">
      <w:pPr>
        <w:rPr>
          <w:lang w:val="en-US"/>
        </w:rPr>
      </w:pPr>
      <w:r w:rsidRPr="00D82AA0">
        <w:rPr>
          <w:szCs w:val="22"/>
          <w:lang w:val="en-US"/>
        </w:rPr>
        <w:t>Dittmer, J. &amp; Sharp, J. (2014).</w:t>
      </w:r>
      <w:r w:rsidRPr="00D82AA0">
        <w:rPr>
          <w:i/>
          <w:lang w:val="en-US"/>
        </w:rPr>
        <w:t xml:space="preserve"> Geopolitics: An Introductory Reader.</w:t>
      </w:r>
      <w:r w:rsidRPr="00D82AA0">
        <w:rPr>
          <w:lang w:val="en-US"/>
        </w:rPr>
        <w:t xml:space="preserve"> London: Routledge</w:t>
      </w:r>
    </w:p>
    <w:p w14:paraId="79FE6EAB" w14:textId="4A04BB8D" w:rsidR="00A66673" w:rsidRDefault="00A66673" w:rsidP="00A865EB">
      <w:pPr>
        <w:rPr>
          <w:szCs w:val="22"/>
          <w:lang w:val="de-DE"/>
        </w:rPr>
      </w:pPr>
      <w:r w:rsidRPr="00D82AA0">
        <w:rPr>
          <w:szCs w:val="22"/>
          <w:lang w:val="en-US"/>
        </w:rPr>
        <w:t>Douglas, N. &amp; Wolff, S. (2018).</w:t>
      </w:r>
      <w:r w:rsidRPr="00D82AA0">
        <w:rPr>
          <w:i/>
          <w:szCs w:val="22"/>
          <w:lang w:val="en-US"/>
        </w:rPr>
        <w:t xml:space="preserve"> Economic confidence-building measures and conflict settlement: the case of Transnistria.</w:t>
      </w:r>
      <w:r w:rsidRPr="00D82AA0">
        <w:rPr>
          <w:szCs w:val="22"/>
          <w:lang w:val="en-US"/>
        </w:rPr>
        <w:t xml:space="preserve"> </w:t>
      </w:r>
      <w:r w:rsidRPr="007B73E2">
        <w:rPr>
          <w:szCs w:val="22"/>
          <w:lang w:val="de-DE"/>
        </w:rPr>
        <w:t xml:space="preserve">Work in Progress, vol. 1. Berlin: Zentrum für Osteuropa- und </w:t>
      </w:r>
      <w:r w:rsidR="008E1FBB">
        <w:rPr>
          <w:noProof/>
          <w:szCs w:val="22"/>
          <w:lang w:val="de-DE"/>
        </w:rPr>
        <w:t>i</w:t>
      </w:r>
      <w:r w:rsidRPr="008E1FBB">
        <w:rPr>
          <w:noProof/>
          <w:szCs w:val="22"/>
          <w:lang w:val="de-DE"/>
        </w:rPr>
        <w:t>nternationale</w:t>
      </w:r>
      <w:r w:rsidRPr="007B73E2">
        <w:rPr>
          <w:szCs w:val="22"/>
          <w:lang w:val="de-DE"/>
        </w:rPr>
        <w:t xml:space="preserve"> Studien (ZOiS)</w:t>
      </w:r>
    </w:p>
    <w:p w14:paraId="7773B1B4" w14:textId="32FA4B4B" w:rsidR="00085490" w:rsidRPr="00085490" w:rsidRDefault="00085490" w:rsidP="00085490">
      <w:pPr>
        <w:rPr>
          <w:szCs w:val="22"/>
          <w:lang w:val="en-US"/>
        </w:rPr>
      </w:pPr>
      <w:r w:rsidRPr="00085490">
        <w:rPr>
          <w:lang w:val="en-US"/>
        </w:rPr>
        <w:t xml:space="preserve">Etkind, A. (2001) </w:t>
      </w:r>
      <w:r w:rsidRPr="00085490">
        <w:rPr>
          <w:i/>
          <w:lang w:val="en-US"/>
        </w:rPr>
        <w:t xml:space="preserve">Fuko </w:t>
      </w:r>
      <w:r w:rsidRPr="008E1FBB">
        <w:rPr>
          <w:i/>
          <w:noProof/>
          <w:lang w:val="en-US"/>
        </w:rPr>
        <w:t>i</w:t>
      </w:r>
      <w:r w:rsidRPr="00085490">
        <w:rPr>
          <w:i/>
          <w:lang w:val="en-US"/>
        </w:rPr>
        <w:t xml:space="preserve"> </w:t>
      </w:r>
      <w:r w:rsidRPr="008E1FBB">
        <w:rPr>
          <w:i/>
          <w:noProof/>
          <w:lang w:val="en-US"/>
        </w:rPr>
        <w:t>tezis</w:t>
      </w:r>
      <w:r w:rsidRPr="00085490">
        <w:rPr>
          <w:i/>
          <w:lang w:val="en-US"/>
        </w:rPr>
        <w:t xml:space="preserve"> </w:t>
      </w:r>
      <w:r w:rsidRPr="008E1FBB">
        <w:rPr>
          <w:i/>
          <w:noProof/>
          <w:lang w:val="en-US"/>
        </w:rPr>
        <w:t>vnutrennei</w:t>
      </w:r>
      <w:r w:rsidRPr="00085490">
        <w:rPr>
          <w:i/>
          <w:lang w:val="en-US"/>
        </w:rPr>
        <w:t xml:space="preserve"> </w:t>
      </w:r>
      <w:r w:rsidRPr="008E1FBB">
        <w:rPr>
          <w:i/>
          <w:noProof/>
          <w:lang w:val="en-US"/>
        </w:rPr>
        <w:t>kolonizatsii</w:t>
      </w:r>
      <w:r w:rsidRPr="00085490">
        <w:rPr>
          <w:i/>
          <w:lang w:val="en-US"/>
        </w:rPr>
        <w:t xml:space="preserve">: Postkolonial'nyi </w:t>
      </w:r>
      <w:r w:rsidRPr="008E1FBB">
        <w:rPr>
          <w:i/>
          <w:noProof/>
          <w:lang w:val="en-US"/>
        </w:rPr>
        <w:t>vzgliad</w:t>
      </w:r>
      <w:r w:rsidRPr="00085490">
        <w:rPr>
          <w:i/>
          <w:lang w:val="en-US"/>
        </w:rPr>
        <w:t xml:space="preserve"> </w:t>
      </w:r>
      <w:r w:rsidRPr="008E1FBB">
        <w:rPr>
          <w:i/>
          <w:noProof/>
          <w:lang w:val="en-US"/>
        </w:rPr>
        <w:t>na</w:t>
      </w:r>
      <w:r w:rsidRPr="00085490">
        <w:rPr>
          <w:i/>
          <w:lang w:val="en-US"/>
        </w:rPr>
        <w:t xml:space="preserve"> </w:t>
      </w:r>
      <w:r w:rsidRPr="008E1FBB">
        <w:rPr>
          <w:i/>
          <w:noProof/>
          <w:lang w:val="en-US"/>
        </w:rPr>
        <w:t>sovetskoe</w:t>
      </w:r>
      <w:r w:rsidRPr="00085490">
        <w:rPr>
          <w:i/>
          <w:lang w:val="en-US"/>
        </w:rPr>
        <w:t xml:space="preserve"> </w:t>
      </w:r>
      <w:r w:rsidRPr="008E1FBB">
        <w:rPr>
          <w:i/>
          <w:noProof/>
          <w:lang w:val="en-US"/>
        </w:rPr>
        <w:t>proshloe</w:t>
      </w:r>
      <w:r w:rsidRPr="00085490">
        <w:rPr>
          <w:i/>
          <w:lang w:val="en-US"/>
        </w:rPr>
        <w:t xml:space="preserve"> (Foucault and the thesis of internal colonization: A postcolonial view of the Soviet past</w:t>
      </w:r>
      <w:r>
        <w:rPr>
          <w:i/>
          <w:lang w:val="en-US"/>
        </w:rPr>
        <w:t>)</w:t>
      </w:r>
      <w:r w:rsidRPr="00085490">
        <w:rPr>
          <w:i/>
          <w:lang w:val="en-US"/>
        </w:rPr>
        <w:t>.</w:t>
      </w:r>
      <w:r>
        <w:rPr>
          <w:lang w:val="en-US"/>
        </w:rPr>
        <w:t xml:space="preserve"> Novoe </w:t>
      </w:r>
      <w:r w:rsidRPr="008E1FBB">
        <w:rPr>
          <w:noProof/>
          <w:lang w:val="en-US"/>
        </w:rPr>
        <w:t>literaturnoe</w:t>
      </w:r>
      <w:r>
        <w:rPr>
          <w:lang w:val="en-US"/>
        </w:rPr>
        <w:t xml:space="preserve"> </w:t>
      </w:r>
      <w:r w:rsidRPr="008E1FBB">
        <w:rPr>
          <w:noProof/>
          <w:lang w:val="en-US"/>
        </w:rPr>
        <w:t>obozrenie</w:t>
      </w:r>
      <w:r>
        <w:rPr>
          <w:lang w:val="en-US"/>
        </w:rPr>
        <w:t xml:space="preserve"> (New Literary Observer)</w:t>
      </w:r>
      <w:r w:rsidRPr="00085490">
        <w:rPr>
          <w:lang w:val="en-US"/>
        </w:rPr>
        <w:t xml:space="preserve"> 49: 50-73.</w:t>
      </w:r>
    </w:p>
    <w:p w14:paraId="3A9D30A2" w14:textId="39210994" w:rsidR="00C40B98" w:rsidRPr="00C40B98" w:rsidRDefault="00C40B98" w:rsidP="00A865EB">
      <w:pPr>
        <w:rPr>
          <w:szCs w:val="22"/>
          <w:lang w:val="en-US"/>
        </w:rPr>
      </w:pPr>
      <w:r w:rsidRPr="00C40B98">
        <w:rPr>
          <w:szCs w:val="22"/>
          <w:lang w:val="en-US"/>
        </w:rPr>
        <w:t xml:space="preserve">EU Delegation to the Republic of Moldova (2018). </w:t>
      </w:r>
      <w:r>
        <w:rPr>
          <w:i/>
          <w:szCs w:val="22"/>
          <w:lang w:val="en-US"/>
        </w:rPr>
        <w:t>European Joint Development Cooperation Strategy (Joint Programming Document) For the Republic of Moldova.</w:t>
      </w:r>
      <w:r>
        <w:rPr>
          <w:szCs w:val="22"/>
          <w:lang w:val="en-US"/>
        </w:rPr>
        <w:t xml:space="preserve"> Chisinau: EU Delegation to the Republic of Moldova</w:t>
      </w:r>
    </w:p>
    <w:p w14:paraId="1EFFBF75" w14:textId="239D8D9C" w:rsidR="00FF37C8" w:rsidRDefault="00FF37C8" w:rsidP="00A865EB">
      <w:pPr>
        <w:rPr>
          <w:szCs w:val="22"/>
          <w:lang w:val="en-US"/>
        </w:rPr>
      </w:pPr>
      <w:r w:rsidRPr="00D82AA0">
        <w:rPr>
          <w:szCs w:val="22"/>
          <w:lang w:val="en-US"/>
        </w:rPr>
        <w:lastRenderedPageBreak/>
        <w:t xml:space="preserve">European Commission (2016). </w:t>
      </w:r>
      <w:r w:rsidRPr="00D82AA0">
        <w:rPr>
          <w:i/>
          <w:szCs w:val="22"/>
          <w:lang w:val="en-US"/>
        </w:rPr>
        <w:t xml:space="preserve">Eastern Partnership. </w:t>
      </w:r>
      <w:r w:rsidRPr="00D82AA0">
        <w:rPr>
          <w:szCs w:val="22"/>
          <w:lang w:val="en-US"/>
        </w:rPr>
        <w:t>Retrieved from https://ec.europa.eu/neighbourhood-enlargement/neighbourhood/eastern-partnership_en on 14-06-2018</w:t>
      </w:r>
    </w:p>
    <w:p w14:paraId="6E4E61FA" w14:textId="6C8992D5" w:rsidR="00535440" w:rsidRPr="00535440" w:rsidRDefault="00535440" w:rsidP="00A865EB">
      <w:pPr>
        <w:rPr>
          <w:szCs w:val="22"/>
          <w:lang w:val="fr-FR"/>
        </w:rPr>
      </w:pPr>
      <w:r w:rsidRPr="00535440">
        <w:rPr>
          <w:szCs w:val="22"/>
          <w:lang w:val="fr-FR"/>
        </w:rPr>
        <w:t xml:space="preserve">European Commission (2004). </w:t>
      </w:r>
      <w:r w:rsidRPr="00535440">
        <w:rPr>
          <w:i/>
          <w:szCs w:val="22"/>
          <w:lang w:val="fr-FR"/>
        </w:rPr>
        <w:t>EU-Moldova Action Plan.</w:t>
      </w:r>
      <w:r>
        <w:rPr>
          <w:szCs w:val="22"/>
          <w:lang w:val="fr-FR"/>
        </w:rPr>
        <w:t xml:space="preserve"> Brussels: European Commission</w:t>
      </w:r>
    </w:p>
    <w:p w14:paraId="6360724C" w14:textId="1FB45569" w:rsidR="003F4933" w:rsidRDefault="003F4933" w:rsidP="00A865EB">
      <w:pPr>
        <w:rPr>
          <w:szCs w:val="22"/>
          <w:lang w:val="en-US"/>
        </w:rPr>
      </w:pPr>
      <w:r w:rsidRPr="009545B5">
        <w:rPr>
          <w:szCs w:val="22"/>
          <w:lang w:val="fr-FR"/>
        </w:rPr>
        <w:t xml:space="preserve">European Commission (2016). </w:t>
      </w:r>
      <w:r w:rsidRPr="00D82AA0">
        <w:rPr>
          <w:i/>
          <w:szCs w:val="22"/>
          <w:lang w:val="en-US"/>
        </w:rPr>
        <w:t>European Neighbourhood Policy</w:t>
      </w:r>
      <w:r w:rsidRPr="00D82AA0">
        <w:rPr>
          <w:szCs w:val="22"/>
          <w:lang w:val="en-US"/>
        </w:rPr>
        <w:t xml:space="preserve">. Retrieved from https://ec.europa.eu/neighbourhood-enlargement/neighbourhood/overview_en on </w:t>
      </w:r>
      <w:r w:rsidR="00FF37C8" w:rsidRPr="00D82AA0">
        <w:rPr>
          <w:szCs w:val="22"/>
          <w:lang w:val="en-US"/>
        </w:rPr>
        <w:t>14-06-2018</w:t>
      </w:r>
      <w:r w:rsidRPr="00D82AA0">
        <w:rPr>
          <w:szCs w:val="22"/>
          <w:lang w:val="en-US"/>
        </w:rPr>
        <w:t xml:space="preserve"> </w:t>
      </w:r>
    </w:p>
    <w:p w14:paraId="643D6DC4" w14:textId="052884B9" w:rsidR="00D97AC8" w:rsidRPr="00D97AC8" w:rsidRDefault="00D97AC8" w:rsidP="00A865EB">
      <w:pPr>
        <w:rPr>
          <w:szCs w:val="22"/>
          <w:lang w:val="en-US"/>
        </w:rPr>
      </w:pPr>
      <w:r>
        <w:rPr>
          <w:szCs w:val="22"/>
          <w:lang w:val="en-US"/>
        </w:rPr>
        <w:t xml:space="preserve">European Commission (2015). </w:t>
      </w:r>
      <w:r>
        <w:rPr>
          <w:i/>
          <w:szCs w:val="22"/>
          <w:lang w:val="en-US"/>
        </w:rPr>
        <w:t xml:space="preserve">Joint Staff Working Document – Implementation of the European Neighbourhood Policy Eastern Partnership Implementation Report. </w:t>
      </w:r>
      <w:r>
        <w:rPr>
          <w:szCs w:val="22"/>
          <w:lang w:val="en-US"/>
        </w:rPr>
        <w:t>Brussels: European Commission</w:t>
      </w:r>
    </w:p>
    <w:p w14:paraId="64D355B2" w14:textId="686E0DE7" w:rsidR="00911231" w:rsidRDefault="00911231" w:rsidP="00A865EB">
      <w:pPr>
        <w:rPr>
          <w:szCs w:val="22"/>
          <w:lang w:val="en-US"/>
        </w:rPr>
      </w:pPr>
      <w:r>
        <w:rPr>
          <w:szCs w:val="22"/>
          <w:lang w:val="en-US"/>
        </w:rPr>
        <w:t xml:space="preserve">European Commission (2017). </w:t>
      </w:r>
      <w:r>
        <w:rPr>
          <w:i/>
          <w:szCs w:val="22"/>
          <w:lang w:val="en-US"/>
        </w:rPr>
        <w:t>Questions and Answers on the Implementation of the European Neighbourhood Policy Review.</w:t>
      </w:r>
      <w:r>
        <w:rPr>
          <w:szCs w:val="22"/>
          <w:lang w:val="en-US"/>
        </w:rPr>
        <w:t xml:space="preserve"> Memo/17/1381. Brussels: European Commission</w:t>
      </w:r>
    </w:p>
    <w:p w14:paraId="611857B8" w14:textId="1D06EBCD" w:rsidR="00216440" w:rsidRDefault="00216440" w:rsidP="00A865EB">
      <w:pPr>
        <w:rPr>
          <w:szCs w:val="22"/>
          <w:lang w:val="en-US"/>
        </w:rPr>
      </w:pPr>
      <w:r>
        <w:rPr>
          <w:szCs w:val="22"/>
          <w:lang w:val="en-US"/>
        </w:rPr>
        <w:t xml:space="preserve">European External Action Service (2016). </w:t>
      </w:r>
      <w:r>
        <w:rPr>
          <w:i/>
          <w:szCs w:val="22"/>
          <w:lang w:val="en-US"/>
        </w:rPr>
        <w:t>Eastern Partnership.</w:t>
      </w:r>
      <w:r>
        <w:rPr>
          <w:szCs w:val="22"/>
          <w:lang w:val="en-US"/>
        </w:rPr>
        <w:t xml:space="preserve"> Retrieved from </w:t>
      </w:r>
      <w:r w:rsidRPr="00216440">
        <w:rPr>
          <w:szCs w:val="22"/>
          <w:lang w:val="en-US"/>
        </w:rPr>
        <w:t>https://eeas.europa.eu/topics/eastern-partnership/419/eastern-partnership_en</w:t>
      </w:r>
      <w:r>
        <w:rPr>
          <w:szCs w:val="22"/>
          <w:lang w:val="en-US"/>
        </w:rPr>
        <w:t xml:space="preserve"> on 21-06-2018</w:t>
      </w:r>
    </w:p>
    <w:p w14:paraId="2D90E879" w14:textId="1AFC78CD" w:rsidR="00E76FCD" w:rsidRPr="00E76FCD" w:rsidRDefault="00E76FCD" w:rsidP="00A865EB">
      <w:pPr>
        <w:rPr>
          <w:szCs w:val="22"/>
          <w:lang w:val="en-US"/>
        </w:rPr>
      </w:pPr>
      <w:r>
        <w:rPr>
          <w:szCs w:val="22"/>
          <w:lang w:val="en-US"/>
        </w:rPr>
        <w:t xml:space="preserve">European External Action Service (2017). </w:t>
      </w:r>
      <w:r>
        <w:rPr>
          <w:i/>
          <w:szCs w:val="22"/>
          <w:lang w:val="en-US"/>
        </w:rPr>
        <w:t>Eastern Partnership – 20 deliverables for 2020.</w:t>
      </w:r>
      <w:r>
        <w:rPr>
          <w:szCs w:val="22"/>
          <w:lang w:val="en-US"/>
        </w:rPr>
        <w:t xml:space="preserve"> Retrieved from </w:t>
      </w:r>
      <w:r w:rsidRPr="00E76FCD">
        <w:rPr>
          <w:szCs w:val="22"/>
          <w:lang w:val="en-US"/>
        </w:rPr>
        <w:t>https://eeas.europa.eu/headquarters/headquarters-Homepage/28117/eu-revises-20-key-deliverables-2020-eastern-partnership_en</w:t>
      </w:r>
      <w:r>
        <w:rPr>
          <w:szCs w:val="22"/>
          <w:lang w:val="en-US"/>
        </w:rPr>
        <w:t xml:space="preserve"> on 25-06-2018</w:t>
      </w:r>
    </w:p>
    <w:p w14:paraId="342B6106" w14:textId="5AC0594B" w:rsidR="001665B2" w:rsidRPr="001665B2" w:rsidRDefault="001665B2" w:rsidP="00A865EB">
      <w:pPr>
        <w:rPr>
          <w:szCs w:val="22"/>
          <w:lang w:val="en-US"/>
        </w:rPr>
      </w:pPr>
      <w:r>
        <w:rPr>
          <w:szCs w:val="22"/>
          <w:lang w:val="en-US"/>
        </w:rPr>
        <w:t xml:space="preserve">European External Action Service (2014). </w:t>
      </w:r>
      <w:r>
        <w:rPr>
          <w:i/>
          <w:szCs w:val="22"/>
          <w:lang w:val="en-US"/>
        </w:rPr>
        <w:t>Eastern Partnership From Prague to Riga.</w:t>
      </w:r>
      <w:r>
        <w:rPr>
          <w:szCs w:val="22"/>
          <w:lang w:val="en-US"/>
        </w:rPr>
        <w:t xml:space="preserve"> Retrieved from </w:t>
      </w:r>
      <w:r w:rsidRPr="001665B2">
        <w:rPr>
          <w:szCs w:val="22"/>
          <w:lang w:val="en-US"/>
        </w:rPr>
        <w:t>https://www.consilium.europa.eu/media/23777/eap_riga_web.pdf</w:t>
      </w:r>
      <w:r>
        <w:rPr>
          <w:szCs w:val="22"/>
          <w:lang w:val="en-US"/>
        </w:rPr>
        <w:t xml:space="preserve"> on 25-06-2018</w:t>
      </w:r>
    </w:p>
    <w:p w14:paraId="4AB1A6F3" w14:textId="25C52463" w:rsidR="0061501F" w:rsidRDefault="0061501F" w:rsidP="00A865EB">
      <w:pPr>
        <w:rPr>
          <w:szCs w:val="22"/>
          <w:lang w:val="en-US"/>
        </w:rPr>
      </w:pPr>
      <w:r w:rsidRPr="00D82AA0">
        <w:rPr>
          <w:szCs w:val="22"/>
          <w:lang w:val="en-US"/>
        </w:rPr>
        <w:t xml:space="preserve">European External Action </w:t>
      </w:r>
      <w:r w:rsidR="00A42C85">
        <w:rPr>
          <w:szCs w:val="22"/>
          <w:lang w:val="en-US"/>
        </w:rPr>
        <w:t xml:space="preserve">Service </w:t>
      </w:r>
      <w:r w:rsidRPr="00D82AA0">
        <w:rPr>
          <w:szCs w:val="22"/>
          <w:lang w:val="en-US"/>
        </w:rPr>
        <w:t xml:space="preserve">(2016). </w:t>
      </w:r>
      <w:r w:rsidRPr="00D82AA0">
        <w:rPr>
          <w:i/>
          <w:szCs w:val="22"/>
          <w:lang w:val="en-US"/>
        </w:rPr>
        <w:t>European Neighbourhood Policy.</w:t>
      </w:r>
      <w:r w:rsidRPr="00D82AA0">
        <w:rPr>
          <w:szCs w:val="22"/>
          <w:lang w:val="en-US"/>
        </w:rPr>
        <w:t xml:space="preserve"> Retrieved from https://eeas.europa.eu/topics/european-neighbourhood-policy-enp/330/european-neighbourhood-policy-enp_en on 13-06-2018</w:t>
      </w:r>
    </w:p>
    <w:p w14:paraId="1711C083" w14:textId="5711FFED" w:rsidR="00457164" w:rsidRPr="00457164" w:rsidRDefault="00457164" w:rsidP="00A865EB">
      <w:pPr>
        <w:rPr>
          <w:szCs w:val="22"/>
          <w:lang w:val="en-US"/>
        </w:rPr>
      </w:pPr>
      <w:r>
        <w:rPr>
          <w:szCs w:val="22"/>
          <w:lang w:val="en-US"/>
        </w:rPr>
        <w:t xml:space="preserve">European External Action Service (n.d.). </w:t>
      </w:r>
      <w:r>
        <w:rPr>
          <w:i/>
          <w:szCs w:val="22"/>
          <w:lang w:val="en-US"/>
        </w:rPr>
        <w:t xml:space="preserve">Multilateral cooperation Eastern Partnership: supporting reforms, promoting change. </w:t>
      </w:r>
      <w:r>
        <w:rPr>
          <w:szCs w:val="22"/>
          <w:lang w:val="en-US"/>
        </w:rPr>
        <w:t xml:space="preserve">Retrieved from </w:t>
      </w:r>
      <w:r w:rsidRPr="00457164">
        <w:rPr>
          <w:szCs w:val="22"/>
          <w:lang w:val="en-US"/>
        </w:rPr>
        <w:t>http://eeas.europa.eu/archives/docs/eastern/docs/eastern-multilateral_coop_en.pdf</w:t>
      </w:r>
      <w:r>
        <w:rPr>
          <w:szCs w:val="22"/>
          <w:lang w:val="en-US"/>
        </w:rPr>
        <w:t xml:space="preserve"> on 25-06-2018</w:t>
      </w:r>
    </w:p>
    <w:p w14:paraId="66AC199E" w14:textId="2ED734C8" w:rsidR="007B6DBA" w:rsidRDefault="007B6DBA" w:rsidP="00A865EB">
      <w:pPr>
        <w:rPr>
          <w:szCs w:val="22"/>
          <w:lang w:val="en-US"/>
        </w:rPr>
      </w:pPr>
      <w:r>
        <w:rPr>
          <w:szCs w:val="22"/>
          <w:lang w:val="en-US"/>
        </w:rPr>
        <w:lastRenderedPageBreak/>
        <w:t xml:space="preserve">European External Action Service (2018). </w:t>
      </w:r>
      <w:r>
        <w:rPr>
          <w:i/>
          <w:szCs w:val="22"/>
          <w:lang w:val="en-US"/>
        </w:rPr>
        <w:t>Organisation chart of the EEAS.</w:t>
      </w:r>
      <w:r>
        <w:rPr>
          <w:szCs w:val="22"/>
          <w:lang w:val="en-US"/>
        </w:rPr>
        <w:t xml:space="preserve"> Retrieved from </w:t>
      </w:r>
      <w:r w:rsidRPr="007B6DBA">
        <w:rPr>
          <w:szCs w:val="22"/>
          <w:lang w:val="en-US"/>
        </w:rPr>
        <w:t>https://eeas.europa.eu/headquarters/headquarters-homepage/3602/organisation-chart-eeas_en</w:t>
      </w:r>
      <w:r>
        <w:rPr>
          <w:szCs w:val="22"/>
          <w:lang w:val="en-US"/>
        </w:rPr>
        <w:t xml:space="preserve"> on 21-06-2018</w:t>
      </w:r>
    </w:p>
    <w:p w14:paraId="3640AF25" w14:textId="587B8B1C" w:rsidR="000E1923" w:rsidRPr="003800A6" w:rsidRDefault="000E1923" w:rsidP="00A865EB">
      <w:pPr>
        <w:rPr>
          <w:lang w:val="en-US"/>
        </w:rPr>
      </w:pPr>
      <w:r>
        <w:rPr>
          <w:szCs w:val="22"/>
          <w:lang w:val="en-US"/>
        </w:rPr>
        <w:t xml:space="preserve">European External Action Service (2018). </w:t>
      </w:r>
      <w:r>
        <w:rPr>
          <w:i/>
          <w:szCs w:val="22"/>
          <w:lang w:val="en-US"/>
        </w:rPr>
        <w:t>The EU Delegation to the Republic of Moldova together with the EU Member States and Switzerland presented the first European Joint Development Cooperation Strategy to the Government of the Republic of Moldova</w:t>
      </w:r>
      <w:r w:rsidR="003800A6">
        <w:rPr>
          <w:i/>
          <w:szCs w:val="22"/>
          <w:lang w:val="en-US"/>
        </w:rPr>
        <w:t>.</w:t>
      </w:r>
      <w:r w:rsidR="003800A6" w:rsidRPr="003800A6">
        <w:rPr>
          <w:lang w:val="en-US"/>
        </w:rPr>
        <w:t xml:space="preserve"> R</w:t>
      </w:r>
      <w:r w:rsidR="003800A6">
        <w:rPr>
          <w:lang w:val="en-US"/>
        </w:rPr>
        <w:t xml:space="preserve">etrieved from </w:t>
      </w:r>
      <w:r w:rsidR="003800A6" w:rsidRPr="003800A6">
        <w:rPr>
          <w:lang w:val="en-US"/>
        </w:rPr>
        <w:t>https://eeas.europa.eu/headquarters/headquarters-homepage/40535/eu-delegation-republic-moldova-together-eu-member-states-and-switzerland-presented-first_en</w:t>
      </w:r>
      <w:r w:rsidR="003800A6">
        <w:rPr>
          <w:lang w:val="en-US"/>
        </w:rPr>
        <w:t xml:space="preserve"> on 25-06-2018</w:t>
      </w:r>
    </w:p>
    <w:p w14:paraId="41E2FB4B" w14:textId="3EBB0490" w:rsidR="00141ADD" w:rsidRDefault="00141ADD" w:rsidP="00A865EB">
      <w:pPr>
        <w:rPr>
          <w:szCs w:val="22"/>
          <w:lang w:val="en-US"/>
        </w:rPr>
      </w:pPr>
      <w:r>
        <w:rPr>
          <w:szCs w:val="22"/>
          <w:lang w:val="en-US"/>
        </w:rPr>
        <w:t xml:space="preserve">European Union (2014). </w:t>
      </w:r>
      <w:r>
        <w:rPr>
          <w:i/>
          <w:szCs w:val="22"/>
          <w:lang w:val="en-US"/>
        </w:rPr>
        <w:t>Association Agenda between the European Union and the Republic of Moldova.</w:t>
      </w:r>
      <w:r>
        <w:rPr>
          <w:szCs w:val="22"/>
          <w:lang w:val="en-US"/>
        </w:rPr>
        <w:t xml:space="preserve"> Brussels: European Union</w:t>
      </w:r>
    </w:p>
    <w:p w14:paraId="27AAE527" w14:textId="4204BEED" w:rsidR="00364B54" w:rsidRPr="00364B54" w:rsidRDefault="00364B54" w:rsidP="00A865EB">
      <w:pPr>
        <w:rPr>
          <w:szCs w:val="22"/>
          <w:lang w:val="en-US"/>
        </w:rPr>
      </w:pPr>
      <w:r>
        <w:rPr>
          <w:szCs w:val="22"/>
          <w:lang w:val="en-US"/>
        </w:rPr>
        <w:t xml:space="preserve">European Union (2016). </w:t>
      </w:r>
      <w:r>
        <w:rPr>
          <w:i/>
          <w:szCs w:val="22"/>
          <w:lang w:val="en-US"/>
        </w:rPr>
        <w:t>European Union Joint Analysis – Programming in the Republic of Moldova until 2020.</w:t>
      </w:r>
      <w:r>
        <w:rPr>
          <w:szCs w:val="22"/>
          <w:lang w:val="en-US"/>
        </w:rPr>
        <w:t xml:space="preserve"> Brussels: European Union</w:t>
      </w:r>
    </w:p>
    <w:p w14:paraId="769AEC38" w14:textId="436785E9" w:rsidR="009545B5" w:rsidRPr="007B6DBA" w:rsidRDefault="009545B5" w:rsidP="00A865EB">
      <w:pPr>
        <w:rPr>
          <w:szCs w:val="22"/>
          <w:lang w:val="en-US"/>
        </w:rPr>
      </w:pPr>
      <w:r>
        <w:rPr>
          <w:szCs w:val="22"/>
          <w:lang w:val="en-US"/>
        </w:rPr>
        <w:t xml:space="preserve">European Union (2016). </w:t>
      </w:r>
      <w:r>
        <w:rPr>
          <w:i/>
          <w:szCs w:val="22"/>
          <w:lang w:val="en-US"/>
        </w:rPr>
        <w:t>EU-Moldova Association Agreement.</w:t>
      </w:r>
      <w:r>
        <w:rPr>
          <w:szCs w:val="22"/>
          <w:lang w:val="en-US"/>
        </w:rPr>
        <w:t xml:space="preserve"> Brussels: European Union</w:t>
      </w:r>
    </w:p>
    <w:p w14:paraId="063B97E7" w14:textId="621E650D" w:rsidR="00AC06B4" w:rsidRPr="00D82AA0" w:rsidRDefault="00AC06B4" w:rsidP="00A865EB">
      <w:pPr>
        <w:rPr>
          <w:lang w:val="en-US"/>
        </w:rPr>
      </w:pPr>
      <w:r w:rsidRPr="00D82AA0">
        <w:rPr>
          <w:szCs w:val="22"/>
          <w:lang w:val="en-US"/>
        </w:rPr>
        <w:t xml:space="preserve">Freedom House (2018). </w:t>
      </w:r>
      <w:r w:rsidRPr="00D82AA0">
        <w:rPr>
          <w:i/>
          <w:szCs w:val="22"/>
          <w:lang w:val="en-US"/>
        </w:rPr>
        <w:t>Transnistria Profile.</w:t>
      </w:r>
      <w:r w:rsidRPr="00D82AA0">
        <w:rPr>
          <w:szCs w:val="22"/>
          <w:lang w:val="en-US"/>
        </w:rPr>
        <w:t xml:space="preserve"> Freedom in the World 2017. Retrieved from </w:t>
      </w:r>
      <w:r w:rsidRPr="00D82AA0">
        <w:rPr>
          <w:lang w:val="en-US"/>
        </w:rPr>
        <w:t>https://freedomhouse.org/report/freedom-world/2017/transnistria on 19-06-2018</w:t>
      </w:r>
    </w:p>
    <w:p w14:paraId="2F232326" w14:textId="35DC2228" w:rsidR="00B509A6" w:rsidRPr="00D82AA0" w:rsidRDefault="00727F63" w:rsidP="00A865EB">
      <w:pPr>
        <w:rPr>
          <w:szCs w:val="22"/>
          <w:lang w:val="en-US"/>
        </w:rPr>
      </w:pPr>
      <w:r>
        <w:rPr>
          <w:szCs w:val="22"/>
          <w:lang w:val="en-US"/>
        </w:rPr>
        <w:t>Frontex</w:t>
      </w:r>
      <w:r w:rsidR="00B509A6" w:rsidRPr="00D82AA0">
        <w:rPr>
          <w:szCs w:val="22"/>
          <w:lang w:val="en-US"/>
        </w:rPr>
        <w:t xml:space="preserve"> (n.d.). </w:t>
      </w:r>
      <w:r w:rsidR="00B509A6" w:rsidRPr="00D82AA0">
        <w:rPr>
          <w:i/>
          <w:szCs w:val="22"/>
          <w:lang w:val="en-US"/>
        </w:rPr>
        <w:t>Mission and Tasks.</w:t>
      </w:r>
      <w:r w:rsidR="00B509A6" w:rsidRPr="00D82AA0">
        <w:rPr>
          <w:szCs w:val="22"/>
          <w:lang w:val="en-US"/>
        </w:rPr>
        <w:t xml:space="preserve"> Retrieved from https://frontex.europa.eu on 14-06-2018</w:t>
      </w:r>
    </w:p>
    <w:p w14:paraId="2587090B" w14:textId="7FE2907F" w:rsidR="009254E8" w:rsidRPr="00D82AA0" w:rsidRDefault="009254E8" w:rsidP="00A865EB">
      <w:pPr>
        <w:rPr>
          <w:szCs w:val="22"/>
          <w:lang w:val="en-US"/>
        </w:rPr>
      </w:pPr>
      <w:r w:rsidRPr="00D82AA0">
        <w:rPr>
          <w:rStyle w:val="normaltextrun"/>
          <w:rFonts w:ascii="Calibri" w:hAnsi="Calibri" w:cs="Calibri"/>
          <w:color w:val="000000"/>
          <w:shd w:val="clear" w:color="auto" w:fill="FFFFFF"/>
          <w:lang w:val="en-US"/>
        </w:rPr>
        <w:t>Gee, J.P. (2010). </w:t>
      </w:r>
      <w:r w:rsidRPr="00D82AA0">
        <w:rPr>
          <w:rStyle w:val="normaltextrun"/>
          <w:rFonts w:ascii="Calibri" w:hAnsi="Calibri" w:cs="Calibri"/>
          <w:i/>
          <w:iCs/>
          <w:color w:val="000000"/>
          <w:shd w:val="clear" w:color="auto" w:fill="FFFFFF"/>
          <w:lang w:val="en-US"/>
        </w:rPr>
        <w:t>An introduction to Discourse Analysis – Theory and method.</w:t>
      </w:r>
      <w:r w:rsidRPr="00D82AA0">
        <w:rPr>
          <w:rStyle w:val="normaltextrun"/>
          <w:rFonts w:ascii="Calibri" w:hAnsi="Calibri" w:cs="Calibri"/>
          <w:color w:val="000000"/>
          <w:shd w:val="clear" w:color="auto" w:fill="FFFFFF"/>
          <w:lang w:val="en-US"/>
        </w:rPr>
        <w:t> New York: Routledge</w:t>
      </w:r>
      <w:r w:rsidRPr="00D82AA0">
        <w:rPr>
          <w:rStyle w:val="eop"/>
          <w:rFonts w:ascii="Calibri" w:hAnsi="Calibri" w:cs="Calibri"/>
          <w:color w:val="000000"/>
          <w:shd w:val="clear" w:color="auto" w:fill="FFFFFF"/>
          <w:lang w:val="en-US"/>
        </w:rPr>
        <w:t> </w:t>
      </w:r>
    </w:p>
    <w:p w14:paraId="43F82AB0" w14:textId="6280B0B1" w:rsidR="00050184" w:rsidRPr="00D82AA0" w:rsidRDefault="00050184" w:rsidP="00A865EB">
      <w:pPr>
        <w:rPr>
          <w:szCs w:val="22"/>
          <w:lang w:val="en-US"/>
        </w:rPr>
      </w:pPr>
      <w:r w:rsidRPr="00D82AA0">
        <w:rPr>
          <w:szCs w:val="22"/>
          <w:lang w:val="en-US"/>
        </w:rPr>
        <w:t xml:space="preserve">Gellner, E. (1983). </w:t>
      </w:r>
      <w:r w:rsidRPr="00D82AA0">
        <w:rPr>
          <w:i/>
          <w:szCs w:val="22"/>
          <w:lang w:val="en-US"/>
        </w:rPr>
        <w:t>Nations and Nationalism.</w:t>
      </w:r>
      <w:r w:rsidRPr="00D82AA0">
        <w:rPr>
          <w:szCs w:val="22"/>
          <w:lang w:val="en-US"/>
        </w:rPr>
        <w:t xml:space="preserve"> Ithaca: Cornell University Press</w:t>
      </w:r>
    </w:p>
    <w:p w14:paraId="7E074FC3" w14:textId="4CF31F27" w:rsidR="00050184" w:rsidRPr="00D82AA0" w:rsidRDefault="00050184" w:rsidP="00A865EB">
      <w:pPr>
        <w:rPr>
          <w:szCs w:val="22"/>
          <w:lang w:val="en-US"/>
        </w:rPr>
      </w:pPr>
      <w:r w:rsidRPr="00D82AA0">
        <w:rPr>
          <w:szCs w:val="22"/>
          <w:lang w:val="en-US"/>
        </w:rPr>
        <w:t xml:space="preserve">Greenfeld, L. (1992). </w:t>
      </w:r>
      <w:r w:rsidRPr="00D82AA0">
        <w:rPr>
          <w:i/>
          <w:szCs w:val="22"/>
          <w:lang w:val="en-US"/>
        </w:rPr>
        <w:t>Nationalism: Five roads to modernity.</w:t>
      </w:r>
      <w:r w:rsidRPr="00D82AA0">
        <w:rPr>
          <w:szCs w:val="22"/>
          <w:lang w:val="en-US"/>
        </w:rPr>
        <w:t xml:space="preserve"> Cambridge: Harvard University Press</w:t>
      </w:r>
    </w:p>
    <w:p w14:paraId="25FF009F" w14:textId="4393DBC4" w:rsidR="003F4933" w:rsidRDefault="003F4933" w:rsidP="00A865EB">
      <w:pPr>
        <w:rPr>
          <w:rStyle w:val="normaltextrun"/>
          <w:rFonts w:ascii="Calibri" w:hAnsi="Calibri" w:cs="Calibri"/>
          <w:color w:val="000000"/>
          <w:shd w:val="clear" w:color="auto" w:fill="FFFFFF"/>
          <w:lang w:val="en-US"/>
        </w:rPr>
      </w:pPr>
      <w:r w:rsidRPr="00D82AA0">
        <w:rPr>
          <w:rStyle w:val="normaltextrun"/>
          <w:rFonts w:ascii="Calibri" w:hAnsi="Calibri" w:cs="Calibri"/>
          <w:color w:val="000000"/>
          <w:shd w:val="clear" w:color="auto" w:fill="FFFFFF"/>
          <w:lang w:val="en-US"/>
        </w:rPr>
        <w:t>Global Economy.com (</w:t>
      </w:r>
      <w:r w:rsidRPr="00D82AA0">
        <w:rPr>
          <w:rStyle w:val="spellingerror"/>
          <w:rFonts w:ascii="Calibri" w:hAnsi="Calibri" w:cs="Calibri"/>
          <w:color w:val="000000"/>
          <w:shd w:val="clear" w:color="auto" w:fill="FFFFFF"/>
          <w:lang w:val="en-US"/>
        </w:rPr>
        <w:t>n.d.</w:t>
      </w:r>
      <w:r w:rsidRPr="00D82AA0">
        <w:rPr>
          <w:rStyle w:val="normaltextrun"/>
          <w:rFonts w:ascii="Calibri" w:hAnsi="Calibri" w:cs="Calibri"/>
          <w:color w:val="000000"/>
          <w:shd w:val="clear" w:color="auto" w:fill="FFFFFF"/>
          <w:lang w:val="en-US"/>
        </w:rPr>
        <w:t>). </w:t>
      </w:r>
      <w:r w:rsidRPr="00D82AA0">
        <w:rPr>
          <w:rStyle w:val="normaltextrun"/>
          <w:rFonts w:ascii="Calibri" w:hAnsi="Calibri" w:cs="Calibri"/>
          <w:i/>
          <w:iCs/>
          <w:color w:val="000000"/>
          <w:shd w:val="clear" w:color="auto" w:fill="FFFFFF"/>
          <w:lang w:val="en-US"/>
        </w:rPr>
        <w:t>Political stability index, 2016. </w:t>
      </w:r>
      <w:r w:rsidRPr="00D82AA0">
        <w:rPr>
          <w:rStyle w:val="normaltextrun"/>
          <w:rFonts w:ascii="Calibri" w:hAnsi="Calibri" w:cs="Calibri"/>
          <w:color w:val="000000"/>
          <w:shd w:val="clear" w:color="auto" w:fill="FFFFFF"/>
          <w:lang w:val="en-US"/>
        </w:rPr>
        <w:t>Retrieved from https://www.theglobaleconomy.com/rankings/wb_political_stability/ on 14-06-2018</w:t>
      </w:r>
    </w:p>
    <w:p w14:paraId="1A62B89C" w14:textId="28007F75" w:rsidR="00D86BA2" w:rsidRPr="00F64D03" w:rsidRDefault="00D86BA2" w:rsidP="00A865EB">
      <w:pPr>
        <w:rPr>
          <w:rStyle w:val="normaltextrun"/>
          <w:rFonts w:ascii="Calibri" w:hAnsi="Calibri" w:cs="Calibri"/>
          <w:color w:val="000000"/>
          <w:shd w:val="clear" w:color="auto" w:fill="FFFFFF"/>
          <w:lang w:val="en-US"/>
        </w:rPr>
      </w:pPr>
      <w:r w:rsidRPr="008E1FBB">
        <w:rPr>
          <w:rStyle w:val="normaltextrun"/>
          <w:rFonts w:ascii="Calibri" w:hAnsi="Calibri" w:cs="Calibri"/>
          <w:noProof/>
          <w:color w:val="000000"/>
          <w:shd w:val="clear" w:color="auto" w:fill="FFFFFF"/>
          <w:lang w:val="en-US"/>
        </w:rPr>
        <w:t>Gretskiy</w:t>
      </w:r>
      <w:r>
        <w:rPr>
          <w:rStyle w:val="normaltextrun"/>
          <w:rFonts w:ascii="Calibri" w:hAnsi="Calibri" w:cs="Calibri"/>
          <w:color w:val="000000"/>
          <w:shd w:val="clear" w:color="auto" w:fill="FFFFFF"/>
          <w:lang w:val="en-US"/>
        </w:rPr>
        <w:t xml:space="preserve">, I., Treshchenkov, E. &amp; Golubev, K. (2014). </w:t>
      </w:r>
      <w:r>
        <w:rPr>
          <w:rStyle w:val="normaltextrun"/>
          <w:rFonts w:ascii="Calibri" w:hAnsi="Calibri" w:cs="Calibri"/>
          <w:i/>
          <w:color w:val="000000"/>
          <w:shd w:val="clear" w:color="auto" w:fill="FFFFFF"/>
          <w:lang w:val="en-US"/>
        </w:rPr>
        <w:t xml:space="preserve">Russia’s perceptions and misperceptions of the EU Eastern Partnership. </w:t>
      </w:r>
      <w:r w:rsidR="00F64D03">
        <w:rPr>
          <w:rStyle w:val="normaltextrun"/>
          <w:rFonts w:ascii="Calibri" w:hAnsi="Calibri" w:cs="Calibri"/>
          <w:color w:val="000000"/>
          <w:shd w:val="clear" w:color="auto" w:fill="FFFFFF"/>
          <w:lang w:val="en-US"/>
        </w:rPr>
        <w:t>Communist and Post-Communist Studies, 47, 375-383. Amsterdam: Elsevier</w:t>
      </w:r>
    </w:p>
    <w:p w14:paraId="23B46BEE" w14:textId="32FDA02E" w:rsidR="006A27AC" w:rsidRPr="006A27AC" w:rsidRDefault="006A27AC" w:rsidP="00A865EB">
      <w:pPr>
        <w:rPr>
          <w:szCs w:val="22"/>
          <w:lang w:val="en-US"/>
        </w:rPr>
      </w:pPr>
      <w:r>
        <w:rPr>
          <w:rStyle w:val="normaltextrun"/>
          <w:rFonts w:ascii="Calibri" w:hAnsi="Calibri" w:cs="Calibri"/>
          <w:color w:val="000000"/>
          <w:shd w:val="clear" w:color="auto" w:fill="FFFFFF"/>
          <w:lang w:val="en-US"/>
        </w:rPr>
        <w:lastRenderedPageBreak/>
        <w:t xml:space="preserve">Herszenhorn, D.M. &amp; Barigazzi, J. (2017). </w:t>
      </w:r>
      <w:r>
        <w:rPr>
          <w:rStyle w:val="normaltextrun"/>
          <w:rFonts w:ascii="Calibri" w:hAnsi="Calibri" w:cs="Calibri"/>
          <w:i/>
          <w:color w:val="000000"/>
          <w:shd w:val="clear" w:color="auto" w:fill="FFFFFF"/>
          <w:lang w:val="en-US"/>
        </w:rPr>
        <w:t xml:space="preserve">Russia casts </w:t>
      </w:r>
      <w:r w:rsidRPr="008E1FBB">
        <w:rPr>
          <w:rStyle w:val="normaltextrun"/>
          <w:rFonts w:ascii="Calibri" w:hAnsi="Calibri" w:cs="Calibri"/>
          <w:i/>
          <w:noProof/>
          <w:color w:val="000000"/>
          <w:shd w:val="clear" w:color="auto" w:fill="FFFFFF"/>
          <w:lang w:val="en-US"/>
        </w:rPr>
        <w:t>shadow</w:t>
      </w:r>
      <w:r>
        <w:rPr>
          <w:rStyle w:val="normaltextrun"/>
          <w:rFonts w:ascii="Calibri" w:hAnsi="Calibri" w:cs="Calibri"/>
          <w:i/>
          <w:color w:val="000000"/>
          <w:shd w:val="clear" w:color="auto" w:fill="FFFFFF"/>
          <w:lang w:val="en-US"/>
        </w:rPr>
        <w:t xml:space="preserve"> over EU’s eastern summit. </w:t>
      </w:r>
      <w:r>
        <w:rPr>
          <w:rStyle w:val="normaltextrun"/>
          <w:rFonts w:ascii="Calibri" w:hAnsi="Calibri" w:cs="Calibri"/>
          <w:color w:val="000000"/>
          <w:shd w:val="clear" w:color="auto" w:fill="FFFFFF"/>
          <w:lang w:val="en-US"/>
        </w:rPr>
        <w:t xml:space="preserve">Politico. Retrieved from </w:t>
      </w:r>
      <w:r w:rsidRPr="006A27AC">
        <w:rPr>
          <w:rStyle w:val="normaltextrun"/>
          <w:rFonts w:ascii="Calibri" w:hAnsi="Calibri" w:cs="Calibri"/>
          <w:color w:val="000000"/>
          <w:shd w:val="clear" w:color="auto" w:fill="FFFFFF"/>
          <w:lang w:val="en-US"/>
        </w:rPr>
        <w:t>https://www.politico.eu/article/russia-casts-shadow-over-eus-eastern-summit-donald-tusk-crimea-ukraine/</w:t>
      </w:r>
      <w:r>
        <w:rPr>
          <w:rStyle w:val="normaltextrun"/>
          <w:rFonts w:ascii="Calibri" w:hAnsi="Calibri" w:cs="Calibri"/>
          <w:color w:val="000000"/>
          <w:shd w:val="clear" w:color="auto" w:fill="FFFFFF"/>
          <w:lang w:val="en-US"/>
        </w:rPr>
        <w:t xml:space="preserve"> on 27-06-2018</w:t>
      </w:r>
    </w:p>
    <w:p w14:paraId="1583A546" w14:textId="431163E4" w:rsidR="005B22A3" w:rsidRPr="00D82AA0" w:rsidRDefault="005B22A3" w:rsidP="00A865EB">
      <w:pPr>
        <w:rPr>
          <w:szCs w:val="22"/>
          <w:lang w:val="en-US"/>
        </w:rPr>
      </w:pPr>
      <w:r w:rsidRPr="007B73E2">
        <w:rPr>
          <w:szCs w:val="22"/>
        </w:rPr>
        <w:t>Houtum, H. van</w:t>
      </w:r>
      <w:r w:rsidR="00B4086C" w:rsidRPr="007B73E2">
        <w:rPr>
          <w:szCs w:val="22"/>
        </w:rPr>
        <w:t xml:space="preserve">, Kramsch, O. &amp; Zierhofer, W. (2005). </w:t>
      </w:r>
      <w:r w:rsidR="00B4086C" w:rsidRPr="00D82AA0">
        <w:rPr>
          <w:i/>
          <w:szCs w:val="22"/>
          <w:lang w:val="en-US"/>
        </w:rPr>
        <w:t xml:space="preserve">Bordering Space. </w:t>
      </w:r>
      <w:r w:rsidR="00B4086C" w:rsidRPr="00D82AA0">
        <w:rPr>
          <w:szCs w:val="22"/>
          <w:lang w:val="en-US"/>
        </w:rPr>
        <w:t>Aldershot: Ashgate Publishing Limited</w:t>
      </w:r>
    </w:p>
    <w:p w14:paraId="367A9F2B" w14:textId="27D7F519" w:rsidR="005B22A3" w:rsidRPr="00D82AA0" w:rsidRDefault="005B22A3" w:rsidP="00A865EB">
      <w:pPr>
        <w:rPr>
          <w:szCs w:val="22"/>
          <w:lang w:val="en-US"/>
        </w:rPr>
      </w:pPr>
      <w:r w:rsidRPr="007B73E2">
        <w:rPr>
          <w:szCs w:val="22"/>
        </w:rPr>
        <w:t xml:space="preserve">Houtum, H. van &amp; Naerssen, T. van (2002). </w:t>
      </w:r>
      <w:r w:rsidRPr="007B73E2">
        <w:rPr>
          <w:i/>
          <w:szCs w:val="22"/>
        </w:rPr>
        <w:t>Bordering, Ordering and Othering.</w:t>
      </w:r>
      <w:r w:rsidRPr="007B73E2">
        <w:rPr>
          <w:szCs w:val="22"/>
        </w:rPr>
        <w:t xml:space="preserve"> Tijdschrift </w:t>
      </w:r>
      <w:r w:rsidRPr="008E1FBB">
        <w:rPr>
          <w:noProof/>
          <w:szCs w:val="22"/>
        </w:rPr>
        <w:t>voor</w:t>
      </w:r>
      <w:r w:rsidRPr="007B73E2">
        <w:rPr>
          <w:szCs w:val="22"/>
        </w:rPr>
        <w:t xml:space="preserve"> Economische en Sociale Geografie, Vol. 93, No. 2, 125-136. </w:t>
      </w:r>
      <w:r w:rsidRPr="00D82AA0">
        <w:rPr>
          <w:szCs w:val="22"/>
          <w:lang w:val="en-US"/>
        </w:rPr>
        <w:t>Oxford: Blackwell Publishers</w:t>
      </w:r>
    </w:p>
    <w:p w14:paraId="60F170F4" w14:textId="77777777" w:rsidR="00EC1841" w:rsidRPr="00D82AA0" w:rsidRDefault="005F5059" w:rsidP="00A865EB">
      <w:pPr>
        <w:rPr>
          <w:rStyle w:val="normaltextrun"/>
          <w:rFonts w:ascii="Calibri" w:hAnsi="Calibri" w:cs="Calibri"/>
          <w:color w:val="000000"/>
          <w:shd w:val="clear" w:color="auto" w:fill="FFFFFF"/>
          <w:lang w:val="en-US"/>
        </w:rPr>
      </w:pPr>
      <w:r w:rsidRPr="00D82AA0">
        <w:rPr>
          <w:rStyle w:val="spellingerror"/>
          <w:rFonts w:ascii="Calibri" w:hAnsi="Calibri" w:cs="Calibri"/>
          <w:color w:val="000000"/>
          <w:shd w:val="clear" w:color="auto" w:fill="FFFFFF"/>
          <w:lang w:val="en-US"/>
        </w:rPr>
        <w:t>Kinnvall</w:t>
      </w:r>
      <w:r w:rsidRPr="00D82AA0">
        <w:rPr>
          <w:rStyle w:val="normaltextrun"/>
          <w:rFonts w:ascii="Calibri" w:hAnsi="Calibri" w:cs="Calibri"/>
          <w:color w:val="000000"/>
          <w:shd w:val="clear" w:color="auto" w:fill="FFFFFF"/>
          <w:lang w:val="en-US"/>
        </w:rPr>
        <w:t>, C. (2016). </w:t>
      </w:r>
      <w:r w:rsidRPr="00D82AA0">
        <w:rPr>
          <w:rStyle w:val="normaltextrun"/>
          <w:rFonts w:ascii="Calibri" w:hAnsi="Calibri" w:cs="Calibri"/>
          <w:i/>
          <w:iCs/>
          <w:color w:val="000000"/>
          <w:shd w:val="clear" w:color="auto" w:fill="FFFFFF"/>
          <w:lang w:val="en-US"/>
        </w:rPr>
        <w:t>The Postcolonial has Moved into Europe: Bordering, Security and Ethno-Cultural Belonging. </w:t>
      </w:r>
      <w:r w:rsidRPr="00D82AA0">
        <w:rPr>
          <w:rStyle w:val="normaltextrun"/>
          <w:rFonts w:ascii="Calibri" w:hAnsi="Calibri" w:cs="Calibri"/>
          <w:color w:val="000000"/>
          <w:shd w:val="clear" w:color="auto" w:fill="FFFFFF"/>
          <w:lang w:val="en-US"/>
        </w:rPr>
        <w:t>Journal of Common Market Studies, Volume 54, number 1, pp. 152-168. Hoboken: John Wiley &amp; Sons Ltd.</w:t>
      </w:r>
      <w:r w:rsidR="00EC1841" w:rsidRPr="00D82AA0">
        <w:rPr>
          <w:rStyle w:val="normaltextrun"/>
          <w:rFonts w:ascii="Calibri" w:hAnsi="Calibri" w:cs="Calibri"/>
          <w:color w:val="000000"/>
          <w:shd w:val="clear" w:color="auto" w:fill="FFFFFF"/>
          <w:lang w:val="en-US"/>
        </w:rPr>
        <w:t xml:space="preserve"> </w:t>
      </w:r>
    </w:p>
    <w:p w14:paraId="2358D05C" w14:textId="29D8102E" w:rsidR="00EC1841" w:rsidRPr="00D82AA0" w:rsidRDefault="00EC1841" w:rsidP="00A865EB">
      <w:pPr>
        <w:rPr>
          <w:rStyle w:val="normaltextrun"/>
          <w:rFonts w:ascii="Calibri" w:hAnsi="Calibri" w:cs="Calibri"/>
          <w:color w:val="000000"/>
          <w:shd w:val="clear" w:color="auto" w:fill="FFFFFF"/>
          <w:lang w:val="en-US"/>
        </w:rPr>
      </w:pPr>
      <w:r w:rsidRPr="00D82AA0">
        <w:rPr>
          <w:rStyle w:val="normaltextrun"/>
          <w:rFonts w:ascii="Calibri" w:hAnsi="Calibri" w:cs="Calibri"/>
          <w:color w:val="000000"/>
          <w:shd w:val="clear" w:color="auto" w:fill="FFFFFF"/>
          <w:lang w:val="en-US"/>
        </w:rPr>
        <w:t>Kolossov, V. &amp; </w:t>
      </w:r>
      <w:r w:rsidRPr="00D82AA0">
        <w:rPr>
          <w:rStyle w:val="spellingerror"/>
          <w:rFonts w:ascii="Calibri" w:hAnsi="Calibri" w:cs="Calibri"/>
          <w:color w:val="000000"/>
          <w:shd w:val="clear" w:color="auto" w:fill="FFFFFF"/>
          <w:lang w:val="en-US"/>
        </w:rPr>
        <w:t>O’Loughling</w:t>
      </w:r>
      <w:r w:rsidRPr="00D82AA0">
        <w:rPr>
          <w:rStyle w:val="normaltextrun"/>
          <w:rFonts w:ascii="Calibri" w:hAnsi="Calibri" w:cs="Calibri"/>
          <w:color w:val="000000"/>
          <w:shd w:val="clear" w:color="auto" w:fill="FFFFFF"/>
          <w:lang w:val="en-US"/>
        </w:rPr>
        <w:t>, J. (1998). </w:t>
      </w:r>
      <w:r w:rsidRPr="00D82AA0">
        <w:rPr>
          <w:rStyle w:val="normaltextrun"/>
          <w:rFonts w:ascii="Calibri" w:hAnsi="Calibri" w:cs="Calibri"/>
          <w:i/>
          <w:iCs/>
          <w:color w:val="000000"/>
          <w:shd w:val="clear" w:color="auto" w:fill="FFFFFF"/>
          <w:lang w:val="en-US"/>
        </w:rPr>
        <w:t>Pseudo-states as harbingers of a post-modern geopolitics: The example of the Trans-Dniester Moldovan Republic (TMR).</w:t>
      </w:r>
      <w:r w:rsidRPr="00D82AA0">
        <w:rPr>
          <w:rStyle w:val="normaltextrun"/>
          <w:rFonts w:ascii="Calibri" w:hAnsi="Calibri" w:cs="Calibri"/>
          <w:color w:val="000000"/>
          <w:shd w:val="clear" w:color="auto" w:fill="FFFFFF"/>
          <w:lang w:val="en-US"/>
        </w:rPr>
        <w:t> Geopolitics June 1998, DOI: 10.1080/14650049808407612. </w:t>
      </w:r>
      <w:r w:rsidRPr="00D82AA0">
        <w:rPr>
          <w:rStyle w:val="spellingerror"/>
          <w:rFonts w:ascii="Calibri" w:hAnsi="Calibri" w:cs="Calibri"/>
          <w:color w:val="000000"/>
          <w:shd w:val="clear" w:color="auto" w:fill="FFFFFF"/>
          <w:lang w:val="en-US"/>
        </w:rPr>
        <w:t>Abingdon</w:t>
      </w:r>
      <w:r w:rsidRPr="00D82AA0">
        <w:rPr>
          <w:rStyle w:val="normaltextrun"/>
          <w:rFonts w:ascii="Calibri" w:hAnsi="Calibri" w:cs="Calibri"/>
          <w:color w:val="000000"/>
          <w:shd w:val="clear" w:color="auto" w:fill="FFFFFF"/>
          <w:lang w:val="en-US"/>
        </w:rPr>
        <w:t>: Taylor &amp; Francis Group</w:t>
      </w:r>
      <w:r w:rsidRPr="00D82AA0">
        <w:rPr>
          <w:rStyle w:val="eop"/>
          <w:rFonts w:ascii="Calibri" w:hAnsi="Calibri" w:cs="Calibri"/>
          <w:color w:val="000000"/>
          <w:shd w:val="clear" w:color="auto" w:fill="FFFFFF"/>
          <w:lang w:val="en-US"/>
        </w:rPr>
        <w:t> </w:t>
      </w:r>
    </w:p>
    <w:p w14:paraId="50EF41F6" w14:textId="4F36E7F0" w:rsidR="00DC1D67" w:rsidRPr="00D82AA0" w:rsidRDefault="00DC1D67" w:rsidP="00A865EB">
      <w:pPr>
        <w:rPr>
          <w:szCs w:val="22"/>
          <w:lang w:val="en-US"/>
        </w:rPr>
      </w:pPr>
      <w:r w:rsidRPr="00D82AA0">
        <w:rPr>
          <w:szCs w:val="22"/>
          <w:lang w:val="en-US"/>
        </w:rPr>
        <w:t xml:space="preserve">Kolstø, P. (2006). </w:t>
      </w:r>
      <w:r w:rsidRPr="00D82AA0">
        <w:rPr>
          <w:i/>
          <w:szCs w:val="22"/>
          <w:lang w:val="en-US"/>
        </w:rPr>
        <w:t>The Sustainability and Future of Unrecognized Quasi-States.</w:t>
      </w:r>
      <w:r w:rsidRPr="00D82AA0">
        <w:rPr>
          <w:szCs w:val="22"/>
          <w:lang w:val="en-US"/>
        </w:rPr>
        <w:t xml:space="preserve"> Journal of Peache Research, vol. 43, no. 6, p. 723-740. London: Sage Publications</w:t>
      </w:r>
    </w:p>
    <w:p w14:paraId="35DC2E96" w14:textId="74C56A56" w:rsidR="001B3DD4" w:rsidRPr="00D82AA0" w:rsidRDefault="001B3DD4" w:rsidP="00A865EB">
      <w:pPr>
        <w:rPr>
          <w:szCs w:val="22"/>
          <w:lang w:val="en-US"/>
        </w:rPr>
      </w:pPr>
      <w:r w:rsidRPr="00D82AA0">
        <w:rPr>
          <w:szCs w:val="22"/>
          <w:lang w:val="en-US"/>
        </w:rPr>
        <w:t xml:space="preserve">Kolstø, P. &amp; Malgin, A. (1998). </w:t>
      </w:r>
      <w:r w:rsidRPr="00D82AA0">
        <w:rPr>
          <w:i/>
          <w:szCs w:val="22"/>
          <w:lang w:val="en-US"/>
        </w:rPr>
        <w:t xml:space="preserve">The Transnistrian Republic: a case of politicized regionalism. </w:t>
      </w:r>
      <w:r w:rsidRPr="00D82AA0">
        <w:rPr>
          <w:szCs w:val="22"/>
          <w:lang w:val="en-US"/>
        </w:rPr>
        <w:t xml:space="preserve">Nationalities Papers, 26:1, 103-127. London: Routledge. </w:t>
      </w:r>
    </w:p>
    <w:p w14:paraId="548D4E11" w14:textId="422F41F4" w:rsidR="00625EF8" w:rsidRPr="00D82AA0" w:rsidRDefault="00625EF8" w:rsidP="00A865EB">
      <w:pPr>
        <w:rPr>
          <w:szCs w:val="22"/>
          <w:lang w:val="en-US"/>
        </w:rPr>
      </w:pPr>
      <w:r w:rsidRPr="00D82AA0">
        <w:rPr>
          <w:rStyle w:val="spellingerror"/>
          <w:rFonts w:ascii="Calibri" w:hAnsi="Calibri" w:cs="Calibri"/>
          <w:color w:val="000000"/>
          <w:shd w:val="clear" w:color="auto" w:fill="FFFFFF"/>
          <w:lang w:val="en-US"/>
        </w:rPr>
        <w:t>Kuus</w:t>
      </w:r>
      <w:r w:rsidRPr="00D82AA0">
        <w:rPr>
          <w:rStyle w:val="normaltextrun"/>
          <w:rFonts w:ascii="Calibri" w:hAnsi="Calibri" w:cs="Calibri"/>
          <w:color w:val="000000"/>
          <w:shd w:val="clear" w:color="auto" w:fill="FFFFFF"/>
          <w:lang w:val="en-US"/>
        </w:rPr>
        <w:t>, M. (2010). </w:t>
      </w:r>
      <w:r w:rsidRPr="00D82AA0">
        <w:rPr>
          <w:rStyle w:val="normaltextrun"/>
          <w:rFonts w:ascii="Calibri" w:hAnsi="Calibri" w:cs="Calibri"/>
          <w:i/>
          <w:iCs/>
          <w:color w:val="000000"/>
          <w:shd w:val="clear" w:color="auto" w:fill="FFFFFF"/>
          <w:lang w:val="en-US"/>
        </w:rPr>
        <w:t>Critical Geopolitics.</w:t>
      </w:r>
      <w:r w:rsidRPr="00D82AA0">
        <w:rPr>
          <w:rStyle w:val="normaltextrun"/>
          <w:rFonts w:ascii="Calibri" w:hAnsi="Calibri" w:cs="Calibri"/>
          <w:color w:val="000000"/>
          <w:shd w:val="clear" w:color="auto" w:fill="FFFFFF"/>
          <w:lang w:val="en-US"/>
        </w:rPr>
        <w:t> The international studies </w:t>
      </w:r>
      <w:r w:rsidRPr="00D82AA0">
        <w:rPr>
          <w:rStyle w:val="spellingerror"/>
          <w:rFonts w:ascii="Calibri" w:hAnsi="Calibri" w:cs="Calibri"/>
          <w:color w:val="000000"/>
          <w:shd w:val="clear" w:color="auto" w:fill="FFFFFF"/>
          <w:lang w:val="en-US"/>
        </w:rPr>
        <w:t>Encyclopedia</w:t>
      </w:r>
      <w:r w:rsidRPr="00D82AA0">
        <w:rPr>
          <w:rStyle w:val="normaltextrun"/>
          <w:rFonts w:ascii="Calibri" w:hAnsi="Calibri" w:cs="Calibri"/>
          <w:color w:val="000000"/>
          <w:shd w:val="clear" w:color="auto" w:fill="FFFFFF"/>
          <w:lang w:val="en-US"/>
        </w:rPr>
        <w:t>, 2, 683-701. Hoboken: Wiley-Blackwell</w:t>
      </w:r>
      <w:r w:rsidRPr="00D82AA0">
        <w:rPr>
          <w:rStyle w:val="eop"/>
          <w:rFonts w:ascii="Calibri" w:hAnsi="Calibri" w:cs="Calibri"/>
          <w:color w:val="000000"/>
          <w:shd w:val="clear" w:color="auto" w:fill="FFFFFF"/>
          <w:lang w:val="en-US"/>
        </w:rPr>
        <w:t> </w:t>
      </w:r>
    </w:p>
    <w:p w14:paraId="318FE26B" w14:textId="23C686F5" w:rsidR="00356177" w:rsidRPr="00D82AA0" w:rsidRDefault="00356177" w:rsidP="00A865EB">
      <w:pPr>
        <w:rPr>
          <w:szCs w:val="22"/>
          <w:lang w:val="en-US"/>
        </w:rPr>
      </w:pPr>
      <w:r w:rsidRPr="00D82AA0">
        <w:rPr>
          <w:szCs w:val="22"/>
          <w:lang w:val="en-US"/>
        </w:rPr>
        <w:t xml:space="preserve">Kuus, M. (2011). </w:t>
      </w:r>
      <w:r w:rsidRPr="00D82AA0">
        <w:rPr>
          <w:i/>
          <w:szCs w:val="22"/>
          <w:lang w:val="en-US"/>
        </w:rPr>
        <w:t xml:space="preserve">Policy and Geopolitics: Bounding Europe in </w:t>
      </w:r>
      <w:r w:rsidRPr="008E1FBB">
        <w:rPr>
          <w:i/>
          <w:noProof/>
          <w:szCs w:val="22"/>
          <w:lang w:val="en-US"/>
        </w:rPr>
        <w:t>EUrope</w:t>
      </w:r>
      <w:r w:rsidRPr="00D82AA0">
        <w:rPr>
          <w:i/>
          <w:szCs w:val="22"/>
          <w:lang w:val="en-US"/>
        </w:rPr>
        <w:t xml:space="preserve">. </w:t>
      </w:r>
      <w:r w:rsidRPr="00D82AA0">
        <w:rPr>
          <w:szCs w:val="22"/>
          <w:lang w:val="en-US"/>
        </w:rPr>
        <w:t>Annals of the Association of American Geographers, Vol. 101, No. 5, 1140-1155. Abingdon: Taylor &amp; Francis Group</w:t>
      </w:r>
    </w:p>
    <w:p w14:paraId="5383740C" w14:textId="5E78C6BB" w:rsidR="00E47C9F" w:rsidRPr="00D82AA0" w:rsidRDefault="00E47C9F" w:rsidP="00A865EB">
      <w:pPr>
        <w:rPr>
          <w:szCs w:val="22"/>
          <w:lang w:val="en-US"/>
        </w:rPr>
      </w:pPr>
      <w:r w:rsidRPr="00D82AA0">
        <w:rPr>
          <w:szCs w:val="22"/>
          <w:lang w:val="en-US"/>
        </w:rPr>
        <w:t xml:space="preserve">Ladrech, R. (1994). </w:t>
      </w:r>
      <w:r w:rsidRPr="00D82AA0">
        <w:rPr>
          <w:i/>
          <w:szCs w:val="22"/>
          <w:lang w:val="en-US"/>
        </w:rPr>
        <w:t>Europeanization of Domestic Politics and Institutions: The Case of France.</w:t>
      </w:r>
      <w:r w:rsidRPr="00D82AA0">
        <w:rPr>
          <w:szCs w:val="22"/>
          <w:lang w:val="en-US"/>
        </w:rPr>
        <w:t xml:space="preserve"> Journal of Common Market Studies, Vol. 32, No. 1. New York: John Wiley &amp; Sons</w:t>
      </w:r>
    </w:p>
    <w:p w14:paraId="0FF5FD85" w14:textId="1D29F714" w:rsidR="00835305" w:rsidRPr="00D82AA0" w:rsidRDefault="00387FC0" w:rsidP="00A865EB">
      <w:pPr>
        <w:rPr>
          <w:szCs w:val="22"/>
          <w:lang w:val="en-US"/>
        </w:rPr>
      </w:pPr>
      <w:r w:rsidRPr="00D82AA0">
        <w:rPr>
          <w:szCs w:val="22"/>
          <w:lang w:val="en-US"/>
        </w:rPr>
        <w:t xml:space="preserve">Legal Code of Gagauzia (1998). </w:t>
      </w:r>
      <w:r w:rsidR="00E47922" w:rsidRPr="00D82AA0">
        <w:rPr>
          <w:i/>
          <w:szCs w:val="22"/>
          <w:lang w:val="en-US"/>
        </w:rPr>
        <w:t xml:space="preserve">Law on </w:t>
      </w:r>
      <w:r w:rsidR="00E47922" w:rsidRPr="008E1FBB">
        <w:rPr>
          <w:i/>
          <w:noProof/>
          <w:szCs w:val="22"/>
          <w:lang w:val="en-US"/>
        </w:rPr>
        <w:t>special</w:t>
      </w:r>
      <w:r w:rsidR="00E47922" w:rsidRPr="00D82AA0">
        <w:rPr>
          <w:i/>
          <w:szCs w:val="22"/>
          <w:lang w:val="en-US"/>
        </w:rPr>
        <w:t xml:space="preserve"> legal status of </w:t>
      </w:r>
      <w:r w:rsidR="00E47922" w:rsidRPr="008E1FBB">
        <w:rPr>
          <w:i/>
          <w:noProof/>
          <w:szCs w:val="22"/>
          <w:lang w:val="en-US"/>
        </w:rPr>
        <w:t>Gag</w:t>
      </w:r>
      <w:r w:rsidR="008E1FBB">
        <w:rPr>
          <w:i/>
          <w:noProof/>
          <w:szCs w:val="22"/>
          <w:lang w:val="en-US"/>
        </w:rPr>
        <w:t>au</w:t>
      </w:r>
      <w:r w:rsidR="00E47922" w:rsidRPr="008E1FBB">
        <w:rPr>
          <w:i/>
          <w:noProof/>
          <w:szCs w:val="22"/>
          <w:lang w:val="en-US"/>
        </w:rPr>
        <w:t>zia</w:t>
      </w:r>
      <w:r w:rsidR="00E47922" w:rsidRPr="00D82AA0">
        <w:rPr>
          <w:i/>
          <w:szCs w:val="22"/>
          <w:lang w:val="en-US"/>
        </w:rPr>
        <w:t xml:space="preserve"> (Gagauz Yeri)</w:t>
      </w:r>
      <w:r w:rsidR="00E47922" w:rsidRPr="00D82AA0">
        <w:rPr>
          <w:szCs w:val="22"/>
          <w:lang w:val="en-US"/>
        </w:rPr>
        <w:t>. Retrieved on May 25</w:t>
      </w:r>
      <w:r w:rsidR="00E47922" w:rsidRPr="00D82AA0">
        <w:rPr>
          <w:szCs w:val="22"/>
          <w:vertAlign w:val="superscript"/>
          <w:lang w:val="en-US"/>
        </w:rPr>
        <w:t>th</w:t>
      </w:r>
      <w:r w:rsidR="00E47922" w:rsidRPr="00D82AA0">
        <w:rPr>
          <w:szCs w:val="22"/>
          <w:lang w:val="en-US"/>
        </w:rPr>
        <w:t xml:space="preserve"> from http://www.gagauzia.md/pageview.php?l=en&amp;idc=389&amp;id=240</w:t>
      </w:r>
    </w:p>
    <w:p w14:paraId="3EAC902E" w14:textId="67CF81F0" w:rsidR="00387FC0" w:rsidRPr="00D82AA0" w:rsidRDefault="00387FC0" w:rsidP="00A865EB">
      <w:pPr>
        <w:rPr>
          <w:szCs w:val="22"/>
          <w:lang w:val="en-US"/>
        </w:rPr>
      </w:pPr>
      <w:r w:rsidRPr="00D82AA0">
        <w:rPr>
          <w:szCs w:val="22"/>
          <w:lang w:val="en-US"/>
        </w:rPr>
        <w:lastRenderedPageBreak/>
        <w:t xml:space="preserve">O’Loughlin, </w:t>
      </w:r>
      <w:r w:rsidR="00323C95" w:rsidRPr="00D82AA0">
        <w:rPr>
          <w:szCs w:val="22"/>
          <w:lang w:val="en-US"/>
        </w:rPr>
        <w:t>J., Kolossov, V &amp; Toal, G. (2015</w:t>
      </w:r>
      <w:r w:rsidRPr="00D82AA0">
        <w:rPr>
          <w:szCs w:val="22"/>
          <w:lang w:val="en-US"/>
        </w:rPr>
        <w:t xml:space="preserve">). </w:t>
      </w:r>
      <w:r w:rsidRPr="00D82AA0">
        <w:rPr>
          <w:i/>
          <w:szCs w:val="22"/>
          <w:lang w:val="en-US"/>
        </w:rPr>
        <w:t xml:space="preserve">Inside the post-Soviet de facto </w:t>
      </w:r>
      <w:r w:rsidRPr="008E1FBB">
        <w:rPr>
          <w:i/>
          <w:noProof/>
          <w:szCs w:val="22"/>
          <w:lang w:val="en-US"/>
        </w:rPr>
        <w:t>states:</w:t>
      </w:r>
      <w:r w:rsidRPr="00D82AA0">
        <w:rPr>
          <w:i/>
          <w:szCs w:val="22"/>
          <w:lang w:val="en-US"/>
        </w:rPr>
        <w:t xml:space="preserve"> a comparison of attitudes in Abkhazia, Nagorny Karabakh, South Ossetia and Transnistria. </w:t>
      </w:r>
      <w:r w:rsidRPr="00D82AA0">
        <w:rPr>
          <w:szCs w:val="22"/>
          <w:lang w:val="en-US"/>
        </w:rPr>
        <w:t>Eurasian Geography and Economics, Vol. 55, No. 5, 423-456. London: Routledge</w:t>
      </w:r>
    </w:p>
    <w:p w14:paraId="74CF5EE5" w14:textId="171FDA36" w:rsidR="00835305" w:rsidRPr="00D82AA0" w:rsidRDefault="00835305" w:rsidP="00A865EB">
      <w:pPr>
        <w:rPr>
          <w:szCs w:val="22"/>
          <w:lang w:val="en-US"/>
        </w:rPr>
      </w:pPr>
      <w:r w:rsidRPr="00D82AA0">
        <w:rPr>
          <w:szCs w:val="22"/>
          <w:lang w:val="en-US"/>
        </w:rPr>
        <w:t xml:space="preserve">Lynch, D. (2004). </w:t>
      </w:r>
      <w:r w:rsidRPr="00D82AA0">
        <w:rPr>
          <w:i/>
          <w:szCs w:val="22"/>
          <w:lang w:val="en-US"/>
        </w:rPr>
        <w:t>Moldova and Transnistria.</w:t>
      </w:r>
      <w:r w:rsidRPr="00D82AA0">
        <w:rPr>
          <w:szCs w:val="22"/>
          <w:lang w:val="en-US"/>
        </w:rPr>
        <w:t xml:space="preserve"> Security-sector reform and transparency building: needs and options for Ukraine and Moldova, Harmonie papers, Vol. 17, 111-122. Groningen: Centre for European Security Studies </w:t>
      </w:r>
    </w:p>
    <w:p w14:paraId="3C02FC1F" w14:textId="75D8D308" w:rsidR="00056B1A" w:rsidRDefault="00056B1A" w:rsidP="00A865EB">
      <w:pPr>
        <w:rPr>
          <w:szCs w:val="22"/>
          <w:lang w:val="en-US"/>
        </w:rPr>
      </w:pPr>
      <w:r w:rsidRPr="00D82AA0">
        <w:rPr>
          <w:szCs w:val="22"/>
          <w:lang w:val="en-US"/>
        </w:rPr>
        <w:t>Ministry of Foreign Affairs of PMR (n.d.).</w:t>
      </w:r>
      <w:r w:rsidRPr="00D82AA0">
        <w:rPr>
          <w:i/>
          <w:szCs w:val="22"/>
          <w:lang w:val="en-US"/>
        </w:rPr>
        <w:t xml:space="preserve"> The Pridnestrovien Moldavian Republic</w:t>
      </w:r>
      <w:r w:rsidRPr="00D82AA0">
        <w:rPr>
          <w:szCs w:val="22"/>
          <w:lang w:val="en-US"/>
        </w:rPr>
        <w:t>. Retrieved from http://mfa-pmr.org/en/KGR on 19-06-2018</w:t>
      </w:r>
    </w:p>
    <w:p w14:paraId="1A24C2BC" w14:textId="5AF23098" w:rsidR="00F17BDD" w:rsidRDefault="00F17BDD" w:rsidP="00A865EB">
      <w:pPr>
        <w:rPr>
          <w:szCs w:val="22"/>
          <w:lang w:val="en-US"/>
        </w:rPr>
      </w:pPr>
      <w:r>
        <w:rPr>
          <w:szCs w:val="22"/>
          <w:lang w:val="en-US"/>
        </w:rPr>
        <w:t xml:space="preserve">Minzarari, D. (2008). </w:t>
      </w:r>
      <w:r>
        <w:rPr>
          <w:i/>
          <w:szCs w:val="22"/>
          <w:lang w:val="en-US"/>
        </w:rPr>
        <w:t>EU-Moldova Action Plan: An Unfinished Task or a Complete Failure?</w:t>
      </w:r>
      <w:r>
        <w:rPr>
          <w:szCs w:val="22"/>
          <w:lang w:val="en-US"/>
        </w:rPr>
        <w:t xml:space="preserve"> Discussion Paper, No.2. Chisinau: The Institute for Development and Social Initiatives “Viitorul”.</w:t>
      </w:r>
    </w:p>
    <w:p w14:paraId="183F297D" w14:textId="356FA7CF" w:rsidR="00FE04ED" w:rsidRPr="00FE04ED" w:rsidRDefault="00FE04ED" w:rsidP="00A865EB">
      <w:pPr>
        <w:rPr>
          <w:szCs w:val="22"/>
          <w:lang w:val="en-US"/>
        </w:rPr>
      </w:pPr>
      <w:r>
        <w:rPr>
          <w:szCs w:val="22"/>
          <w:lang w:val="en-US"/>
        </w:rPr>
        <w:t xml:space="preserve">Moore, D.C. (2001). </w:t>
      </w:r>
      <w:r>
        <w:rPr>
          <w:i/>
          <w:szCs w:val="22"/>
          <w:lang w:val="en-US"/>
        </w:rPr>
        <w:t>Is the Post- in Postcolonial the Post- in Post-Soviet? Toward a Global Postcolonial Critique.</w:t>
      </w:r>
      <w:r>
        <w:rPr>
          <w:szCs w:val="22"/>
          <w:lang w:val="en-US"/>
        </w:rPr>
        <w:t xml:space="preserve"> PMLA, Vol. 116, No. 1, 111-128. New York: Modern Language Association</w:t>
      </w:r>
    </w:p>
    <w:p w14:paraId="65CA1234" w14:textId="5A3CCDAE" w:rsidR="00956FC4" w:rsidRPr="00D82AA0" w:rsidRDefault="00956FC4" w:rsidP="00A865EB">
      <w:pPr>
        <w:rPr>
          <w:szCs w:val="22"/>
          <w:lang w:val="en-US"/>
        </w:rPr>
      </w:pPr>
      <w:r w:rsidRPr="00D82AA0">
        <w:rPr>
          <w:szCs w:val="22"/>
          <w:lang w:val="en-US"/>
        </w:rPr>
        <w:t xml:space="preserve">Müller, M. (2008). </w:t>
      </w:r>
      <w:r w:rsidRPr="00D82AA0">
        <w:rPr>
          <w:i/>
          <w:szCs w:val="22"/>
          <w:lang w:val="en-US"/>
        </w:rPr>
        <w:t xml:space="preserve">Reconsidering the concept of discourse for the field of critical geopolitics: Towards discourse as language and practice. </w:t>
      </w:r>
      <w:r w:rsidRPr="00D82AA0">
        <w:rPr>
          <w:szCs w:val="22"/>
          <w:lang w:val="en-US"/>
        </w:rPr>
        <w:t>Political Geography, 27, p. 322-338. Amsterdam: Elsevier</w:t>
      </w:r>
    </w:p>
    <w:p w14:paraId="55DAFB4C" w14:textId="347B943E" w:rsidR="007D23D6" w:rsidRDefault="007D23D6" w:rsidP="00A865EB">
      <w:pPr>
        <w:rPr>
          <w:szCs w:val="22"/>
          <w:lang w:val="en-US"/>
        </w:rPr>
      </w:pPr>
      <w:r w:rsidRPr="00D82AA0">
        <w:rPr>
          <w:szCs w:val="22"/>
          <w:lang w:val="en-US"/>
        </w:rPr>
        <w:t xml:space="preserve">Mylonas, H. &amp; Kuo, K. (2018). </w:t>
      </w:r>
      <w:r w:rsidRPr="00D82AA0">
        <w:rPr>
          <w:i/>
          <w:szCs w:val="22"/>
          <w:lang w:val="en-US"/>
        </w:rPr>
        <w:t xml:space="preserve">Nationalism and Foreign Policy. </w:t>
      </w:r>
      <w:r w:rsidRPr="00D82AA0">
        <w:rPr>
          <w:szCs w:val="22"/>
          <w:lang w:val="en-US"/>
        </w:rPr>
        <w:t>The Oxford Encyclopedia of Foreign Policy Analysis. Oxford: Oxford University Press</w:t>
      </w:r>
    </w:p>
    <w:p w14:paraId="03F2DD94" w14:textId="28ED7AD9" w:rsidR="003772B4" w:rsidRPr="00D82AA0" w:rsidRDefault="003772B4" w:rsidP="00A865EB">
      <w:pPr>
        <w:rPr>
          <w:szCs w:val="22"/>
          <w:lang w:val="en-US"/>
        </w:rPr>
      </w:pPr>
      <w:r w:rsidRPr="003772B4">
        <w:rPr>
          <w:szCs w:val="22"/>
          <w:lang w:val="en-US"/>
        </w:rPr>
        <w:t xml:space="preserve">Nationalia (2014). </w:t>
      </w:r>
      <w:r w:rsidRPr="003772B4">
        <w:rPr>
          <w:i/>
          <w:szCs w:val="22"/>
          <w:lang w:val="en-US"/>
        </w:rPr>
        <w:t>Romania calls to "accelerate" Moldovan access to the EU while Transnistria turns again eyes to Moscow.</w:t>
      </w:r>
      <w:r w:rsidRPr="003772B4">
        <w:rPr>
          <w:szCs w:val="22"/>
          <w:lang w:val="en-US"/>
        </w:rPr>
        <w:t xml:space="preserve"> Retrieved from https://www.nationalia.info/new/10215/romania-calls-to-accelerate-moldovan-access-to-the-eu-while-transnistria-turns-again-eyes- on 28-06-2018</w:t>
      </w:r>
    </w:p>
    <w:p w14:paraId="1E852327" w14:textId="034CEC55" w:rsidR="009F4C01" w:rsidRPr="00D82AA0" w:rsidRDefault="009F4C01" w:rsidP="00A865EB">
      <w:pPr>
        <w:rPr>
          <w:lang w:val="en-US"/>
        </w:rPr>
      </w:pPr>
      <w:r w:rsidRPr="00D82AA0">
        <w:rPr>
          <w:szCs w:val="22"/>
          <w:lang w:val="en-US"/>
        </w:rPr>
        <w:t xml:space="preserve">Neukirch, C. (2012). </w:t>
      </w:r>
      <w:r w:rsidRPr="00D82AA0">
        <w:rPr>
          <w:i/>
          <w:lang w:val="en-US"/>
        </w:rPr>
        <w:t>From Confidence Building to Conflict Settlement in Moldova?</w:t>
      </w:r>
      <w:r w:rsidRPr="00D82AA0">
        <w:rPr>
          <w:lang w:val="en-US"/>
        </w:rPr>
        <w:t>. OSCE Yearbook 2011.</w:t>
      </w:r>
      <w:r w:rsidRPr="00D82AA0">
        <w:rPr>
          <w:i/>
          <w:lang w:val="en-US"/>
        </w:rPr>
        <w:t xml:space="preserve"> </w:t>
      </w:r>
      <w:r w:rsidRPr="00D82AA0">
        <w:rPr>
          <w:lang w:val="en-US"/>
        </w:rPr>
        <w:t>Hamburg: IFSH</w:t>
      </w:r>
    </w:p>
    <w:p w14:paraId="39131C78" w14:textId="4A6FE370" w:rsidR="005F5059" w:rsidRPr="00D82AA0" w:rsidRDefault="005F5059" w:rsidP="00A865EB">
      <w:pPr>
        <w:rPr>
          <w:szCs w:val="22"/>
          <w:lang w:val="en-US"/>
        </w:rPr>
      </w:pPr>
      <w:r w:rsidRPr="00D82AA0">
        <w:rPr>
          <w:szCs w:val="22"/>
          <w:lang w:val="en-US"/>
        </w:rPr>
        <w:t>Nijmegen Centre for Border Research (n.d.)</w:t>
      </w:r>
      <w:r w:rsidRPr="00D82AA0">
        <w:rPr>
          <w:i/>
          <w:szCs w:val="22"/>
          <w:lang w:val="en-US"/>
        </w:rPr>
        <w:t xml:space="preserve">. Nijmegen Centre for Border Research. </w:t>
      </w:r>
      <w:r w:rsidRPr="00D82AA0">
        <w:rPr>
          <w:szCs w:val="22"/>
          <w:lang w:val="en-US"/>
        </w:rPr>
        <w:t>Retrieved from https://www.ru.nl/nsm/imr/our-research/research-centres/about-ncbr/ on 14-06-2018</w:t>
      </w:r>
    </w:p>
    <w:p w14:paraId="46A5B505" w14:textId="56CFEDDE" w:rsidR="00794FBA" w:rsidRPr="00D82AA0" w:rsidRDefault="00794FBA" w:rsidP="00794FBA">
      <w:pPr>
        <w:rPr>
          <w:szCs w:val="22"/>
          <w:lang w:val="en-US"/>
        </w:rPr>
      </w:pPr>
      <w:r w:rsidRPr="00D82AA0">
        <w:rPr>
          <w:szCs w:val="22"/>
          <w:lang w:val="en-US"/>
        </w:rPr>
        <w:t xml:space="preserve">OSCE (1997). </w:t>
      </w:r>
      <w:r w:rsidRPr="00D82AA0">
        <w:rPr>
          <w:i/>
          <w:szCs w:val="22"/>
          <w:lang w:val="en-US"/>
        </w:rPr>
        <w:t>Memorandum on the Bases for Normalization of Relations Between the Republic of Moldova and Transnistria.</w:t>
      </w:r>
      <w:r w:rsidRPr="00D82AA0">
        <w:rPr>
          <w:szCs w:val="22"/>
          <w:lang w:val="en-US"/>
        </w:rPr>
        <w:t xml:space="preserve"> Moscow: OSCE</w:t>
      </w:r>
    </w:p>
    <w:p w14:paraId="0739EBEF" w14:textId="5F8678DA" w:rsidR="00647D76" w:rsidRPr="00D82AA0" w:rsidRDefault="00647D76" w:rsidP="00A865EB">
      <w:pPr>
        <w:rPr>
          <w:lang w:val="en-US"/>
        </w:rPr>
      </w:pPr>
      <w:r w:rsidRPr="00D82AA0">
        <w:rPr>
          <w:szCs w:val="22"/>
          <w:lang w:val="en-US"/>
        </w:rPr>
        <w:lastRenderedPageBreak/>
        <w:t xml:space="preserve">OSCE (n.d.). </w:t>
      </w:r>
      <w:r w:rsidRPr="00D82AA0">
        <w:rPr>
          <w:i/>
          <w:szCs w:val="22"/>
          <w:lang w:val="en-US"/>
        </w:rPr>
        <w:t>Mission to Moldova.</w:t>
      </w:r>
      <w:r w:rsidRPr="00D82AA0">
        <w:rPr>
          <w:szCs w:val="22"/>
          <w:lang w:val="en-US"/>
        </w:rPr>
        <w:t xml:space="preserve"> Retrieved from </w:t>
      </w:r>
      <w:r w:rsidRPr="00D82AA0">
        <w:rPr>
          <w:lang w:val="en-US"/>
        </w:rPr>
        <w:t>https://www.osce.org/mission-to-moldova on 06-06-2018</w:t>
      </w:r>
    </w:p>
    <w:p w14:paraId="5D9FB479" w14:textId="77777777" w:rsidR="00D1702F" w:rsidRPr="00D82AA0" w:rsidRDefault="00D1702F" w:rsidP="00D1702F">
      <w:pPr>
        <w:rPr>
          <w:lang w:val="en-US"/>
        </w:rPr>
      </w:pPr>
      <w:r w:rsidRPr="00D82AA0">
        <w:rPr>
          <w:lang w:val="en-US"/>
        </w:rPr>
        <w:t xml:space="preserve">OSCE (2016). </w:t>
      </w:r>
      <w:r w:rsidRPr="00D82AA0">
        <w:rPr>
          <w:i/>
          <w:lang w:val="en-US"/>
        </w:rPr>
        <w:t>Mission to Moldova.</w:t>
      </w:r>
      <w:r w:rsidRPr="00D82AA0">
        <w:rPr>
          <w:lang w:val="en-US"/>
        </w:rPr>
        <w:t xml:space="preserve"> Annual Report 2015. Vienna: OSCE</w:t>
      </w:r>
    </w:p>
    <w:p w14:paraId="44D73E9A" w14:textId="5C0A13BE" w:rsidR="00D1702F" w:rsidRPr="00D82AA0" w:rsidRDefault="00D1702F" w:rsidP="00A865EB">
      <w:pPr>
        <w:rPr>
          <w:lang w:val="en-US"/>
        </w:rPr>
      </w:pPr>
      <w:r w:rsidRPr="00D82AA0">
        <w:rPr>
          <w:lang w:val="en-US"/>
        </w:rPr>
        <w:t xml:space="preserve">OSCE (2017). </w:t>
      </w:r>
      <w:r w:rsidRPr="00D82AA0">
        <w:rPr>
          <w:i/>
          <w:lang w:val="en-US"/>
        </w:rPr>
        <w:t xml:space="preserve">Mission to Moldova. </w:t>
      </w:r>
      <w:r w:rsidRPr="00D82AA0">
        <w:rPr>
          <w:lang w:val="en-US"/>
        </w:rPr>
        <w:t>Annual Report 2016. Vienna: OSCE</w:t>
      </w:r>
    </w:p>
    <w:p w14:paraId="09A4425F" w14:textId="55ADB718" w:rsidR="000A126E" w:rsidRPr="00D82AA0" w:rsidRDefault="000A126E" w:rsidP="00A865EB">
      <w:pPr>
        <w:rPr>
          <w:lang w:val="en-US"/>
        </w:rPr>
      </w:pPr>
      <w:r w:rsidRPr="00D82AA0">
        <w:rPr>
          <w:lang w:val="en-US"/>
        </w:rPr>
        <w:t xml:space="preserve">OSCE (2018). </w:t>
      </w:r>
      <w:r w:rsidRPr="00D82AA0">
        <w:rPr>
          <w:i/>
          <w:lang w:val="en-US"/>
        </w:rPr>
        <w:t xml:space="preserve">Mission to Moldova. </w:t>
      </w:r>
      <w:r w:rsidRPr="00D82AA0">
        <w:rPr>
          <w:lang w:val="en-US"/>
        </w:rPr>
        <w:t>Annual Report 2017. Vienna: OSCE</w:t>
      </w:r>
    </w:p>
    <w:p w14:paraId="0455ED1D" w14:textId="5969698B" w:rsidR="003177D7" w:rsidRPr="00D82AA0" w:rsidRDefault="003177D7" w:rsidP="00A865EB">
      <w:pPr>
        <w:rPr>
          <w:szCs w:val="22"/>
          <w:lang w:val="en-US"/>
        </w:rPr>
      </w:pPr>
      <w:r w:rsidRPr="00D82AA0">
        <w:rPr>
          <w:lang w:val="en-US"/>
        </w:rPr>
        <w:t xml:space="preserve">OSCE (2017). </w:t>
      </w:r>
      <w:r w:rsidRPr="00D82AA0">
        <w:rPr>
          <w:i/>
          <w:lang w:val="en-US"/>
        </w:rPr>
        <w:t xml:space="preserve">OSCE Chairmanship welcomes ground-breaking decision to open bridge over Dniester/Nistru River. </w:t>
      </w:r>
      <w:r w:rsidRPr="00D82AA0">
        <w:rPr>
          <w:lang w:val="en-US"/>
        </w:rPr>
        <w:t>Retrieved on 12-06-2018 from https://www.osce.org/chairmanship/354711</w:t>
      </w:r>
    </w:p>
    <w:p w14:paraId="06CA6CFA" w14:textId="05CDE8B4" w:rsidR="00490C3E" w:rsidRPr="00D82AA0" w:rsidRDefault="00490C3E" w:rsidP="00A865EB">
      <w:pPr>
        <w:rPr>
          <w:lang w:val="en-US"/>
        </w:rPr>
      </w:pPr>
      <w:r w:rsidRPr="00D82AA0">
        <w:rPr>
          <w:lang w:val="en-US"/>
        </w:rPr>
        <w:t xml:space="preserve">OSCE (2016). </w:t>
      </w:r>
      <w:r w:rsidRPr="00D82AA0">
        <w:rPr>
          <w:i/>
          <w:lang w:val="en-US"/>
        </w:rPr>
        <w:t xml:space="preserve">Protocol of the official meeting of the permanent conference for political questions in the framework of the negotiating process on the Transdniestrian settlement – 2-3 </w:t>
      </w:r>
      <w:r w:rsidRPr="008E1FBB">
        <w:rPr>
          <w:i/>
          <w:noProof/>
          <w:lang w:val="en-US"/>
        </w:rPr>
        <w:t>June,</w:t>
      </w:r>
      <w:r w:rsidRPr="00D82AA0">
        <w:rPr>
          <w:i/>
          <w:lang w:val="en-US"/>
        </w:rPr>
        <w:t xml:space="preserve"> 2016 Berlin.</w:t>
      </w:r>
      <w:r w:rsidRPr="00D82AA0">
        <w:rPr>
          <w:lang w:val="en-US"/>
        </w:rPr>
        <w:t xml:space="preserve"> Berlin: OSCE</w:t>
      </w:r>
      <w:r w:rsidRPr="00D82AA0">
        <w:rPr>
          <w:i/>
          <w:lang w:val="en-US"/>
        </w:rPr>
        <w:t xml:space="preserve"> </w:t>
      </w:r>
    </w:p>
    <w:p w14:paraId="232E6F4D" w14:textId="7E406A54" w:rsidR="00490C3E" w:rsidRPr="00D82AA0" w:rsidRDefault="00490C3E" w:rsidP="00A865EB">
      <w:pPr>
        <w:rPr>
          <w:szCs w:val="22"/>
          <w:lang w:val="en-US"/>
        </w:rPr>
      </w:pPr>
      <w:r w:rsidRPr="00D82AA0">
        <w:rPr>
          <w:szCs w:val="22"/>
          <w:lang w:val="en-US"/>
        </w:rPr>
        <w:t xml:space="preserve">OSCE (1994). </w:t>
      </w:r>
      <w:r w:rsidRPr="00D82AA0">
        <w:rPr>
          <w:i/>
          <w:szCs w:val="22"/>
          <w:lang w:val="en-US"/>
        </w:rPr>
        <w:t xml:space="preserve">Transdniestrian Conflict Origins and Main Issues. </w:t>
      </w:r>
      <w:r w:rsidRPr="00D82AA0">
        <w:rPr>
          <w:szCs w:val="22"/>
          <w:lang w:val="en-US"/>
        </w:rPr>
        <w:t>Organisation for Security and Co-operation in Europe. Vienna: CSCE Conflict Prevention Centre</w:t>
      </w:r>
    </w:p>
    <w:p w14:paraId="083C2011" w14:textId="4DF114EE" w:rsidR="00506D93" w:rsidRPr="00D82AA0" w:rsidRDefault="00506D93" w:rsidP="00A865EB">
      <w:pPr>
        <w:rPr>
          <w:szCs w:val="22"/>
          <w:lang w:val="en-US"/>
        </w:rPr>
      </w:pPr>
      <w:r w:rsidRPr="00D82AA0">
        <w:rPr>
          <w:szCs w:val="22"/>
          <w:lang w:val="en-US"/>
        </w:rPr>
        <w:t xml:space="preserve">Protsyk, O. (2012). </w:t>
      </w:r>
      <w:r w:rsidRPr="00D82AA0">
        <w:rPr>
          <w:i/>
          <w:szCs w:val="22"/>
          <w:lang w:val="en-US"/>
        </w:rPr>
        <w:t xml:space="preserve">Secession and hybrid regime politics in Transnistria. </w:t>
      </w:r>
      <w:r w:rsidRPr="00D82AA0">
        <w:rPr>
          <w:szCs w:val="22"/>
          <w:lang w:val="en-US"/>
        </w:rPr>
        <w:t xml:space="preserve">Communist and Post-Communist Studies. Vol. 45, p. 175-182. Amsterdam: Elsevier </w:t>
      </w:r>
    </w:p>
    <w:p w14:paraId="2BA0E50E" w14:textId="7CCC1253" w:rsidR="00E40860" w:rsidRDefault="00E40860" w:rsidP="00A865EB">
      <w:pPr>
        <w:rPr>
          <w:szCs w:val="22"/>
          <w:lang w:val="en-US"/>
        </w:rPr>
      </w:pPr>
      <w:r w:rsidRPr="00D82AA0">
        <w:rPr>
          <w:szCs w:val="22"/>
          <w:lang w:val="en-US"/>
        </w:rPr>
        <w:t xml:space="preserve">Roper, S.D. (2001). </w:t>
      </w:r>
      <w:r w:rsidRPr="00D82AA0">
        <w:rPr>
          <w:i/>
          <w:szCs w:val="22"/>
          <w:lang w:val="en-US"/>
        </w:rPr>
        <w:t>Regionalism in Moldova: The Case of Transnistria and Gagauzia</w:t>
      </w:r>
      <w:r w:rsidRPr="00D82AA0">
        <w:rPr>
          <w:szCs w:val="22"/>
          <w:lang w:val="en-US"/>
        </w:rPr>
        <w:t xml:space="preserve">. Regional &amp; Federal Studies, 11:3, 101-122. London: Routledge. </w:t>
      </w:r>
    </w:p>
    <w:p w14:paraId="3BE7E633" w14:textId="263491A4" w:rsidR="00C86016" w:rsidRPr="00C86016" w:rsidRDefault="00C86016" w:rsidP="00A865EB">
      <w:pPr>
        <w:rPr>
          <w:szCs w:val="22"/>
          <w:lang w:val="en-US"/>
        </w:rPr>
      </w:pPr>
      <w:r>
        <w:rPr>
          <w:szCs w:val="22"/>
          <w:lang w:val="en-US"/>
        </w:rPr>
        <w:t xml:space="preserve">Scott, J.W. (2009). </w:t>
      </w:r>
      <w:r>
        <w:rPr>
          <w:i/>
          <w:szCs w:val="22"/>
          <w:lang w:val="en-US"/>
        </w:rPr>
        <w:t xml:space="preserve">Bordering and ordering the European neighbourhood: a critical perspective on EU territoriality and geopolitics. </w:t>
      </w:r>
      <w:r>
        <w:rPr>
          <w:szCs w:val="22"/>
          <w:lang w:val="en-US"/>
        </w:rPr>
        <w:t xml:space="preserve">Trames, 13 (63/58), 3, 232-247. Tallinn: Estonian Academy Publishers </w:t>
      </w:r>
    </w:p>
    <w:p w14:paraId="084703A4" w14:textId="772CAE57" w:rsidR="00F656E9" w:rsidRPr="00D82AA0" w:rsidRDefault="00F656E9" w:rsidP="00A865EB">
      <w:pPr>
        <w:rPr>
          <w:lang w:val="en-US"/>
        </w:rPr>
      </w:pPr>
      <w:r w:rsidRPr="00D82AA0">
        <w:rPr>
          <w:lang w:val="en-US"/>
        </w:rPr>
        <w:t xml:space="preserve">Scott, J.W. (2015). </w:t>
      </w:r>
      <w:r w:rsidRPr="00D82AA0">
        <w:rPr>
          <w:i/>
          <w:lang w:val="en-US"/>
        </w:rPr>
        <w:t>Bordering, Border Politics and Cross-Border Cooperation in Europe.</w:t>
      </w:r>
      <w:r w:rsidRPr="00D82AA0">
        <w:rPr>
          <w:lang w:val="en-US"/>
        </w:rPr>
        <w:t xml:space="preserve"> </w:t>
      </w:r>
      <w:r w:rsidRPr="008E1FBB">
        <w:rPr>
          <w:noProof/>
          <w:lang w:val="en-US"/>
        </w:rPr>
        <w:t>Neighborhood</w:t>
      </w:r>
      <w:r w:rsidRPr="00D82AA0">
        <w:rPr>
          <w:lang w:val="en-US"/>
        </w:rPr>
        <w:t xml:space="preserve"> policy and the Construction of the European External Borders, GeoJournal Library, 115. Berlin: Springer Science + Business Media </w:t>
      </w:r>
    </w:p>
    <w:p w14:paraId="082941E9" w14:textId="354D6553" w:rsidR="0052687D" w:rsidRPr="00D82AA0" w:rsidRDefault="0052687D" w:rsidP="00A865EB">
      <w:pPr>
        <w:rPr>
          <w:lang w:val="en-US"/>
        </w:rPr>
      </w:pPr>
      <w:r w:rsidRPr="00D82AA0">
        <w:rPr>
          <w:lang w:val="en-US"/>
        </w:rPr>
        <w:t xml:space="preserve">Scott, J.W. (2016). </w:t>
      </w:r>
      <w:r w:rsidRPr="00D82AA0">
        <w:rPr>
          <w:i/>
          <w:lang w:val="en-US"/>
        </w:rPr>
        <w:t>EU Enlargement, Region Building and Shifting Borders of Inclusion and Exclusion.</w:t>
      </w:r>
      <w:r w:rsidRPr="00D82AA0">
        <w:rPr>
          <w:lang w:val="en-US"/>
        </w:rPr>
        <w:t xml:space="preserve"> London: Routledge</w:t>
      </w:r>
    </w:p>
    <w:p w14:paraId="56C8D987" w14:textId="06365F5A" w:rsidR="005F0F20" w:rsidRDefault="005F0F20" w:rsidP="00A865EB">
      <w:pPr>
        <w:rPr>
          <w:lang w:val="en-US"/>
        </w:rPr>
      </w:pPr>
      <w:r w:rsidRPr="00D82AA0">
        <w:rPr>
          <w:lang w:val="en-US"/>
        </w:rPr>
        <w:lastRenderedPageBreak/>
        <w:t xml:space="preserve">Scott, J.W. &amp; Liikanen, I. (2010). </w:t>
      </w:r>
      <w:r w:rsidRPr="00D82AA0">
        <w:rPr>
          <w:i/>
          <w:lang w:val="en-US"/>
        </w:rPr>
        <w:t>Civil Society and the ‘Neighbourhood’ – Europeanization through Cross-Border Cooperation?.</w:t>
      </w:r>
      <w:r w:rsidRPr="00D82AA0">
        <w:rPr>
          <w:lang w:val="en-US"/>
        </w:rPr>
        <w:t xml:space="preserve"> European Integration, 32:5, 423-438. London: Routledge</w:t>
      </w:r>
    </w:p>
    <w:p w14:paraId="6EF4B32B" w14:textId="199A5767" w:rsidR="00085490" w:rsidRPr="00085490" w:rsidRDefault="00085490" w:rsidP="00A865EB">
      <w:pPr>
        <w:rPr>
          <w:lang w:val="en-US"/>
        </w:rPr>
      </w:pPr>
      <w:r w:rsidRPr="00085490">
        <w:rPr>
          <w:lang w:val="en-US"/>
        </w:rPr>
        <w:t xml:space="preserve">Spivak, G.C., Condee, N. Ram, H. &amp; Chernetsky, V. (2006). </w:t>
      </w:r>
      <w:r w:rsidRPr="00085490">
        <w:rPr>
          <w:i/>
          <w:lang w:val="en-US"/>
        </w:rPr>
        <w:t xml:space="preserve">Are We Postcolonial? </w:t>
      </w:r>
      <w:r>
        <w:rPr>
          <w:i/>
          <w:lang w:val="en-US"/>
        </w:rPr>
        <w:t xml:space="preserve">Post-Soviet Space. </w:t>
      </w:r>
      <w:r>
        <w:rPr>
          <w:lang w:val="en-US"/>
        </w:rPr>
        <w:t>PMLA, Vol. 121, No. 3, 828-836. New York: Modern Language Association</w:t>
      </w:r>
    </w:p>
    <w:p w14:paraId="77E21919" w14:textId="72BC41E3" w:rsidR="00177396" w:rsidRPr="00D82AA0" w:rsidRDefault="00177396" w:rsidP="00A865EB">
      <w:pPr>
        <w:rPr>
          <w:lang w:val="en-US"/>
        </w:rPr>
      </w:pPr>
      <w:r w:rsidRPr="00D82AA0">
        <w:rPr>
          <w:lang w:val="en-US"/>
        </w:rPr>
        <w:t xml:space="preserve">Stuenkel, O. (2015). </w:t>
      </w:r>
      <w:r w:rsidRPr="00D82AA0">
        <w:rPr>
          <w:i/>
          <w:lang w:val="en-US"/>
        </w:rPr>
        <w:t xml:space="preserve">Russia’s postcolonial identity: a subaltern empire in a Eurocentric world. </w:t>
      </w:r>
      <w:r w:rsidRPr="00D82AA0">
        <w:rPr>
          <w:lang w:val="en-US"/>
        </w:rPr>
        <w:t>Ethics &amp; Global Politics. 8:1, 28880. London: Routledge</w:t>
      </w:r>
    </w:p>
    <w:p w14:paraId="71ECA118" w14:textId="231DAC61" w:rsidR="000A10B3" w:rsidRPr="00D82AA0" w:rsidRDefault="000A10B3" w:rsidP="00A865EB">
      <w:pPr>
        <w:rPr>
          <w:szCs w:val="22"/>
          <w:lang w:val="en-US"/>
        </w:rPr>
      </w:pPr>
      <w:r w:rsidRPr="00D82AA0">
        <w:rPr>
          <w:szCs w:val="22"/>
          <w:lang w:val="en-US"/>
        </w:rPr>
        <w:t>Vahl, M. &amp; Emerson, M.</w:t>
      </w:r>
      <w:r w:rsidR="00A628DC" w:rsidRPr="00D82AA0">
        <w:rPr>
          <w:szCs w:val="22"/>
          <w:lang w:val="en-US"/>
        </w:rPr>
        <w:t xml:space="preserve"> (2004).</w:t>
      </w:r>
      <w:r w:rsidRPr="00D82AA0">
        <w:rPr>
          <w:szCs w:val="22"/>
          <w:lang w:val="en-US"/>
        </w:rPr>
        <w:t xml:space="preserve"> </w:t>
      </w:r>
      <w:r w:rsidRPr="00D82AA0">
        <w:rPr>
          <w:i/>
          <w:szCs w:val="22"/>
          <w:lang w:val="en-US"/>
        </w:rPr>
        <w:t xml:space="preserve">Moldova and the Transnistrian Conflict. </w:t>
      </w:r>
      <w:r w:rsidRPr="00D82AA0">
        <w:rPr>
          <w:szCs w:val="22"/>
          <w:lang w:val="en-US"/>
        </w:rPr>
        <w:t>Journal on Ethnopolitics and Minority Issues in Europe</w:t>
      </w:r>
      <w:r w:rsidR="00A628DC" w:rsidRPr="00D82AA0">
        <w:rPr>
          <w:szCs w:val="22"/>
          <w:lang w:val="en-US"/>
        </w:rPr>
        <w:t>, Issue 1/2004, chapter 4. Flensburg: European Centre for Minority Issues</w:t>
      </w:r>
    </w:p>
    <w:p w14:paraId="446AD676" w14:textId="2DE84D7C" w:rsidR="00ED109D" w:rsidRPr="00D82AA0" w:rsidRDefault="00ED109D" w:rsidP="00A865EB">
      <w:pPr>
        <w:rPr>
          <w:szCs w:val="22"/>
          <w:lang w:val="en-US"/>
        </w:rPr>
      </w:pPr>
      <w:r w:rsidRPr="00D82AA0">
        <w:rPr>
          <w:szCs w:val="22"/>
          <w:lang w:val="en-US"/>
        </w:rPr>
        <w:t xml:space="preserve">Verschuuren, P. &amp; Doorewaard, H. (2010). </w:t>
      </w:r>
      <w:r w:rsidRPr="00D82AA0">
        <w:rPr>
          <w:i/>
          <w:szCs w:val="22"/>
          <w:lang w:val="en-US"/>
        </w:rPr>
        <w:t>Designing a Research Project.</w:t>
      </w:r>
      <w:r w:rsidRPr="00D82AA0">
        <w:rPr>
          <w:szCs w:val="22"/>
          <w:lang w:val="en-US"/>
        </w:rPr>
        <w:t xml:space="preserve"> Second Edition. </w:t>
      </w:r>
      <w:r w:rsidR="00357DB9" w:rsidRPr="00D82AA0">
        <w:rPr>
          <w:szCs w:val="22"/>
          <w:lang w:val="en-US"/>
        </w:rPr>
        <w:t>The Hague: Eleven International Publishing</w:t>
      </w:r>
    </w:p>
    <w:p w14:paraId="1D5C5E99" w14:textId="783DAED2" w:rsidR="00387FC0" w:rsidRPr="00D82AA0" w:rsidRDefault="00387FC0" w:rsidP="00A865EB">
      <w:pPr>
        <w:rPr>
          <w:szCs w:val="22"/>
          <w:lang w:val="en-US"/>
        </w:rPr>
      </w:pPr>
      <w:r w:rsidRPr="00D82AA0">
        <w:rPr>
          <w:szCs w:val="22"/>
          <w:lang w:val="en-US"/>
        </w:rPr>
        <w:t xml:space="preserve">Wolff, S. (2011). </w:t>
      </w:r>
      <w:r w:rsidRPr="00D82AA0">
        <w:rPr>
          <w:i/>
          <w:szCs w:val="22"/>
          <w:lang w:val="en-US"/>
        </w:rPr>
        <w:t>A resolvable frozen conflict? Designing a settlement for Transnistria</w:t>
      </w:r>
      <w:r w:rsidRPr="00D82AA0">
        <w:rPr>
          <w:szCs w:val="22"/>
          <w:lang w:val="en-US"/>
        </w:rPr>
        <w:t>. Nationalities Papers, Vol. 39, No. 6, 863-870. London: Routledge</w:t>
      </w:r>
    </w:p>
    <w:sectPr w:rsidR="00387FC0" w:rsidRPr="00D82AA0" w:rsidSect="0053213C">
      <w:footerReference w:type="default" r:id="rId17"/>
      <w:pgSz w:w="11906" w:h="16838" w:code="9"/>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F4735F" w14:textId="77777777" w:rsidR="008E13AE" w:rsidRDefault="008E13AE" w:rsidP="0053213C">
      <w:pPr>
        <w:spacing w:after="0" w:line="240" w:lineRule="auto"/>
      </w:pPr>
      <w:r>
        <w:separator/>
      </w:r>
    </w:p>
    <w:p w14:paraId="44FAD602" w14:textId="77777777" w:rsidR="008E13AE" w:rsidRDefault="008E13AE"/>
  </w:endnote>
  <w:endnote w:type="continuationSeparator" w:id="0">
    <w:p w14:paraId="65694140" w14:textId="77777777" w:rsidR="008E13AE" w:rsidRDefault="008E13AE" w:rsidP="0053213C">
      <w:pPr>
        <w:spacing w:after="0" w:line="240" w:lineRule="auto"/>
      </w:pPr>
      <w:r>
        <w:continuationSeparator/>
      </w:r>
    </w:p>
    <w:p w14:paraId="11F92A7D" w14:textId="77777777" w:rsidR="008E13AE" w:rsidRDefault="008E13AE"/>
  </w:endnote>
  <w:endnote w:type="continuationNotice" w:id="1">
    <w:p w14:paraId="687A6542" w14:textId="77777777" w:rsidR="008E13AE" w:rsidRDefault="008E13A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9925952"/>
      <w:docPartObj>
        <w:docPartGallery w:val="Page Numbers (Bottom of Page)"/>
        <w:docPartUnique/>
      </w:docPartObj>
    </w:sdtPr>
    <w:sdtEndPr/>
    <w:sdtContent>
      <w:p w14:paraId="0B0A4BB5" w14:textId="7748A405" w:rsidR="008E13AE" w:rsidRDefault="008E13AE">
        <w:pPr>
          <w:pStyle w:val="Voettekst"/>
          <w:jc w:val="center"/>
        </w:pPr>
        <w:r>
          <w:fldChar w:fldCharType="begin"/>
        </w:r>
        <w:r>
          <w:instrText>PAGE   \* MERGEFORMAT</w:instrText>
        </w:r>
        <w:r>
          <w:fldChar w:fldCharType="separate"/>
        </w:r>
        <w:r w:rsidR="00E1447F">
          <w:rPr>
            <w:noProof/>
          </w:rPr>
          <w:t>67</w:t>
        </w:r>
        <w:r>
          <w:fldChar w:fldCharType="end"/>
        </w:r>
      </w:p>
    </w:sdtContent>
  </w:sdt>
  <w:p w14:paraId="621C7921" w14:textId="77777777" w:rsidR="008E13AE" w:rsidRDefault="008E13AE">
    <w:pPr>
      <w:pStyle w:val="Voettekst"/>
    </w:pPr>
  </w:p>
  <w:p w14:paraId="14C91E1D" w14:textId="77777777" w:rsidR="008E13AE" w:rsidRDefault="008E13A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27DABC" w14:textId="77777777" w:rsidR="008E13AE" w:rsidRDefault="008E13AE" w:rsidP="0053213C">
      <w:pPr>
        <w:spacing w:after="0" w:line="240" w:lineRule="auto"/>
      </w:pPr>
      <w:r>
        <w:separator/>
      </w:r>
    </w:p>
    <w:p w14:paraId="04FF29C1" w14:textId="77777777" w:rsidR="008E13AE" w:rsidRDefault="008E13AE"/>
  </w:footnote>
  <w:footnote w:type="continuationSeparator" w:id="0">
    <w:p w14:paraId="0AF70C5A" w14:textId="77777777" w:rsidR="008E13AE" w:rsidRDefault="008E13AE" w:rsidP="0053213C">
      <w:pPr>
        <w:spacing w:after="0" w:line="240" w:lineRule="auto"/>
      </w:pPr>
      <w:r>
        <w:continuationSeparator/>
      </w:r>
    </w:p>
    <w:p w14:paraId="42A1855A" w14:textId="77777777" w:rsidR="008E13AE" w:rsidRDefault="008E13AE"/>
  </w:footnote>
  <w:footnote w:type="continuationNotice" w:id="1">
    <w:p w14:paraId="29FA67AE" w14:textId="77777777" w:rsidR="008E13AE" w:rsidRDefault="008E13AE">
      <w:pPr>
        <w:spacing w:before="0"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91B84"/>
    <w:multiLevelType w:val="hybridMultilevel"/>
    <w:tmpl w:val="492CA878"/>
    <w:lvl w:ilvl="0" w:tplc="CAC21EF6">
      <w:start w:val="3"/>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CD955F4"/>
    <w:multiLevelType w:val="hybridMultilevel"/>
    <w:tmpl w:val="9534622A"/>
    <w:lvl w:ilvl="0" w:tplc="CAC21EF6">
      <w:start w:val="1"/>
      <w:numFmt w:val="bullet"/>
      <w:lvlText w:val="-"/>
      <w:lvlJc w:val="left"/>
      <w:pPr>
        <w:ind w:left="720" w:hanging="360"/>
      </w:pPr>
      <w:rPr>
        <w:rFonts w:ascii="Calibri" w:eastAsiaTheme="minorEastAsia"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26E147EA"/>
    <w:multiLevelType w:val="multilevel"/>
    <w:tmpl w:val="168C70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2C6E35DD"/>
    <w:multiLevelType w:val="multilevel"/>
    <w:tmpl w:val="168C70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418F5AB3"/>
    <w:multiLevelType w:val="hybridMultilevel"/>
    <w:tmpl w:val="FC5048D2"/>
    <w:lvl w:ilvl="0" w:tplc="048E1960">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2E57CC2"/>
    <w:multiLevelType w:val="hybridMultilevel"/>
    <w:tmpl w:val="F9525AF4"/>
    <w:lvl w:ilvl="0" w:tplc="0413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6D470C7"/>
    <w:multiLevelType w:val="hybridMultilevel"/>
    <w:tmpl w:val="2064EC20"/>
    <w:lvl w:ilvl="0" w:tplc="CAC21EF6">
      <w:start w:val="1"/>
      <w:numFmt w:val="bullet"/>
      <w:lvlText w:val="-"/>
      <w:lvlJc w:val="left"/>
      <w:pPr>
        <w:ind w:left="720" w:hanging="360"/>
      </w:pPr>
      <w:rPr>
        <w:rFonts w:ascii="Calibri" w:eastAsiaTheme="minorEastAsia"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7832062"/>
    <w:multiLevelType w:val="hybridMultilevel"/>
    <w:tmpl w:val="86A87F2C"/>
    <w:lvl w:ilvl="0" w:tplc="CAC21EF6">
      <w:start w:val="1"/>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A432803"/>
    <w:multiLevelType w:val="hybridMultilevel"/>
    <w:tmpl w:val="8DA0D38E"/>
    <w:lvl w:ilvl="0" w:tplc="CAC21EF6">
      <w:start w:val="1"/>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FE42856"/>
    <w:multiLevelType w:val="hybridMultilevel"/>
    <w:tmpl w:val="3F5CFDA4"/>
    <w:lvl w:ilvl="0" w:tplc="CAC21EF6">
      <w:start w:val="1"/>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5EC563AB"/>
    <w:multiLevelType w:val="hybridMultilevel"/>
    <w:tmpl w:val="945E4078"/>
    <w:lvl w:ilvl="0" w:tplc="CAC21EF6">
      <w:start w:val="3"/>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11779D9"/>
    <w:multiLevelType w:val="hybridMultilevel"/>
    <w:tmpl w:val="B2E4530A"/>
    <w:lvl w:ilvl="0" w:tplc="CAC21EF6">
      <w:start w:val="1"/>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637A02A3"/>
    <w:multiLevelType w:val="hybridMultilevel"/>
    <w:tmpl w:val="C8F4D94A"/>
    <w:lvl w:ilvl="0" w:tplc="CAC21EF6">
      <w:start w:val="1"/>
      <w:numFmt w:val="bullet"/>
      <w:lvlText w:val="-"/>
      <w:lvlJc w:val="left"/>
      <w:pPr>
        <w:ind w:left="3600" w:hanging="360"/>
      </w:pPr>
      <w:rPr>
        <w:rFonts w:ascii="Calibri" w:eastAsiaTheme="minorEastAsia" w:hAnsi="Calibri" w:cs="Calibri"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13" w15:restartNumberingAfterBreak="0">
    <w:nsid w:val="6637261F"/>
    <w:multiLevelType w:val="hybridMultilevel"/>
    <w:tmpl w:val="2E70DD80"/>
    <w:lvl w:ilvl="0" w:tplc="CAC21EF6">
      <w:start w:val="3"/>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B5D1773"/>
    <w:multiLevelType w:val="hybridMultilevel"/>
    <w:tmpl w:val="9A46ED6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6"/>
  </w:num>
  <w:num w:numId="3">
    <w:abstractNumId w:val="4"/>
  </w:num>
  <w:num w:numId="4">
    <w:abstractNumId w:val="9"/>
  </w:num>
  <w:num w:numId="5">
    <w:abstractNumId w:val="8"/>
  </w:num>
  <w:num w:numId="6">
    <w:abstractNumId w:val="1"/>
  </w:num>
  <w:num w:numId="7">
    <w:abstractNumId w:val="12"/>
  </w:num>
  <w:num w:numId="8">
    <w:abstractNumId w:val="14"/>
  </w:num>
  <w:num w:numId="9">
    <w:abstractNumId w:val="11"/>
  </w:num>
  <w:num w:numId="10">
    <w:abstractNumId w:val="10"/>
  </w:num>
  <w:num w:numId="11">
    <w:abstractNumId w:val="13"/>
  </w:num>
  <w:num w:numId="12">
    <w:abstractNumId w:val="0"/>
  </w:num>
  <w:num w:numId="13">
    <w:abstractNumId w:val="7"/>
  </w:num>
  <w:num w:numId="14">
    <w:abstractNumId w:val="3"/>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zQwNTYxsrAwNjOwNDBW0lEKTi0uzszPAymwrAUASLHvdiwAAAA="/>
  </w:docVars>
  <w:rsids>
    <w:rsidRoot w:val="0053213C"/>
    <w:rsid w:val="00002F63"/>
    <w:rsid w:val="0000407C"/>
    <w:rsid w:val="00034318"/>
    <w:rsid w:val="00034CB5"/>
    <w:rsid w:val="00037B6D"/>
    <w:rsid w:val="000403D1"/>
    <w:rsid w:val="00041BDD"/>
    <w:rsid w:val="00044755"/>
    <w:rsid w:val="00050184"/>
    <w:rsid w:val="00050EAB"/>
    <w:rsid w:val="00053995"/>
    <w:rsid w:val="0005441C"/>
    <w:rsid w:val="00056B1A"/>
    <w:rsid w:val="00064B0A"/>
    <w:rsid w:val="0007010F"/>
    <w:rsid w:val="00070AF7"/>
    <w:rsid w:val="00080C8F"/>
    <w:rsid w:val="00084AAD"/>
    <w:rsid w:val="00085179"/>
    <w:rsid w:val="00085490"/>
    <w:rsid w:val="0008701E"/>
    <w:rsid w:val="00094203"/>
    <w:rsid w:val="0009535F"/>
    <w:rsid w:val="00096CD1"/>
    <w:rsid w:val="00097297"/>
    <w:rsid w:val="000A10B3"/>
    <w:rsid w:val="000A126E"/>
    <w:rsid w:val="000A6C54"/>
    <w:rsid w:val="000B4487"/>
    <w:rsid w:val="000B7F36"/>
    <w:rsid w:val="000C12F0"/>
    <w:rsid w:val="000C234B"/>
    <w:rsid w:val="000C412A"/>
    <w:rsid w:val="000D1250"/>
    <w:rsid w:val="000D6F64"/>
    <w:rsid w:val="000E0CAE"/>
    <w:rsid w:val="000E1923"/>
    <w:rsid w:val="000F354F"/>
    <w:rsid w:val="000F4430"/>
    <w:rsid w:val="000F7BFC"/>
    <w:rsid w:val="0010413A"/>
    <w:rsid w:val="00111D69"/>
    <w:rsid w:val="00113354"/>
    <w:rsid w:val="0011433D"/>
    <w:rsid w:val="00132A97"/>
    <w:rsid w:val="00135346"/>
    <w:rsid w:val="00141ADD"/>
    <w:rsid w:val="00141E78"/>
    <w:rsid w:val="00144A88"/>
    <w:rsid w:val="00145A7F"/>
    <w:rsid w:val="001529B1"/>
    <w:rsid w:val="00154482"/>
    <w:rsid w:val="00154796"/>
    <w:rsid w:val="00160C4A"/>
    <w:rsid w:val="00160E36"/>
    <w:rsid w:val="001665B2"/>
    <w:rsid w:val="00177396"/>
    <w:rsid w:val="00181B3E"/>
    <w:rsid w:val="001A0527"/>
    <w:rsid w:val="001A3A30"/>
    <w:rsid w:val="001A6686"/>
    <w:rsid w:val="001A7CE6"/>
    <w:rsid w:val="001B07B8"/>
    <w:rsid w:val="001B15C4"/>
    <w:rsid w:val="001B3DD4"/>
    <w:rsid w:val="001C339D"/>
    <w:rsid w:val="001C4AC7"/>
    <w:rsid w:val="001C7986"/>
    <w:rsid w:val="001D4525"/>
    <w:rsid w:val="001D5271"/>
    <w:rsid w:val="001E331C"/>
    <w:rsid w:val="001E7AF7"/>
    <w:rsid w:val="001F32DA"/>
    <w:rsid w:val="00201D81"/>
    <w:rsid w:val="00201E76"/>
    <w:rsid w:val="002054F1"/>
    <w:rsid w:val="002107D6"/>
    <w:rsid w:val="0021151D"/>
    <w:rsid w:val="002145C9"/>
    <w:rsid w:val="00216440"/>
    <w:rsid w:val="00222901"/>
    <w:rsid w:val="00232DDB"/>
    <w:rsid w:val="00234FC2"/>
    <w:rsid w:val="00235BA5"/>
    <w:rsid w:val="00245443"/>
    <w:rsid w:val="00252E47"/>
    <w:rsid w:val="00253DCF"/>
    <w:rsid w:val="00255847"/>
    <w:rsid w:val="00261D46"/>
    <w:rsid w:val="002640BF"/>
    <w:rsid w:val="0027152B"/>
    <w:rsid w:val="00281ACA"/>
    <w:rsid w:val="00282840"/>
    <w:rsid w:val="0029181B"/>
    <w:rsid w:val="00291D8A"/>
    <w:rsid w:val="002A2FE6"/>
    <w:rsid w:val="002B169C"/>
    <w:rsid w:val="002B3E23"/>
    <w:rsid w:val="002B61B6"/>
    <w:rsid w:val="002C0114"/>
    <w:rsid w:val="002C1EC1"/>
    <w:rsid w:val="002C4DC8"/>
    <w:rsid w:val="002D3222"/>
    <w:rsid w:val="002D44A8"/>
    <w:rsid w:val="002E4D94"/>
    <w:rsid w:val="002F0AB7"/>
    <w:rsid w:val="002F2617"/>
    <w:rsid w:val="002F47D6"/>
    <w:rsid w:val="00305AE1"/>
    <w:rsid w:val="00310040"/>
    <w:rsid w:val="00312812"/>
    <w:rsid w:val="003177D7"/>
    <w:rsid w:val="00320B54"/>
    <w:rsid w:val="00323B68"/>
    <w:rsid w:val="00323C95"/>
    <w:rsid w:val="00323CE7"/>
    <w:rsid w:val="003257D9"/>
    <w:rsid w:val="0033271E"/>
    <w:rsid w:val="003360A3"/>
    <w:rsid w:val="00342A74"/>
    <w:rsid w:val="00356177"/>
    <w:rsid w:val="00357DB9"/>
    <w:rsid w:val="00361718"/>
    <w:rsid w:val="00364B54"/>
    <w:rsid w:val="003772B4"/>
    <w:rsid w:val="003800A6"/>
    <w:rsid w:val="0038263A"/>
    <w:rsid w:val="0038739C"/>
    <w:rsid w:val="003878D2"/>
    <w:rsid w:val="00387FC0"/>
    <w:rsid w:val="003953F6"/>
    <w:rsid w:val="0039672D"/>
    <w:rsid w:val="00397603"/>
    <w:rsid w:val="003B13A0"/>
    <w:rsid w:val="003B1600"/>
    <w:rsid w:val="003B22B9"/>
    <w:rsid w:val="003B3FED"/>
    <w:rsid w:val="003B60D9"/>
    <w:rsid w:val="003C1B62"/>
    <w:rsid w:val="003C474E"/>
    <w:rsid w:val="003C7366"/>
    <w:rsid w:val="003D2973"/>
    <w:rsid w:val="003E20A4"/>
    <w:rsid w:val="003E5154"/>
    <w:rsid w:val="003E7180"/>
    <w:rsid w:val="003F0C87"/>
    <w:rsid w:val="003F25B2"/>
    <w:rsid w:val="003F27D3"/>
    <w:rsid w:val="003F4933"/>
    <w:rsid w:val="00404989"/>
    <w:rsid w:val="00407FE3"/>
    <w:rsid w:val="004220F6"/>
    <w:rsid w:val="004341B5"/>
    <w:rsid w:val="00437648"/>
    <w:rsid w:val="00443B39"/>
    <w:rsid w:val="00454670"/>
    <w:rsid w:val="004564D6"/>
    <w:rsid w:val="00457164"/>
    <w:rsid w:val="004638D1"/>
    <w:rsid w:val="004700F3"/>
    <w:rsid w:val="00476ED1"/>
    <w:rsid w:val="004823C9"/>
    <w:rsid w:val="00483630"/>
    <w:rsid w:val="00486DED"/>
    <w:rsid w:val="00490C3E"/>
    <w:rsid w:val="00492F77"/>
    <w:rsid w:val="004A19FB"/>
    <w:rsid w:val="004A27E8"/>
    <w:rsid w:val="004A429E"/>
    <w:rsid w:val="004B6507"/>
    <w:rsid w:val="004C1449"/>
    <w:rsid w:val="004C5B57"/>
    <w:rsid w:val="004D08DF"/>
    <w:rsid w:val="004D0E5F"/>
    <w:rsid w:val="004D2EE2"/>
    <w:rsid w:val="004E596A"/>
    <w:rsid w:val="004E6A4D"/>
    <w:rsid w:val="004F18E2"/>
    <w:rsid w:val="004F1D9A"/>
    <w:rsid w:val="004F2356"/>
    <w:rsid w:val="004F2EB9"/>
    <w:rsid w:val="004F54AD"/>
    <w:rsid w:val="00506D93"/>
    <w:rsid w:val="005135C2"/>
    <w:rsid w:val="00514EDC"/>
    <w:rsid w:val="00516BF9"/>
    <w:rsid w:val="0052687D"/>
    <w:rsid w:val="00530463"/>
    <w:rsid w:val="0053213C"/>
    <w:rsid w:val="00535440"/>
    <w:rsid w:val="00541BB4"/>
    <w:rsid w:val="00554DA7"/>
    <w:rsid w:val="0056422D"/>
    <w:rsid w:val="00571627"/>
    <w:rsid w:val="0058075D"/>
    <w:rsid w:val="00583706"/>
    <w:rsid w:val="005870CB"/>
    <w:rsid w:val="005931E0"/>
    <w:rsid w:val="00595F5D"/>
    <w:rsid w:val="00596600"/>
    <w:rsid w:val="00596782"/>
    <w:rsid w:val="005A3FA7"/>
    <w:rsid w:val="005A73A2"/>
    <w:rsid w:val="005B22A3"/>
    <w:rsid w:val="005C607E"/>
    <w:rsid w:val="005D18BD"/>
    <w:rsid w:val="005D330A"/>
    <w:rsid w:val="005E6CFA"/>
    <w:rsid w:val="005F0F20"/>
    <w:rsid w:val="005F3A57"/>
    <w:rsid w:val="005F5059"/>
    <w:rsid w:val="00610D25"/>
    <w:rsid w:val="0061501F"/>
    <w:rsid w:val="0062221F"/>
    <w:rsid w:val="006222F2"/>
    <w:rsid w:val="00625EF8"/>
    <w:rsid w:val="0062650C"/>
    <w:rsid w:val="00632B88"/>
    <w:rsid w:val="00647D76"/>
    <w:rsid w:val="00652EE8"/>
    <w:rsid w:val="006662E7"/>
    <w:rsid w:val="00671352"/>
    <w:rsid w:val="00673460"/>
    <w:rsid w:val="00676DDF"/>
    <w:rsid w:val="00686990"/>
    <w:rsid w:val="00687395"/>
    <w:rsid w:val="006919FF"/>
    <w:rsid w:val="0069272F"/>
    <w:rsid w:val="006933E9"/>
    <w:rsid w:val="00697DFD"/>
    <w:rsid w:val="006A27AC"/>
    <w:rsid w:val="006A3936"/>
    <w:rsid w:val="006A3DD1"/>
    <w:rsid w:val="006A4234"/>
    <w:rsid w:val="006B130C"/>
    <w:rsid w:val="006B1484"/>
    <w:rsid w:val="006B4B8E"/>
    <w:rsid w:val="006C18C3"/>
    <w:rsid w:val="006C624D"/>
    <w:rsid w:val="006D5922"/>
    <w:rsid w:val="006D7392"/>
    <w:rsid w:val="006E5F9F"/>
    <w:rsid w:val="006F02EF"/>
    <w:rsid w:val="006F05D8"/>
    <w:rsid w:val="006F2E59"/>
    <w:rsid w:val="006F478B"/>
    <w:rsid w:val="006F62A2"/>
    <w:rsid w:val="00700B4B"/>
    <w:rsid w:val="0070114C"/>
    <w:rsid w:val="00705EB0"/>
    <w:rsid w:val="00717EF8"/>
    <w:rsid w:val="0072007C"/>
    <w:rsid w:val="00723E92"/>
    <w:rsid w:val="00725843"/>
    <w:rsid w:val="00727F63"/>
    <w:rsid w:val="00734525"/>
    <w:rsid w:val="00734C17"/>
    <w:rsid w:val="00736F16"/>
    <w:rsid w:val="00744530"/>
    <w:rsid w:val="00755FFF"/>
    <w:rsid w:val="00757C95"/>
    <w:rsid w:val="00760852"/>
    <w:rsid w:val="00761A5E"/>
    <w:rsid w:val="00762531"/>
    <w:rsid w:val="0076339B"/>
    <w:rsid w:val="0077044F"/>
    <w:rsid w:val="007806D2"/>
    <w:rsid w:val="007814B5"/>
    <w:rsid w:val="007939F3"/>
    <w:rsid w:val="00794FBA"/>
    <w:rsid w:val="007A3366"/>
    <w:rsid w:val="007A6110"/>
    <w:rsid w:val="007B344D"/>
    <w:rsid w:val="007B3C49"/>
    <w:rsid w:val="007B6DBA"/>
    <w:rsid w:val="007B73E2"/>
    <w:rsid w:val="007C1257"/>
    <w:rsid w:val="007C2251"/>
    <w:rsid w:val="007D23D6"/>
    <w:rsid w:val="007D3D8D"/>
    <w:rsid w:val="007E08DC"/>
    <w:rsid w:val="007E160B"/>
    <w:rsid w:val="007F22BA"/>
    <w:rsid w:val="00803C16"/>
    <w:rsid w:val="00806B8D"/>
    <w:rsid w:val="00810CAC"/>
    <w:rsid w:val="0081560F"/>
    <w:rsid w:val="008263B4"/>
    <w:rsid w:val="00835305"/>
    <w:rsid w:val="00841B47"/>
    <w:rsid w:val="00845DBB"/>
    <w:rsid w:val="0084701B"/>
    <w:rsid w:val="0085046C"/>
    <w:rsid w:val="008566C6"/>
    <w:rsid w:val="008602F4"/>
    <w:rsid w:val="0086136B"/>
    <w:rsid w:val="008633B9"/>
    <w:rsid w:val="00865CE2"/>
    <w:rsid w:val="00871E04"/>
    <w:rsid w:val="008737BE"/>
    <w:rsid w:val="00875862"/>
    <w:rsid w:val="00876A73"/>
    <w:rsid w:val="00884305"/>
    <w:rsid w:val="008913B6"/>
    <w:rsid w:val="008A1E1D"/>
    <w:rsid w:val="008C06B8"/>
    <w:rsid w:val="008C5D83"/>
    <w:rsid w:val="008C7A1E"/>
    <w:rsid w:val="008D2867"/>
    <w:rsid w:val="008D567F"/>
    <w:rsid w:val="008D779D"/>
    <w:rsid w:val="008E09DC"/>
    <w:rsid w:val="008E13AE"/>
    <w:rsid w:val="008E1FBB"/>
    <w:rsid w:val="008E3125"/>
    <w:rsid w:val="008E452D"/>
    <w:rsid w:val="008F3367"/>
    <w:rsid w:val="008F72A6"/>
    <w:rsid w:val="0090156C"/>
    <w:rsid w:val="00911231"/>
    <w:rsid w:val="009254E8"/>
    <w:rsid w:val="00925CA6"/>
    <w:rsid w:val="009274E0"/>
    <w:rsid w:val="009407B5"/>
    <w:rsid w:val="009409E3"/>
    <w:rsid w:val="0094202D"/>
    <w:rsid w:val="00945676"/>
    <w:rsid w:val="00952D3F"/>
    <w:rsid w:val="009545B5"/>
    <w:rsid w:val="00956FC4"/>
    <w:rsid w:val="00964913"/>
    <w:rsid w:val="00976768"/>
    <w:rsid w:val="009830B4"/>
    <w:rsid w:val="00994D31"/>
    <w:rsid w:val="00996A60"/>
    <w:rsid w:val="00996AE1"/>
    <w:rsid w:val="00997FD5"/>
    <w:rsid w:val="009A0421"/>
    <w:rsid w:val="009B1FCD"/>
    <w:rsid w:val="009B79AF"/>
    <w:rsid w:val="009C4B4A"/>
    <w:rsid w:val="009C6E00"/>
    <w:rsid w:val="009D051B"/>
    <w:rsid w:val="009D15C7"/>
    <w:rsid w:val="009D26A6"/>
    <w:rsid w:val="009D4C83"/>
    <w:rsid w:val="009D543F"/>
    <w:rsid w:val="009E2138"/>
    <w:rsid w:val="009F3F70"/>
    <w:rsid w:val="009F4C01"/>
    <w:rsid w:val="009F4EEF"/>
    <w:rsid w:val="009F6596"/>
    <w:rsid w:val="00A17EF1"/>
    <w:rsid w:val="00A21113"/>
    <w:rsid w:val="00A248C4"/>
    <w:rsid w:val="00A250A1"/>
    <w:rsid w:val="00A42207"/>
    <w:rsid w:val="00A42C85"/>
    <w:rsid w:val="00A4302C"/>
    <w:rsid w:val="00A466D0"/>
    <w:rsid w:val="00A54139"/>
    <w:rsid w:val="00A60E33"/>
    <w:rsid w:val="00A628DC"/>
    <w:rsid w:val="00A6571D"/>
    <w:rsid w:val="00A66673"/>
    <w:rsid w:val="00A70ECA"/>
    <w:rsid w:val="00A774C4"/>
    <w:rsid w:val="00A7784D"/>
    <w:rsid w:val="00A8105A"/>
    <w:rsid w:val="00A865EB"/>
    <w:rsid w:val="00A909F6"/>
    <w:rsid w:val="00A925E1"/>
    <w:rsid w:val="00AA14DC"/>
    <w:rsid w:val="00AB023E"/>
    <w:rsid w:val="00AB578E"/>
    <w:rsid w:val="00AB596C"/>
    <w:rsid w:val="00AC06B4"/>
    <w:rsid w:val="00AC71EB"/>
    <w:rsid w:val="00AD0104"/>
    <w:rsid w:val="00AD72FF"/>
    <w:rsid w:val="00AE5EDF"/>
    <w:rsid w:val="00AF782C"/>
    <w:rsid w:val="00B11295"/>
    <w:rsid w:val="00B16E51"/>
    <w:rsid w:val="00B210FA"/>
    <w:rsid w:val="00B32259"/>
    <w:rsid w:val="00B33B4E"/>
    <w:rsid w:val="00B34F2D"/>
    <w:rsid w:val="00B34F3D"/>
    <w:rsid w:val="00B3545C"/>
    <w:rsid w:val="00B4004F"/>
    <w:rsid w:val="00B4086C"/>
    <w:rsid w:val="00B44BC7"/>
    <w:rsid w:val="00B509A6"/>
    <w:rsid w:val="00B55D06"/>
    <w:rsid w:val="00B57FC2"/>
    <w:rsid w:val="00B60022"/>
    <w:rsid w:val="00B67689"/>
    <w:rsid w:val="00B70AD5"/>
    <w:rsid w:val="00B8212B"/>
    <w:rsid w:val="00B84700"/>
    <w:rsid w:val="00B85FDE"/>
    <w:rsid w:val="00B96C5D"/>
    <w:rsid w:val="00B96DFF"/>
    <w:rsid w:val="00BA1A91"/>
    <w:rsid w:val="00BA3E16"/>
    <w:rsid w:val="00BA4819"/>
    <w:rsid w:val="00BA4AD1"/>
    <w:rsid w:val="00BA75AC"/>
    <w:rsid w:val="00BD3E1A"/>
    <w:rsid w:val="00BE0022"/>
    <w:rsid w:val="00BE0640"/>
    <w:rsid w:val="00BE0B6C"/>
    <w:rsid w:val="00BE6D56"/>
    <w:rsid w:val="00BF01C5"/>
    <w:rsid w:val="00BF024A"/>
    <w:rsid w:val="00BF7FCE"/>
    <w:rsid w:val="00C02BE2"/>
    <w:rsid w:val="00C04826"/>
    <w:rsid w:val="00C13FB8"/>
    <w:rsid w:val="00C21C4E"/>
    <w:rsid w:val="00C22026"/>
    <w:rsid w:val="00C40B98"/>
    <w:rsid w:val="00C41D47"/>
    <w:rsid w:val="00C5385C"/>
    <w:rsid w:val="00C55EB3"/>
    <w:rsid w:val="00C61D1C"/>
    <w:rsid w:val="00C62AEF"/>
    <w:rsid w:val="00C64D19"/>
    <w:rsid w:val="00C669E8"/>
    <w:rsid w:val="00C7293A"/>
    <w:rsid w:val="00C74A31"/>
    <w:rsid w:val="00C805B6"/>
    <w:rsid w:val="00C81A50"/>
    <w:rsid w:val="00C86016"/>
    <w:rsid w:val="00CA7CB4"/>
    <w:rsid w:val="00CB36CA"/>
    <w:rsid w:val="00CB6591"/>
    <w:rsid w:val="00CB6FFB"/>
    <w:rsid w:val="00CC2C27"/>
    <w:rsid w:val="00CD28BE"/>
    <w:rsid w:val="00CD7682"/>
    <w:rsid w:val="00CD7952"/>
    <w:rsid w:val="00CE4F18"/>
    <w:rsid w:val="00CF286B"/>
    <w:rsid w:val="00CF5393"/>
    <w:rsid w:val="00CF6835"/>
    <w:rsid w:val="00D01251"/>
    <w:rsid w:val="00D034CE"/>
    <w:rsid w:val="00D1013A"/>
    <w:rsid w:val="00D12115"/>
    <w:rsid w:val="00D13640"/>
    <w:rsid w:val="00D14931"/>
    <w:rsid w:val="00D1702F"/>
    <w:rsid w:val="00D17375"/>
    <w:rsid w:val="00D52F63"/>
    <w:rsid w:val="00D55B7F"/>
    <w:rsid w:val="00D60AA8"/>
    <w:rsid w:val="00D775C7"/>
    <w:rsid w:val="00D82AA0"/>
    <w:rsid w:val="00D842CE"/>
    <w:rsid w:val="00D85C7D"/>
    <w:rsid w:val="00D86BA2"/>
    <w:rsid w:val="00D90236"/>
    <w:rsid w:val="00D93C43"/>
    <w:rsid w:val="00D94D4E"/>
    <w:rsid w:val="00D97AC8"/>
    <w:rsid w:val="00DA19F4"/>
    <w:rsid w:val="00DA59C8"/>
    <w:rsid w:val="00DB069E"/>
    <w:rsid w:val="00DB47DE"/>
    <w:rsid w:val="00DB49B0"/>
    <w:rsid w:val="00DC0825"/>
    <w:rsid w:val="00DC0CCC"/>
    <w:rsid w:val="00DC1D67"/>
    <w:rsid w:val="00DD06D1"/>
    <w:rsid w:val="00DD1E96"/>
    <w:rsid w:val="00DD5038"/>
    <w:rsid w:val="00E00165"/>
    <w:rsid w:val="00E02948"/>
    <w:rsid w:val="00E035E9"/>
    <w:rsid w:val="00E128D3"/>
    <w:rsid w:val="00E1447F"/>
    <w:rsid w:val="00E15E11"/>
    <w:rsid w:val="00E17B38"/>
    <w:rsid w:val="00E242EE"/>
    <w:rsid w:val="00E27112"/>
    <w:rsid w:val="00E31617"/>
    <w:rsid w:val="00E40860"/>
    <w:rsid w:val="00E4222A"/>
    <w:rsid w:val="00E44C91"/>
    <w:rsid w:val="00E47922"/>
    <w:rsid w:val="00E47C9F"/>
    <w:rsid w:val="00E512E3"/>
    <w:rsid w:val="00E51869"/>
    <w:rsid w:val="00E54F29"/>
    <w:rsid w:val="00E7423C"/>
    <w:rsid w:val="00E76FCD"/>
    <w:rsid w:val="00E90BCD"/>
    <w:rsid w:val="00EA19FD"/>
    <w:rsid w:val="00EA204E"/>
    <w:rsid w:val="00EA4C8E"/>
    <w:rsid w:val="00EC1841"/>
    <w:rsid w:val="00EC4DD4"/>
    <w:rsid w:val="00ED109D"/>
    <w:rsid w:val="00ED3F02"/>
    <w:rsid w:val="00ED4166"/>
    <w:rsid w:val="00EE1AE7"/>
    <w:rsid w:val="00EE2F0F"/>
    <w:rsid w:val="00EE5E6E"/>
    <w:rsid w:val="00EF722C"/>
    <w:rsid w:val="00EF7D87"/>
    <w:rsid w:val="00F1328E"/>
    <w:rsid w:val="00F148F5"/>
    <w:rsid w:val="00F14FA2"/>
    <w:rsid w:val="00F15A37"/>
    <w:rsid w:val="00F17BDD"/>
    <w:rsid w:val="00F23060"/>
    <w:rsid w:val="00F25CC1"/>
    <w:rsid w:val="00F32551"/>
    <w:rsid w:val="00F3481C"/>
    <w:rsid w:val="00F36C4E"/>
    <w:rsid w:val="00F36C78"/>
    <w:rsid w:val="00F43C6E"/>
    <w:rsid w:val="00F4628D"/>
    <w:rsid w:val="00F511FA"/>
    <w:rsid w:val="00F52F7D"/>
    <w:rsid w:val="00F56FAE"/>
    <w:rsid w:val="00F632CC"/>
    <w:rsid w:val="00F649CF"/>
    <w:rsid w:val="00F64D03"/>
    <w:rsid w:val="00F656E9"/>
    <w:rsid w:val="00F728AA"/>
    <w:rsid w:val="00F74321"/>
    <w:rsid w:val="00F7448C"/>
    <w:rsid w:val="00F7646F"/>
    <w:rsid w:val="00F77E8B"/>
    <w:rsid w:val="00F8401B"/>
    <w:rsid w:val="00F8506D"/>
    <w:rsid w:val="00F8629A"/>
    <w:rsid w:val="00F87279"/>
    <w:rsid w:val="00F9580E"/>
    <w:rsid w:val="00FA1DFC"/>
    <w:rsid w:val="00FA7523"/>
    <w:rsid w:val="00FB01EF"/>
    <w:rsid w:val="00FB47D2"/>
    <w:rsid w:val="00FB6BC3"/>
    <w:rsid w:val="00FC564D"/>
    <w:rsid w:val="00FC5B5A"/>
    <w:rsid w:val="00FD3A69"/>
    <w:rsid w:val="00FD50D4"/>
    <w:rsid w:val="00FE04ED"/>
    <w:rsid w:val="00FE238B"/>
    <w:rsid w:val="00FE46A2"/>
    <w:rsid w:val="00FF260B"/>
    <w:rsid w:val="00FF37BB"/>
    <w:rsid w:val="00FF37C8"/>
    <w:rsid w:val="00FF4F5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C78D2"/>
  <w15:chartTrackingRefBased/>
  <w15:docId w15:val="{6C7F9030-A849-4F0F-8D5F-91FF327EA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nl-NL" w:eastAsia="en-US" w:bidi="ar-SA"/>
      </w:rPr>
    </w:rPrDefault>
    <w:pPrDefault>
      <w:pPr>
        <w:spacing w:after="1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A865EB"/>
    <w:pPr>
      <w:spacing w:before="240" w:after="240" w:line="360" w:lineRule="auto"/>
    </w:pPr>
    <w:rPr>
      <w:sz w:val="22"/>
    </w:rPr>
  </w:style>
  <w:style w:type="paragraph" w:styleId="Kop1">
    <w:name w:val="heading 1"/>
    <w:basedOn w:val="Standaard"/>
    <w:next w:val="Standaard"/>
    <w:link w:val="Kop1Char"/>
    <w:uiPriority w:val="9"/>
    <w:qFormat/>
    <w:rsid w:val="0053213C"/>
    <w:pPr>
      <w:keepNext/>
      <w:keepLines/>
      <w:pBdr>
        <w:left w:val="single" w:sz="12" w:space="12" w:color="ED7D31" w:themeColor="accent2"/>
      </w:pBdr>
      <w:spacing w:before="80" w:after="80" w:line="240" w:lineRule="auto"/>
      <w:outlineLvl w:val="0"/>
    </w:pPr>
    <w:rPr>
      <w:rFonts w:asciiTheme="majorHAnsi" w:eastAsiaTheme="majorEastAsia" w:hAnsiTheme="majorHAnsi" w:cstheme="majorBidi"/>
      <w:caps/>
      <w:spacing w:val="10"/>
      <w:sz w:val="36"/>
      <w:szCs w:val="36"/>
    </w:rPr>
  </w:style>
  <w:style w:type="paragraph" w:styleId="Kop2">
    <w:name w:val="heading 2"/>
    <w:basedOn w:val="Standaard"/>
    <w:next w:val="Standaard"/>
    <w:link w:val="Kop2Char"/>
    <w:uiPriority w:val="9"/>
    <w:unhideWhenUsed/>
    <w:qFormat/>
    <w:rsid w:val="009C4B4A"/>
    <w:pPr>
      <w:keepNext/>
      <w:keepLines/>
      <w:spacing w:before="120" w:after="0" w:line="240" w:lineRule="auto"/>
      <w:outlineLvl w:val="1"/>
    </w:pPr>
    <w:rPr>
      <w:rFonts w:asciiTheme="majorHAnsi" w:eastAsiaTheme="majorEastAsia" w:hAnsiTheme="majorHAnsi" w:cstheme="majorBidi"/>
      <w:sz w:val="28"/>
      <w:szCs w:val="36"/>
    </w:rPr>
  </w:style>
  <w:style w:type="paragraph" w:styleId="Kop3">
    <w:name w:val="heading 3"/>
    <w:basedOn w:val="Standaard"/>
    <w:next w:val="Standaard"/>
    <w:link w:val="Kop3Char"/>
    <w:uiPriority w:val="9"/>
    <w:unhideWhenUsed/>
    <w:qFormat/>
    <w:rsid w:val="0053213C"/>
    <w:pPr>
      <w:keepNext/>
      <w:keepLines/>
      <w:spacing w:before="80" w:after="0" w:line="240" w:lineRule="auto"/>
      <w:outlineLvl w:val="2"/>
    </w:pPr>
    <w:rPr>
      <w:rFonts w:asciiTheme="majorHAnsi" w:eastAsiaTheme="majorEastAsia" w:hAnsiTheme="majorHAnsi" w:cstheme="majorBidi"/>
      <w:caps/>
      <w:sz w:val="28"/>
      <w:szCs w:val="28"/>
    </w:rPr>
  </w:style>
  <w:style w:type="paragraph" w:styleId="Kop4">
    <w:name w:val="heading 4"/>
    <w:basedOn w:val="Standaard"/>
    <w:next w:val="Standaard"/>
    <w:link w:val="Kop4Char"/>
    <w:uiPriority w:val="9"/>
    <w:unhideWhenUsed/>
    <w:qFormat/>
    <w:rsid w:val="009C4B4A"/>
    <w:pPr>
      <w:keepNext/>
      <w:keepLines/>
      <w:spacing w:before="80" w:after="0" w:line="240" w:lineRule="auto"/>
      <w:outlineLvl w:val="3"/>
    </w:pPr>
    <w:rPr>
      <w:rFonts w:asciiTheme="majorHAnsi" w:eastAsiaTheme="majorEastAsia" w:hAnsiTheme="majorHAnsi" w:cstheme="majorBidi"/>
      <w:i/>
      <w:iCs/>
      <w:sz w:val="24"/>
      <w:szCs w:val="28"/>
    </w:rPr>
  </w:style>
  <w:style w:type="paragraph" w:styleId="Kop5">
    <w:name w:val="heading 5"/>
    <w:basedOn w:val="Standaard"/>
    <w:next w:val="Standaard"/>
    <w:link w:val="Kop5Char"/>
    <w:uiPriority w:val="9"/>
    <w:semiHidden/>
    <w:unhideWhenUsed/>
    <w:qFormat/>
    <w:rsid w:val="0053213C"/>
    <w:pPr>
      <w:keepNext/>
      <w:keepLines/>
      <w:spacing w:before="80" w:after="0" w:line="240" w:lineRule="auto"/>
      <w:outlineLvl w:val="4"/>
    </w:pPr>
    <w:rPr>
      <w:rFonts w:asciiTheme="majorHAnsi" w:eastAsiaTheme="majorEastAsia" w:hAnsiTheme="majorHAnsi" w:cstheme="majorBidi"/>
      <w:sz w:val="24"/>
      <w:szCs w:val="24"/>
    </w:rPr>
  </w:style>
  <w:style w:type="paragraph" w:styleId="Kop6">
    <w:name w:val="heading 6"/>
    <w:basedOn w:val="Standaard"/>
    <w:next w:val="Standaard"/>
    <w:link w:val="Kop6Char"/>
    <w:uiPriority w:val="9"/>
    <w:semiHidden/>
    <w:unhideWhenUsed/>
    <w:qFormat/>
    <w:rsid w:val="0053213C"/>
    <w:pPr>
      <w:keepNext/>
      <w:keepLines/>
      <w:spacing w:before="80" w:after="0" w:line="240" w:lineRule="auto"/>
      <w:outlineLvl w:val="5"/>
    </w:pPr>
    <w:rPr>
      <w:rFonts w:asciiTheme="majorHAnsi" w:eastAsiaTheme="majorEastAsia" w:hAnsiTheme="majorHAnsi" w:cstheme="majorBidi"/>
      <w:i/>
      <w:iCs/>
      <w:sz w:val="24"/>
      <w:szCs w:val="24"/>
    </w:rPr>
  </w:style>
  <w:style w:type="paragraph" w:styleId="Kop7">
    <w:name w:val="heading 7"/>
    <w:basedOn w:val="Standaard"/>
    <w:next w:val="Standaard"/>
    <w:link w:val="Kop7Char"/>
    <w:uiPriority w:val="9"/>
    <w:semiHidden/>
    <w:unhideWhenUsed/>
    <w:qFormat/>
    <w:rsid w:val="0053213C"/>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Kop8">
    <w:name w:val="heading 8"/>
    <w:basedOn w:val="Standaard"/>
    <w:next w:val="Standaard"/>
    <w:link w:val="Kop8Char"/>
    <w:uiPriority w:val="9"/>
    <w:semiHidden/>
    <w:unhideWhenUsed/>
    <w:qFormat/>
    <w:rsid w:val="0053213C"/>
    <w:pPr>
      <w:keepNext/>
      <w:keepLines/>
      <w:spacing w:before="80" w:after="0" w:line="240" w:lineRule="auto"/>
      <w:outlineLvl w:val="7"/>
    </w:pPr>
    <w:rPr>
      <w:rFonts w:asciiTheme="majorHAnsi" w:eastAsiaTheme="majorEastAsia" w:hAnsiTheme="majorHAnsi" w:cstheme="majorBidi"/>
      <w:caps/>
    </w:rPr>
  </w:style>
  <w:style w:type="paragraph" w:styleId="Kop9">
    <w:name w:val="heading 9"/>
    <w:basedOn w:val="Standaard"/>
    <w:next w:val="Standaard"/>
    <w:link w:val="Kop9Char"/>
    <w:uiPriority w:val="9"/>
    <w:semiHidden/>
    <w:unhideWhenUsed/>
    <w:qFormat/>
    <w:rsid w:val="0053213C"/>
    <w:pPr>
      <w:keepNext/>
      <w:keepLines/>
      <w:spacing w:before="80" w:after="0" w:line="240" w:lineRule="auto"/>
      <w:outlineLvl w:val="8"/>
    </w:pPr>
    <w:rPr>
      <w:rFonts w:asciiTheme="majorHAnsi" w:eastAsiaTheme="majorEastAsia" w:hAnsiTheme="majorHAnsi" w:cstheme="majorBidi"/>
      <w:i/>
      <w:iCs/>
      <w:cap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3213C"/>
    <w:rPr>
      <w:rFonts w:asciiTheme="majorHAnsi" w:eastAsiaTheme="majorEastAsia" w:hAnsiTheme="majorHAnsi" w:cstheme="majorBidi"/>
      <w:caps/>
      <w:spacing w:val="10"/>
      <w:sz w:val="36"/>
      <w:szCs w:val="36"/>
    </w:rPr>
  </w:style>
  <w:style w:type="character" w:customStyle="1" w:styleId="Kop2Char">
    <w:name w:val="Kop 2 Char"/>
    <w:basedOn w:val="Standaardalinea-lettertype"/>
    <w:link w:val="Kop2"/>
    <w:uiPriority w:val="9"/>
    <w:rsid w:val="009C4B4A"/>
    <w:rPr>
      <w:rFonts w:asciiTheme="majorHAnsi" w:eastAsiaTheme="majorEastAsia" w:hAnsiTheme="majorHAnsi" w:cstheme="majorBidi"/>
      <w:sz w:val="28"/>
      <w:szCs w:val="36"/>
    </w:rPr>
  </w:style>
  <w:style w:type="character" w:customStyle="1" w:styleId="Kop3Char">
    <w:name w:val="Kop 3 Char"/>
    <w:basedOn w:val="Standaardalinea-lettertype"/>
    <w:link w:val="Kop3"/>
    <w:uiPriority w:val="9"/>
    <w:rsid w:val="0053213C"/>
    <w:rPr>
      <w:rFonts w:asciiTheme="majorHAnsi" w:eastAsiaTheme="majorEastAsia" w:hAnsiTheme="majorHAnsi" w:cstheme="majorBidi"/>
      <w:caps/>
      <w:sz w:val="28"/>
      <w:szCs w:val="28"/>
    </w:rPr>
  </w:style>
  <w:style w:type="character" w:customStyle="1" w:styleId="Kop4Char">
    <w:name w:val="Kop 4 Char"/>
    <w:basedOn w:val="Standaardalinea-lettertype"/>
    <w:link w:val="Kop4"/>
    <w:uiPriority w:val="9"/>
    <w:rsid w:val="009C4B4A"/>
    <w:rPr>
      <w:rFonts w:asciiTheme="majorHAnsi" w:eastAsiaTheme="majorEastAsia" w:hAnsiTheme="majorHAnsi" w:cstheme="majorBidi"/>
      <w:i/>
      <w:iCs/>
      <w:sz w:val="24"/>
      <w:szCs w:val="28"/>
    </w:rPr>
  </w:style>
  <w:style w:type="character" w:customStyle="1" w:styleId="Kop5Char">
    <w:name w:val="Kop 5 Char"/>
    <w:basedOn w:val="Standaardalinea-lettertype"/>
    <w:link w:val="Kop5"/>
    <w:uiPriority w:val="9"/>
    <w:semiHidden/>
    <w:rsid w:val="0053213C"/>
    <w:rPr>
      <w:rFonts w:asciiTheme="majorHAnsi" w:eastAsiaTheme="majorEastAsia" w:hAnsiTheme="majorHAnsi" w:cstheme="majorBidi"/>
      <w:sz w:val="24"/>
      <w:szCs w:val="24"/>
    </w:rPr>
  </w:style>
  <w:style w:type="character" w:customStyle="1" w:styleId="Kop6Char">
    <w:name w:val="Kop 6 Char"/>
    <w:basedOn w:val="Standaardalinea-lettertype"/>
    <w:link w:val="Kop6"/>
    <w:uiPriority w:val="9"/>
    <w:semiHidden/>
    <w:rsid w:val="0053213C"/>
    <w:rPr>
      <w:rFonts w:asciiTheme="majorHAnsi" w:eastAsiaTheme="majorEastAsia" w:hAnsiTheme="majorHAnsi" w:cstheme="majorBidi"/>
      <w:i/>
      <w:iCs/>
      <w:sz w:val="24"/>
      <w:szCs w:val="24"/>
    </w:rPr>
  </w:style>
  <w:style w:type="character" w:customStyle="1" w:styleId="Kop7Char">
    <w:name w:val="Kop 7 Char"/>
    <w:basedOn w:val="Standaardalinea-lettertype"/>
    <w:link w:val="Kop7"/>
    <w:uiPriority w:val="9"/>
    <w:semiHidden/>
    <w:rsid w:val="0053213C"/>
    <w:rPr>
      <w:rFonts w:asciiTheme="majorHAnsi" w:eastAsiaTheme="majorEastAsia" w:hAnsiTheme="majorHAnsi" w:cstheme="majorBidi"/>
      <w:color w:val="595959" w:themeColor="text1" w:themeTint="A6"/>
      <w:sz w:val="24"/>
      <w:szCs w:val="24"/>
    </w:rPr>
  </w:style>
  <w:style w:type="character" w:customStyle="1" w:styleId="Kop8Char">
    <w:name w:val="Kop 8 Char"/>
    <w:basedOn w:val="Standaardalinea-lettertype"/>
    <w:link w:val="Kop8"/>
    <w:uiPriority w:val="9"/>
    <w:semiHidden/>
    <w:rsid w:val="0053213C"/>
    <w:rPr>
      <w:rFonts w:asciiTheme="majorHAnsi" w:eastAsiaTheme="majorEastAsia" w:hAnsiTheme="majorHAnsi" w:cstheme="majorBidi"/>
      <w:caps/>
    </w:rPr>
  </w:style>
  <w:style w:type="character" w:customStyle="1" w:styleId="Kop9Char">
    <w:name w:val="Kop 9 Char"/>
    <w:basedOn w:val="Standaardalinea-lettertype"/>
    <w:link w:val="Kop9"/>
    <w:uiPriority w:val="9"/>
    <w:semiHidden/>
    <w:rsid w:val="0053213C"/>
    <w:rPr>
      <w:rFonts w:asciiTheme="majorHAnsi" w:eastAsiaTheme="majorEastAsia" w:hAnsiTheme="majorHAnsi" w:cstheme="majorBidi"/>
      <w:i/>
      <w:iCs/>
      <w:caps/>
    </w:rPr>
  </w:style>
  <w:style w:type="paragraph" w:styleId="Bijschrift">
    <w:name w:val="caption"/>
    <w:basedOn w:val="Standaard"/>
    <w:next w:val="Standaard"/>
    <w:uiPriority w:val="35"/>
    <w:unhideWhenUsed/>
    <w:qFormat/>
    <w:rsid w:val="0053213C"/>
    <w:pPr>
      <w:spacing w:line="240" w:lineRule="auto"/>
    </w:pPr>
    <w:rPr>
      <w:b/>
      <w:bCs/>
      <w:color w:val="ED7D31" w:themeColor="accent2"/>
      <w:spacing w:val="10"/>
      <w:sz w:val="16"/>
      <w:szCs w:val="16"/>
    </w:rPr>
  </w:style>
  <w:style w:type="paragraph" w:styleId="Titel">
    <w:name w:val="Title"/>
    <w:basedOn w:val="Standaard"/>
    <w:next w:val="Standaard"/>
    <w:link w:val="TitelChar"/>
    <w:uiPriority w:val="10"/>
    <w:qFormat/>
    <w:rsid w:val="0053213C"/>
    <w:pPr>
      <w:spacing w:after="0" w:line="240" w:lineRule="auto"/>
      <w:contextualSpacing/>
    </w:pPr>
    <w:rPr>
      <w:rFonts w:asciiTheme="majorHAnsi" w:eastAsiaTheme="majorEastAsia" w:hAnsiTheme="majorHAnsi" w:cstheme="majorBidi"/>
      <w:caps/>
      <w:spacing w:val="40"/>
      <w:sz w:val="76"/>
      <w:szCs w:val="76"/>
    </w:rPr>
  </w:style>
  <w:style w:type="character" w:customStyle="1" w:styleId="TitelChar">
    <w:name w:val="Titel Char"/>
    <w:basedOn w:val="Standaardalinea-lettertype"/>
    <w:link w:val="Titel"/>
    <w:uiPriority w:val="10"/>
    <w:rsid w:val="0053213C"/>
    <w:rPr>
      <w:rFonts w:asciiTheme="majorHAnsi" w:eastAsiaTheme="majorEastAsia" w:hAnsiTheme="majorHAnsi" w:cstheme="majorBidi"/>
      <w:caps/>
      <w:spacing w:val="40"/>
      <w:sz w:val="76"/>
      <w:szCs w:val="76"/>
    </w:rPr>
  </w:style>
  <w:style w:type="paragraph" w:styleId="Ondertitel">
    <w:name w:val="Subtitle"/>
    <w:basedOn w:val="Standaard"/>
    <w:next w:val="Standaard"/>
    <w:link w:val="OndertitelChar"/>
    <w:uiPriority w:val="11"/>
    <w:qFormat/>
    <w:rsid w:val="0053213C"/>
    <w:pPr>
      <w:numPr>
        <w:ilvl w:val="1"/>
      </w:numPr>
    </w:pPr>
    <w:rPr>
      <w:color w:val="000000" w:themeColor="text1"/>
      <w:sz w:val="24"/>
      <w:szCs w:val="24"/>
    </w:rPr>
  </w:style>
  <w:style w:type="character" w:customStyle="1" w:styleId="OndertitelChar">
    <w:name w:val="Ondertitel Char"/>
    <w:basedOn w:val="Standaardalinea-lettertype"/>
    <w:link w:val="Ondertitel"/>
    <w:uiPriority w:val="11"/>
    <w:rsid w:val="0053213C"/>
    <w:rPr>
      <w:color w:val="000000" w:themeColor="text1"/>
      <w:sz w:val="24"/>
      <w:szCs w:val="24"/>
    </w:rPr>
  </w:style>
  <w:style w:type="character" w:styleId="Zwaar">
    <w:name w:val="Strong"/>
    <w:basedOn w:val="Standaardalinea-lettertype"/>
    <w:uiPriority w:val="22"/>
    <w:qFormat/>
    <w:rsid w:val="0053213C"/>
    <w:rPr>
      <w:rFonts w:asciiTheme="minorHAnsi" w:eastAsiaTheme="minorEastAsia" w:hAnsiTheme="minorHAnsi" w:cstheme="minorBidi"/>
      <w:b/>
      <w:bCs/>
      <w:spacing w:val="0"/>
      <w:w w:val="100"/>
      <w:position w:val="0"/>
      <w:sz w:val="20"/>
      <w:szCs w:val="20"/>
    </w:rPr>
  </w:style>
  <w:style w:type="character" w:styleId="Nadruk">
    <w:name w:val="Emphasis"/>
    <w:basedOn w:val="Standaardalinea-lettertype"/>
    <w:uiPriority w:val="20"/>
    <w:qFormat/>
    <w:rsid w:val="0053213C"/>
    <w:rPr>
      <w:rFonts w:asciiTheme="minorHAnsi" w:eastAsiaTheme="minorEastAsia" w:hAnsiTheme="minorHAnsi" w:cstheme="minorBidi"/>
      <w:i/>
      <w:iCs/>
      <w:color w:val="C45911" w:themeColor="accent2" w:themeShade="BF"/>
      <w:sz w:val="20"/>
      <w:szCs w:val="20"/>
    </w:rPr>
  </w:style>
  <w:style w:type="paragraph" w:styleId="Geenafstand">
    <w:name w:val="No Spacing"/>
    <w:uiPriority w:val="1"/>
    <w:qFormat/>
    <w:rsid w:val="0053213C"/>
    <w:pPr>
      <w:spacing w:after="0" w:line="240" w:lineRule="auto"/>
    </w:pPr>
  </w:style>
  <w:style w:type="paragraph" w:styleId="Citaat">
    <w:name w:val="Quote"/>
    <w:basedOn w:val="Standaard"/>
    <w:next w:val="Standaard"/>
    <w:link w:val="CitaatChar"/>
    <w:uiPriority w:val="29"/>
    <w:qFormat/>
    <w:rsid w:val="0053213C"/>
    <w:pPr>
      <w:spacing w:before="160"/>
      <w:ind w:left="720"/>
    </w:pPr>
    <w:rPr>
      <w:rFonts w:asciiTheme="majorHAnsi" w:eastAsiaTheme="majorEastAsia" w:hAnsiTheme="majorHAnsi" w:cstheme="majorBidi"/>
      <w:sz w:val="24"/>
      <w:szCs w:val="24"/>
    </w:rPr>
  </w:style>
  <w:style w:type="character" w:customStyle="1" w:styleId="CitaatChar">
    <w:name w:val="Citaat Char"/>
    <w:basedOn w:val="Standaardalinea-lettertype"/>
    <w:link w:val="Citaat"/>
    <w:uiPriority w:val="29"/>
    <w:rsid w:val="0053213C"/>
    <w:rPr>
      <w:rFonts w:asciiTheme="majorHAnsi" w:eastAsiaTheme="majorEastAsia" w:hAnsiTheme="majorHAnsi" w:cstheme="majorBidi"/>
      <w:sz w:val="24"/>
      <w:szCs w:val="24"/>
    </w:rPr>
  </w:style>
  <w:style w:type="paragraph" w:styleId="Duidelijkcitaat">
    <w:name w:val="Intense Quote"/>
    <w:basedOn w:val="Standaard"/>
    <w:next w:val="Standaard"/>
    <w:link w:val="DuidelijkcitaatChar"/>
    <w:uiPriority w:val="30"/>
    <w:qFormat/>
    <w:rsid w:val="0053213C"/>
    <w:pPr>
      <w:spacing w:before="100" w:beforeAutospacing="1"/>
      <w:ind w:left="936" w:right="936"/>
      <w:jc w:val="center"/>
    </w:pPr>
    <w:rPr>
      <w:rFonts w:asciiTheme="majorHAnsi" w:eastAsiaTheme="majorEastAsia" w:hAnsiTheme="majorHAnsi" w:cstheme="majorBidi"/>
      <w:caps/>
      <w:color w:val="C45911" w:themeColor="accent2" w:themeShade="BF"/>
      <w:spacing w:val="10"/>
      <w:sz w:val="28"/>
      <w:szCs w:val="28"/>
    </w:rPr>
  </w:style>
  <w:style w:type="character" w:customStyle="1" w:styleId="DuidelijkcitaatChar">
    <w:name w:val="Duidelijk citaat Char"/>
    <w:basedOn w:val="Standaardalinea-lettertype"/>
    <w:link w:val="Duidelijkcitaat"/>
    <w:uiPriority w:val="30"/>
    <w:rsid w:val="0053213C"/>
    <w:rPr>
      <w:rFonts w:asciiTheme="majorHAnsi" w:eastAsiaTheme="majorEastAsia" w:hAnsiTheme="majorHAnsi" w:cstheme="majorBidi"/>
      <w:caps/>
      <w:color w:val="C45911" w:themeColor="accent2" w:themeShade="BF"/>
      <w:spacing w:val="10"/>
      <w:sz w:val="28"/>
      <w:szCs w:val="28"/>
    </w:rPr>
  </w:style>
  <w:style w:type="character" w:styleId="Subtielebenadrukking">
    <w:name w:val="Subtle Emphasis"/>
    <w:basedOn w:val="Standaardalinea-lettertype"/>
    <w:uiPriority w:val="19"/>
    <w:qFormat/>
    <w:rsid w:val="0053213C"/>
    <w:rPr>
      <w:i/>
      <w:iCs/>
      <w:color w:val="auto"/>
    </w:rPr>
  </w:style>
  <w:style w:type="character" w:styleId="Intensievebenadrukking">
    <w:name w:val="Intense Emphasis"/>
    <w:basedOn w:val="Standaardalinea-lettertype"/>
    <w:uiPriority w:val="21"/>
    <w:qFormat/>
    <w:rsid w:val="0053213C"/>
    <w:rPr>
      <w:rFonts w:asciiTheme="minorHAnsi" w:eastAsiaTheme="minorEastAsia" w:hAnsiTheme="minorHAnsi" w:cstheme="minorBidi"/>
      <w:b/>
      <w:bCs/>
      <w:i/>
      <w:iCs/>
      <w:color w:val="C45911" w:themeColor="accent2" w:themeShade="BF"/>
      <w:spacing w:val="0"/>
      <w:w w:val="100"/>
      <w:position w:val="0"/>
      <w:sz w:val="20"/>
      <w:szCs w:val="20"/>
    </w:rPr>
  </w:style>
  <w:style w:type="character" w:styleId="Subtieleverwijzing">
    <w:name w:val="Subtle Reference"/>
    <w:basedOn w:val="Standaardalinea-lettertype"/>
    <w:uiPriority w:val="31"/>
    <w:qFormat/>
    <w:rsid w:val="0053213C"/>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ieveverwijzing">
    <w:name w:val="Intense Reference"/>
    <w:basedOn w:val="Standaardalinea-lettertype"/>
    <w:uiPriority w:val="32"/>
    <w:qFormat/>
    <w:rsid w:val="0053213C"/>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Titelvanboek">
    <w:name w:val="Book Title"/>
    <w:basedOn w:val="Standaardalinea-lettertype"/>
    <w:uiPriority w:val="33"/>
    <w:qFormat/>
    <w:rsid w:val="0053213C"/>
    <w:rPr>
      <w:rFonts w:asciiTheme="minorHAnsi" w:eastAsiaTheme="minorEastAsia" w:hAnsiTheme="minorHAnsi" w:cstheme="minorBidi"/>
      <w:b/>
      <w:bCs/>
      <w:i/>
      <w:iCs/>
      <w:caps w:val="0"/>
      <w:smallCaps w:val="0"/>
      <w:color w:val="auto"/>
      <w:spacing w:val="10"/>
      <w:w w:val="100"/>
      <w:sz w:val="20"/>
      <w:szCs w:val="20"/>
    </w:rPr>
  </w:style>
  <w:style w:type="paragraph" w:styleId="Kopvaninhoudsopgave">
    <w:name w:val="TOC Heading"/>
    <w:basedOn w:val="Kop1"/>
    <w:next w:val="Standaard"/>
    <w:uiPriority w:val="39"/>
    <w:unhideWhenUsed/>
    <w:qFormat/>
    <w:rsid w:val="0053213C"/>
    <w:pPr>
      <w:outlineLvl w:val="9"/>
    </w:pPr>
  </w:style>
  <w:style w:type="paragraph" w:styleId="Inhopg1">
    <w:name w:val="toc 1"/>
    <w:basedOn w:val="Standaard"/>
    <w:next w:val="Standaard"/>
    <w:autoRedefine/>
    <w:uiPriority w:val="39"/>
    <w:unhideWhenUsed/>
    <w:rsid w:val="00261D46"/>
    <w:pPr>
      <w:tabs>
        <w:tab w:val="left" w:pos="440"/>
        <w:tab w:val="right" w:leader="dot" w:pos="8777"/>
      </w:tabs>
      <w:spacing w:after="100"/>
    </w:pPr>
    <w:rPr>
      <w:noProof/>
      <w:lang w:val="en-GB"/>
    </w:rPr>
  </w:style>
  <w:style w:type="character" w:styleId="Hyperlink">
    <w:name w:val="Hyperlink"/>
    <w:basedOn w:val="Standaardalinea-lettertype"/>
    <w:uiPriority w:val="99"/>
    <w:unhideWhenUsed/>
    <w:rsid w:val="0053213C"/>
    <w:rPr>
      <w:color w:val="0563C1" w:themeColor="hyperlink"/>
      <w:u w:val="single"/>
    </w:rPr>
  </w:style>
  <w:style w:type="paragraph" w:styleId="Koptekst">
    <w:name w:val="header"/>
    <w:basedOn w:val="Standaard"/>
    <w:link w:val="KoptekstChar"/>
    <w:uiPriority w:val="99"/>
    <w:unhideWhenUsed/>
    <w:rsid w:val="0053213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3213C"/>
  </w:style>
  <w:style w:type="paragraph" w:styleId="Voettekst">
    <w:name w:val="footer"/>
    <w:basedOn w:val="Standaard"/>
    <w:link w:val="VoettekstChar"/>
    <w:uiPriority w:val="99"/>
    <w:unhideWhenUsed/>
    <w:rsid w:val="0053213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3213C"/>
  </w:style>
  <w:style w:type="paragraph" w:styleId="Ballontekst">
    <w:name w:val="Balloon Text"/>
    <w:basedOn w:val="Standaard"/>
    <w:link w:val="BallontekstChar"/>
    <w:uiPriority w:val="99"/>
    <w:semiHidden/>
    <w:unhideWhenUsed/>
    <w:rsid w:val="00DC0825"/>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DC0825"/>
    <w:rPr>
      <w:rFonts w:ascii="Segoe UI" w:hAnsi="Segoe UI" w:cs="Segoe UI"/>
      <w:sz w:val="18"/>
      <w:szCs w:val="18"/>
    </w:rPr>
  </w:style>
  <w:style w:type="paragraph" w:styleId="Lijstalinea">
    <w:name w:val="List Paragraph"/>
    <w:basedOn w:val="Standaard"/>
    <w:uiPriority w:val="34"/>
    <w:qFormat/>
    <w:rsid w:val="00261D46"/>
    <w:pPr>
      <w:ind w:left="720"/>
      <w:contextualSpacing/>
    </w:pPr>
  </w:style>
  <w:style w:type="paragraph" w:styleId="Inhopg2">
    <w:name w:val="toc 2"/>
    <w:basedOn w:val="Standaard"/>
    <w:next w:val="Standaard"/>
    <w:autoRedefine/>
    <w:uiPriority w:val="39"/>
    <w:unhideWhenUsed/>
    <w:rsid w:val="00CD7952"/>
    <w:pPr>
      <w:spacing w:after="100"/>
      <w:ind w:left="210"/>
    </w:pPr>
  </w:style>
  <w:style w:type="character" w:styleId="GevolgdeHyperlink">
    <w:name w:val="FollowedHyperlink"/>
    <w:basedOn w:val="Standaardalinea-lettertype"/>
    <w:uiPriority w:val="99"/>
    <w:semiHidden/>
    <w:unhideWhenUsed/>
    <w:rsid w:val="00387FC0"/>
    <w:rPr>
      <w:color w:val="954F72" w:themeColor="followedHyperlink"/>
      <w:u w:val="single"/>
    </w:rPr>
  </w:style>
  <w:style w:type="character" w:customStyle="1" w:styleId="normaltextrun">
    <w:name w:val="normaltextrun"/>
    <w:basedOn w:val="Standaardalinea-lettertype"/>
    <w:rsid w:val="003F4933"/>
  </w:style>
  <w:style w:type="character" w:customStyle="1" w:styleId="spellingerror">
    <w:name w:val="spellingerror"/>
    <w:basedOn w:val="Standaardalinea-lettertype"/>
    <w:rsid w:val="003F4933"/>
  </w:style>
  <w:style w:type="character" w:customStyle="1" w:styleId="eop">
    <w:name w:val="eop"/>
    <w:basedOn w:val="Standaardalinea-lettertype"/>
    <w:rsid w:val="005F50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gi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72904A-62D8-4787-9E9A-73EB462FE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24558</Words>
  <Characters>135069</Characters>
  <Application>Microsoft Office Word</Application>
  <DocSecurity>0</DocSecurity>
  <Lines>1125</Lines>
  <Paragraphs>318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159309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Ackema, D.P. (Daan)</dc:creator>
  <cp:keywords/>
  <dc:description/>
  <cp:lastModifiedBy>Daan Ackema</cp:lastModifiedBy>
  <cp:revision>2</cp:revision>
  <dcterms:created xsi:type="dcterms:W3CDTF">2018-06-28T20:17:00Z</dcterms:created>
  <dcterms:modified xsi:type="dcterms:W3CDTF">2018-06-28T20:17:00Z</dcterms:modified>
</cp:coreProperties>
</file>