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BA7BA5" w14:textId="320322CC" w:rsidR="00DA0F05" w:rsidRPr="00DA0F05" w:rsidRDefault="00DA0F05" w:rsidP="00DA0F05">
      <w:pPr>
        <w:jc w:val="center"/>
        <w:rPr>
          <w:rFonts w:eastAsiaTheme="minorEastAsia"/>
          <w:b/>
          <w:sz w:val="40"/>
          <w:lang w:val="en-GB"/>
        </w:rPr>
      </w:pPr>
      <w:r w:rsidRPr="00DA0F05">
        <w:rPr>
          <w:b/>
          <w:sz w:val="40"/>
        </w:rPr>
        <w:t>C</w:t>
      </w:r>
      <w:r>
        <w:rPr>
          <w:b/>
          <w:sz w:val="40"/>
        </w:rPr>
        <w:t>ompliance: just a case of fairer decision-making procedures?</w:t>
      </w:r>
    </w:p>
    <w:p w14:paraId="08ABE688" w14:textId="77777777" w:rsidR="00DA0F05" w:rsidRDefault="00DA0F05" w:rsidP="00DA0F05">
      <w:pPr>
        <w:pStyle w:val="Geenafstand"/>
        <w:spacing w:line="360" w:lineRule="auto"/>
        <w:jc w:val="center"/>
        <w:rPr>
          <w:rFonts w:ascii="Times New Roman" w:hAnsi="Times New Roman" w:cs="Times New Roman"/>
          <w:lang w:val="en-GB"/>
        </w:rPr>
      </w:pPr>
    </w:p>
    <w:p w14:paraId="45B79BC4" w14:textId="77777777" w:rsidR="00DA0F05" w:rsidRDefault="00DA0F05" w:rsidP="00DA0F05">
      <w:pPr>
        <w:pStyle w:val="Geenafstand"/>
        <w:spacing w:line="360" w:lineRule="auto"/>
        <w:rPr>
          <w:rFonts w:ascii="Times New Roman" w:hAnsi="Times New Roman" w:cs="Times New Roman"/>
          <w:sz w:val="24"/>
          <w:szCs w:val="24"/>
          <w:lang w:val="en-US"/>
        </w:rPr>
      </w:pPr>
    </w:p>
    <w:p w14:paraId="2FDF7610" w14:textId="77777777" w:rsidR="00DA0F05" w:rsidRDefault="00DA0F05" w:rsidP="00DA0F05">
      <w:pPr>
        <w:pStyle w:val="Geenafstand"/>
        <w:spacing w:line="360" w:lineRule="auto"/>
        <w:rPr>
          <w:rFonts w:ascii="Times New Roman" w:hAnsi="Times New Roman" w:cs="Times New Roman"/>
          <w:sz w:val="24"/>
          <w:szCs w:val="24"/>
          <w:lang w:val="en-US"/>
        </w:rPr>
      </w:pPr>
      <w:r>
        <w:rPr>
          <w:noProof/>
          <w:lang w:val="en-US" w:eastAsia="en-US"/>
        </w:rPr>
        <w:drawing>
          <wp:anchor distT="0" distB="0" distL="114300" distR="114300" simplePos="0" relativeHeight="251688448" behindDoc="1" locked="0" layoutInCell="1" allowOverlap="1" wp14:anchorId="06BEE305" wp14:editId="6417FB26">
            <wp:simplePos x="0" y="0"/>
            <wp:positionH relativeFrom="column">
              <wp:posOffset>1638935</wp:posOffset>
            </wp:positionH>
            <wp:positionV relativeFrom="paragraph">
              <wp:posOffset>40640</wp:posOffset>
            </wp:positionV>
            <wp:extent cx="2256790" cy="2752725"/>
            <wp:effectExtent l="0" t="0" r="0" b="9525"/>
            <wp:wrapTight wrapText="bothSides">
              <wp:wrapPolygon edited="0">
                <wp:start x="0" y="0"/>
                <wp:lineTo x="0" y="21525"/>
                <wp:lineTo x="21333" y="21525"/>
                <wp:lineTo x="21333" y="0"/>
                <wp:lineTo x="0" y="0"/>
              </wp:wrapPolygon>
            </wp:wrapTight>
            <wp:docPr id="1" name="Afbeelding 1" descr="http://www.ru.nl/publish/pages/729142/a4-pms-eng.jpg"/>
            <wp:cNvGraphicFramePr/>
            <a:graphic xmlns:a="http://schemas.openxmlformats.org/drawingml/2006/main">
              <a:graphicData uri="http://schemas.openxmlformats.org/drawingml/2006/picture">
                <pic:pic xmlns:pic="http://schemas.openxmlformats.org/drawingml/2006/picture">
                  <pic:nvPicPr>
                    <pic:cNvPr id="1" name="Afbeelding 1" descr="http://www.ru.nl/publish/pages/729142/a4-pms-eng.jpg"/>
                    <pic:cNvPicPr/>
                  </pic:nvPicPr>
                  <pic:blipFill rotWithShape="1">
                    <a:blip r:embed="rId11" cstate="print">
                      <a:duotone>
                        <a:schemeClr val="bg2">
                          <a:shade val="45000"/>
                          <a:satMod val="135000"/>
                        </a:schemeClr>
                        <a:prstClr val="white"/>
                      </a:duotone>
                      <a:extLst>
                        <a:ext uri="{28A0092B-C50C-407E-A947-70E740481C1C}">
                          <a14:useLocalDpi xmlns:a14="http://schemas.microsoft.com/office/drawing/2010/main" val="0"/>
                        </a:ext>
                      </a:extLst>
                    </a:blip>
                    <a:srcRect l="81365" t="-1627"/>
                    <a:stretch/>
                  </pic:blipFill>
                  <pic:spPr bwMode="auto">
                    <a:xfrm>
                      <a:off x="0" y="0"/>
                      <a:ext cx="2256790" cy="27527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AC0FEB5" w14:textId="77777777" w:rsidR="00DA0F05" w:rsidRDefault="00DA0F05" w:rsidP="00DA0F05">
      <w:pPr>
        <w:pStyle w:val="Geenafstand"/>
        <w:spacing w:line="360" w:lineRule="auto"/>
        <w:rPr>
          <w:rFonts w:ascii="Times New Roman" w:hAnsi="Times New Roman" w:cs="Times New Roman"/>
          <w:sz w:val="24"/>
          <w:szCs w:val="24"/>
          <w:lang w:val="en-US"/>
        </w:rPr>
      </w:pPr>
    </w:p>
    <w:p w14:paraId="48F836C0" w14:textId="77777777" w:rsidR="00DA0F05" w:rsidRDefault="00DA0F05" w:rsidP="00DA0F05">
      <w:pPr>
        <w:pStyle w:val="Geenafstand"/>
        <w:spacing w:line="360" w:lineRule="auto"/>
        <w:rPr>
          <w:rFonts w:ascii="Times New Roman" w:hAnsi="Times New Roman" w:cs="Times New Roman"/>
          <w:sz w:val="24"/>
          <w:szCs w:val="24"/>
          <w:lang w:val="en-US"/>
        </w:rPr>
      </w:pPr>
    </w:p>
    <w:p w14:paraId="75594B26" w14:textId="77777777" w:rsidR="00DA0F05" w:rsidRDefault="00DA0F05" w:rsidP="00DA0F05">
      <w:pPr>
        <w:pStyle w:val="Geenafstand"/>
        <w:spacing w:line="360" w:lineRule="auto"/>
        <w:rPr>
          <w:rFonts w:ascii="Times New Roman" w:hAnsi="Times New Roman" w:cs="Times New Roman"/>
          <w:sz w:val="24"/>
          <w:szCs w:val="24"/>
          <w:lang w:val="en-US"/>
        </w:rPr>
      </w:pPr>
    </w:p>
    <w:p w14:paraId="7DA4E41E" w14:textId="77777777" w:rsidR="00DA0F05" w:rsidRDefault="00DA0F05" w:rsidP="00DA0F05">
      <w:pPr>
        <w:pStyle w:val="Geenafstand"/>
        <w:spacing w:line="360" w:lineRule="auto"/>
        <w:rPr>
          <w:rFonts w:ascii="Times New Roman" w:hAnsi="Times New Roman" w:cs="Times New Roman"/>
          <w:sz w:val="24"/>
          <w:szCs w:val="24"/>
          <w:lang w:val="en-US"/>
        </w:rPr>
      </w:pPr>
    </w:p>
    <w:p w14:paraId="39D041B8" w14:textId="77777777" w:rsidR="00DA0F05" w:rsidRDefault="00DA0F05" w:rsidP="00DA0F05">
      <w:pPr>
        <w:pStyle w:val="Geenafstand"/>
        <w:spacing w:line="360" w:lineRule="auto"/>
        <w:rPr>
          <w:rFonts w:ascii="Times New Roman" w:hAnsi="Times New Roman" w:cs="Times New Roman"/>
          <w:sz w:val="24"/>
          <w:szCs w:val="24"/>
          <w:lang w:val="en-US"/>
        </w:rPr>
      </w:pPr>
    </w:p>
    <w:p w14:paraId="0575FC33" w14:textId="77777777" w:rsidR="00DA0F05" w:rsidRDefault="00DA0F05" w:rsidP="00DA0F05">
      <w:pPr>
        <w:pStyle w:val="Geenafstand"/>
        <w:spacing w:line="360" w:lineRule="auto"/>
        <w:rPr>
          <w:rFonts w:ascii="Times New Roman" w:hAnsi="Times New Roman" w:cs="Times New Roman"/>
          <w:sz w:val="24"/>
          <w:szCs w:val="24"/>
          <w:lang w:val="en-US"/>
        </w:rPr>
      </w:pPr>
    </w:p>
    <w:p w14:paraId="1A58E787" w14:textId="77777777" w:rsidR="00DA0F05" w:rsidRDefault="00DA0F05" w:rsidP="00DA0F05">
      <w:pPr>
        <w:pStyle w:val="Geenafstand"/>
        <w:spacing w:line="360" w:lineRule="auto"/>
        <w:rPr>
          <w:rFonts w:ascii="Times New Roman" w:hAnsi="Times New Roman" w:cs="Times New Roman"/>
          <w:sz w:val="24"/>
          <w:szCs w:val="24"/>
          <w:lang w:val="en-US"/>
        </w:rPr>
      </w:pPr>
    </w:p>
    <w:p w14:paraId="5FB6E5F5" w14:textId="77777777" w:rsidR="00DA0F05" w:rsidRDefault="00DA0F05" w:rsidP="00DA0F05">
      <w:pPr>
        <w:pStyle w:val="Geenafstand"/>
        <w:spacing w:line="360" w:lineRule="auto"/>
        <w:rPr>
          <w:rFonts w:ascii="Times New Roman" w:hAnsi="Times New Roman" w:cs="Times New Roman"/>
          <w:sz w:val="24"/>
          <w:szCs w:val="24"/>
          <w:lang w:val="en-US"/>
        </w:rPr>
      </w:pPr>
    </w:p>
    <w:p w14:paraId="06A0BF86" w14:textId="77777777" w:rsidR="00DA0F05" w:rsidRDefault="00DA0F05" w:rsidP="00DA0F05">
      <w:pPr>
        <w:pStyle w:val="Geenafstand"/>
        <w:spacing w:line="360" w:lineRule="auto"/>
        <w:rPr>
          <w:rFonts w:ascii="Times New Roman" w:hAnsi="Times New Roman" w:cs="Times New Roman"/>
          <w:sz w:val="24"/>
          <w:szCs w:val="24"/>
          <w:lang w:val="en-US"/>
        </w:rPr>
      </w:pPr>
    </w:p>
    <w:p w14:paraId="5FE03126" w14:textId="77777777" w:rsidR="00DA0F05" w:rsidRDefault="00DA0F05" w:rsidP="00DA0F05">
      <w:pPr>
        <w:pStyle w:val="Geenafstand"/>
        <w:spacing w:line="360" w:lineRule="auto"/>
        <w:rPr>
          <w:rFonts w:ascii="Times New Roman" w:hAnsi="Times New Roman" w:cs="Times New Roman"/>
          <w:sz w:val="24"/>
          <w:szCs w:val="24"/>
          <w:lang w:val="en-US"/>
        </w:rPr>
      </w:pPr>
    </w:p>
    <w:p w14:paraId="36CA64DC" w14:textId="77777777" w:rsidR="00DA0F05" w:rsidRDefault="00DA0F05" w:rsidP="00DA0F05">
      <w:pPr>
        <w:pStyle w:val="Geenafstand"/>
        <w:spacing w:line="360" w:lineRule="auto"/>
        <w:rPr>
          <w:rFonts w:ascii="Times New Roman" w:hAnsi="Times New Roman" w:cs="Times New Roman"/>
          <w:sz w:val="24"/>
          <w:szCs w:val="24"/>
          <w:lang w:val="en-US"/>
        </w:rPr>
      </w:pPr>
    </w:p>
    <w:p w14:paraId="0D8C0E89" w14:textId="77777777" w:rsidR="00DA0F05" w:rsidRDefault="00DA0F05" w:rsidP="00DA0F05">
      <w:pPr>
        <w:pStyle w:val="Geenafstand"/>
        <w:spacing w:line="360" w:lineRule="auto"/>
        <w:rPr>
          <w:rFonts w:ascii="Times New Roman" w:hAnsi="Times New Roman" w:cs="Times New Roman"/>
          <w:sz w:val="24"/>
          <w:szCs w:val="24"/>
          <w:lang w:val="en-US"/>
        </w:rPr>
      </w:pPr>
    </w:p>
    <w:p w14:paraId="5116639A" w14:textId="77777777" w:rsidR="00DA0F05" w:rsidRDefault="00DA0F05" w:rsidP="00DA0F05">
      <w:pPr>
        <w:pStyle w:val="Geenafstand"/>
        <w:spacing w:line="360" w:lineRule="auto"/>
        <w:rPr>
          <w:rFonts w:ascii="Times New Roman" w:hAnsi="Times New Roman" w:cs="Times New Roman"/>
          <w:sz w:val="24"/>
          <w:szCs w:val="24"/>
          <w:lang w:val="en-US"/>
        </w:rPr>
      </w:pPr>
    </w:p>
    <w:p w14:paraId="62F7EFDF" w14:textId="77777777" w:rsidR="00DA0F05" w:rsidRDefault="00DA0F05" w:rsidP="00DA0F05">
      <w:pPr>
        <w:pStyle w:val="Geenafstand"/>
        <w:spacing w:line="360" w:lineRule="auto"/>
        <w:rPr>
          <w:rFonts w:ascii="Times New Roman" w:hAnsi="Times New Roman" w:cs="Times New Roman"/>
          <w:sz w:val="24"/>
          <w:szCs w:val="24"/>
          <w:lang w:val="en-US"/>
        </w:rPr>
      </w:pPr>
    </w:p>
    <w:p w14:paraId="5CBA318D" w14:textId="1AFF1A52" w:rsidR="00DA0F05" w:rsidRPr="00DA0F05" w:rsidRDefault="00DA0F05" w:rsidP="00DA0F05">
      <w:pPr>
        <w:pStyle w:val="Geenafstand"/>
        <w:spacing w:line="360" w:lineRule="auto"/>
        <w:rPr>
          <w:rFonts w:cstheme="minorHAnsi"/>
          <w:szCs w:val="24"/>
          <w:lang w:val="en-GB"/>
        </w:rPr>
      </w:pPr>
      <w:r w:rsidRPr="00DA0F05">
        <w:rPr>
          <w:rFonts w:cstheme="minorHAnsi"/>
          <w:szCs w:val="24"/>
          <w:lang w:val="en-GB"/>
        </w:rPr>
        <w:t xml:space="preserve">Student </w:t>
      </w:r>
      <w:r w:rsidRPr="00DA0F05">
        <w:rPr>
          <w:rFonts w:cstheme="minorHAnsi"/>
          <w:szCs w:val="24"/>
          <w:lang w:val="en-GB"/>
        </w:rPr>
        <w:tab/>
      </w:r>
      <w:r w:rsidRPr="00DA0F05">
        <w:rPr>
          <w:rFonts w:cstheme="minorHAnsi"/>
          <w:szCs w:val="24"/>
          <w:lang w:val="en-GB"/>
        </w:rPr>
        <w:tab/>
        <w:t>Jan Dirk Stam</w:t>
      </w:r>
    </w:p>
    <w:p w14:paraId="6E0BCB82" w14:textId="07C36C3F" w:rsidR="00DA0F05" w:rsidRPr="00DA0F05" w:rsidRDefault="00DA0F05" w:rsidP="00DA0F05">
      <w:pPr>
        <w:pStyle w:val="Geenafstand"/>
        <w:spacing w:line="360" w:lineRule="auto"/>
        <w:rPr>
          <w:rFonts w:cstheme="minorHAnsi"/>
          <w:szCs w:val="24"/>
          <w:lang w:val="en-GB"/>
        </w:rPr>
      </w:pPr>
      <w:r w:rsidRPr="00DA0F05">
        <w:rPr>
          <w:rFonts w:cstheme="minorHAnsi"/>
          <w:szCs w:val="24"/>
          <w:lang w:val="en-GB"/>
        </w:rPr>
        <w:t xml:space="preserve">Student number </w:t>
      </w:r>
      <w:r w:rsidRPr="00DA0F05">
        <w:rPr>
          <w:rFonts w:cstheme="minorHAnsi"/>
          <w:szCs w:val="24"/>
          <w:lang w:val="en-GB"/>
        </w:rPr>
        <w:tab/>
        <w:t>4364627</w:t>
      </w:r>
    </w:p>
    <w:p w14:paraId="558B1989" w14:textId="77777777" w:rsidR="00DA0F05" w:rsidRPr="00DA0F05" w:rsidRDefault="00DA0F05" w:rsidP="00DA0F05">
      <w:pPr>
        <w:pStyle w:val="Geenafstand"/>
        <w:spacing w:line="360" w:lineRule="auto"/>
        <w:rPr>
          <w:rFonts w:cstheme="minorHAnsi"/>
          <w:szCs w:val="24"/>
          <w:lang w:val="en-US"/>
        </w:rPr>
      </w:pPr>
      <w:r w:rsidRPr="00DA0F05">
        <w:rPr>
          <w:rFonts w:cstheme="minorHAnsi"/>
          <w:szCs w:val="24"/>
          <w:lang w:val="en-US"/>
        </w:rPr>
        <w:t xml:space="preserve">Department </w:t>
      </w:r>
      <w:r w:rsidRPr="00DA0F05">
        <w:rPr>
          <w:rFonts w:cstheme="minorHAnsi"/>
          <w:szCs w:val="24"/>
          <w:lang w:val="en-US"/>
        </w:rPr>
        <w:tab/>
      </w:r>
      <w:r w:rsidRPr="00DA0F05">
        <w:rPr>
          <w:rFonts w:cstheme="minorHAnsi"/>
          <w:szCs w:val="24"/>
          <w:lang w:val="en-US"/>
        </w:rPr>
        <w:tab/>
        <w:t xml:space="preserve">Nijmegen School of Management </w:t>
      </w:r>
    </w:p>
    <w:p w14:paraId="545F7868" w14:textId="77777777" w:rsidR="00DA0F05" w:rsidRPr="00DA0F05" w:rsidRDefault="00DA0F05" w:rsidP="00DA0F05">
      <w:pPr>
        <w:pStyle w:val="Geenafstand"/>
        <w:spacing w:line="360" w:lineRule="auto"/>
        <w:rPr>
          <w:rFonts w:cstheme="minorHAnsi"/>
          <w:szCs w:val="24"/>
          <w:lang w:val="en-US"/>
        </w:rPr>
      </w:pPr>
      <w:r w:rsidRPr="00DA0F05">
        <w:rPr>
          <w:rFonts w:cstheme="minorHAnsi"/>
          <w:szCs w:val="24"/>
          <w:lang w:val="en-US"/>
        </w:rPr>
        <w:t xml:space="preserve">Master specialization </w:t>
      </w:r>
      <w:r w:rsidRPr="00DA0F05">
        <w:rPr>
          <w:rFonts w:cstheme="minorHAnsi"/>
          <w:szCs w:val="24"/>
          <w:lang w:val="en-US"/>
        </w:rPr>
        <w:tab/>
        <w:t>Comparative Politics, Administration and Society</w:t>
      </w:r>
    </w:p>
    <w:p w14:paraId="6D9B0D3D" w14:textId="77777777" w:rsidR="00DA0F05" w:rsidRPr="00DA0F05" w:rsidRDefault="00DA0F05" w:rsidP="00DA0F05">
      <w:pPr>
        <w:pStyle w:val="Geenafstand"/>
        <w:spacing w:line="360" w:lineRule="auto"/>
        <w:rPr>
          <w:rFonts w:cstheme="minorHAnsi"/>
          <w:szCs w:val="24"/>
          <w:lang w:val="en-US"/>
        </w:rPr>
      </w:pPr>
      <w:r w:rsidRPr="00DA0F05">
        <w:rPr>
          <w:rFonts w:cstheme="minorHAnsi"/>
          <w:szCs w:val="24"/>
          <w:lang w:val="en-US"/>
        </w:rPr>
        <w:t xml:space="preserve">Supervisor </w:t>
      </w:r>
      <w:r w:rsidRPr="00DA0F05">
        <w:rPr>
          <w:rFonts w:cstheme="minorHAnsi"/>
          <w:szCs w:val="24"/>
          <w:lang w:val="en-US"/>
        </w:rPr>
        <w:tab/>
      </w:r>
      <w:r w:rsidRPr="00DA0F05">
        <w:rPr>
          <w:rFonts w:cstheme="minorHAnsi"/>
          <w:szCs w:val="24"/>
          <w:lang w:val="en-US"/>
        </w:rPr>
        <w:tab/>
        <w:t>Dr. P.J. Zwaan</w:t>
      </w:r>
    </w:p>
    <w:p w14:paraId="7057C6BB" w14:textId="25F9B2F5" w:rsidR="00DA0F05" w:rsidRPr="00EC4CB4" w:rsidRDefault="00DA0F05" w:rsidP="00DA0F05">
      <w:pPr>
        <w:pStyle w:val="Geenafstand"/>
        <w:spacing w:line="360" w:lineRule="auto"/>
        <w:rPr>
          <w:rFonts w:cstheme="minorHAnsi"/>
          <w:szCs w:val="24"/>
          <w:lang w:val="en-GB"/>
        </w:rPr>
      </w:pPr>
      <w:r w:rsidRPr="00DA0F05">
        <w:rPr>
          <w:rFonts w:cstheme="minorHAnsi"/>
          <w:szCs w:val="24"/>
          <w:lang w:val="en-US"/>
        </w:rPr>
        <w:t xml:space="preserve">Second </w:t>
      </w:r>
      <w:r w:rsidR="006945C7">
        <w:rPr>
          <w:rFonts w:cstheme="minorHAnsi"/>
          <w:szCs w:val="24"/>
          <w:lang w:val="en-US"/>
        </w:rPr>
        <w:t>reviewer</w:t>
      </w:r>
      <w:r>
        <w:rPr>
          <w:rFonts w:cstheme="minorHAnsi"/>
          <w:szCs w:val="24"/>
          <w:lang w:val="en-US"/>
        </w:rPr>
        <w:tab/>
        <w:t>D</w:t>
      </w:r>
      <w:r w:rsidRPr="00DA0F05">
        <w:rPr>
          <w:rFonts w:cstheme="minorHAnsi"/>
          <w:szCs w:val="24"/>
          <w:lang w:val="en-US"/>
        </w:rPr>
        <w:t xml:space="preserve">r. </w:t>
      </w:r>
      <w:r>
        <w:rPr>
          <w:rFonts w:cstheme="minorHAnsi"/>
          <w:szCs w:val="24"/>
          <w:lang w:val="en-US"/>
        </w:rPr>
        <w:t>J.M.M.M. Tholen</w:t>
      </w:r>
    </w:p>
    <w:p w14:paraId="726FF196" w14:textId="25DC9172" w:rsidR="00DA0F05" w:rsidRPr="00DA0F05" w:rsidRDefault="00DA0F05" w:rsidP="00DA0F05">
      <w:pPr>
        <w:pStyle w:val="Geenafstand"/>
        <w:spacing w:line="360" w:lineRule="auto"/>
        <w:rPr>
          <w:rFonts w:cstheme="minorHAnsi"/>
          <w:szCs w:val="24"/>
        </w:rPr>
      </w:pPr>
      <w:r w:rsidRPr="00DA0F05">
        <w:rPr>
          <w:rFonts w:cstheme="minorHAnsi"/>
          <w:szCs w:val="24"/>
        </w:rPr>
        <w:t xml:space="preserve">Date </w:t>
      </w:r>
      <w:r w:rsidRPr="00DA0F05">
        <w:rPr>
          <w:rFonts w:cstheme="minorHAnsi"/>
          <w:szCs w:val="24"/>
        </w:rPr>
        <w:tab/>
      </w:r>
      <w:r w:rsidRPr="00DA0F05">
        <w:rPr>
          <w:rFonts w:cstheme="minorHAnsi"/>
          <w:szCs w:val="24"/>
        </w:rPr>
        <w:tab/>
      </w:r>
      <w:r w:rsidRPr="00DA0F05">
        <w:rPr>
          <w:rFonts w:cstheme="minorHAnsi"/>
          <w:szCs w:val="24"/>
        </w:rPr>
        <w:tab/>
        <w:t>March 2019</w:t>
      </w:r>
    </w:p>
    <w:p w14:paraId="4B93F8DC" w14:textId="77777777" w:rsidR="00DA0F05" w:rsidRPr="00446B77" w:rsidRDefault="00DA0F05" w:rsidP="00DA0F05">
      <w:pPr>
        <w:pStyle w:val="Geenafstand"/>
        <w:spacing w:line="360" w:lineRule="auto"/>
        <w:rPr>
          <w:rFonts w:ascii="Times New Roman" w:hAnsi="Times New Roman" w:cs="Times New Roman"/>
          <w:sz w:val="24"/>
          <w:szCs w:val="24"/>
        </w:rPr>
      </w:pPr>
    </w:p>
    <w:p w14:paraId="456CF229" w14:textId="77777777" w:rsidR="00DA0F05" w:rsidRDefault="00DA0F05">
      <w:pPr>
        <w:rPr>
          <w:rFonts w:asciiTheme="majorHAnsi" w:eastAsiaTheme="majorEastAsia" w:hAnsiTheme="majorHAnsi" w:cstheme="majorBidi"/>
          <w:color w:val="2E74B5" w:themeColor="accent1" w:themeShade="BF"/>
          <w:sz w:val="32"/>
          <w:szCs w:val="32"/>
        </w:rPr>
      </w:pPr>
      <w:r>
        <w:br w:type="page"/>
      </w:r>
    </w:p>
    <w:bookmarkStart w:id="0" w:name="_Toc3547826" w:displacedByCustomXml="next"/>
    <w:sdt>
      <w:sdtPr>
        <w:rPr>
          <w:rFonts w:asciiTheme="minorHAnsi" w:eastAsia="MS Mincho" w:hAnsiTheme="minorHAnsi" w:cstheme="minorBidi"/>
          <w:color w:val="auto"/>
          <w:sz w:val="22"/>
          <w:szCs w:val="22"/>
        </w:rPr>
        <w:id w:val="-1514835575"/>
        <w:docPartObj>
          <w:docPartGallery w:val="Table of Contents"/>
          <w:docPartUnique/>
        </w:docPartObj>
      </w:sdtPr>
      <w:sdtEndPr>
        <w:rPr>
          <w:b/>
          <w:bCs/>
        </w:rPr>
      </w:sdtEndPr>
      <w:sdtContent>
        <w:p w14:paraId="290A8E26" w14:textId="346926BF" w:rsidR="00905AA2" w:rsidRPr="00AA60CE" w:rsidRDefault="00AA60CE" w:rsidP="00AA60CE">
          <w:pPr>
            <w:pStyle w:val="Kop1"/>
          </w:pPr>
          <w:r>
            <w:t>Table of Contents</w:t>
          </w:r>
          <w:bookmarkEnd w:id="0"/>
        </w:p>
        <w:p w14:paraId="43886E8D" w14:textId="40E25778" w:rsidR="00A91593" w:rsidRDefault="00905AA2">
          <w:pPr>
            <w:pStyle w:val="Inhopg1"/>
            <w:tabs>
              <w:tab w:val="right" w:leader="dot" w:pos="9062"/>
            </w:tabs>
            <w:rPr>
              <w:noProof/>
            </w:rPr>
          </w:pPr>
          <w:r w:rsidRPr="00905AA2">
            <w:rPr>
              <w:sz w:val="20"/>
            </w:rPr>
            <w:fldChar w:fldCharType="begin"/>
          </w:r>
          <w:r w:rsidRPr="00905AA2">
            <w:rPr>
              <w:sz w:val="20"/>
            </w:rPr>
            <w:instrText xml:space="preserve"> TOC \o "1-3" \h \z \u </w:instrText>
          </w:r>
          <w:r w:rsidRPr="00905AA2">
            <w:rPr>
              <w:sz w:val="20"/>
            </w:rPr>
            <w:fldChar w:fldCharType="separate"/>
          </w:r>
        </w:p>
        <w:p w14:paraId="556208F0" w14:textId="2954B7DD" w:rsidR="00A91593" w:rsidRDefault="00A91593">
          <w:pPr>
            <w:pStyle w:val="Inhopg1"/>
            <w:tabs>
              <w:tab w:val="right" w:leader="dot" w:pos="9062"/>
            </w:tabs>
            <w:rPr>
              <w:rFonts w:eastAsiaTheme="minorEastAsia"/>
              <w:noProof/>
              <w:lang w:val="nl-NL" w:eastAsia="nl-NL"/>
            </w:rPr>
          </w:pPr>
          <w:hyperlink w:anchor="_Toc3547826" w:history="1">
            <w:r w:rsidRPr="007918C9">
              <w:rPr>
                <w:rStyle w:val="Hyperlink"/>
                <w:noProof/>
              </w:rPr>
              <w:t>Table of Contents</w:t>
            </w:r>
            <w:r>
              <w:rPr>
                <w:noProof/>
                <w:webHidden/>
              </w:rPr>
              <w:tab/>
            </w:r>
            <w:r>
              <w:rPr>
                <w:noProof/>
                <w:webHidden/>
              </w:rPr>
              <w:fldChar w:fldCharType="begin"/>
            </w:r>
            <w:r>
              <w:rPr>
                <w:noProof/>
                <w:webHidden/>
              </w:rPr>
              <w:instrText xml:space="preserve"> PAGEREF _Toc3547826 \h </w:instrText>
            </w:r>
            <w:r>
              <w:rPr>
                <w:noProof/>
                <w:webHidden/>
              </w:rPr>
            </w:r>
            <w:r>
              <w:rPr>
                <w:noProof/>
                <w:webHidden/>
              </w:rPr>
              <w:fldChar w:fldCharType="separate"/>
            </w:r>
            <w:r>
              <w:rPr>
                <w:noProof/>
                <w:webHidden/>
              </w:rPr>
              <w:t>2</w:t>
            </w:r>
            <w:r>
              <w:rPr>
                <w:noProof/>
                <w:webHidden/>
              </w:rPr>
              <w:fldChar w:fldCharType="end"/>
            </w:r>
          </w:hyperlink>
        </w:p>
        <w:p w14:paraId="2CFDBD26" w14:textId="5C6263AB" w:rsidR="00A91593" w:rsidRDefault="00A91593">
          <w:pPr>
            <w:pStyle w:val="Inhopg1"/>
            <w:tabs>
              <w:tab w:val="right" w:leader="dot" w:pos="9062"/>
            </w:tabs>
            <w:rPr>
              <w:rFonts w:eastAsiaTheme="minorEastAsia"/>
              <w:noProof/>
              <w:lang w:val="nl-NL" w:eastAsia="nl-NL"/>
            </w:rPr>
          </w:pPr>
          <w:hyperlink w:anchor="_Toc3547827" w:history="1">
            <w:r w:rsidRPr="007918C9">
              <w:rPr>
                <w:rStyle w:val="Hyperlink"/>
                <w:noProof/>
              </w:rPr>
              <w:t>Chapter 1 – Introduction</w:t>
            </w:r>
            <w:r>
              <w:rPr>
                <w:noProof/>
                <w:webHidden/>
              </w:rPr>
              <w:tab/>
            </w:r>
            <w:r>
              <w:rPr>
                <w:noProof/>
                <w:webHidden/>
              </w:rPr>
              <w:fldChar w:fldCharType="begin"/>
            </w:r>
            <w:r>
              <w:rPr>
                <w:noProof/>
                <w:webHidden/>
              </w:rPr>
              <w:instrText xml:space="preserve"> PAGEREF _Toc3547827 \h </w:instrText>
            </w:r>
            <w:r>
              <w:rPr>
                <w:noProof/>
                <w:webHidden/>
              </w:rPr>
            </w:r>
            <w:r>
              <w:rPr>
                <w:noProof/>
                <w:webHidden/>
              </w:rPr>
              <w:fldChar w:fldCharType="separate"/>
            </w:r>
            <w:r>
              <w:rPr>
                <w:noProof/>
                <w:webHidden/>
              </w:rPr>
              <w:t>3</w:t>
            </w:r>
            <w:r>
              <w:rPr>
                <w:noProof/>
                <w:webHidden/>
              </w:rPr>
              <w:fldChar w:fldCharType="end"/>
            </w:r>
          </w:hyperlink>
        </w:p>
        <w:p w14:paraId="1D4E2C1B" w14:textId="7B64E093" w:rsidR="00A91593" w:rsidRDefault="00A91593">
          <w:pPr>
            <w:pStyle w:val="Inhopg3"/>
            <w:tabs>
              <w:tab w:val="left" w:pos="1100"/>
              <w:tab w:val="right" w:leader="dot" w:pos="9062"/>
            </w:tabs>
            <w:rPr>
              <w:rFonts w:eastAsiaTheme="minorEastAsia"/>
              <w:noProof/>
              <w:lang w:val="nl-NL" w:eastAsia="nl-NL"/>
            </w:rPr>
          </w:pPr>
          <w:hyperlink w:anchor="_Toc3547828" w:history="1">
            <w:r w:rsidRPr="007918C9">
              <w:rPr>
                <w:rStyle w:val="Hyperlink"/>
                <w:noProof/>
              </w:rPr>
              <w:t>1.1</w:t>
            </w:r>
            <w:r>
              <w:rPr>
                <w:rFonts w:eastAsiaTheme="minorEastAsia"/>
                <w:noProof/>
                <w:lang w:val="nl-NL" w:eastAsia="nl-NL"/>
              </w:rPr>
              <w:t xml:space="preserve"> </w:t>
            </w:r>
            <w:r w:rsidRPr="007918C9">
              <w:rPr>
                <w:rStyle w:val="Hyperlink"/>
                <w:noProof/>
              </w:rPr>
              <w:t>Research design</w:t>
            </w:r>
            <w:r>
              <w:rPr>
                <w:noProof/>
                <w:webHidden/>
              </w:rPr>
              <w:tab/>
            </w:r>
            <w:r>
              <w:rPr>
                <w:noProof/>
                <w:webHidden/>
              </w:rPr>
              <w:fldChar w:fldCharType="begin"/>
            </w:r>
            <w:r>
              <w:rPr>
                <w:noProof/>
                <w:webHidden/>
              </w:rPr>
              <w:instrText xml:space="preserve"> PAGEREF _Toc3547828 \h </w:instrText>
            </w:r>
            <w:r>
              <w:rPr>
                <w:noProof/>
                <w:webHidden/>
              </w:rPr>
            </w:r>
            <w:r>
              <w:rPr>
                <w:noProof/>
                <w:webHidden/>
              </w:rPr>
              <w:fldChar w:fldCharType="separate"/>
            </w:r>
            <w:r>
              <w:rPr>
                <w:noProof/>
                <w:webHidden/>
              </w:rPr>
              <w:t>4</w:t>
            </w:r>
            <w:r>
              <w:rPr>
                <w:noProof/>
                <w:webHidden/>
              </w:rPr>
              <w:fldChar w:fldCharType="end"/>
            </w:r>
          </w:hyperlink>
        </w:p>
        <w:p w14:paraId="5AFEBE5B" w14:textId="63CF04E0" w:rsidR="00A91593" w:rsidRDefault="00A91593">
          <w:pPr>
            <w:pStyle w:val="Inhopg3"/>
            <w:tabs>
              <w:tab w:val="right" w:leader="dot" w:pos="9062"/>
            </w:tabs>
            <w:rPr>
              <w:rFonts w:eastAsiaTheme="minorEastAsia"/>
              <w:noProof/>
              <w:lang w:val="nl-NL" w:eastAsia="nl-NL"/>
            </w:rPr>
          </w:pPr>
          <w:hyperlink w:anchor="_Toc3547829" w:history="1">
            <w:r w:rsidRPr="007918C9">
              <w:rPr>
                <w:rStyle w:val="Hyperlink"/>
                <w:noProof/>
              </w:rPr>
              <w:t>1.2 Academic and societal relevance</w:t>
            </w:r>
            <w:r>
              <w:rPr>
                <w:noProof/>
                <w:webHidden/>
              </w:rPr>
              <w:tab/>
            </w:r>
            <w:r>
              <w:rPr>
                <w:noProof/>
                <w:webHidden/>
              </w:rPr>
              <w:fldChar w:fldCharType="begin"/>
            </w:r>
            <w:r>
              <w:rPr>
                <w:noProof/>
                <w:webHidden/>
              </w:rPr>
              <w:instrText xml:space="preserve"> PAGEREF _Toc3547829 \h </w:instrText>
            </w:r>
            <w:r>
              <w:rPr>
                <w:noProof/>
                <w:webHidden/>
              </w:rPr>
            </w:r>
            <w:r>
              <w:rPr>
                <w:noProof/>
                <w:webHidden/>
              </w:rPr>
              <w:fldChar w:fldCharType="separate"/>
            </w:r>
            <w:r>
              <w:rPr>
                <w:noProof/>
                <w:webHidden/>
              </w:rPr>
              <w:t>5</w:t>
            </w:r>
            <w:r>
              <w:rPr>
                <w:noProof/>
                <w:webHidden/>
              </w:rPr>
              <w:fldChar w:fldCharType="end"/>
            </w:r>
          </w:hyperlink>
        </w:p>
        <w:p w14:paraId="79D98BE3" w14:textId="31C04A36" w:rsidR="00A91593" w:rsidRDefault="00A91593">
          <w:pPr>
            <w:pStyle w:val="Inhopg3"/>
            <w:tabs>
              <w:tab w:val="right" w:leader="dot" w:pos="9062"/>
            </w:tabs>
            <w:rPr>
              <w:rFonts w:eastAsiaTheme="minorEastAsia"/>
              <w:noProof/>
              <w:lang w:val="nl-NL" w:eastAsia="nl-NL"/>
            </w:rPr>
          </w:pPr>
          <w:hyperlink w:anchor="_Toc3547830" w:history="1">
            <w:r w:rsidRPr="007918C9">
              <w:rPr>
                <w:rStyle w:val="Hyperlink"/>
                <w:noProof/>
              </w:rPr>
              <w:t>1.3 Structure of the thesis</w:t>
            </w:r>
            <w:r>
              <w:rPr>
                <w:noProof/>
                <w:webHidden/>
              </w:rPr>
              <w:tab/>
            </w:r>
            <w:r>
              <w:rPr>
                <w:noProof/>
                <w:webHidden/>
              </w:rPr>
              <w:fldChar w:fldCharType="begin"/>
            </w:r>
            <w:r>
              <w:rPr>
                <w:noProof/>
                <w:webHidden/>
              </w:rPr>
              <w:instrText xml:space="preserve"> PAGEREF _Toc3547830 \h </w:instrText>
            </w:r>
            <w:r>
              <w:rPr>
                <w:noProof/>
                <w:webHidden/>
              </w:rPr>
            </w:r>
            <w:r>
              <w:rPr>
                <w:noProof/>
                <w:webHidden/>
              </w:rPr>
              <w:fldChar w:fldCharType="separate"/>
            </w:r>
            <w:r>
              <w:rPr>
                <w:noProof/>
                <w:webHidden/>
              </w:rPr>
              <w:t>6</w:t>
            </w:r>
            <w:r>
              <w:rPr>
                <w:noProof/>
                <w:webHidden/>
              </w:rPr>
              <w:fldChar w:fldCharType="end"/>
            </w:r>
          </w:hyperlink>
        </w:p>
        <w:p w14:paraId="29D873B6" w14:textId="7A0A3891" w:rsidR="00A91593" w:rsidRDefault="00A91593">
          <w:pPr>
            <w:pStyle w:val="Inhopg1"/>
            <w:tabs>
              <w:tab w:val="right" w:leader="dot" w:pos="9062"/>
            </w:tabs>
            <w:rPr>
              <w:rFonts w:eastAsiaTheme="minorEastAsia"/>
              <w:noProof/>
              <w:lang w:val="nl-NL" w:eastAsia="nl-NL"/>
            </w:rPr>
          </w:pPr>
          <w:hyperlink w:anchor="_Toc3547831" w:history="1">
            <w:r w:rsidRPr="007918C9">
              <w:rPr>
                <w:rStyle w:val="Hyperlink"/>
                <w:noProof/>
              </w:rPr>
              <w:t>Chapter 2 – Theory</w:t>
            </w:r>
            <w:r>
              <w:rPr>
                <w:noProof/>
                <w:webHidden/>
              </w:rPr>
              <w:tab/>
            </w:r>
            <w:r>
              <w:rPr>
                <w:noProof/>
                <w:webHidden/>
              </w:rPr>
              <w:fldChar w:fldCharType="begin"/>
            </w:r>
            <w:r>
              <w:rPr>
                <w:noProof/>
                <w:webHidden/>
              </w:rPr>
              <w:instrText xml:space="preserve"> PAGEREF _Toc3547831 \h </w:instrText>
            </w:r>
            <w:r>
              <w:rPr>
                <w:noProof/>
                <w:webHidden/>
              </w:rPr>
            </w:r>
            <w:r>
              <w:rPr>
                <w:noProof/>
                <w:webHidden/>
              </w:rPr>
              <w:fldChar w:fldCharType="separate"/>
            </w:r>
            <w:r>
              <w:rPr>
                <w:noProof/>
                <w:webHidden/>
              </w:rPr>
              <w:t>7</w:t>
            </w:r>
            <w:r>
              <w:rPr>
                <w:noProof/>
                <w:webHidden/>
              </w:rPr>
              <w:fldChar w:fldCharType="end"/>
            </w:r>
          </w:hyperlink>
        </w:p>
        <w:p w14:paraId="6FDBC47D" w14:textId="38482160" w:rsidR="00A91593" w:rsidRDefault="00A91593">
          <w:pPr>
            <w:pStyle w:val="Inhopg3"/>
            <w:tabs>
              <w:tab w:val="right" w:leader="dot" w:pos="9062"/>
            </w:tabs>
            <w:rPr>
              <w:rFonts w:eastAsiaTheme="minorEastAsia"/>
              <w:noProof/>
              <w:lang w:val="nl-NL" w:eastAsia="nl-NL"/>
            </w:rPr>
          </w:pPr>
          <w:hyperlink w:anchor="_Toc3547832" w:history="1">
            <w:r w:rsidRPr="007918C9">
              <w:rPr>
                <w:rStyle w:val="Hyperlink"/>
                <w:noProof/>
              </w:rPr>
              <w:t>2.1 Compliance literature</w:t>
            </w:r>
            <w:r>
              <w:rPr>
                <w:noProof/>
                <w:webHidden/>
              </w:rPr>
              <w:tab/>
            </w:r>
            <w:r>
              <w:rPr>
                <w:noProof/>
                <w:webHidden/>
              </w:rPr>
              <w:fldChar w:fldCharType="begin"/>
            </w:r>
            <w:r>
              <w:rPr>
                <w:noProof/>
                <w:webHidden/>
              </w:rPr>
              <w:instrText xml:space="preserve"> PAGEREF _Toc3547832 \h </w:instrText>
            </w:r>
            <w:r>
              <w:rPr>
                <w:noProof/>
                <w:webHidden/>
              </w:rPr>
            </w:r>
            <w:r>
              <w:rPr>
                <w:noProof/>
                <w:webHidden/>
              </w:rPr>
              <w:fldChar w:fldCharType="separate"/>
            </w:r>
            <w:r>
              <w:rPr>
                <w:noProof/>
                <w:webHidden/>
              </w:rPr>
              <w:t>7</w:t>
            </w:r>
            <w:r>
              <w:rPr>
                <w:noProof/>
                <w:webHidden/>
              </w:rPr>
              <w:fldChar w:fldCharType="end"/>
            </w:r>
          </w:hyperlink>
        </w:p>
        <w:p w14:paraId="5D0DD22A" w14:textId="1E17F4EF" w:rsidR="00A91593" w:rsidRDefault="00A91593">
          <w:pPr>
            <w:pStyle w:val="Inhopg3"/>
            <w:tabs>
              <w:tab w:val="right" w:leader="dot" w:pos="9062"/>
            </w:tabs>
            <w:rPr>
              <w:rFonts w:eastAsiaTheme="minorEastAsia"/>
              <w:noProof/>
              <w:lang w:val="nl-NL" w:eastAsia="nl-NL"/>
            </w:rPr>
          </w:pPr>
          <w:hyperlink w:anchor="_Toc3547833" w:history="1">
            <w:r w:rsidRPr="007918C9">
              <w:rPr>
                <w:rStyle w:val="Hyperlink"/>
                <w:noProof/>
              </w:rPr>
              <w:t>2.2 Procedural fairness</w:t>
            </w:r>
            <w:r>
              <w:rPr>
                <w:noProof/>
                <w:webHidden/>
              </w:rPr>
              <w:tab/>
            </w:r>
            <w:r>
              <w:rPr>
                <w:noProof/>
                <w:webHidden/>
              </w:rPr>
              <w:fldChar w:fldCharType="begin"/>
            </w:r>
            <w:r>
              <w:rPr>
                <w:noProof/>
                <w:webHidden/>
              </w:rPr>
              <w:instrText xml:space="preserve"> PAGEREF _Toc3547833 \h </w:instrText>
            </w:r>
            <w:r>
              <w:rPr>
                <w:noProof/>
                <w:webHidden/>
              </w:rPr>
            </w:r>
            <w:r>
              <w:rPr>
                <w:noProof/>
                <w:webHidden/>
              </w:rPr>
              <w:fldChar w:fldCharType="separate"/>
            </w:r>
            <w:r>
              <w:rPr>
                <w:noProof/>
                <w:webHidden/>
              </w:rPr>
              <w:t>10</w:t>
            </w:r>
            <w:r>
              <w:rPr>
                <w:noProof/>
                <w:webHidden/>
              </w:rPr>
              <w:fldChar w:fldCharType="end"/>
            </w:r>
          </w:hyperlink>
        </w:p>
        <w:p w14:paraId="76447EAE" w14:textId="77E99F9F" w:rsidR="00A91593" w:rsidRDefault="00A91593">
          <w:pPr>
            <w:pStyle w:val="Inhopg3"/>
            <w:tabs>
              <w:tab w:val="right" w:leader="dot" w:pos="9062"/>
            </w:tabs>
            <w:rPr>
              <w:rFonts w:eastAsiaTheme="minorEastAsia"/>
              <w:noProof/>
              <w:lang w:val="nl-NL" w:eastAsia="nl-NL"/>
            </w:rPr>
          </w:pPr>
          <w:hyperlink w:anchor="_Toc3547834" w:history="1">
            <w:r w:rsidRPr="007918C9">
              <w:rPr>
                <w:rStyle w:val="Hyperlink"/>
                <w:noProof/>
              </w:rPr>
              <w:t>2.3 Formulating hypotheses</w:t>
            </w:r>
            <w:r>
              <w:rPr>
                <w:noProof/>
                <w:webHidden/>
              </w:rPr>
              <w:tab/>
            </w:r>
            <w:r>
              <w:rPr>
                <w:noProof/>
                <w:webHidden/>
              </w:rPr>
              <w:fldChar w:fldCharType="begin"/>
            </w:r>
            <w:r>
              <w:rPr>
                <w:noProof/>
                <w:webHidden/>
              </w:rPr>
              <w:instrText xml:space="preserve"> PAGEREF _Toc3547834 \h </w:instrText>
            </w:r>
            <w:r>
              <w:rPr>
                <w:noProof/>
                <w:webHidden/>
              </w:rPr>
            </w:r>
            <w:r>
              <w:rPr>
                <w:noProof/>
                <w:webHidden/>
              </w:rPr>
              <w:fldChar w:fldCharType="separate"/>
            </w:r>
            <w:r>
              <w:rPr>
                <w:noProof/>
                <w:webHidden/>
              </w:rPr>
              <w:t>11</w:t>
            </w:r>
            <w:r>
              <w:rPr>
                <w:noProof/>
                <w:webHidden/>
              </w:rPr>
              <w:fldChar w:fldCharType="end"/>
            </w:r>
          </w:hyperlink>
        </w:p>
        <w:p w14:paraId="3CBCC8DB" w14:textId="39FA49F8" w:rsidR="00A91593" w:rsidRDefault="00A91593">
          <w:pPr>
            <w:pStyle w:val="Inhopg3"/>
            <w:tabs>
              <w:tab w:val="right" w:leader="dot" w:pos="9062"/>
            </w:tabs>
            <w:rPr>
              <w:rFonts w:eastAsiaTheme="minorEastAsia"/>
              <w:noProof/>
              <w:lang w:val="nl-NL" w:eastAsia="nl-NL"/>
            </w:rPr>
          </w:pPr>
          <w:hyperlink w:anchor="_Toc3547835" w:history="1">
            <w:r w:rsidRPr="007918C9">
              <w:rPr>
                <w:rStyle w:val="Hyperlink"/>
                <w:noProof/>
              </w:rPr>
              <w:t>2.4 Summary</w:t>
            </w:r>
            <w:r>
              <w:rPr>
                <w:noProof/>
                <w:webHidden/>
              </w:rPr>
              <w:tab/>
            </w:r>
            <w:r>
              <w:rPr>
                <w:noProof/>
                <w:webHidden/>
              </w:rPr>
              <w:fldChar w:fldCharType="begin"/>
            </w:r>
            <w:r>
              <w:rPr>
                <w:noProof/>
                <w:webHidden/>
              </w:rPr>
              <w:instrText xml:space="preserve"> PAGEREF _Toc3547835 \h </w:instrText>
            </w:r>
            <w:r>
              <w:rPr>
                <w:noProof/>
                <w:webHidden/>
              </w:rPr>
            </w:r>
            <w:r>
              <w:rPr>
                <w:noProof/>
                <w:webHidden/>
              </w:rPr>
              <w:fldChar w:fldCharType="separate"/>
            </w:r>
            <w:r>
              <w:rPr>
                <w:noProof/>
                <w:webHidden/>
              </w:rPr>
              <w:t>13</w:t>
            </w:r>
            <w:r>
              <w:rPr>
                <w:noProof/>
                <w:webHidden/>
              </w:rPr>
              <w:fldChar w:fldCharType="end"/>
            </w:r>
          </w:hyperlink>
        </w:p>
        <w:p w14:paraId="317245E9" w14:textId="0FE2ECD5" w:rsidR="00A91593" w:rsidRDefault="00A91593">
          <w:pPr>
            <w:pStyle w:val="Inhopg1"/>
            <w:tabs>
              <w:tab w:val="right" w:leader="dot" w:pos="9062"/>
            </w:tabs>
            <w:rPr>
              <w:rFonts w:eastAsiaTheme="minorEastAsia"/>
              <w:noProof/>
              <w:lang w:val="nl-NL" w:eastAsia="nl-NL"/>
            </w:rPr>
          </w:pPr>
          <w:hyperlink w:anchor="_Toc3547836" w:history="1">
            <w:r w:rsidRPr="007918C9">
              <w:rPr>
                <w:rStyle w:val="Hyperlink"/>
                <w:noProof/>
              </w:rPr>
              <w:t>Chapter 3 – Methodological framework</w:t>
            </w:r>
            <w:r>
              <w:rPr>
                <w:noProof/>
                <w:webHidden/>
              </w:rPr>
              <w:tab/>
            </w:r>
            <w:r>
              <w:rPr>
                <w:noProof/>
                <w:webHidden/>
              </w:rPr>
              <w:fldChar w:fldCharType="begin"/>
            </w:r>
            <w:r>
              <w:rPr>
                <w:noProof/>
                <w:webHidden/>
              </w:rPr>
              <w:instrText xml:space="preserve"> PAGEREF _Toc3547836 \h </w:instrText>
            </w:r>
            <w:r>
              <w:rPr>
                <w:noProof/>
                <w:webHidden/>
              </w:rPr>
            </w:r>
            <w:r>
              <w:rPr>
                <w:noProof/>
                <w:webHidden/>
              </w:rPr>
              <w:fldChar w:fldCharType="separate"/>
            </w:r>
            <w:r>
              <w:rPr>
                <w:noProof/>
                <w:webHidden/>
              </w:rPr>
              <w:t>14</w:t>
            </w:r>
            <w:r>
              <w:rPr>
                <w:noProof/>
                <w:webHidden/>
              </w:rPr>
              <w:fldChar w:fldCharType="end"/>
            </w:r>
          </w:hyperlink>
        </w:p>
        <w:p w14:paraId="07F0D902" w14:textId="2819E982" w:rsidR="00A91593" w:rsidRDefault="00A91593">
          <w:pPr>
            <w:pStyle w:val="Inhopg3"/>
            <w:tabs>
              <w:tab w:val="right" w:leader="dot" w:pos="9062"/>
            </w:tabs>
            <w:rPr>
              <w:rFonts w:eastAsiaTheme="minorEastAsia"/>
              <w:noProof/>
              <w:lang w:val="nl-NL" w:eastAsia="nl-NL"/>
            </w:rPr>
          </w:pPr>
          <w:hyperlink w:anchor="_Toc3547837" w:history="1">
            <w:r w:rsidRPr="007918C9">
              <w:rPr>
                <w:rStyle w:val="Hyperlink"/>
                <w:noProof/>
              </w:rPr>
              <w:t>3.1 Research strategy</w:t>
            </w:r>
            <w:r>
              <w:rPr>
                <w:noProof/>
                <w:webHidden/>
              </w:rPr>
              <w:tab/>
            </w:r>
            <w:r>
              <w:rPr>
                <w:noProof/>
                <w:webHidden/>
              </w:rPr>
              <w:fldChar w:fldCharType="begin"/>
            </w:r>
            <w:r>
              <w:rPr>
                <w:noProof/>
                <w:webHidden/>
              </w:rPr>
              <w:instrText xml:space="preserve"> PAGEREF _Toc3547837 \h </w:instrText>
            </w:r>
            <w:r>
              <w:rPr>
                <w:noProof/>
                <w:webHidden/>
              </w:rPr>
            </w:r>
            <w:r>
              <w:rPr>
                <w:noProof/>
                <w:webHidden/>
              </w:rPr>
              <w:fldChar w:fldCharType="separate"/>
            </w:r>
            <w:r>
              <w:rPr>
                <w:noProof/>
                <w:webHidden/>
              </w:rPr>
              <w:t>14</w:t>
            </w:r>
            <w:r>
              <w:rPr>
                <w:noProof/>
                <w:webHidden/>
              </w:rPr>
              <w:fldChar w:fldCharType="end"/>
            </w:r>
          </w:hyperlink>
        </w:p>
        <w:p w14:paraId="3DC1E1A4" w14:textId="1B2ACEB6" w:rsidR="00A91593" w:rsidRDefault="00A91593">
          <w:pPr>
            <w:pStyle w:val="Inhopg3"/>
            <w:tabs>
              <w:tab w:val="right" w:leader="dot" w:pos="9062"/>
            </w:tabs>
            <w:rPr>
              <w:rFonts w:eastAsiaTheme="minorEastAsia"/>
              <w:noProof/>
              <w:lang w:val="nl-NL" w:eastAsia="nl-NL"/>
            </w:rPr>
          </w:pPr>
          <w:hyperlink w:anchor="_Toc3547838" w:history="1">
            <w:r w:rsidRPr="007918C9">
              <w:rPr>
                <w:rStyle w:val="Hyperlink"/>
                <w:noProof/>
              </w:rPr>
              <w:t>3.2 Data analysis</w:t>
            </w:r>
            <w:r>
              <w:rPr>
                <w:noProof/>
                <w:webHidden/>
              </w:rPr>
              <w:tab/>
            </w:r>
            <w:r>
              <w:rPr>
                <w:noProof/>
                <w:webHidden/>
              </w:rPr>
              <w:fldChar w:fldCharType="begin"/>
            </w:r>
            <w:r>
              <w:rPr>
                <w:noProof/>
                <w:webHidden/>
              </w:rPr>
              <w:instrText xml:space="preserve"> PAGEREF _Toc3547838 \h </w:instrText>
            </w:r>
            <w:r>
              <w:rPr>
                <w:noProof/>
                <w:webHidden/>
              </w:rPr>
            </w:r>
            <w:r>
              <w:rPr>
                <w:noProof/>
                <w:webHidden/>
              </w:rPr>
              <w:fldChar w:fldCharType="separate"/>
            </w:r>
            <w:r>
              <w:rPr>
                <w:noProof/>
                <w:webHidden/>
              </w:rPr>
              <w:t>14</w:t>
            </w:r>
            <w:r>
              <w:rPr>
                <w:noProof/>
                <w:webHidden/>
              </w:rPr>
              <w:fldChar w:fldCharType="end"/>
            </w:r>
          </w:hyperlink>
        </w:p>
        <w:p w14:paraId="51FA2818" w14:textId="0836D1B6" w:rsidR="00A91593" w:rsidRDefault="00A91593">
          <w:pPr>
            <w:pStyle w:val="Inhopg3"/>
            <w:tabs>
              <w:tab w:val="right" w:leader="dot" w:pos="9062"/>
            </w:tabs>
            <w:rPr>
              <w:rFonts w:eastAsiaTheme="minorEastAsia"/>
              <w:noProof/>
              <w:lang w:val="nl-NL" w:eastAsia="nl-NL"/>
            </w:rPr>
          </w:pPr>
          <w:hyperlink w:anchor="_Toc3547839" w:history="1">
            <w:r w:rsidRPr="007918C9">
              <w:rPr>
                <w:rStyle w:val="Hyperlink"/>
                <w:noProof/>
              </w:rPr>
              <w:t>3.3 Conceptualization</w:t>
            </w:r>
            <w:r>
              <w:rPr>
                <w:noProof/>
                <w:webHidden/>
              </w:rPr>
              <w:tab/>
            </w:r>
            <w:r>
              <w:rPr>
                <w:noProof/>
                <w:webHidden/>
              </w:rPr>
              <w:fldChar w:fldCharType="begin"/>
            </w:r>
            <w:r>
              <w:rPr>
                <w:noProof/>
                <w:webHidden/>
              </w:rPr>
              <w:instrText xml:space="preserve"> PAGEREF _Toc3547839 \h </w:instrText>
            </w:r>
            <w:r>
              <w:rPr>
                <w:noProof/>
                <w:webHidden/>
              </w:rPr>
            </w:r>
            <w:r>
              <w:rPr>
                <w:noProof/>
                <w:webHidden/>
              </w:rPr>
              <w:fldChar w:fldCharType="separate"/>
            </w:r>
            <w:r>
              <w:rPr>
                <w:noProof/>
                <w:webHidden/>
              </w:rPr>
              <w:t>16</w:t>
            </w:r>
            <w:r>
              <w:rPr>
                <w:noProof/>
                <w:webHidden/>
              </w:rPr>
              <w:fldChar w:fldCharType="end"/>
            </w:r>
          </w:hyperlink>
        </w:p>
        <w:p w14:paraId="04E1008E" w14:textId="46464B30" w:rsidR="00A91593" w:rsidRDefault="00A91593">
          <w:pPr>
            <w:pStyle w:val="Inhopg3"/>
            <w:tabs>
              <w:tab w:val="right" w:leader="dot" w:pos="9062"/>
            </w:tabs>
            <w:rPr>
              <w:rFonts w:eastAsiaTheme="minorEastAsia"/>
              <w:noProof/>
              <w:lang w:val="nl-NL" w:eastAsia="nl-NL"/>
            </w:rPr>
          </w:pPr>
          <w:hyperlink w:anchor="_Toc3547840" w:history="1">
            <w:r w:rsidRPr="007918C9">
              <w:rPr>
                <w:rStyle w:val="Hyperlink"/>
                <w:noProof/>
              </w:rPr>
              <w:t>3.4 Operationalization of the independent variable</w:t>
            </w:r>
            <w:r>
              <w:rPr>
                <w:noProof/>
                <w:webHidden/>
              </w:rPr>
              <w:tab/>
            </w:r>
            <w:r>
              <w:rPr>
                <w:noProof/>
                <w:webHidden/>
              </w:rPr>
              <w:fldChar w:fldCharType="begin"/>
            </w:r>
            <w:r>
              <w:rPr>
                <w:noProof/>
                <w:webHidden/>
              </w:rPr>
              <w:instrText xml:space="preserve"> PAGEREF _Toc3547840 \h </w:instrText>
            </w:r>
            <w:r>
              <w:rPr>
                <w:noProof/>
                <w:webHidden/>
              </w:rPr>
            </w:r>
            <w:r>
              <w:rPr>
                <w:noProof/>
                <w:webHidden/>
              </w:rPr>
              <w:fldChar w:fldCharType="separate"/>
            </w:r>
            <w:r>
              <w:rPr>
                <w:noProof/>
                <w:webHidden/>
              </w:rPr>
              <w:t>16</w:t>
            </w:r>
            <w:r>
              <w:rPr>
                <w:noProof/>
                <w:webHidden/>
              </w:rPr>
              <w:fldChar w:fldCharType="end"/>
            </w:r>
          </w:hyperlink>
        </w:p>
        <w:p w14:paraId="46DF0746" w14:textId="01005753" w:rsidR="00A91593" w:rsidRDefault="00A91593">
          <w:pPr>
            <w:pStyle w:val="Inhopg3"/>
            <w:tabs>
              <w:tab w:val="right" w:leader="dot" w:pos="9062"/>
            </w:tabs>
            <w:rPr>
              <w:rFonts w:eastAsiaTheme="minorEastAsia"/>
              <w:noProof/>
              <w:lang w:val="nl-NL" w:eastAsia="nl-NL"/>
            </w:rPr>
          </w:pPr>
          <w:hyperlink w:anchor="_Toc3547841" w:history="1">
            <w:r w:rsidRPr="007918C9">
              <w:rPr>
                <w:rStyle w:val="Hyperlink"/>
                <w:noProof/>
              </w:rPr>
              <w:t>3.5 Operationalization of the dependent variable</w:t>
            </w:r>
            <w:r>
              <w:rPr>
                <w:noProof/>
                <w:webHidden/>
              </w:rPr>
              <w:tab/>
            </w:r>
            <w:r>
              <w:rPr>
                <w:noProof/>
                <w:webHidden/>
              </w:rPr>
              <w:fldChar w:fldCharType="begin"/>
            </w:r>
            <w:r>
              <w:rPr>
                <w:noProof/>
                <w:webHidden/>
              </w:rPr>
              <w:instrText xml:space="preserve"> PAGEREF _Toc3547841 \h </w:instrText>
            </w:r>
            <w:r>
              <w:rPr>
                <w:noProof/>
                <w:webHidden/>
              </w:rPr>
            </w:r>
            <w:r>
              <w:rPr>
                <w:noProof/>
                <w:webHidden/>
              </w:rPr>
              <w:fldChar w:fldCharType="separate"/>
            </w:r>
            <w:r>
              <w:rPr>
                <w:noProof/>
                <w:webHidden/>
              </w:rPr>
              <w:t>17</w:t>
            </w:r>
            <w:r>
              <w:rPr>
                <w:noProof/>
                <w:webHidden/>
              </w:rPr>
              <w:fldChar w:fldCharType="end"/>
            </w:r>
          </w:hyperlink>
        </w:p>
        <w:p w14:paraId="7526F167" w14:textId="5E2E4444" w:rsidR="00A91593" w:rsidRDefault="00A91593">
          <w:pPr>
            <w:pStyle w:val="Inhopg3"/>
            <w:tabs>
              <w:tab w:val="right" w:leader="dot" w:pos="9062"/>
            </w:tabs>
            <w:rPr>
              <w:rFonts w:eastAsiaTheme="minorEastAsia"/>
              <w:noProof/>
              <w:lang w:val="nl-NL" w:eastAsia="nl-NL"/>
            </w:rPr>
          </w:pPr>
          <w:hyperlink w:anchor="_Toc3547842" w:history="1">
            <w:r w:rsidRPr="007918C9">
              <w:rPr>
                <w:rStyle w:val="Hyperlink"/>
                <w:noProof/>
              </w:rPr>
              <w:t>3.6 Control variables</w:t>
            </w:r>
            <w:r>
              <w:rPr>
                <w:noProof/>
                <w:webHidden/>
              </w:rPr>
              <w:tab/>
            </w:r>
            <w:r>
              <w:rPr>
                <w:noProof/>
                <w:webHidden/>
              </w:rPr>
              <w:fldChar w:fldCharType="begin"/>
            </w:r>
            <w:r>
              <w:rPr>
                <w:noProof/>
                <w:webHidden/>
              </w:rPr>
              <w:instrText xml:space="preserve"> PAGEREF _Toc3547842 \h </w:instrText>
            </w:r>
            <w:r>
              <w:rPr>
                <w:noProof/>
                <w:webHidden/>
              </w:rPr>
            </w:r>
            <w:r>
              <w:rPr>
                <w:noProof/>
                <w:webHidden/>
              </w:rPr>
              <w:fldChar w:fldCharType="separate"/>
            </w:r>
            <w:r>
              <w:rPr>
                <w:noProof/>
                <w:webHidden/>
              </w:rPr>
              <w:t>22</w:t>
            </w:r>
            <w:r>
              <w:rPr>
                <w:noProof/>
                <w:webHidden/>
              </w:rPr>
              <w:fldChar w:fldCharType="end"/>
            </w:r>
          </w:hyperlink>
        </w:p>
        <w:p w14:paraId="667351E6" w14:textId="4396E603" w:rsidR="00A91593" w:rsidRDefault="00A91593">
          <w:pPr>
            <w:pStyle w:val="Inhopg3"/>
            <w:tabs>
              <w:tab w:val="right" w:leader="dot" w:pos="9062"/>
            </w:tabs>
            <w:rPr>
              <w:rFonts w:eastAsiaTheme="minorEastAsia"/>
              <w:noProof/>
              <w:lang w:val="nl-NL" w:eastAsia="nl-NL"/>
            </w:rPr>
          </w:pPr>
          <w:hyperlink w:anchor="_Toc3547849" w:history="1">
            <w:r w:rsidRPr="007918C9">
              <w:rPr>
                <w:rStyle w:val="Hyperlink"/>
                <w:noProof/>
              </w:rPr>
              <w:t>3.7 Case selection</w:t>
            </w:r>
            <w:r>
              <w:rPr>
                <w:noProof/>
                <w:webHidden/>
              </w:rPr>
              <w:tab/>
            </w:r>
            <w:r>
              <w:rPr>
                <w:noProof/>
                <w:webHidden/>
              </w:rPr>
              <w:fldChar w:fldCharType="begin"/>
            </w:r>
            <w:r>
              <w:rPr>
                <w:noProof/>
                <w:webHidden/>
              </w:rPr>
              <w:instrText xml:space="preserve"> PAGEREF _Toc3547849 \h </w:instrText>
            </w:r>
            <w:r>
              <w:rPr>
                <w:noProof/>
                <w:webHidden/>
              </w:rPr>
            </w:r>
            <w:r>
              <w:rPr>
                <w:noProof/>
                <w:webHidden/>
              </w:rPr>
              <w:fldChar w:fldCharType="separate"/>
            </w:r>
            <w:r>
              <w:rPr>
                <w:noProof/>
                <w:webHidden/>
              </w:rPr>
              <w:t>24</w:t>
            </w:r>
            <w:r>
              <w:rPr>
                <w:noProof/>
                <w:webHidden/>
              </w:rPr>
              <w:fldChar w:fldCharType="end"/>
            </w:r>
          </w:hyperlink>
        </w:p>
        <w:p w14:paraId="7119DFE2" w14:textId="4541DCBE" w:rsidR="00A91593" w:rsidRDefault="00A91593">
          <w:pPr>
            <w:pStyle w:val="Inhopg3"/>
            <w:tabs>
              <w:tab w:val="right" w:leader="dot" w:pos="9062"/>
            </w:tabs>
            <w:rPr>
              <w:rFonts w:eastAsiaTheme="minorEastAsia"/>
              <w:noProof/>
              <w:lang w:val="nl-NL" w:eastAsia="nl-NL"/>
            </w:rPr>
          </w:pPr>
          <w:hyperlink w:anchor="_Toc3547850" w:history="1">
            <w:r w:rsidRPr="007918C9">
              <w:rPr>
                <w:rStyle w:val="Hyperlink"/>
                <w:noProof/>
              </w:rPr>
              <w:t>3.8 Data collection</w:t>
            </w:r>
            <w:r>
              <w:rPr>
                <w:noProof/>
                <w:webHidden/>
              </w:rPr>
              <w:tab/>
            </w:r>
            <w:r>
              <w:rPr>
                <w:noProof/>
                <w:webHidden/>
              </w:rPr>
              <w:fldChar w:fldCharType="begin"/>
            </w:r>
            <w:r>
              <w:rPr>
                <w:noProof/>
                <w:webHidden/>
              </w:rPr>
              <w:instrText xml:space="preserve"> PAGEREF _Toc3547850 \h </w:instrText>
            </w:r>
            <w:r>
              <w:rPr>
                <w:noProof/>
                <w:webHidden/>
              </w:rPr>
            </w:r>
            <w:r>
              <w:rPr>
                <w:noProof/>
                <w:webHidden/>
              </w:rPr>
              <w:fldChar w:fldCharType="separate"/>
            </w:r>
            <w:r>
              <w:rPr>
                <w:noProof/>
                <w:webHidden/>
              </w:rPr>
              <w:t>25</w:t>
            </w:r>
            <w:r>
              <w:rPr>
                <w:noProof/>
                <w:webHidden/>
              </w:rPr>
              <w:fldChar w:fldCharType="end"/>
            </w:r>
          </w:hyperlink>
        </w:p>
        <w:p w14:paraId="08AEE08F" w14:textId="2A9C1D65" w:rsidR="00A91593" w:rsidRDefault="00A91593">
          <w:pPr>
            <w:pStyle w:val="Inhopg3"/>
            <w:tabs>
              <w:tab w:val="right" w:leader="dot" w:pos="9062"/>
            </w:tabs>
            <w:rPr>
              <w:rFonts w:eastAsiaTheme="minorEastAsia"/>
              <w:noProof/>
              <w:lang w:val="nl-NL" w:eastAsia="nl-NL"/>
            </w:rPr>
          </w:pPr>
          <w:hyperlink w:anchor="_Toc3547851" w:history="1">
            <w:r w:rsidRPr="007918C9">
              <w:rPr>
                <w:rStyle w:val="Hyperlink"/>
                <w:noProof/>
              </w:rPr>
              <w:t>3.9 Validity and reliability</w:t>
            </w:r>
            <w:r>
              <w:rPr>
                <w:noProof/>
                <w:webHidden/>
              </w:rPr>
              <w:tab/>
            </w:r>
            <w:r>
              <w:rPr>
                <w:noProof/>
                <w:webHidden/>
              </w:rPr>
              <w:fldChar w:fldCharType="begin"/>
            </w:r>
            <w:r>
              <w:rPr>
                <w:noProof/>
                <w:webHidden/>
              </w:rPr>
              <w:instrText xml:space="preserve"> PAGEREF _Toc3547851 \h </w:instrText>
            </w:r>
            <w:r>
              <w:rPr>
                <w:noProof/>
                <w:webHidden/>
              </w:rPr>
            </w:r>
            <w:r>
              <w:rPr>
                <w:noProof/>
                <w:webHidden/>
              </w:rPr>
              <w:fldChar w:fldCharType="separate"/>
            </w:r>
            <w:r>
              <w:rPr>
                <w:noProof/>
                <w:webHidden/>
              </w:rPr>
              <w:t>26</w:t>
            </w:r>
            <w:r>
              <w:rPr>
                <w:noProof/>
                <w:webHidden/>
              </w:rPr>
              <w:fldChar w:fldCharType="end"/>
            </w:r>
          </w:hyperlink>
        </w:p>
        <w:p w14:paraId="37E98060" w14:textId="3ED6326F" w:rsidR="00A91593" w:rsidRDefault="00A91593">
          <w:pPr>
            <w:pStyle w:val="Inhopg3"/>
            <w:tabs>
              <w:tab w:val="right" w:leader="dot" w:pos="9062"/>
            </w:tabs>
            <w:rPr>
              <w:rFonts w:eastAsiaTheme="minorEastAsia"/>
              <w:noProof/>
              <w:lang w:val="nl-NL" w:eastAsia="nl-NL"/>
            </w:rPr>
          </w:pPr>
          <w:hyperlink w:anchor="_Toc3547852" w:history="1">
            <w:r w:rsidRPr="007918C9">
              <w:rPr>
                <w:rStyle w:val="Hyperlink"/>
                <w:noProof/>
              </w:rPr>
              <w:t>3.10 Summary</w:t>
            </w:r>
            <w:r>
              <w:rPr>
                <w:noProof/>
                <w:webHidden/>
              </w:rPr>
              <w:tab/>
            </w:r>
            <w:r>
              <w:rPr>
                <w:noProof/>
                <w:webHidden/>
              </w:rPr>
              <w:fldChar w:fldCharType="begin"/>
            </w:r>
            <w:r>
              <w:rPr>
                <w:noProof/>
                <w:webHidden/>
              </w:rPr>
              <w:instrText xml:space="preserve"> PAGEREF _Toc3547852 \h </w:instrText>
            </w:r>
            <w:r>
              <w:rPr>
                <w:noProof/>
                <w:webHidden/>
              </w:rPr>
            </w:r>
            <w:r>
              <w:rPr>
                <w:noProof/>
                <w:webHidden/>
              </w:rPr>
              <w:fldChar w:fldCharType="separate"/>
            </w:r>
            <w:r>
              <w:rPr>
                <w:noProof/>
                <w:webHidden/>
              </w:rPr>
              <w:t>27</w:t>
            </w:r>
            <w:r>
              <w:rPr>
                <w:noProof/>
                <w:webHidden/>
              </w:rPr>
              <w:fldChar w:fldCharType="end"/>
            </w:r>
          </w:hyperlink>
        </w:p>
        <w:p w14:paraId="13EEC615" w14:textId="093C877E" w:rsidR="00A91593" w:rsidRDefault="00A91593">
          <w:pPr>
            <w:pStyle w:val="Inhopg1"/>
            <w:tabs>
              <w:tab w:val="right" w:leader="dot" w:pos="9062"/>
            </w:tabs>
            <w:rPr>
              <w:rFonts w:eastAsiaTheme="minorEastAsia"/>
              <w:noProof/>
              <w:lang w:val="nl-NL" w:eastAsia="nl-NL"/>
            </w:rPr>
          </w:pPr>
          <w:hyperlink w:anchor="_Toc3547853" w:history="1">
            <w:r w:rsidRPr="007918C9">
              <w:rPr>
                <w:rStyle w:val="Hyperlink"/>
                <w:noProof/>
              </w:rPr>
              <w:t>Chapter 4 – Analysis</w:t>
            </w:r>
            <w:r>
              <w:rPr>
                <w:noProof/>
                <w:webHidden/>
              </w:rPr>
              <w:tab/>
            </w:r>
            <w:r>
              <w:rPr>
                <w:noProof/>
                <w:webHidden/>
              </w:rPr>
              <w:fldChar w:fldCharType="begin"/>
            </w:r>
            <w:r>
              <w:rPr>
                <w:noProof/>
                <w:webHidden/>
              </w:rPr>
              <w:instrText xml:space="preserve"> PAGEREF _Toc3547853 \h </w:instrText>
            </w:r>
            <w:r>
              <w:rPr>
                <w:noProof/>
                <w:webHidden/>
              </w:rPr>
            </w:r>
            <w:r>
              <w:rPr>
                <w:noProof/>
                <w:webHidden/>
              </w:rPr>
              <w:fldChar w:fldCharType="separate"/>
            </w:r>
            <w:r>
              <w:rPr>
                <w:noProof/>
                <w:webHidden/>
              </w:rPr>
              <w:t>28</w:t>
            </w:r>
            <w:r>
              <w:rPr>
                <w:noProof/>
                <w:webHidden/>
              </w:rPr>
              <w:fldChar w:fldCharType="end"/>
            </w:r>
          </w:hyperlink>
        </w:p>
        <w:p w14:paraId="4A31D9FC" w14:textId="1012451C" w:rsidR="00A91593" w:rsidRDefault="00A91593">
          <w:pPr>
            <w:pStyle w:val="Inhopg2"/>
            <w:tabs>
              <w:tab w:val="right" w:leader="dot" w:pos="9062"/>
            </w:tabs>
            <w:rPr>
              <w:rFonts w:eastAsiaTheme="minorEastAsia"/>
              <w:noProof/>
              <w:lang w:val="nl-NL" w:eastAsia="nl-NL"/>
            </w:rPr>
          </w:pPr>
          <w:hyperlink w:anchor="_Toc3547854" w:history="1">
            <w:r w:rsidRPr="007918C9">
              <w:rPr>
                <w:rStyle w:val="Hyperlink"/>
                <w:noProof/>
              </w:rPr>
              <w:t>4.1 Hypothesis 1a – 1c</w:t>
            </w:r>
            <w:r>
              <w:rPr>
                <w:noProof/>
                <w:webHidden/>
              </w:rPr>
              <w:tab/>
            </w:r>
            <w:r>
              <w:rPr>
                <w:noProof/>
                <w:webHidden/>
              </w:rPr>
              <w:fldChar w:fldCharType="begin"/>
            </w:r>
            <w:r>
              <w:rPr>
                <w:noProof/>
                <w:webHidden/>
              </w:rPr>
              <w:instrText xml:space="preserve"> PAGEREF _Toc3547854 \h </w:instrText>
            </w:r>
            <w:r>
              <w:rPr>
                <w:noProof/>
                <w:webHidden/>
              </w:rPr>
            </w:r>
            <w:r>
              <w:rPr>
                <w:noProof/>
                <w:webHidden/>
              </w:rPr>
              <w:fldChar w:fldCharType="separate"/>
            </w:r>
            <w:r>
              <w:rPr>
                <w:noProof/>
                <w:webHidden/>
              </w:rPr>
              <w:t>28</w:t>
            </w:r>
            <w:r>
              <w:rPr>
                <w:noProof/>
                <w:webHidden/>
              </w:rPr>
              <w:fldChar w:fldCharType="end"/>
            </w:r>
          </w:hyperlink>
        </w:p>
        <w:p w14:paraId="758487E3" w14:textId="1DA7ECDE" w:rsidR="00A91593" w:rsidRDefault="00A91593">
          <w:pPr>
            <w:pStyle w:val="Inhopg3"/>
            <w:tabs>
              <w:tab w:val="right" w:leader="dot" w:pos="9062"/>
            </w:tabs>
            <w:rPr>
              <w:rFonts w:eastAsiaTheme="minorEastAsia"/>
              <w:noProof/>
              <w:lang w:val="nl-NL" w:eastAsia="nl-NL"/>
            </w:rPr>
          </w:pPr>
          <w:hyperlink w:anchor="_Toc3547855" w:history="1">
            <w:r w:rsidRPr="007918C9">
              <w:rPr>
                <w:rStyle w:val="Hyperlink"/>
                <w:noProof/>
              </w:rPr>
              <w:t>4.1.1 Descriptive statistics</w:t>
            </w:r>
            <w:r>
              <w:rPr>
                <w:noProof/>
                <w:webHidden/>
              </w:rPr>
              <w:tab/>
            </w:r>
            <w:r>
              <w:rPr>
                <w:noProof/>
                <w:webHidden/>
              </w:rPr>
              <w:fldChar w:fldCharType="begin"/>
            </w:r>
            <w:r>
              <w:rPr>
                <w:noProof/>
                <w:webHidden/>
              </w:rPr>
              <w:instrText xml:space="preserve"> PAGEREF _Toc3547855 \h </w:instrText>
            </w:r>
            <w:r>
              <w:rPr>
                <w:noProof/>
                <w:webHidden/>
              </w:rPr>
            </w:r>
            <w:r>
              <w:rPr>
                <w:noProof/>
                <w:webHidden/>
              </w:rPr>
              <w:fldChar w:fldCharType="separate"/>
            </w:r>
            <w:r>
              <w:rPr>
                <w:noProof/>
                <w:webHidden/>
              </w:rPr>
              <w:t>28</w:t>
            </w:r>
            <w:r>
              <w:rPr>
                <w:noProof/>
                <w:webHidden/>
              </w:rPr>
              <w:fldChar w:fldCharType="end"/>
            </w:r>
          </w:hyperlink>
        </w:p>
        <w:p w14:paraId="785E0C84" w14:textId="1C5B1131" w:rsidR="00A91593" w:rsidRDefault="00A91593">
          <w:pPr>
            <w:pStyle w:val="Inhopg3"/>
            <w:tabs>
              <w:tab w:val="right" w:leader="dot" w:pos="9062"/>
            </w:tabs>
            <w:rPr>
              <w:rFonts w:eastAsiaTheme="minorEastAsia"/>
              <w:noProof/>
              <w:lang w:val="nl-NL" w:eastAsia="nl-NL"/>
            </w:rPr>
          </w:pPr>
          <w:hyperlink w:anchor="_Toc3547856" w:history="1">
            <w:r w:rsidRPr="007918C9">
              <w:rPr>
                <w:rStyle w:val="Hyperlink"/>
                <w:noProof/>
              </w:rPr>
              <w:t>4.1.2 Assumptions</w:t>
            </w:r>
            <w:r>
              <w:rPr>
                <w:noProof/>
                <w:webHidden/>
              </w:rPr>
              <w:tab/>
            </w:r>
            <w:r>
              <w:rPr>
                <w:noProof/>
                <w:webHidden/>
              </w:rPr>
              <w:fldChar w:fldCharType="begin"/>
            </w:r>
            <w:r>
              <w:rPr>
                <w:noProof/>
                <w:webHidden/>
              </w:rPr>
              <w:instrText xml:space="preserve"> PAGEREF _Toc3547856 \h </w:instrText>
            </w:r>
            <w:r>
              <w:rPr>
                <w:noProof/>
                <w:webHidden/>
              </w:rPr>
            </w:r>
            <w:r>
              <w:rPr>
                <w:noProof/>
                <w:webHidden/>
              </w:rPr>
              <w:fldChar w:fldCharType="separate"/>
            </w:r>
            <w:r>
              <w:rPr>
                <w:noProof/>
                <w:webHidden/>
              </w:rPr>
              <w:t>29</w:t>
            </w:r>
            <w:r>
              <w:rPr>
                <w:noProof/>
                <w:webHidden/>
              </w:rPr>
              <w:fldChar w:fldCharType="end"/>
            </w:r>
          </w:hyperlink>
        </w:p>
        <w:p w14:paraId="4B132A4D" w14:textId="56F6F381" w:rsidR="00A91593" w:rsidRDefault="00A91593">
          <w:pPr>
            <w:pStyle w:val="Inhopg3"/>
            <w:tabs>
              <w:tab w:val="right" w:leader="dot" w:pos="9062"/>
            </w:tabs>
            <w:rPr>
              <w:rFonts w:eastAsiaTheme="minorEastAsia"/>
              <w:noProof/>
              <w:lang w:val="nl-NL" w:eastAsia="nl-NL"/>
            </w:rPr>
          </w:pPr>
          <w:hyperlink w:anchor="_Toc3547857" w:history="1">
            <w:r w:rsidRPr="007918C9">
              <w:rPr>
                <w:rStyle w:val="Hyperlink"/>
                <w:noProof/>
              </w:rPr>
              <w:t>4.1.3 Results</w:t>
            </w:r>
            <w:r>
              <w:rPr>
                <w:noProof/>
                <w:webHidden/>
              </w:rPr>
              <w:tab/>
            </w:r>
            <w:r>
              <w:rPr>
                <w:noProof/>
                <w:webHidden/>
              </w:rPr>
              <w:fldChar w:fldCharType="begin"/>
            </w:r>
            <w:r>
              <w:rPr>
                <w:noProof/>
                <w:webHidden/>
              </w:rPr>
              <w:instrText xml:space="preserve"> PAGEREF _Toc3547857 \h </w:instrText>
            </w:r>
            <w:r>
              <w:rPr>
                <w:noProof/>
                <w:webHidden/>
              </w:rPr>
            </w:r>
            <w:r>
              <w:rPr>
                <w:noProof/>
                <w:webHidden/>
              </w:rPr>
              <w:fldChar w:fldCharType="separate"/>
            </w:r>
            <w:r>
              <w:rPr>
                <w:noProof/>
                <w:webHidden/>
              </w:rPr>
              <w:t>32</w:t>
            </w:r>
            <w:r>
              <w:rPr>
                <w:noProof/>
                <w:webHidden/>
              </w:rPr>
              <w:fldChar w:fldCharType="end"/>
            </w:r>
          </w:hyperlink>
        </w:p>
        <w:p w14:paraId="394A99AD" w14:textId="17FF7CFC" w:rsidR="00A91593" w:rsidRDefault="00A91593">
          <w:pPr>
            <w:pStyle w:val="Inhopg2"/>
            <w:tabs>
              <w:tab w:val="right" w:leader="dot" w:pos="9062"/>
            </w:tabs>
            <w:rPr>
              <w:rFonts w:eastAsiaTheme="minorEastAsia"/>
              <w:noProof/>
              <w:lang w:val="nl-NL" w:eastAsia="nl-NL"/>
            </w:rPr>
          </w:pPr>
          <w:hyperlink w:anchor="_Toc3547858" w:history="1">
            <w:r w:rsidRPr="007918C9">
              <w:rPr>
                <w:rStyle w:val="Hyperlink"/>
                <w:noProof/>
              </w:rPr>
              <w:t>4.2 Hypothesis 2</w:t>
            </w:r>
            <w:r>
              <w:rPr>
                <w:noProof/>
                <w:webHidden/>
              </w:rPr>
              <w:tab/>
            </w:r>
            <w:r>
              <w:rPr>
                <w:noProof/>
                <w:webHidden/>
              </w:rPr>
              <w:fldChar w:fldCharType="begin"/>
            </w:r>
            <w:r>
              <w:rPr>
                <w:noProof/>
                <w:webHidden/>
              </w:rPr>
              <w:instrText xml:space="preserve"> PAGEREF _Toc3547858 \h </w:instrText>
            </w:r>
            <w:r>
              <w:rPr>
                <w:noProof/>
                <w:webHidden/>
              </w:rPr>
            </w:r>
            <w:r>
              <w:rPr>
                <w:noProof/>
                <w:webHidden/>
              </w:rPr>
              <w:fldChar w:fldCharType="separate"/>
            </w:r>
            <w:r>
              <w:rPr>
                <w:noProof/>
                <w:webHidden/>
              </w:rPr>
              <w:t>37</w:t>
            </w:r>
            <w:r>
              <w:rPr>
                <w:noProof/>
                <w:webHidden/>
              </w:rPr>
              <w:fldChar w:fldCharType="end"/>
            </w:r>
          </w:hyperlink>
        </w:p>
        <w:p w14:paraId="7DF6432F" w14:textId="147E12A2" w:rsidR="00A91593" w:rsidRDefault="00A91593">
          <w:pPr>
            <w:pStyle w:val="Inhopg3"/>
            <w:tabs>
              <w:tab w:val="right" w:leader="dot" w:pos="9062"/>
            </w:tabs>
            <w:rPr>
              <w:rFonts w:eastAsiaTheme="minorEastAsia"/>
              <w:noProof/>
              <w:lang w:val="nl-NL" w:eastAsia="nl-NL"/>
            </w:rPr>
          </w:pPr>
          <w:hyperlink w:anchor="_Toc3547859" w:history="1">
            <w:r w:rsidRPr="007918C9">
              <w:rPr>
                <w:rStyle w:val="Hyperlink"/>
                <w:noProof/>
              </w:rPr>
              <w:t>4.2.1 Descriptive statistics</w:t>
            </w:r>
            <w:r>
              <w:rPr>
                <w:noProof/>
                <w:webHidden/>
              </w:rPr>
              <w:tab/>
            </w:r>
            <w:r>
              <w:rPr>
                <w:noProof/>
                <w:webHidden/>
              </w:rPr>
              <w:fldChar w:fldCharType="begin"/>
            </w:r>
            <w:r>
              <w:rPr>
                <w:noProof/>
                <w:webHidden/>
              </w:rPr>
              <w:instrText xml:space="preserve"> PAGEREF _Toc3547859 \h </w:instrText>
            </w:r>
            <w:r>
              <w:rPr>
                <w:noProof/>
                <w:webHidden/>
              </w:rPr>
            </w:r>
            <w:r>
              <w:rPr>
                <w:noProof/>
                <w:webHidden/>
              </w:rPr>
              <w:fldChar w:fldCharType="separate"/>
            </w:r>
            <w:r>
              <w:rPr>
                <w:noProof/>
                <w:webHidden/>
              </w:rPr>
              <w:t>37</w:t>
            </w:r>
            <w:r>
              <w:rPr>
                <w:noProof/>
                <w:webHidden/>
              </w:rPr>
              <w:fldChar w:fldCharType="end"/>
            </w:r>
          </w:hyperlink>
        </w:p>
        <w:p w14:paraId="6B7C4AE6" w14:textId="7A02A1A6" w:rsidR="00A91593" w:rsidRDefault="00A91593">
          <w:pPr>
            <w:pStyle w:val="Inhopg3"/>
            <w:tabs>
              <w:tab w:val="right" w:leader="dot" w:pos="9062"/>
            </w:tabs>
            <w:rPr>
              <w:rFonts w:eastAsiaTheme="minorEastAsia"/>
              <w:noProof/>
              <w:lang w:val="nl-NL" w:eastAsia="nl-NL"/>
            </w:rPr>
          </w:pPr>
          <w:hyperlink w:anchor="_Toc3547860" w:history="1">
            <w:r w:rsidRPr="007918C9">
              <w:rPr>
                <w:rStyle w:val="Hyperlink"/>
                <w:noProof/>
              </w:rPr>
              <w:t>4.2.2 Assumptions</w:t>
            </w:r>
            <w:r>
              <w:rPr>
                <w:noProof/>
                <w:webHidden/>
              </w:rPr>
              <w:tab/>
            </w:r>
            <w:r>
              <w:rPr>
                <w:noProof/>
                <w:webHidden/>
              </w:rPr>
              <w:fldChar w:fldCharType="begin"/>
            </w:r>
            <w:r>
              <w:rPr>
                <w:noProof/>
                <w:webHidden/>
              </w:rPr>
              <w:instrText xml:space="preserve"> PAGEREF _Toc3547860 \h </w:instrText>
            </w:r>
            <w:r>
              <w:rPr>
                <w:noProof/>
                <w:webHidden/>
              </w:rPr>
            </w:r>
            <w:r>
              <w:rPr>
                <w:noProof/>
                <w:webHidden/>
              </w:rPr>
              <w:fldChar w:fldCharType="separate"/>
            </w:r>
            <w:r>
              <w:rPr>
                <w:noProof/>
                <w:webHidden/>
              </w:rPr>
              <w:t>38</w:t>
            </w:r>
            <w:r>
              <w:rPr>
                <w:noProof/>
                <w:webHidden/>
              </w:rPr>
              <w:fldChar w:fldCharType="end"/>
            </w:r>
          </w:hyperlink>
        </w:p>
        <w:p w14:paraId="1A5237E4" w14:textId="731F4347" w:rsidR="00A91593" w:rsidRDefault="00A91593">
          <w:pPr>
            <w:pStyle w:val="Inhopg3"/>
            <w:tabs>
              <w:tab w:val="right" w:leader="dot" w:pos="9062"/>
            </w:tabs>
            <w:rPr>
              <w:rFonts w:eastAsiaTheme="minorEastAsia"/>
              <w:noProof/>
              <w:lang w:val="nl-NL" w:eastAsia="nl-NL"/>
            </w:rPr>
          </w:pPr>
          <w:hyperlink w:anchor="_Toc3547861" w:history="1">
            <w:r w:rsidRPr="007918C9">
              <w:rPr>
                <w:rStyle w:val="Hyperlink"/>
                <w:noProof/>
              </w:rPr>
              <w:t>4.2.3. Results</w:t>
            </w:r>
            <w:r>
              <w:rPr>
                <w:noProof/>
                <w:webHidden/>
              </w:rPr>
              <w:tab/>
            </w:r>
            <w:r>
              <w:rPr>
                <w:noProof/>
                <w:webHidden/>
              </w:rPr>
              <w:fldChar w:fldCharType="begin"/>
            </w:r>
            <w:r>
              <w:rPr>
                <w:noProof/>
                <w:webHidden/>
              </w:rPr>
              <w:instrText xml:space="preserve"> PAGEREF _Toc3547861 \h </w:instrText>
            </w:r>
            <w:r>
              <w:rPr>
                <w:noProof/>
                <w:webHidden/>
              </w:rPr>
            </w:r>
            <w:r>
              <w:rPr>
                <w:noProof/>
                <w:webHidden/>
              </w:rPr>
              <w:fldChar w:fldCharType="separate"/>
            </w:r>
            <w:r>
              <w:rPr>
                <w:noProof/>
                <w:webHidden/>
              </w:rPr>
              <w:t>38</w:t>
            </w:r>
            <w:r>
              <w:rPr>
                <w:noProof/>
                <w:webHidden/>
              </w:rPr>
              <w:fldChar w:fldCharType="end"/>
            </w:r>
          </w:hyperlink>
        </w:p>
        <w:p w14:paraId="5F36F3AD" w14:textId="5E118789" w:rsidR="00A91593" w:rsidRDefault="00A91593">
          <w:pPr>
            <w:pStyle w:val="Inhopg1"/>
            <w:tabs>
              <w:tab w:val="right" w:leader="dot" w:pos="9062"/>
            </w:tabs>
            <w:rPr>
              <w:rFonts w:eastAsiaTheme="minorEastAsia"/>
              <w:noProof/>
              <w:lang w:val="nl-NL" w:eastAsia="nl-NL"/>
            </w:rPr>
          </w:pPr>
          <w:hyperlink w:anchor="_Toc3547862" w:history="1">
            <w:r w:rsidRPr="007918C9">
              <w:rPr>
                <w:rStyle w:val="Hyperlink"/>
                <w:noProof/>
              </w:rPr>
              <w:t>Chapter 5 – Conclusion</w:t>
            </w:r>
            <w:r>
              <w:rPr>
                <w:noProof/>
                <w:webHidden/>
              </w:rPr>
              <w:tab/>
            </w:r>
            <w:r>
              <w:rPr>
                <w:noProof/>
                <w:webHidden/>
              </w:rPr>
              <w:fldChar w:fldCharType="begin"/>
            </w:r>
            <w:r>
              <w:rPr>
                <w:noProof/>
                <w:webHidden/>
              </w:rPr>
              <w:instrText xml:space="preserve"> PAGEREF _Toc3547862 \h </w:instrText>
            </w:r>
            <w:r>
              <w:rPr>
                <w:noProof/>
                <w:webHidden/>
              </w:rPr>
            </w:r>
            <w:r>
              <w:rPr>
                <w:noProof/>
                <w:webHidden/>
              </w:rPr>
              <w:fldChar w:fldCharType="separate"/>
            </w:r>
            <w:r>
              <w:rPr>
                <w:noProof/>
                <w:webHidden/>
              </w:rPr>
              <w:t>40</w:t>
            </w:r>
            <w:r>
              <w:rPr>
                <w:noProof/>
                <w:webHidden/>
              </w:rPr>
              <w:fldChar w:fldCharType="end"/>
            </w:r>
          </w:hyperlink>
        </w:p>
        <w:p w14:paraId="5A2F297C" w14:textId="45D7E8B1" w:rsidR="00A91593" w:rsidRDefault="00A91593">
          <w:pPr>
            <w:pStyle w:val="Inhopg1"/>
            <w:tabs>
              <w:tab w:val="right" w:leader="dot" w:pos="9062"/>
            </w:tabs>
            <w:rPr>
              <w:rFonts w:eastAsiaTheme="minorEastAsia"/>
              <w:noProof/>
              <w:lang w:val="nl-NL" w:eastAsia="nl-NL"/>
            </w:rPr>
          </w:pPr>
          <w:hyperlink w:anchor="_Toc3547863" w:history="1">
            <w:r w:rsidRPr="007918C9">
              <w:rPr>
                <w:rStyle w:val="Hyperlink"/>
                <w:noProof/>
              </w:rPr>
              <w:t>References</w:t>
            </w:r>
            <w:r>
              <w:rPr>
                <w:noProof/>
                <w:webHidden/>
              </w:rPr>
              <w:tab/>
            </w:r>
            <w:r>
              <w:rPr>
                <w:noProof/>
                <w:webHidden/>
              </w:rPr>
              <w:fldChar w:fldCharType="begin"/>
            </w:r>
            <w:r>
              <w:rPr>
                <w:noProof/>
                <w:webHidden/>
              </w:rPr>
              <w:instrText xml:space="preserve"> PAGEREF _Toc3547863 \h </w:instrText>
            </w:r>
            <w:r>
              <w:rPr>
                <w:noProof/>
                <w:webHidden/>
              </w:rPr>
            </w:r>
            <w:r>
              <w:rPr>
                <w:noProof/>
                <w:webHidden/>
              </w:rPr>
              <w:fldChar w:fldCharType="separate"/>
            </w:r>
            <w:r>
              <w:rPr>
                <w:noProof/>
                <w:webHidden/>
              </w:rPr>
              <w:t>45</w:t>
            </w:r>
            <w:r>
              <w:rPr>
                <w:noProof/>
                <w:webHidden/>
              </w:rPr>
              <w:fldChar w:fldCharType="end"/>
            </w:r>
          </w:hyperlink>
        </w:p>
        <w:p w14:paraId="14FC185B" w14:textId="68085D30" w:rsidR="00905AA2" w:rsidRPr="00A91593" w:rsidRDefault="00A91593" w:rsidP="00A91593">
          <w:pPr>
            <w:pStyle w:val="Inhopg2"/>
            <w:tabs>
              <w:tab w:val="right" w:leader="dot" w:pos="9062"/>
            </w:tabs>
            <w:ind w:left="0"/>
            <w:rPr>
              <w:rFonts w:eastAsiaTheme="minorEastAsia"/>
              <w:noProof/>
              <w:lang w:val="nl-NL" w:eastAsia="nl-NL"/>
            </w:rPr>
          </w:pPr>
          <w:hyperlink w:anchor="_Toc3547864" w:history="1">
            <w:r w:rsidRPr="007918C9">
              <w:rPr>
                <w:rStyle w:val="Hyperlink"/>
                <w:noProof/>
              </w:rPr>
              <w:t>Appendix 1 – assumptions dataset I</w:t>
            </w:r>
            <w:r>
              <w:rPr>
                <w:noProof/>
                <w:webHidden/>
              </w:rPr>
              <w:tab/>
            </w:r>
            <w:r>
              <w:rPr>
                <w:noProof/>
                <w:webHidden/>
              </w:rPr>
              <w:fldChar w:fldCharType="begin"/>
            </w:r>
            <w:r>
              <w:rPr>
                <w:noProof/>
                <w:webHidden/>
              </w:rPr>
              <w:instrText xml:space="preserve"> PAGEREF _Toc3547864 \h </w:instrText>
            </w:r>
            <w:r>
              <w:rPr>
                <w:noProof/>
                <w:webHidden/>
              </w:rPr>
            </w:r>
            <w:r>
              <w:rPr>
                <w:noProof/>
                <w:webHidden/>
              </w:rPr>
              <w:fldChar w:fldCharType="separate"/>
            </w:r>
            <w:r>
              <w:rPr>
                <w:noProof/>
                <w:webHidden/>
              </w:rPr>
              <w:t>50</w:t>
            </w:r>
            <w:r>
              <w:rPr>
                <w:noProof/>
                <w:webHidden/>
              </w:rPr>
              <w:fldChar w:fldCharType="end"/>
            </w:r>
          </w:hyperlink>
          <w:r w:rsidR="00905AA2" w:rsidRPr="00905AA2">
            <w:rPr>
              <w:b/>
              <w:bCs/>
              <w:sz w:val="20"/>
            </w:rPr>
            <w:fldChar w:fldCharType="end"/>
          </w:r>
        </w:p>
      </w:sdtContent>
    </w:sdt>
    <w:p w14:paraId="76E9F5B3" w14:textId="77777777" w:rsidR="008034FF" w:rsidRDefault="008034FF" w:rsidP="008034FF">
      <w:pPr>
        <w:pStyle w:val="Kop1"/>
      </w:pPr>
      <w:bookmarkStart w:id="1" w:name="_Toc3547827"/>
      <w:r>
        <w:lastRenderedPageBreak/>
        <w:t>Chapter 1 – Introduction</w:t>
      </w:r>
      <w:bookmarkStart w:id="2" w:name="_GoBack"/>
      <w:bookmarkEnd w:id="1"/>
      <w:bookmarkEnd w:id="2"/>
      <w:r>
        <w:br/>
      </w:r>
    </w:p>
    <w:p w14:paraId="0883C6F9" w14:textId="77777777" w:rsidR="008034FF" w:rsidRDefault="008034FF" w:rsidP="008034FF">
      <w:pPr>
        <w:autoSpaceDE w:val="0"/>
        <w:autoSpaceDN w:val="0"/>
        <w:adjustRightInd w:val="0"/>
        <w:spacing w:after="0" w:line="360" w:lineRule="auto"/>
        <w:jc w:val="right"/>
        <w:rPr>
          <w:rFonts w:eastAsiaTheme="minorHAnsi" w:cstheme="minorHAnsi"/>
          <w:i/>
          <w:sz w:val="20"/>
          <w:szCs w:val="20"/>
        </w:rPr>
      </w:pPr>
      <w:r w:rsidRPr="00AF40F8">
        <w:rPr>
          <w:rFonts w:eastAsiaTheme="minorHAnsi" w:cstheme="minorHAnsi"/>
          <w:i/>
          <w:sz w:val="20"/>
          <w:szCs w:val="20"/>
        </w:rPr>
        <w:t xml:space="preserve"> “Why </w:t>
      </w:r>
      <w:r>
        <w:rPr>
          <w:rFonts w:eastAsiaTheme="minorHAnsi" w:cstheme="minorHAnsi"/>
          <w:i/>
          <w:sz w:val="20"/>
          <w:szCs w:val="20"/>
        </w:rPr>
        <w:t xml:space="preserve">[do] </w:t>
      </w:r>
      <w:r w:rsidRPr="00AF40F8">
        <w:rPr>
          <w:rFonts w:eastAsiaTheme="minorHAnsi" w:cstheme="minorHAnsi"/>
          <w:i/>
          <w:sz w:val="20"/>
          <w:szCs w:val="20"/>
        </w:rPr>
        <w:t>governments, seeking to promote their own interests, ever comply with the rules of international regimes when they view these rules as in conflict with . . . their myopic self-interest</w:t>
      </w:r>
      <w:r>
        <w:rPr>
          <w:rFonts w:eastAsiaTheme="minorHAnsi" w:cstheme="minorHAnsi"/>
          <w:i/>
          <w:sz w:val="20"/>
          <w:szCs w:val="20"/>
        </w:rPr>
        <w:t>?</w:t>
      </w:r>
      <w:r w:rsidRPr="00AF40F8">
        <w:rPr>
          <w:rFonts w:eastAsiaTheme="minorHAnsi" w:cstheme="minorHAnsi"/>
          <w:i/>
          <w:sz w:val="20"/>
          <w:szCs w:val="20"/>
        </w:rPr>
        <w:t>” (Keohane, 1984, p. 99).</w:t>
      </w:r>
    </w:p>
    <w:p w14:paraId="4274E425" w14:textId="5657C8C3" w:rsidR="008034FF" w:rsidRDefault="008034FF" w:rsidP="008034FF">
      <w:pPr>
        <w:spacing w:line="360" w:lineRule="auto"/>
      </w:pPr>
      <w:r>
        <w:br/>
        <w:t xml:space="preserve">The citation above represents a major puzzle in the fields of political science and public administration. Governments of member states of an international regime have to act in line with international rules, adhere to international agreements or transpose policies into their domestic law. International agreements, however, are not always in line with state preferences, since they are an agreement between various states with </w:t>
      </w:r>
      <w:r w:rsidR="00661BE6">
        <w:t>different</w:t>
      </w:r>
      <w:r>
        <w:t xml:space="preserve"> interests. While member states need to comply with international rules, treaties and agreements, non-compliance might be </w:t>
      </w:r>
      <w:r w:rsidR="00661BE6">
        <w:t xml:space="preserve">tempting </w:t>
      </w:r>
      <w:r>
        <w:t xml:space="preserve">when these agreements are not in line with their preferences. </w:t>
      </w:r>
      <w:r w:rsidRPr="00E363D8">
        <w:t xml:space="preserve">Compliance is </w:t>
      </w:r>
      <w:r>
        <w:t xml:space="preserve">therefore </w:t>
      </w:r>
      <w:r w:rsidRPr="00E363D8">
        <w:t xml:space="preserve">a major concern of </w:t>
      </w:r>
      <w:r>
        <w:t xml:space="preserve">international </w:t>
      </w:r>
      <w:r w:rsidRPr="00E363D8">
        <w:t>organizations</w:t>
      </w:r>
      <w:r>
        <w:t xml:space="preserve">, such as </w:t>
      </w:r>
      <w:r w:rsidRPr="00E363D8">
        <w:t>the European Union</w:t>
      </w:r>
      <w:r>
        <w:t xml:space="preserve">. </w:t>
      </w:r>
      <w:r w:rsidRPr="00E363D8">
        <w:t xml:space="preserve">The EU spends </w:t>
      </w:r>
      <w:r>
        <w:t>much</w:t>
      </w:r>
      <w:r w:rsidRPr="00E363D8">
        <w:t xml:space="preserve"> time and money to ensure that member states </w:t>
      </w:r>
      <w:r>
        <w:t xml:space="preserve">comply with EU law </w:t>
      </w:r>
      <w:r w:rsidRPr="00E363D8">
        <w:t xml:space="preserve">(European Commission, 2011; European Commission, 2017). </w:t>
      </w:r>
    </w:p>
    <w:p w14:paraId="1961474B" w14:textId="70A95A79" w:rsidR="008034FF" w:rsidRDefault="008034FF" w:rsidP="008034FF">
      <w:pPr>
        <w:spacing w:line="360" w:lineRule="auto"/>
      </w:pPr>
      <w:r>
        <w:t xml:space="preserve">A lot of </w:t>
      </w:r>
      <w:r w:rsidRPr="00E363D8">
        <w:t xml:space="preserve">research is dedicated to explaining the degree of compliance with EU policy (e.g. Börzel, 2001; Tallberg, 2002; Mastenbroek, 2005; </w:t>
      </w:r>
      <w:proofErr w:type="spellStart"/>
      <w:r w:rsidRPr="00E363D8">
        <w:t>Angelova</w:t>
      </w:r>
      <w:proofErr w:type="spellEnd"/>
      <w:r w:rsidRPr="00E363D8">
        <w:t xml:space="preserve"> et al., 2012; Zhelyazkova et al., 2016). </w:t>
      </w:r>
      <w:r>
        <w:t xml:space="preserve">Much of the </w:t>
      </w:r>
      <w:r w:rsidRPr="00EE4395">
        <w:t>literature on compliance with EU law</w:t>
      </w:r>
      <w:r>
        <w:t>, however,</w:t>
      </w:r>
      <w:r w:rsidRPr="00EE4395">
        <w:t xml:space="preserve"> focuses on </w:t>
      </w:r>
      <w:r w:rsidR="005D7945">
        <w:t xml:space="preserve">the </w:t>
      </w:r>
      <w:r w:rsidR="00992EC0">
        <w:t>member states</w:t>
      </w:r>
      <w:r w:rsidR="00093C38">
        <w:t>’ favorability</w:t>
      </w:r>
      <w:r w:rsidR="00992EC0">
        <w:t xml:space="preserve"> with</w:t>
      </w:r>
      <w:r w:rsidR="005D7945">
        <w:t xml:space="preserve"> </w:t>
      </w:r>
      <w:r w:rsidR="00992EC0">
        <w:t>the</w:t>
      </w:r>
      <w:r w:rsidR="005D7945">
        <w:t xml:space="preserve"> outcome</w:t>
      </w:r>
      <w:r>
        <w:t xml:space="preserve"> </w:t>
      </w:r>
      <w:r w:rsidR="00992EC0">
        <w:t xml:space="preserve">of the decision-making process </w:t>
      </w:r>
      <w:r>
        <w:t xml:space="preserve">(Haas, 1998; </w:t>
      </w:r>
      <w:proofErr w:type="spellStart"/>
      <w:r>
        <w:t>Underdal</w:t>
      </w:r>
      <w:proofErr w:type="spellEnd"/>
      <w:r>
        <w:t>, 1998</w:t>
      </w:r>
      <w:r w:rsidRPr="00EE4395">
        <w:t>). The degree of compliance is</w:t>
      </w:r>
      <w:r>
        <w:t xml:space="preserve"> often</w:t>
      </w:r>
      <w:r w:rsidRPr="00EE4395">
        <w:t xml:space="preserve"> explained by the stance of a country towards </w:t>
      </w:r>
      <w:r>
        <w:t xml:space="preserve">a policy or law (a directive or regulation in the case of the EU) </w:t>
      </w:r>
      <w:r w:rsidRPr="00EE4395">
        <w:t xml:space="preserve">or by the instrumental ability of a member state to comply with the policy (Tallberg, 2002). However, less attention is dedicated to a third aspect: legitimacy. </w:t>
      </w:r>
      <w:r w:rsidR="00093C38">
        <w:t>In as far as</w:t>
      </w:r>
      <w:r>
        <w:t xml:space="preserve"> legitimacy is considered</w:t>
      </w:r>
      <w:r w:rsidR="00661BE6">
        <w:t xml:space="preserve"> as a factor</w:t>
      </w:r>
      <w:r>
        <w:t xml:space="preserve">, the focus </w:t>
      </w:r>
      <w:r w:rsidR="00661BE6">
        <w:t>tends to be</w:t>
      </w:r>
      <w:r>
        <w:t xml:space="preserve"> on the </w:t>
      </w:r>
      <w:r w:rsidRPr="00EE4395">
        <w:t>legitimacy a member state attach</w:t>
      </w:r>
      <w:r>
        <w:t>es</w:t>
      </w:r>
      <w:r w:rsidRPr="00EE4395">
        <w:t xml:space="preserve"> to </w:t>
      </w:r>
      <w:r>
        <w:t xml:space="preserve">a supranational organization like </w:t>
      </w:r>
      <w:r w:rsidRPr="00EE4395">
        <w:t>the European Union</w:t>
      </w:r>
      <w:r>
        <w:t xml:space="preserve"> and the effect this has on compliance</w:t>
      </w:r>
      <w:r w:rsidRPr="00EE4395">
        <w:t xml:space="preserve"> (Börzel et al., 2010). </w:t>
      </w:r>
      <w:r>
        <w:t xml:space="preserve">However, next to the legitimacy member states attach to the EU, some suggest that specific decision-making processes also have a degree of legitimacy, which could influence the degree of compliance </w:t>
      </w:r>
      <w:r w:rsidRPr="00EE4395">
        <w:t xml:space="preserve">(Grimes, 2006). If the procedure of decision-making is perceived to be </w:t>
      </w:r>
      <w:r>
        <w:t>legitimate, or has ‘procedural fairness’,</w:t>
      </w:r>
      <w:r w:rsidR="00093C38">
        <w:t xml:space="preserve"> it is argued,</w:t>
      </w:r>
      <w:r>
        <w:t xml:space="preserve"> </w:t>
      </w:r>
      <w:r w:rsidRPr="00EE4395">
        <w:t xml:space="preserve">this increases </w:t>
      </w:r>
      <w:r>
        <w:t xml:space="preserve">the legitimacy of the decision and the degree of compliance. </w:t>
      </w:r>
    </w:p>
    <w:p w14:paraId="43F8D8A5" w14:textId="77777777" w:rsidR="008034FF" w:rsidRDefault="008034FF" w:rsidP="008034FF">
      <w:pPr>
        <w:pStyle w:val="Kop4"/>
        <w:spacing w:line="360" w:lineRule="auto"/>
      </w:pPr>
      <w:r>
        <w:t>Goal of this study</w:t>
      </w:r>
    </w:p>
    <w:p w14:paraId="3C9C07F6" w14:textId="66FAB4C8" w:rsidR="008034FF" w:rsidRDefault="008034FF" w:rsidP="008034FF">
      <w:pPr>
        <w:spacing w:line="360" w:lineRule="auto"/>
      </w:pPr>
      <w:r>
        <w:t>The goal of this study is to explore the role of different decisi</w:t>
      </w:r>
      <w:r w:rsidR="00601251">
        <w:t xml:space="preserve">on-making procedures, and their degree of </w:t>
      </w:r>
      <w:r w:rsidR="00920C55">
        <w:t xml:space="preserve">procedural </w:t>
      </w:r>
      <w:r>
        <w:t>fairness</w:t>
      </w:r>
      <w:r w:rsidR="00601251">
        <w:t>,</w:t>
      </w:r>
      <w:r>
        <w:t xml:space="preserve"> in influencing the degree of compliance of EU member states with the decision taken in that decisio</w:t>
      </w:r>
      <w:r w:rsidR="00601251">
        <w:t>n-making procedure. T</w:t>
      </w:r>
      <w:r>
        <w:t xml:space="preserve">his will shed a new light on the explanation of </w:t>
      </w:r>
      <w:r w:rsidR="00093C38">
        <w:t>(</w:t>
      </w:r>
      <w:r>
        <w:t>non-</w:t>
      </w:r>
      <w:r w:rsidR="00093C38">
        <w:t>)</w:t>
      </w:r>
      <w:r>
        <w:t xml:space="preserve">compliance. The study will </w:t>
      </w:r>
      <w:r w:rsidR="005522CB">
        <w:t xml:space="preserve">investigate </w:t>
      </w:r>
      <w:r>
        <w:t xml:space="preserve">the following research question: </w:t>
      </w:r>
    </w:p>
    <w:p w14:paraId="48EA2FEC" w14:textId="77777777" w:rsidR="008034FF" w:rsidRDefault="008034FF" w:rsidP="008034FF">
      <w:pPr>
        <w:pStyle w:val="Kop4"/>
        <w:spacing w:line="360" w:lineRule="auto"/>
      </w:pPr>
      <w:r>
        <w:lastRenderedPageBreak/>
        <w:t>Research question:</w:t>
      </w:r>
    </w:p>
    <w:p w14:paraId="5B3D5C7B" w14:textId="03D594B4" w:rsidR="008034FF" w:rsidRPr="00992EC0" w:rsidRDefault="008034FF" w:rsidP="008034FF">
      <w:pPr>
        <w:spacing w:line="360" w:lineRule="auto"/>
      </w:pPr>
      <w:r>
        <w:t>To what extent does the procedural fairness of EU d</w:t>
      </w:r>
      <w:r w:rsidRPr="00992EC0">
        <w:t>ecision-making procedures affect member states’ compliance with decisions</w:t>
      </w:r>
      <w:r w:rsidR="00601251" w:rsidRPr="00992EC0">
        <w:t xml:space="preserve"> taken during that decision-making procedure</w:t>
      </w:r>
      <w:r w:rsidRPr="00992EC0">
        <w:t>?</w:t>
      </w:r>
    </w:p>
    <w:p w14:paraId="5C11BC2A" w14:textId="2C00D775" w:rsidR="008034FF" w:rsidRPr="00992EC0" w:rsidRDefault="008034FF" w:rsidP="008034FF">
      <w:pPr>
        <w:spacing w:line="360" w:lineRule="auto"/>
      </w:pPr>
      <w:r w:rsidRPr="00992EC0">
        <w:t>The sub</w:t>
      </w:r>
      <w:r w:rsidR="00093C38">
        <w:t>-</w:t>
      </w:r>
      <w:r w:rsidRPr="00992EC0">
        <w:t>questions that are sought to be answered are the following:</w:t>
      </w:r>
    </w:p>
    <w:p w14:paraId="2F6C7D29" w14:textId="130B5282" w:rsidR="008034FF" w:rsidRPr="00992EC0" w:rsidRDefault="008034FF" w:rsidP="008034FF">
      <w:pPr>
        <w:pStyle w:val="Lijstalinea"/>
        <w:numPr>
          <w:ilvl w:val="0"/>
          <w:numId w:val="13"/>
        </w:numPr>
        <w:spacing w:line="360" w:lineRule="auto"/>
      </w:pPr>
      <w:r w:rsidRPr="00992EC0">
        <w:t>What is the current state of the art in</w:t>
      </w:r>
      <w:r w:rsidR="00953685" w:rsidRPr="00992EC0">
        <w:t xml:space="preserve"> </w:t>
      </w:r>
      <w:r w:rsidR="00093C38">
        <w:t xml:space="preserve">EU </w:t>
      </w:r>
      <w:r w:rsidRPr="00992EC0">
        <w:t>compliance literature?</w:t>
      </w:r>
    </w:p>
    <w:p w14:paraId="700A68EE" w14:textId="77777777" w:rsidR="008034FF" w:rsidRPr="00992EC0" w:rsidRDefault="008034FF" w:rsidP="008034FF">
      <w:pPr>
        <w:pStyle w:val="Lijstalinea"/>
        <w:numPr>
          <w:ilvl w:val="0"/>
          <w:numId w:val="13"/>
        </w:numPr>
        <w:spacing w:line="360" w:lineRule="auto"/>
      </w:pPr>
      <w:r w:rsidRPr="00992EC0">
        <w:t>What does one mean by ‘procedural fairness’?</w:t>
      </w:r>
    </w:p>
    <w:p w14:paraId="5A6866E6" w14:textId="77777777" w:rsidR="008034FF" w:rsidRPr="00992EC0" w:rsidRDefault="008034FF" w:rsidP="008034FF">
      <w:pPr>
        <w:pStyle w:val="Lijstalinea"/>
        <w:numPr>
          <w:ilvl w:val="0"/>
          <w:numId w:val="13"/>
        </w:numPr>
        <w:spacing w:line="360" w:lineRule="auto"/>
      </w:pPr>
      <w:r w:rsidRPr="00992EC0">
        <w:t>Which hypotheses can be formulated about how procedural fairness affects compliance?</w:t>
      </w:r>
    </w:p>
    <w:p w14:paraId="724069E2" w14:textId="76185447" w:rsidR="008034FF" w:rsidRPr="00992EC0" w:rsidRDefault="008034FF" w:rsidP="008034FF">
      <w:pPr>
        <w:pStyle w:val="Lijstalinea"/>
        <w:numPr>
          <w:ilvl w:val="0"/>
          <w:numId w:val="13"/>
        </w:numPr>
        <w:spacing w:line="360" w:lineRule="auto"/>
      </w:pPr>
      <w:r w:rsidRPr="00992EC0">
        <w:t>How can compliance and procedural fairness be operationalized and measured?</w:t>
      </w:r>
    </w:p>
    <w:p w14:paraId="1E6629A5" w14:textId="3D755C65" w:rsidR="00601251" w:rsidRPr="00920C55" w:rsidRDefault="00601251" w:rsidP="008034FF">
      <w:pPr>
        <w:pStyle w:val="Lijstalinea"/>
        <w:numPr>
          <w:ilvl w:val="0"/>
          <w:numId w:val="13"/>
        </w:numPr>
        <w:spacing w:line="360" w:lineRule="auto"/>
        <w:rPr>
          <w:color w:val="FF0000"/>
        </w:rPr>
      </w:pPr>
      <w:r w:rsidRPr="00992EC0">
        <w:t>To</w:t>
      </w:r>
      <w:r w:rsidR="00093C38">
        <w:t>o</w:t>
      </w:r>
      <w:r w:rsidRPr="00992EC0">
        <w:t xml:space="preserve"> what exten</w:t>
      </w:r>
      <w:r w:rsidR="002310F9" w:rsidRPr="00992EC0">
        <w:t>t</w:t>
      </w:r>
      <w:r w:rsidRPr="00992EC0">
        <w:t xml:space="preserve"> can </w:t>
      </w:r>
      <w:r w:rsidR="00093C38">
        <w:t xml:space="preserve">the </w:t>
      </w:r>
      <w:r w:rsidRPr="00992EC0">
        <w:t>hypotheses be falsified?</w:t>
      </w:r>
      <w:r w:rsidRPr="00920C55">
        <w:rPr>
          <w:color w:val="FF0000"/>
        </w:rPr>
        <w:t xml:space="preserve"> </w:t>
      </w:r>
    </w:p>
    <w:p w14:paraId="2C2AE542" w14:textId="77777777" w:rsidR="008034FF" w:rsidRDefault="008034FF" w:rsidP="008034FF">
      <w:pPr>
        <w:pStyle w:val="Kop3"/>
        <w:numPr>
          <w:ilvl w:val="1"/>
          <w:numId w:val="37"/>
        </w:numPr>
        <w:spacing w:line="360" w:lineRule="auto"/>
      </w:pPr>
      <w:bookmarkStart w:id="3" w:name="_Toc3547828"/>
      <w:r>
        <w:t>Research design</w:t>
      </w:r>
      <w:bookmarkEnd w:id="3"/>
      <w:r>
        <w:t xml:space="preserve"> </w:t>
      </w:r>
    </w:p>
    <w:p w14:paraId="04A9ED05" w14:textId="5A666382" w:rsidR="008034FF" w:rsidRDefault="008034FF" w:rsidP="008034FF">
      <w:pPr>
        <w:spacing w:line="360" w:lineRule="auto"/>
      </w:pPr>
      <w:r>
        <w:t xml:space="preserve">In the theoretical part of the thesis, </w:t>
      </w:r>
      <w:r w:rsidR="00093C38">
        <w:t xml:space="preserve">EU </w:t>
      </w:r>
      <w:r>
        <w:t>compliance literature will be extensively discussed. The focus will be on the legitimacy aspect of compliance literature. The theory section will also contain a discussion of procedural fairness theory. In order to have a broad view on the theory on decision acceptance,</w:t>
      </w:r>
      <w:r w:rsidRPr="00E74E71">
        <w:t xml:space="preserve"> </w:t>
      </w:r>
      <w:r>
        <w:t xml:space="preserve">the outcome favorability theory is explained as well. </w:t>
      </w:r>
    </w:p>
    <w:p w14:paraId="05F69CB5" w14:textId="7AE60001" w:rsidR="008034FF" w:rsidRPr="003D0B01" w:rsidRDefault="008034FF" w:rsidP="008034FF">
      <w:pPr>
        <w:spacing w:line="360" w:lineRule="auto"/>
      </w:pPr>
      <w:r>
        <w:t xml:space="preserve">To answer the research question, a quantitative approach </w:t>
      </w:r>
      <w:r w:rsidR="002B0030">
        <w:t xml:space="preserve">has been </w:t>
      </w:r>
      <w:r>
        <w:t>chosen in this study</w:t>
      </w:r>
      <w:r w:rsidR="002B0030">
        <w:t xml:space="preserve">, </w:t>
      </w:r>
      <w:r>
        <w:t>using statistical analysis. The degree of compliance, as measured by the stage of a so-called EU infringement procedure, is the dependent variable. Legal compliance is chosen as the unit of analysis, since practical compliance is often difficult to measure and time-consuming, for example when many directives have to be analyzed. Procedural fairness is the independent variable. It is measured through the number of times a proposal is discussed in the Council or preparatory bodies, whether or not a public consultation took place and which type of consultation was used, and the average weighting of votes of opposing member states in the Council.</w:t>
      </w:r>
      <w:r w:rsidR="00093C38">
        <w:t xml:space="preserve"> Various control variables are also included in the analysis. </w:t>
      </w:r>
      <w:r>
        <w:t xml:space="preserve"> </w:t>
      </w:r>
    </w:p>
    <w:p w14:paraId="60E66E98" w14:textId="77777777" w:rsidR="008034FF" w:rsidRDefault="008034FF" w:rsidP="008034FF">
      <w:pPr>
        <w:pStyle w:val="Kop3"/>
        <w:spacing w:line="360" w:lineRule="auto"/>
      </w:pPr>
      <w:bookmarkStart w:id="4" w:name="_Toc3547829"/>
      <w:r>
        <w:t>1.2 Academic and societal relevance</w:t>
      </w:r>
      <w:bookmarkEnd w:id="4"/>
      <w:r>
        <w:t xml:space="preserve"> </w:t>
      </w:r>
    </w:p>
    <w:p w14:paraId="2C7B6EFB" w14:textId="70216046" w:rsidR="00E40EFD" w:rsidRDefault="008034FF" w:rsidP="008034FF">
      <w:pPr>
        <w:spacing w:line="360" w:lineRule="auto"/>
      </w:pPr>
      <w:r>
        <w:t>The</w:t>
      </w:r>
      <w:r w:rsidRPr="00EE4395">
        <w:t xml:space="preserve"> European Union has been subject of many </w:t>
      </w:r>
      <w:r w:rsidR="00093C38">
        <w:t xml:space="preserve">studies </w:t>
      </w:r>
      <w:r w:rsidRPr="00EE4395">
        <w:t>on compliance (</w:t>
      </w:r>
      <w:r>
        <w:t xml:space="preserve">e.g. </w:t>
      </w:r>
      <w:r w:rsidRPr="00EE4395">
        <w:t xml:space="preserve">Tallberg, 2002; Mastenbroek, 2005; </w:t>
      </w:r>
      <w:proofErr w:type="spellStart"/>
      <w:r w:rsidRPr="00EE4395">
        <w:t>Angelova</w:t>
      </w:r>
      <w:proofErr w:type="spellEnd"/>
      <w:r w:rsidRPr="00EE4395">
        <w:t>, 2012; Zhelyazkova et al., 2016). The E</w:t>
      </w:r>
      <w:r>
        <w:t>U</w:t>
      </w:r>
      <w:r w:rsidRPr="00EE4395">
        <w:t xml:space="preserve"> produces a notable amount of </w:t>
      </w:r>
      <w:r>
        <w:t>legislation that must be implemented at the member state level.</w:t>
      </w:r>
      <w:r w:rsidRPr="00EE4395">
        <w:t xml:space="preserve"> Some compliance theories focus on the ability of a member state to comply (Huber and McCarthy, 2004; Kaeding, 2008; </w:t>
      </w:r>
      <w:r>
        <w:t>Toshkov, 2008). Non-</w:t>
      </w:r>
      <w:r w:rsidRPr="00EE4395">
        <w:t>compliance with EU policy is caused by a lack of competences of the member state.</w:t>
      </w:r>
      <w:r w:rsidR="00093C38">
        <w:t xml:space="preserve"> </w:t>
      </w:r>
      <w:r>
        <w:t>B</w:t>
      </w:r>
      <w:r w:rsidRPr="00EE4395">
        <w:t xml:space="preserve">ut, there are more </w:t>
      </w:r>
      <w:r>
        <w:t>explanations for</w:t>
      </w:r>
      <w:r w:rsidRPr="00EE4395">
        <w:t xml:space="preserve"> non-compliance. Some scholars suggest that member states do not comply deliberately, because the policy is not in their advant</w:t>
      </w:r>
      <w:r>
        <w:t xml:space="preserve">age (Börzel et al., 2010). </w:t>
      </w:r>
      <w:r w:rsidRPr="00EE4395">
        <w:t xml:space="preserve">However, the third type of </w:t>
      </w:r>
      <w:r>
        <w:t xml:space="preserve">explanations for </w:t>
      </w:r>
      <w:r w:rsidRPr="00EE4395">
        <w:t xml:space="preserve">non-compliance is as important. Member states may also not comply with a </w:t>
      </w:r>
      <w:r w:rsidRPr="00EE4395">
        <w:lastRenderedPageBreak/>
        <w:t>decision because the legitimacy of the European Union is questioned (Börzel et al., 2010).</w:t>
      </w:r>
      <w:r w:rsidR="00E40EFD">
        <w:t xml:space="preserve"> </w:t>
      </w:r>
      <w:r>
        <w:t>The legitimacy of EU decision-making procedures</w:t>
      </w:r>
      <w:r w:rsidR="00093C38">
        <w:t>, so far,</w:t>
      </w:r>
      <w:r>
        <w:t xml:space="preserve"> is related to the overall legitimacy of the EU. Research</w:t>
      </w:r>
      <w:r w:rsidR="00093C38">
        <w:t>, however,</w:t>
      </w:r>
      <w:r>
        <w:t xml:space="preserve"> show</w:t>
      </w:r>
      <w:r w:rsidR="00093C38">
        <w:t>s</w:t>
      </w:r>
      <w:r>
        <w:t xml:space="preserve"> that fair procedures can </w:t>
      </w:r>
      <w:r w:rsidR="00093C38">
        <w:t xml:space="preserve">also </w:t>
      </w:r>
      <w:r>
        <w:t xml:space="preserve">build institutional legitimacy (Hibbing and </w:t>
      </w:r>
      <w:proofErr w:type="spellStart"/>
      <w:r>
        <w:t>Theis</w:t>
      </w:r>
      <w:proofErr w:type="spellEnd"/>
      <w:r>
        <w:t xml:space="preserve">-Morse, 2001; Grimes, 2006). This has </w:t>
      </w:r>
      <w:r w:rsidR="00480762">
        <w:t>been overlooked in</w:t>
      </w:r>
      <w:r>
        <w:t xml:space="preserve"> compliance literature</w:t>
      </w:r>
      <w:r w:rsidR="00E40EFD">
        <w:t xml:space="preserve"> and makes this study relevant to the literature on EU compliance. </w:t>
      </w:r>
      <w:r>
        <w:t xml:space="preserve"> </w:t>
      </w:r>
    </w:p>
    <w:p w14:paraId="080D29B9" w14:textId="4B775F5B" w:rsidR="008034FF" w:rsidRPr="0017083A" w:rsidRDefault="008034FF" w:rsidP="008034FF">
      <w:pPr>
        <w:spacing w:line="360" w:lineRule="auto"/>
        <w:rPr>
          <w:rFonts w:cstheme="minorHAnsi"/>
        </w:rPr>
      </w:pPr>
      <w:r>
        <w:t xml:space="preserve">The </w:t>
      </w:r>
      <w:r w:rsidRPr="0017083A">
        <w:rPr>
          <w:rFonts w:cstheme="minorHAnsi"/>
        </w:rPr>
        <w:t xml:space="preserve">EU may be able to enhance its legitimacy for national governments by making decision-making procedures more ‘fair’. For the EU, a study </w:t>
      </w:r>
      <w:r w:rsidR="00480762">
        <w:rPr>
          <w:rFonts w:cstheme="minorHAnsi"/>
        </w:rPr>
        <w:t>in</w:t>
      </w:r>
      <w:r w:rsidRPr="0017083A">
        <w:rPr>
          <w:rFonts w:cstheme="minorHAnsi"/>
        </w:rPr>
        <w:t>to procedural fairness in relation to compliance may be of much added value</w:t>
      </w:r>
      <w:r w:rsidR="00480762">
        <w:rPr>
          <w:rFonts w:cstheme="minorHAnsi"/>
        </w:rPr>
        <w:t>,</w:t>
      </w:r>
      <w:r w:rsidRPr="0017083A">
        <w:rPr>
          <w:rFonts w:cstheme="minorHAnsi"/>
        </w:rPr>
        <w:t xml:space="preserve"> and is therefore</w:t>
      </w:r>
      <w:r>
        <w:rPr>
          <w:rFonts w:cstheme="minorHAnsi"/>
        </w:rPr>
        <w:t xml:space="preserve"> societal</w:t>
      </w:r>
      <w:r w:rsidR="00480762">
        <w:rPr>
          <w:rFonts w:cstheme="minorHAnsi"/>
        </w:rPr>
        <w:t>ly</w:t>
      </w:r>
      <w:r>
        <w:rPr>
          <w:rFonts w:cstheme="minorHAnsi"/>
        </w:rPr>
        <w:t xml:space="preserve"> </w:t>
      </w:r>
      <w:r w:rsidRPr="0017083A">
        <w:rPr>
          <w:rFonts w:cstheme="minorHAnsi"/>
        </w:rPr>
        <w:t xml:space="preserve">relevant. </w:t>
      </w:r>
      <w:r w:rsidRPr="0017083A">
        <w:rPr>
          <w:rFonts w:cstheme="minorHAnsi"/>
          <w:bdr w:val="none" w:sz="0" w:space="0" w:color="auto" w:frame="1"/>
        </w:rPr>
        <w:t xml:space="preserve">In times where the legitimacy of the EU is often questioned, research into the effects of perceived legitimacy as a reason for non-compliance is also socially relevant. Recent research showed that 48% on the </w:t>
      </w:r>
      <w:r w:rsidR="00992EC0">
        <w:rPr>
          <w:rFonts w:cstheme="minorHAnsi"/>
          <w:bdr w:val="none" w:sz="0" w:space="0" w:color="auto" w:frame="1"/>
        </w:rPr>
        <w:t xml:space="preserve">European </w:t>
      </w:r>
      <w:r w:rsidRPr="0017083A">
        <w:rPr>
          <w:rFonts w:cstheme="minorHAnsi"/>
          <w:bdr w:val="none" w:sz="0" w:space="0" w:color="auto" w:frame="1"/>
        </w:rPr>
        <w:t xml:space="preserve">population tends to mistrust the EU (Eurobarometer, 2018). If the governments do not think procedures are fair and therefore fall into non-compliance, this sentiment can trickle down to the population. Moreover, procedures can build </w:t>
      </w:r>
      <w:r w:rsidR="000F0A97">
        <w:rPr>
          <w:rFonts w:cstheme="minorHAnsi"/>
          <w:bdr w:val="none" w:sz="0" w:space="0" w:color="auto" w:frame="1"/>
        </w:rPr>
        <w:t xml:space="preserve">the </w:t>
      </w:r>
      <w:r w:rsidRPr="0017083A">
        <w:rPr>
          <w:rFonts w:cstheme="minorHAnsi"/>
          <w:bdr w:val="none" w:sz="0" w:space="0" w:color="auto" w:frame="1"/>
        </w:rPr>
        <w:t>legitimac</w:t>
      </w:r>
      <w:r>
        <w:rPr>
          <w:rFonts w:cstheme="minorHAnsi"/>
          <w:bdr w:val="none" w:sz="0" w:space="0" w:color="auto" w:frame="1"/>
        </w:rPr>
        <w:t>y of institutions (Grimes, 2006</w:t>
      </w:r>
      <w:r w:rsidRPr="0017083A">
        <w:rPr>
          <w:rFonts w:cstheme="minorHAnsi"/>
          <w:bdr w:val="none" w:sz="0" w:space="0" w:color="auto" w:frame="1"/>
        </w:rPr>
        <w:t xml:space="preserve">). Although this </w:t>
      </w:r>
      <w:r w:rsidR="000F0A97">
        <w:rPr>
          <w:rFonts w:cstheme="minorHAnsi"/>
          <w:bdr w:val="none" w:sz="0" w:space="0" w:color="auto" w:frame="1"/>
        </w:rPr>
        <w:t>study</w:t>
      </w:r>
      <w:r w:rsidRPr="0017083A">
        <w:rPr>
          <w:rFonts w:cstheme="minorHAnsi"/>
          <w:bdr w:val="none" w:sz="0" w:space="0" w:color="auto" w:frame="1"/>
        </w:rPr>
        <w:t xml:space="preserve"> focuses on explaining (non-)compliance of states, the results could indicate that the effects of perceived legitimacy of procedures </w:t>
      </w:r>
      <w:r w:rsidR="000F0A97">
        <w:rPr>
          <w:rFonts w:cstheme="minorHAnsi"/>
          <w:bdr w:val="none" w:sz="0" w:space="0" w:color="auto" w:frame="1"/>
        </w:rPr>
        <w:t xml:space="preserve">on the acceptance of </w:t>
      </w:r>
      <w:r w:rsidRPr="0017083A">
        <w:rPr>
          <w:rFonts w:cstheme="minorHAnsi"/>
          <w:bdr w:val="none" w:sz="0" w:space="0" w:color="auto" w:frame="1"/>
        </w:rPr>
        <w:t xml:space="preserve">EU decisions, </w:t>
      </w:r>
      <w:r w:rsidR="000F0A97">
        <w:rPr>
          <w:rFonts w:cstheme="minorHAnsi"/>
          <w:bdr w:val="none" w:sz="0" w:space="0" w:color="auto" w:frame="1"/>
        </w:rPr>
        <w:t>extend further</w:t>
      </w:r>
      <w:r w:rsidRPr="0017083A">
        <w:rPr>
          <w:rFonts w:cstheme="minorHAnsi"/>
          <w:bdr w:val="none" w:sz="0" w:space="0" w:color="auto" w:frame="1"/>
        </w:rPr>
        <w:t xml:space="preserve"> than</w:t>
      </w:r>
      <w:r w:rsidR="000F0A97">
        <w:rPr>
          <w:rFonts w:cstheme="minorHAnsi"/>
          <w:bdr w:val="none" w:sz="0" w:space="0" w:color="auto" w:frame="1"/>
        </w:rPr>
        <w:t xml:space="preserve"> to </w:t>
      </w:r>
      <w:r w:rsidRPr="0017083A">
        <w:rPr>
          <w:rFonts w:cstheme="minorHAnsi"/>
          <w:bdr w:val="none" w:sz="0" w:space="0" w:color="auto" w:frame="1"/>
        </w:rPr>
        <w:t xml:space="preserve">governments alone and may offer a starting point for </w:t>
      </w:r>
      <w:r w:rsidR="000F0A97">
        <w:rPr>
          <w:rFonts w:cstheme="minorHAnsi"/>
          <w:bdr w:val="none" w:sz="0" w:space="0" w:color="auto" w:frame="1"/>
        </w:rPr>
        <w:t>counteracting</w:t>
      </w:r>
      <w:r w:rsidRPr="0017083A">
        <w:rPr>
          <w:rFonts w:cstheme="minorHAnsi"/>
          <w:bdr w:val="none" w:sz="0" w:space="0" w:color="auto" w:frame="1"/>
        </w:rPr>
        <w:t xml:space="preserve"> </w:t>
      </w:r>
      <w:r w:rsidR="000F0A97">
        <w:rPr>
          <w:rFonts w:cstheme="minorHAnsi"/>
          <w:bdr w:val="none" w:sz="0" w:space="0" w:color="auto" w:frame="1"/>
        </w:rPr>
        <w:t xml:space="preserve">EU citizens’ distrust in the union. </w:t>
      </w:r>
    </w:p>
    <w:p w14:paraId="7C064DDC" w14:textId="24E4EE4C" w:rsidR="008034FF" w:rsidRDefault="008034FF" w:rsidP="008034FF">
      <w:pPr>
        <w:spacing w:line="360" w:lineRule="auto"/>
      </w:pPr>
      <w:r w:rsidRPr="0017083A">
        <w:rPr>
          <w:rFonts w:cstheme="minorHAnsi"/>
        </w:rPr>
        <w:t xml:space="preserve">To summarize, </w:t>
      </w:r>
      <w:r>
        <w:rPr>
          <w:rFonts w:cstheme="minorHAnsi"/>
        </w:rPr>
        <w:t>there is current</w:t>
      </w:r>
      <w:r w:rsidR="000F0A97">
        <w:rPr>
          <w:rFonts w:cstheme="minorHAnsi"/>
        </w:rPr>
        <w:t>ly a</w:t>
      </w:r>
      <w:r>
        <w:rPr>
          <w:rFonts w:cstheme="minorHAnsi"/>
        </w:rPr>
        <w:t xml:space="preserve"> gap in compliance literature; </w:t>
      </w:r>
      <w:r w:rsidR="000F0A97">
        <w:rPr>
          <w:rFonts w:cstheme="minorHAnsi"/>
        </w:rPr>
        <w:t xml:space="preserve">no </w:t>
      </w:r>
      <w:r>
        <w:rPr>
          <w:rFonts w:cstheme="minorHAnsi"/>
        </w:rPr>
        <w:t xml:space="preserve">thorough study </w:t>
      </w:r>
      <w:r w:rsidR="000F0A97">
        <w:rPr>
          <w:rFonts w:cstheme="minorHAnsi"/>
        </w:rPr>
        <w:t>in</w:t>
      </w:r>
      <w:r>
        <w:rPr>
          <w:rFonts w:cstheme="minorHAnsi"/>
        </w:rPr>
        <w:t xml:space="preserve">to the influence of procedural fairness on compliance </w:t>
      </w:r>
      <w:r w:rsidR="000F0A97">
        <w:rPr>
          <w:rFonts w:cstheme="minorHAnsi"/>
        </w:rPr>
        <w:t>has been undertaken</w:t>
      </w:r>
      <w:r>
        <w:rPr>
          <w:rFonts w:cstheme="minorHAnsi"/>
        </w:rPr>
        <w:t>.</w:t>
      </w:r>
      <w:r w:rsidRPr="0017083A">
        <w:rPr>
          <w:rFonts w:cstheme="minorHAnsi"/>
        </w:rPr>
        <w:t xml:space="preserve"> </w:t>
      </w:r>
      <w:r>
        <w:rPr>
          <w:rFonts w:cstheme="minorHAnsi"/>
        </w:rPr>
        <w:t>T</w:t>
      </w:r>
      <w:r w:rsidRPr="0017083A">
        <w:rPr>
          <w:rFonts w:cstheme="minorHAnsi"/>
        </w:rPr>
        <w:t>his study enriches the compliance literature by adding and testing possible additional explanations for (non-</w:t>
      </w:r>
      <w:r>
        <w:rPr>
          <w:rFonts w:cstheme="minorHAnsi"/>
        </w:rPr>
        <w:t xml:space="preserve">)compliance. </w:t>
      </w:r>
      <w:r w:rsidRPr="0017083A">
        <w:rPr>
          <w:rFonts w:cstheme="minorHAnsi"/>
        </w:rPr>
        <w:t>This will lead to a better understanding of the reasons for (non-)compliance, f</w:t>
      </w:r>
      <w:r w:rsidRPr="00992EC0">
        <w:rPr>
          <w:rFonts w:cstheme="minorHAnsi"/>
        </w:rPr>
        <w:t xml:space="preserve">or example by member states of the EU. This is the scientific relevance of this study. The societal relevance of this study lays in the </w:t>
      </w:r>
      <w:r w:rsidR="00992EC0" w:rsidRPr="00992EC0">
        <w:rPr>
          <w:rFonts w:cstheme="minorHAnsi"/>
        </w:rPr>
        <w:t>idea</w:t>
      </w:r>
      <w:r w:rsidRPr="00992EC0">
        <w:rPr>
          <w:rFonts w:cstheme="minorHAnsi"/>
        </w:rPr>
        <w:t xml:space="preserve"> that when the reasons for (non-)compliance</w:t>
      </w:r>
      <w:r w:rsidR="00C71CC8" w:rsidRPr="00992EC0">
        <w:rPr>
          <w:rFonts w:cstheme="minorHAnsi"/>
        </w:rPr>
        <w:t xml:space="preserve"> are</w:t>
      </w:r>
      <w:r w:rsidRPr="00992EC0">
        <w:rPr>
          <w:rFonts w:cstheme="minorHAnsi"/>
        </w:rPr>
        <w:t xml:space="preserve"> better</w:t>
      </w:r>
      <w:r w:rsidR="00C71CC8" w:rsidRPr="00992EC0">
        <w:rPr>
          <w:rFonts w:cstheme="minorHAnsi"/>
        </w:rPr>
        <w:t xml:space="preserve"> understood</w:t>
      </w:r>
      <w:r w:rsidRPr="00992EC0">
        <w:rPr>
          <w:rFonts w:cstheme="minorHAnsi"/>
        </w:rPr>
        <w:t xml:space="preserve">, </w:t>
      </w:r>
      <w:r w:rsidR="00C71CC8" w:rsidRPr="00992EC0">
        <w:rPr>
          <w:rFonts w:cstheme="minorHAnsi"/>
        </w:rPr>
        <w:t>measures</w:t>
      </w:r>
      <w:r w:rsidRPr="00992EC0">
        <w:rPr>
          <w:rFonts w:cstheme="minorHAnsi"/>
        </w:rPr>
        <w:t xml:space="preserve"> to increase compliance</w:t>
      </w:r>
      <w:r w:rsidR="00C71CC8" w:rsidRPr="00992EC0">
        <w:rPr>
          <w:rFonts w:cstheme="minorHAnsi"/>
        </w:rPr>
        <w:t xml:space="preserve"> can be taken</w:t>
      </w:r>
      <w:r w:rsidRPr="00992EC0">
        <w:rPr>
          <w:rFonts w:ascii="Calibri" w:hAnsi="Calibri" w:cs="Calibri"/>
        </w:rPr>
        <w:t>.</w:t>
      </w:r>
      <w:r w:rsidRPr="00992EC0">
        <w:t xml:space="preserve"> Reasons for mistrust in the EU might also be found.</w:t>
      </w:r>
      <w:r>
        <w:t xml:space="preserve"> </w:t>
      </w:r>
    </w:p>
    <w:p w14:paraId="18E5DED8" w14:textId="77777777" w:rsidR="008034FF" w:rsidRDefault="008034FF" w:rsidP="008034FF">
      <w:pPr>
        <w:pStyle w:val="Kop3"/>
        <w:spacing w:line="360" w:lineRule="auto"/>
      </w:pPr>
      <w:bookmarkStart w:id="5" w:name="_Toc3547830"/>
      <w:r>
        <w:t>1.3 Structure of the thesis</w:t>
      </w:r>
      <w:bookmarkEnd w:id="5"/>
    </w:p>
    <w:p w14:paraId="45A2C9ED" w14:textId="53EBFA5B" w:rsidR="008034FF" w:rsidRPr="005A6D6B" w:rsidRDefault="008034FF" w:rsidP="008034FF">
      <w:pPr>
        <w:spacing w:line="360" w:lineRule="auto"/>
      </w:pPr>
      <w:r w:rsidRPr="005A6D6B">
        <w:t xml:space="preserve">This thesis will be structured as follows. </w:t>
      </w:r>
      <w:r w:rsidR="00C71CC8">
        <w:t>Following th</w:t>
      </w:r>
      <w:r w:rsidR="00992EC0">
        <w:t>is</w:t>
      </w:r>
      <w:r w:rsidRPr="005A6D6B">
        <w:t xml:space="preserve"> introduction, compliance literature will be extensively discussed in chapter two, with an emphasis on legitimacy theory. The concepts of outcome favorability and procedural fairness will also be discussed</w:t>
      </w:r>
      <w:r w:rsidR="00992EC0">
        <w:t xml:space="preserve"> and h</w:t>
      </w:r>
      <w:r w:rsidRPr="005A6D6B">
        <w:t xml:space="preserve">ypotheses are formulated in chapter two. In the third chapter, the used statistical methods of regression analysis and Mann-Whitney test will be explained and hypothesis and variables at play are described. The analysis will take place in the fourth chapter. Finally, in the fifth chapter, conclusions will be drawn. </w:t>
      </w:r>
      <w:r w:rsidR="009F57C1">
        <w:t>E</w:t>
      </w:r>
      <w:r w:rsidRPr="005A6D6B">
        <w:t>xplanations for the results</w:t>
      </w:r>
      <w:r w:rsidR="009F57C1">
        <w:t xml:space="preserve"> will be elaborated upon</w:t>
      </w:r>
      <w:r w:rsidRPr="005A6D6B">
        <w:t xml:space="preserve">, the research quality </w:t>
      </w:r>
      <w:r w:rsidR="009F57C1">
        <w:t xml:space="preserve">reflected on, </w:t>
      </w:r>
      <w:r w:rsidRPr="005A6D6B">
        <w:t xml:space="preserve">and recommendations for future research provided. </w:t>
      </w:r>
    </w:p>
    <w:p w14:paraId="6E0BE452" w14:textId="77777777" w:rsidR="00992EC0" w:rsidRDefault="00992EC0">
      <w:pPr>
        <w:rPr>
          <w:rFonts w:asciiTheme="majorHAnsi" w:eastAsiaTheme="majorEastAsia" w:hAnsiTheme="majorHAnsi" w:cstheme="majorBidi"/>
          <w:color w:val="2E74B5" w:themeColor="accent1" w:themeShade="BF"/>
          <w:sz w:val="32"/>
          <w:szCs w:val="32"/>
        </w:rPr>
      </w:pPr>
      <w:r>
        <w:br w:type="page"/>
      </w:r>
    </w:p>
    <w:p w14:paraId="7F36212D" w14:textId="1D129C89" w:rsidR="00654486" w:rsidRDefault="00654486" w:rsidP="00654486">
      <w:pPr>
        <w:pStyle w:val="Kop1"/>
      </w:pPr>
      <w:bookmarkStart w:id="6" w:name="_Toc3547831"/>
      <w:r>
        <w:lastRenderedPageBreak/>
        <w:t>Chapter 2 – Theory</w:t>
      </w:r>
      <w:bookmarkEnd w:id="6"/>
      <w:r>
        <w:br/>
      </w:r>
    </w:p>
    <w:p w14:paraId="571D5C91" w14:textId="06509702" w:rsidR="00654486" w:rsidRDefault="0057115E" w:rsidP="006945C7">
      <w:pPr>
        <w:pStyle w:val="Kop3"/>
        <w:spacing w:line="360" w:lineRule="auto"/>
      </w:pPr>
      <w:bookmarkStart w:id="7" w:name="_Toc3547832"/>
      <w:r>
        <w:t xml:space="preserve">2.1 </w:t>
      </w:r>
      <w:r w:rsidR="00654486">
        <w:t>Compliance literature</w:t>
      </w:r>
      <w:bookmarkEnd w:id="7"/>
    </w:p>
    <w:p w14:paraId="1C75144C" w14:textId="473FF21F" w:rsidR="00552CC5" w:rsidRDefault="00654486" w:rsidP="00654486">
      <w:pPr>
        <w:spacing w:line="360" w:lineRule="auto"/>
      </w:pPr>
      <w:r>
        <w:t xml:space="preserve">The literature on compliance is broad and extensive. In this thesis, the focus is on compliance related to the European Union. Mastenbroek (2005) provided an overview of </w:t>
      </w:r>
      <w:r w:rsidR="009F57C1">
        <w:t>this literature</w:t>
      </w:r>
      <w:r>
        <w:t xml:space="preserve">. This will be discussed and complemented with more recent literature on the topic. In </w:t>
      </w:r>
      <w:r w:rsidR="00803E34">
        <w:t xml:space="preserve">EU </w:t>
      </w:r>
      <w:r>
        <w:t xml:space="preserve">compliance literature and research, three waves can be distinguished: </w:t>
      </w:r>
      <w:r w:rsidR="004C7442">
        <w:t xml:space="preserve">an </w:t>
      </w:r>
      <w:r>
        <w:t>explorative</w:t>
      </w:r>
      <w:r w:rsidR="004C7442">
        <w:t xml:space="preserve"> wave</w:t>
      </w:r>
      <w:r>
        <w:t>,</w:t>
      </w:r>
      <w:r w:rsidR="004C7442">
        <w:t xml:space="preserve"> a</w:t>
      </w:r>
      <w:r>
        <w:t xml:space="preserve"> ‘goodness-of-fit’</w:t>
      </w:r>
      <w:r w:rsidR="004C7442">
        <w:t xml:space="preserve"> wave</w:t>
      </w:r>
      <w:r>
        <w:t xml:space="preserve"> and a </w:t>
      </w:r>
      <w:r w:rsidR="0078413A">
        <w:t>third</w:t>
      </w:r>
      <w:r>
        <w:t xml:space="preserve"> wave with a focus the politics of compliance. </w:t>
      </w:r>
      <w:r w:rsidR="009F57C1">
        <w:t>The most</w:t>
      </w:r>
      <w:r>
        <w:t xml:space="preserve"> recent literature</w:t>
      </w:r>
      <w:r w:rsidR="009F57C1">
        <w:t>, finally,</w:t>
      </w:r>
      <w:r>
        <w:t xml:space="preserve"> focused more on the accession of new Eastern European Member states. After a short introduction of the concept of compliance, th</w:t>
      </w:r>
      <w:r w:rsidR="004C7442">
        <w:t>e</w:t>
      </w:r>
      <w:r>
        <w:t xml:space="preserve">se waves are discussed. </w:t>
      </w:r>
    </w:p>
    <w:p w14:paraId="5298777B" w14:textId="5831E33C" w:rsidR="00654486" w:rsidRPr="005A6D6B" w:rsidRDefault="0078413A" w:rsidP="00654486">
      <w:pPr>
        <w:spacing w:line="360" w:lineRule="auto"/>
      </w:pPr>
      <w:r w:rsidRPr="005A6D6B">
        <w:t xml:space="preserve">After this discussion, </w:t>
      </w:r>
      <w:r w:rsidR="00654486" w:rsidRPr="005A6D6B">
        <w:t xml:space="preserve">various theories about the reasons for compliance </w:t>
      </w:r>
      <w:r w:rsidRPr="005A6D6B">
        <w:t>will be</w:t>
      </w:r>
      <w:r w:rsidR="00654486" w:rsidRPr="005A6D6B">
        <w:t xml:space="preserve"> discussed. The emphasis will be on the theory about legitimacy</w:t>
      </w:r>
      <w:r w:rsidR="00803E34">
        <w:t xml:space="preserve">. </w:t>
      </w:r>
      <w:r w:rsidR="00654486" w:rsidRPr="005A6D6B">
        <w:t xml:space="preserve">The concept of procedural fairness is deepened hereafter. </w:t>
      </w:r>
      <w:r w:rsidR="00C14F34" w:rsidRPr="005A6D6B">
        <w:t xml:space="preserve">EU decision-making procedures are </w:t>
      </w:r>
      <w:r w:rsidR="00BC0CA7">
        <w:t xml:space="preserve">then </w:t>
      </w:r>
      <w:r w:rsidR="00C14F34" w:rsidRPr="005A6D6B">
        <w:t>discussed, in order to translate the components of procedural fairness to the EU level.</w:t>
      </w:r>
      <w:r w:rsidR="006B45F6">
        <w:t xml:space="preserve"> The first three (sub-)hypothese</w:t>
      </w:r>
      <w:r w:rsidR="00C14F34" w:rsidRPr="005A6D6B">
        <w:t>s are formulated,</w:t>
      </w:r>
      <w:r w:rsidR="00654486" w:rsidRPr="005A6D6B">
        <w:t xml:space="preserve"> based on </w:t>
      </w:r>
      <w:r w:rsidR="00BC0CA7">
        <w:t>what will have been</w:t>
      </w:r>
      <w:r w:rsidR="00654486" w:rsidRPr="005A6D6B">
        <w:t xml:space="preserve"> discussed in this chapter. </w:t>
      </w:r>
      <w:r w:rsidR="00C14F34" w:rsidRPr="005A6D6B">
        <w:t xml:space="preserve">After having </w:t>
      </w:r>
      <w:r w:rsidR="00BC0CA7">
        <w:t>treated</w:t>
      </w:r>
      <w:r w:rsidR="00C14F34" w:rsidRPr="005A6D6B">
        <w:t xml:space="preserve"> the concept of outcome favorability, the second hypothesis is formulated. </w:t>
      </w:r>
    </w:p>
    <w:p w14:paraId="3E2C9BA6" w14:textId="0CE75682" w:rsidR="00654486" w:rsidRDefault="00654486" w:rsidP="00654486">
      <w:pPr>
        <w:spacing w:line="360" w:lineRule="auto"/>
      </w:pPr>
      <w:r>
        <w:t xml:space="preserve">European integration has </w:t>
      </w:r>
      <w:r w:rsidR="00C74051">
        <w:t>increased</w:t>
      </w:r>
      <w:r>
        <w:t xml:space="preserve"> over the past decades. Starting from a collaboration project </w:t>
      </w:r>
      <w:r w:rsidR="00BC0CA7">
        <w:t>dealing with</w:t>
      </w:r>
      <w:r>
        <w:t xml:space="preserve"> coal and steel in the 1950s, the </w:t>
      </w:r>
      <w:r w:rsidR="00C74051">
        <w:t>European community</w:t>
      </w:r>
      <w:r w:rsidR="003A4390">
        <w:t xml:space="preserve"> </w:t>
      </w:r>
      <w:r>
        <w:t xml:space="preserve">has evolved </w:t>
      </w:r>
      <w:r w:rsidR="003A4390">
        <w:t>in</w:t>
      </w:r>
      <w:r>
        <w:t>to the ‘law making machine’ as it is known nowadays.</w:t>
      </w:r>
      <w:r w:rsidR="002610BB">
        <w:t xml:space="preserve"> </w:t>
      </w:r>
      <w:r w:rsidR="00BC0CA7">
        <w:t>Whether EU laws are binding can differ</w:t>
      </w:r>
      <w:r w:rsidR="002610BB">
        <w:t xml:space="preserve">. </w:t>
      </w:r>
      <w:r w:rsidR="0078413A">
        <w:t>Regulations, decisions and</w:t>
      </w:r>
      <w:r>
        <w:t xml:space="preserve"> directives are binding.</w:t>
      </w:r>
      <w:r w:rsidR="00552CC5">
        <w:t xml:space="preserve"> When a regulation is adopted, it must be </w:t>
      </w:r>
      <w:r w:rsidR="002610BB">
        <w:t xml:space="preserve">entirely </w:t>
      </w:r>
      <w:r w:rsidR="00552CC5">
        <w:t>applied to the whole EU. A directive is a law that sets out a goal that the member state</w:t>
      </w:r>
      <w:r w:rsidR="006D48FD">
        <w:t xml:space="preserve"> must achieve</w:t>
      </w:r>
      <w:r w:rsidR="00552CC5">
        <w:t xml:space="preserve">. Member states should transpose </w:t>
      </w:r>
      <w:r w:rsidR="00803E34">
        <w:t xml:space="preserve">(legally translate) </w:t>
      </w:r>
      <w:r w:rsidR="00552CC5">
        <w:t>directives in</w:t>
      </w:r>
      <w:r w:rsidR="006D48FD">
        <w:t>to</w:t>
      </w:r>
      <w:r w:rsidR="002610BB">
        <w:t xml:space="preserve"> national law, but can determine how to achieve th</w:t>
      </w:r>
      <w:r w:rsidR="00803E34">
        <w:t>e</w:t>
      </w:r>
      <w:r w:rsidR="002610BB">
        <w:t xml:space="preserve"> goal</w:t>
      </w:r>
      <w:r w:rsidR="00803E34">
        <w:t>s in these directives</w:t>
      </w:r>
      <w:r w:rsidR="002610BB">
        <w:t xml:space="preserve"> </w:t>
      </w:r>
      <w:r w:rsidR="0078413A">
        <w:t>themselves</w:t>
      </w:r>
      <w:r w:rsidR="002610BB">
        <w:t xml:space="preserve">. </w:t>
      </w:r>
      <w:r w:rsidR="00552CC5">
        <w:t xml:space="preserve">A decision is the type of law that only applies to </w:t>
      </w:r>
      <w:r w:rsidR="002610BB">
        <w:t xml:space="preserve">and is binding for </w:t>
      </w:r>
      <w:r w:rsidR="00552CC5">
        <w:t>particular actors (for example a specific member state, or companies).</w:t>
      </w:r>
      <w:r>
        <w:t xml:space="preserve"> Recommendations </w:t>
      </w:r>
      <w:r w:rsidR="00091A04">
        <w:t>and opinions are not bi</w:t>
      </w:r>
      <w:r>
        <w:t xml:space="preserve">nding (European Union, 2018). </w:t>
      </w:r>
    </w:p>
    <w:p w14:paraId="505C13B5" w14:textId="77777777" w:rsidR="00654486" w:rsidRDefault="00654486" w:rsidP="00654486">
      <w:pPr>
        <w:pStyle w:val="Kop5"/>
        <w:spacing w:line="360" w:lineRule="auto"/>
      </w:pPr>
      <w:r>
        <w:t>Three waves</w:t>
      </w:r>
    </w:p>
    <w:p w14:paraId="776CEFE0" w14:textId="27B2AB1E" w:rsidR="00654486" w:rsidRDefault="00601251" w:rsidP="00654486">
      <w:pPr>
        <w:spacing w:line="360" w:lineRule="auto"/>
      </w:pPr>
      <w:r>
        <w:t>Compliance refers to binding EU laws</w:t>
      </w:r>
      <w:r w:rsidR="003057B2">
        <w:t xml:space="preserve">. Compliance is about implementing EU law </w:t>
      </w:r>
      <w:r w:rsidR="003057B2" w:rsidRPr="00743828">
        <w:t>in national legislation</w:t>
      </w:r>
      <w:r w:rsidR="003057B2">
        <w:t xml:space="preserve"> and execute the law properly.</w:t>
      </w:r>
      <w:r w:rsidR="008932D1">
        <w:t xml:space="preserve"> </w:t>
      </w:r>
      <w:r>
        <w:t xml:space="preserve">Member states have the option not to comply, or to comply to a lesser extent. Compliance research focuses on explaining the reasons for (non)compliance, mainly with (EU) directives (Mastenbroek, 2005). </w:t>
      </w:r>
      <w:r w:rsidR="00654486">
        <w:t>As mentioned before, compliance literature can be divided in three waves (Mastenbroek, 2005</w:t>
      </w:r>
      <w:r w:rsidR="00086939">
        <w:t>; Treib, 2014</w:t>
      </w:r>
      <w:r w:rsidR="00654486">
        <w:t>). In</w:t>
      </w:r>
      <w:r w:rsidR="003A4390">
        <w:t>itially</w:t>
      </w:r>
      <w:r w:rsidR="00654486">
        <w:t>, non-compliance was described as a ‘black hole’, which had to be explored further. The first compliance researchers aimed at analyzing the implementation of a number of directives in twelve member states (Siedentopf and Ziller, 19</w:t>
      </w:r>
      <w:r w:rsidR="00A51D9D">
        <w:t>8</w:t>
      </w:r>
      <w:r w:rsidR="00654486">
        <w:t>8)</w:t>
      </w:r>
      <w:r w:rsidR="00BC0CA7">
        <w:t xml:space="preserve">, </w:t>
      </w:r>
      <w:r w:rsidR="00BC0CA7">
        <w:lastRenderedPageBreak/>
        <w:t>being</w:t>
      </w:r>
      <w:r w:rsidR="00654486">
        <w:t xml:space="preserve"> part of </w:t>
      </w:r>
      <w:r w:rsidR="00BC0CA7">
        <w:t>the</w:t>
      </w:r>
      <w:r w:rsidR="00654486">
        <w:t xml:space="preserve"> vari</w:t>
      </w:r>
      <w:r w:rsidR="003A4390">
        <w:t>ed</w:t>
      </w:r>
      <w:r w:rsidR="00654486">
        <w:t xml:space="preserve"> group of scholars in the first wave of compliance research. The</w:t>
      </w:r>
      <w:r w:rsidR="00BC0CA7">
        <w:t>y</w:t>
      </w:r>
      <w:r w:rsidR="00654486">
        <w:t xml:space="preserve"> had backgrounds in and used literature from implementation research, international relations and legal studies (Mastenbroek, 2005). Non-compliance was mainly explained </w:t>
      </w:r>
      <w:r w:rsidR="003A4390">
        <w:t xml:space="preserve">by </w:t>
      </w:r>
      <w:r w:rsidR="00654486">
        <w:t>legal dependent variables like national constitutional characteristics, the complexity of directives, the range and complexity of existing national laws and national legal culture (Krislov et al., 1986, Collins and Earnshaw, 199</w:t>
      </w:r>
      <w:r w:rsidR="00933E1E">
        <w:t>2</w:t>
      </w:r>
      <w:r w:rsidR="00654486">
        <w:t>; Mastenbroek, 2005</w:t>
      </w:r>
      <w:r w:rsidR="00A51D9D">
        <w:t>; Treib, 2014</w:t>
      </w:r>
      <w:r w:rsidR="00654486">
        <w:t xml:space="preserve">). </w:t>
      </w:r>
      <w:r w:rsidR="000D40D1">
        <w:t>Regarding</w:t>
      </w:r>
      <w:r w:rsidR="00654486">
        <w:t xml:space="preserve"> administrative explanations, it </w:t>
      </w:r>
      <w:r w:rsidR="000D40D1">
        <w:t>is due</w:t>
      </w:r>
      <w:r w:rsidR="00654486">
        <w:t xml:space="preserve"> </w:t>
      </w:r>
      <w:r w:rsidR="003A4390">
        <w:t xml:space="preserve">to </w:t>
      </w:r>
      <w:r w:rsidR="00654486">
        <w:t>internal co-ordination problems</w:t>
      </w:r>
      <w:r w:rsidR="000D40D1">
        <w:t>, among other reasons</w:t>
      </w:r>
      <w:r w:rsidR="00654486">
        <w:t xml:space="preserve"> (Krislov et al., 1986). A lack of resources and the inefficiency of domestic institutions is another explanation (Mastenbroek, 2005). A final category </w:t>
      </w:r>
      <w:r w:rsidR="003A4390">
        <w:t xml:space="preserve">of explanations for </w:t>
      </w:r>
      <w:r w:rsidR="00654486">
        <w:t>non-compliance is the political category, with causes varying from a lack of parliamentary co-operation due to non-consulta</w:t>
      </w:r>
      <w:r w:rsidR="003A4390">
        <w:t>tion</w:t>
      </w:r>
      <w:r w:rsidR="00654486">
        <w:t xml:space="preserve"> during the decision-making process to non-complying be</w:t>
      </w:r>
      <w:r w:rsidR="000D40D1">
        <w:t xml:space="preserve">ing </w:t>
      </w:r>
      <w:r w:rsidR="00654486">
        <w:t>politically desirable (Mastenbroek, 2005). In short, this first wave was rather explorative</w:t>
      </w:r>
      <w:r w:rsidR="003A4390">
        <w:t xml:space="preserve"> and eclectic. </w:t>
      </w:r>
      <w:r w:rsidR="00654486">
        <w:t xml:space="preserve"> </w:t>
      </w:r>
    </w:p>
    <w:p w14:paraId="293B5E83" w14:textId="0B48D481" w:rsidR="00654486" w:rsidRDefault="00654486" w:rsidP="00654486">
      <w:pPr>
        <w:spacing w:line="360" w:lineRule="auto"/>
      </w:pPr>
      <w:r>
        <w:t xml:space="preserve">In the second wave of compliance literature, the goodness-of-fit hypothesis was </w:t>
      </w:r>
      <w:r w:rsidR="0078413A">
        <w:t>formulated</w:t>
      </w:r>
      <w:r>
        <w:t>. This is an influential theory</w:t>
      </w:r>
      <w:r w:rsidR="000D40D1">
        <w:t>,</w:t>
      </w:r>
      <w:r>
        <w:t xml:space="preserve"> which states that the fit – or misfit – of European laws </w:t>
      </w:r>
      <w:r w:rsidR="003A4390">
        <w:t>with</w:t>
      </w:r>
      <w:r>
        <w:t xml:space="preserve"> domestic policies determines the degree of compliance (Héritier et al., 2001; Mastenbroek, 2005). ‘</w:t>
      </w:r>
      <w:r w:rsidR="000D40D1">
        <w:t>F</w:t>
      </w:r>
      <w:r>
        <w:t>it’ in this respect</w:t>
      </w:r>
      <w:r w:rsidR="000D40D1">
        <w:t xml:space="preserve"> refers to</w:t>
      </w:r>
      <w:r>
        <w:t xml:space="preserve"> the fit between European policy requirements </w:t>
      </w:r>
      <w:r w:rsidR="003A4390">
        <w:t>and</w:t>
      </w:r>
      <w:r>
        <w:t xml:space="preserve"> the existing domestic institutions (Mastenbroek, 2005</w:t>
      </w:r>
      <w:r w:rsidR="00A51D9D">
        <w:t>; Treib, 2014</w:t>
      </w:r>
      <w:r>
        <w:t xml:space="preserve">). So, </w:t>
      </w:r>
      <w:r w:rsidR="0078413A">
        <w:t>when</w:t>
      </w:r>
      <w:r>
        <w:t xml:space="preserve"> a European directive is easy to implement in the existing institutional arrangement</w:t>
      </w:r>
      <w:r w:rsidR="006D48FD">
        <w:t>s</w:t>
      </w:r>
      <w:r>
        <w:t xml:space="preserve"> of a member state, this member state is likely to comply. If the law would cause too much implementation costs, the member state is not likely to comply. This is the rational</w:t>
      </w:r>
      <w:r w:rsidR="003A4390">
        <w:t xml:space="preserve"> choice</w:t>
      </w:r>
      <w:r>
        <w:t xml:space="preserve"> </w:t>
      </w:r>
      <w:r w:rsidR="003A4390">
        <w:t xml:space="preserve">variant </w:t>
      </w:r>
      <w:r>
        <w:t xml:space="preserve">of the goodness-of-fit hypothesis. The sociological </w:t>
      </w:r>
      <w:r w:rsidR="003A4390">
        <w:t xml:space="preserve">variant </w:t>
      </w:r>
      <w:r>
        <w:t>of the goodness-of-fit hypothesis is that adaptation also has normative</w:t>
      </w:r>
      <w:r w:rsidR="003A4390">
        <w:t xml:space="preserve"> costs</w:t>
      </w:r>
      <w:r>
        <w:t xml:space="preserve">, which determine the degree of compliance (Mastenbroek, 2005). </w:t>
      </w:r>
      <w:r w:rsidR="009527BE">
        <w:t>In that case,</w:t>
      </w:r>
      <w:r w:rsidR="00B12634">
        <w:t xml:space="preserve"> compliance is more likely when</w:t>
      </w:r>
      <w:r w:rsidR="009527BE">
        <w:t xml:space="preserve"> norms</w:t>
      </w:r>
      <w:r w:rsidR="00B12634">
        <w:t>, ideas, structures of meaning, or practices</w:t>
      </w:r>
      <w:r w:rsidR="009527BE">
        <w:t xml:space="preserve"> of an supranational organization </w:t>
      </w:r>
      <w:r w:rsidR="00B12634">
        <w:t>f</w:t>
      </w:r>
      <w:r w:rsidR="009527BE">
        <w:t>it to the norms of the member state</w:t>
      </w:r>
      <w:r w:rsidR="00B12634">
        <w:t xml:space="preserve"> (Börzel and </w:t>
      </w:r>
      <w:proofErr w:type="spellStart"/>
      <w:r w:rsidR="00B12634">
        <w:t>Risse</w:t>
      </w:r>
      <w:proofErr w:type="spellEnd"/>
      <w:r w:rsidR="00B12634">
        <w:t>, 2003).</w:t>
      </w:r>
      <w:r w:rsidR="009527BE">
        <w:t xml:space="preserve"> </w:t>
      </w:r>
      <w:r>
        <w:t>The goodness-of-fit-hypothesis generated a clear theoretical framework, whi</w:t>
      </w:r>
      <w:r w:rsidR="00091A04">
        <w:t xml:space="preserve">ch </w:t>
      </w:r>
      <w:r w:rsidR="000D40D1">
        <w:t xml:space="preserve">was </w:t>
      </w:r>
      <w:r w:rsidR="00091A04">
        <w:t>miss</w:t>
      </w:r>
      <w:r w:rsidR="000D40D1">
        <w:t>ing</w:t>
      </w:r>
      <w:r w:rsidR="00091A04">
        <w:t xml:space="preserve"> in the first wave</w:t>
      </w:r>
      <w:r>
        <w:t>. However, it turned out that this hypothesis does not always predict the outcome well</w:t>
      </w:r>
      <w:r w:rsidR="003A4390">
        <w:t xml:space="preserve"> and is too deterministic</w:t>
      </w:r>
      <w:r w:rsidR="00803E34">
        <w:t xml:space="preserve"> </w:t>
      </w:r>
      <w:r>
        <w:t xml:space="preserve">(Knill and Lenschow, 1998; Haverland, 2000). </w:t>
      </w:r>
    </w:p>
    <w:p w14:paraId="65A57E10" w14:textId="5AF67A33" w:rsidR="00654486" w:rsidRDefault="00654486" w:rsidP="00654486">
      <w:pPr>
        <w:spacing w:line="360" w:lineRule="auto"/>
      </w:pPr>
      <w:r>
        <w:t xml:space="preserve">The third wave deals with the politics of compliance. Explanations </w:t>
      </w:r>
      <w:r w:rsidR="003A4390">
        <w:t xml:space="preserve">belonging to </w:t>
      </w:r>
      <w:r>
        <w:t>this wave point more to domestic actors</w:t>
      </w:r>
      <w:r w:rsidR="003A4390">
        <w:t xml:space="preserve"> and politics</w:t>
      </w:r>
      <w:r w:rsidR="00A51D9D">
        <w:t xml:space="preserve"> (Treib, 2014)</w:t>
      </w:r>
      <w:r>
        <w:t>. The</w:t>
      </w:r>
      <w:r w:rsidR="005F5F42">
        <w:t>se</w:t>
      </w:r>
      <w:r>
        <w:t xml:space="preserve"> can use Europe, for example, to reach their own policy goals or to change the status quo (Mastenbroek, 2005). </w:t>
      </w:r>
      <w:r w:rsidR="006D48FD">
        <w:t>Another finding from the third wave is that t</w:t>
      </w:r>
      <w:r>
        <w:t xml:space="preserve">he policy context – the degree of national support –, policy salience, and international pressure </w:t>
      </w:r>
      <w:r w:rsidRPr="00992EC0">
        <w:t>matter as well (Mastenbroek, 2005).</w:t>
      </w:r>
      <w:r w:rsidR="008932D1">
        <w:t xml:space="preserve"> M</w:t>
      </w:r>
      <w:r>
        <w:t>isfits between European policy and domestic institutions can be overcome by pressures from domestic actors (</w:t>
      </w:r>
      <w:r w:rsidRPr="005B2C10">
        <w:rPr>
          <w:shd w:val="clear" w:color="auto" w:fill="FFFFFF"/>
        </w:rPr>
        <w:t>Börzel</w:t>
      </w:r>
      <w:r>
        <w:t xml:space="preserve">, 2003). </w:t>
      </w:r>
    </w:p>
    <w:p w14:paraId="18E207AD" w14:textId="719B644A" w:rsidR="00654486" w:rsidRDefault="00654486" w:rsidP="00654486">
      <w:pPr>
        <w:spacing w:line="360" w:lineRule="auto"/>
      </w:pPr>
      <w:r>
        <w:lastRenderedPageBreak/>
        <w:t>It c</w:t>
      </w:r>
      <w:r w:rsidR="00A71B40">
        <w:t>ould be argued</w:t>
      </w:r>
      <w:r>
        <w:t xml:space="preserve"> </w:t>
      </w:r>
      <w:r w:rsidR="00F9600D">
        <w:t xml:space="preserve">that </w:t>
      </w:r>
      <w:r>
        <w:t>anothe</w:t>
      </w:r>
      <w:r w:rsidRPr="00992EC0">
        <w:t>r wave in compliance literature</w:t>
      </w:r>
      <w:r w:rsidR="00A71B40" w:rsidRPr="00992EC0">
        <w:t xml:space="preserve"> arose</w:t>
      </w:r>
      <w:r w:rsidRPr="00992EC0">
        <w:t xml:space="preserve">, which is not mentioned in Mastenbroek’s article. </w:t>
      </w:r>
      <w:r w:rsidR="00A51D9D" w:rsidRPr="00992EC0">
        <w:t xml:space="preserve">Treib (2014) categorizes this </w:t>
      </w:r>
      <w:r w:rsidRPr="00992EC0">
        <w:t xml:space="preserve">new research field </w:t>
      </w:r>
      <w:r w:rsidR="004F2833" w:rsidRPr="00992EC0">
        <w:t xml:space="preserve">– created after </w:t>
      </w:r>
      <w:r w:rsidRPr="00992EC0">
        <w:t>the accession of Central and Eastern European member state</w:t>
      </w:r>
      <w:r w:rsidR="004F2833" w:rsidRPr="00992EC0">
        <w:t>s – within the third wave.</w:t>
      </w:r>
      <w:r w:rsidRPr="00992EC0">
        <w:t xml:space="preserve"> It </w:t>
      </w:r>
      <w:r w:rsidR="00A71B40" w:rsidRPr="00992EC0">
        <w:t>has been investigated</w:t>
      </w:r>
      <w:r w:rsidRPr="00992EC0">
        <w:t xml:space="preserve"> whether there is a difference b</w:t>
      </w:r>
      <w:r>
        <w:t xml:space="preserve">etween those new </w:t>
      </w:r>
      <w:r w:rsidR="00501F44">
        <w:t xml:space="preserve">member </w:t>
      </w:r>
      <w:r>
        <w:t>states and the other European countries in terms of compliance (Falkner and Treib, 2008; Toshkov, 2008)</w:t>
      </w:r>
      <w:r w:rsidR="006D48FD">
        <w:t>. P</w:t>
      </w:r>
      <w:r>
        <w:t xml:space="preserve">ost-accession compliance </w:t>
      </w:r>
      <w:r w:rsidR="00C74051">
        <w:t>of Central and E</w:t>
      </w:r>
      <w:r w:rsidR="009F7CD6">
        <w:t xml:space="preserve">astern European member states </w:t>
      </w:r>
      <w:r>
        <w:t>is</w:t>
      </w:r>
      <w:r w:rsidR="006D48FD">
        <w:t xml:space="preserve"> also</w:t>
      </w:r>
      <w:r>
        <w:t xml:space="preserve"> </w:t>
      </w:r>
      <w:r w:rsidR="009F7CD6">
        <w:t xml:space="preserve">subject of </w:t>
      </w:r>
      <w:r w:rsidR="00501F44">
        <w:t xml:space="preserve">this new </w:t>
      </w:r>
      <w:r w:rsidR="009F7CD6">
        <w:t>research</w:t>
      </w:r>
      <w:r>
        <w:t xml:space="preserve"> (Sedelmeier, 2008; Trauner, 2009). </w:t>
      </w:r>
    </w:p>
    <w:p w14:paraId="7C45A18D" w14:textId="77777777" w:rsidR="00501F44" w:rsidRDefault="00501F44" w:rsidP="006945C7">
      <w:pPr>
        <w:pStyle w:val="Kop4"/>
      </w:pPr>
      <w:r>
        <w:t>Legitimacy reasons for compliance</w:t>
      </w:r>
    </w:p>
    <w:p w14:paraId="597D730B" w14:textId="34FAE716" w:rsidR="00091A04" w:rsidRDefault="009A742C" w:rsidP="00654486">
      <w:pPr>
        <w:spacing w:line="360" w:lineRule="auto"/>
      </w:pPr>
      <w:r>
        <w:t>As discussed, compliance l</w:t>
      </w:r>
      <w:r w:rsidRPr="00992EC0">
        <w:t xml:space="preserve">iterature tries to explain (non-)compliance. </w:t>
      </w:r>
      <w:r w:rsidR="00601251" w:rsidRPr="00992EC0">
        <w:t xml:space="preserve">The three waves </w:t>
      </w:r>
      <w:r w:rsidR="00992EC0" w:rsidRPr="00992EC0">
        <w:t>highlighted</w:t>
      </w:r>
      <w:r w:rsidR="00654486" w:rsidRPr="00992EC0">
        <w:t xml:space="preserve"> </w:t>
      </w:r>
      <w:r w:rsidR="00601251" w:rsidRPr="00992EC0">
        <w:t xml:space="preserve">two </w:t>
      </w:r>
      <w:r w:rsidR="0008394A" w:rsidRPr="00992EC0">
        <w:t xml:space="preserve">categories of </w:t>
      </w:r>
      <w:r w:rsidR="00654486" w:rsidRPr="00992EC0">
        <w:t>factors</w:t>
      </w:r>
      <w:r w:rsidR="00B90CFE" w:rsidRPr="00992EC0">
        <w:t xml:space="preserve"> </w:t>
      </w:r>
      <w:r w:rsidR="00601251" w:rsidRPr="00992EC0">
        <w:t xml:space="preserve">that </w:t>
      </w:r>
      <w:r w:rsidR="00B90CFE" w:rsidRPr="00992EC0">
        <w:t>can</w:t>
      </w:r>
      <w:r w:rsidR="00654486" w:rsidRPr="00992EC0">
        <w:t xml:space="preserve"> determine the degree of compliance:</w:t>
      </w:r>
      <w:r w:rsidR="00601251" w:rsidRPr="00992EC0">
        <w:t xml:space="preserve"> </w:t>
      </w:r>
      <w:r w:rsidR="00654486" w:rsidRPr="00992EC0">
        <w:t>willingness of member sta</w:t>
      </w:r>
      <w:r w:rsidR="00601251" w:rsidRPr="00992EC0">
        <w:t xml:space="preserve">tes and their administrative capacity. However, </w:t>
      </w:r>
      <w:r w:rsidR="00992EC0" w:rsidRPr="00992EC0">
        <w:t>this thesis will focus on</w:t>
      </w:r>
      <w:r w:rsidR="00501F44">
        <w:t xml:space="preserve"> </w:t>
      </w:r>
      <w:r w:rsidR="00992EC0" w:rsidRPr="00992EC0">
        <w:t xml:space="preserve">a </w:t>
      </w:r>
      <w:r w:rsidR="00601251" w:rsidRPr="00992EC0">
        <w:t xml:space="preserve">third factor: </w:t>
      </w:r>
      <w:r w:rsidR="00B90CFE" w:rsidRPr="00992EC0">
        <w:t xml:space="preserve">legitimacy </w:t>
      </w:r>
      <w:r w:rsidR="00654486" w:rsidRPr="00992EC0">
        <w:t>(Zhelyazkova et al., 2016)</w:t>
      </w:r>
      <w:r w:rsidR="00992EC0" w:rsidRPr="00992EC0">
        <w:t xml:space="preserve">, </w:t>
      </w:r>
      <w:r w:rsidR="00A71B40" w:rsidRPr="00992EC0">
        <w:t>with the other two serving</w:t>
      </w:r>
      <w:r w:rsidR="00F9600D" w:rsidRPr="00992EC0">
        <w:t xml:space="preserve"> as control variables.</w:t>
      </w:r>
      <w:r w:rsidR="006D48FD" w:rsidRPr="00992EC0">
        <w:t xml:space="preserve"> </w:t>
      </w:r>
      <w:r w:rsidR="00B90CFE" w:rsidRPr="00992EC0">
        <w:t>In the part below, literature on legitimacy as</w:t>
      </w:r>
      <w:r w:rsidR="00A71B40" w:rsidRPr="00992EC0">
        <w:t xml:space="preserve"> </w:t>
      </w:r>
      <w:r w:rsidR="00A71B40">
        <w:t>an</w:t>
      </w:r>
      <w:r w:rsidR="00B90CFE">
        <w:t xml:space="preserve"> explaining factor for compliance will be discussed. </w:t>
      </w:r>
    </w:p>
    <w:p w14:paraId="4477D400" w14:textId="47A201B5" w:rsidR="00091A04" w:rsidRDefault="009C524D" w:rsidP="00654486">
      <w:pPr>
        <w:spacing w:line="360" w:lineRule="auto"/>
      </w:pPr>
      <w:r>
        <w:t xml:space="preserve">Normative or legitimacy </w:t>
      </w:r>
      <w:r w:rsidR="00654486">
        <w:t>theories distinguish four reasons for compliance. Compliance can</w:t>
      </w:r>
      <w:r w:rsidR="00A71B40">
        <w:t>, in the first case,</w:t>
      </w:r>
      <w:r w:rsidR="00654486">
        <w:t xml:space="preserve"> </w:t>
      </w:r>
      <w:r w:rsidR="00A71B40">
        <w:t>emerge</w:t>
      </w:r>
      <w:r w:rsidR="00654486">
        <w:t xml:space="preserve"> from a correspondence between EU-</w:t>
      </w:r>
      <w:r w:rsidR="006D48FD">
        <w:t>directives</w:t>
      </w:r>
      <w:r w:rsidR="00654486">
        <w:t xml:space="preserve"> and the ‘norm-set’ of the member state (Dimitrova and Rhinard, 2005; Breeman and Zwaan, 2009). The norm-set can differ in terms of policy instruments, styles and objectives and societal norms (Dimitrova and Rhinard, 2005). </w:t>
      </w:r>
      <w:r w:rsidR="00091A04">
        <w:t>This comes close to normative fit</w:t>
      </w:r>
      <w:r>
        <w:t>: in case of a normative misfit, the degree of legitimacy of EU law</w:t>
      </w:r>
      <w:r w:rsidR="00091A04">
        <w:t xml:space="preserve"> </w:t>
      </w:r>
      <w:r>
        <w:t>is low</w:t>
      </w:r>
      <w:r w:rsidR="00501F44">
        <w:t xml:space="preserve">, and non-compliance is likely. </w:t>
      </w:r>
      <w:r>
        <w:t xml:space="preserve"> </w:t>
      </w:r>
    </w:p>
    <w:p w14:paraId="440CE316" w14:textId="7814C47E" w:rsidR="007C1AA9" w:rsidRPr="00992EC0" w:rsidRDefault="00654486" w:rsidP="007C1AA9">
      <w:pPr>
        <w:spacing w:line="360" w:lineRule="auto"/>
        <w:rPr>
          <w:rFonts w:cstheme="minorHAnsi"/>
        </w:rPr>
      </w:pPr>
      <w:r>
        <w:t>Another th</w:t>
      </w:r>
      <w:r w:rsidR="00091A04">
        <w:t xml:space="preserve">eory is that, for some member states, compliance </w:t>
      </w:r>
      <w:r w:rsidR="009C524D">
        <w:t xml:space="preserve">itself </w:t>
      </w:r>
      <w:r w:rsidR="00091A04">
        <w:t>is the norm. In this case, member states have a culture of law</w:t>
      </w:r>
      <w:r w:rsidR="00091A04" w:rsidRPr="00992EC0">
        <w:t>-abidingness. Their normative opinion is that l</w:t>
      </w:r>
      <w:r w:rsidRPr="00992EC0">
        <w:t xml:space="preserve">egislation of a supranational institution should be </w:t>
      </w:r>
      <w:r w:rsidR="00CB4BAA" w:rsidRPr="00992EC0">
        <w:t>implemented</w:t>
      </w:r>
      <w:r w:rsidR="0008394A" w:rsidRPr="00992EC0">
        <w:t xml:space="preserve"> into national law</w:t>
      </w:r>
      <w:r w:rsidR="00A71B40" w:rsidRPr="00992EC0">
        <w:rPr>
          <w:rFonts w:cstheme="minorHAnsi"/>
        </w:rPr>
        <w:t>, and c</w:t>
      </w:r>
      <w:r w:rsidR="007C1AA9" w:rsidRPr="00992EC0">
        <w:rPr>
          <w:rFonts w:cstheme="minorHAnsi"/>
        </w:rPr>
        <w:t xml:space="preserve">ompliance is </w:t>
      </w:r>
      <w:r w:rsidR="00A71B40" w:rsidRPr="00992EC0">
        <w:rPr>
          <w:rFonts w:cstheme="minorHAnsi"/>
        </w:rPr>
        <w:t xml:space="preserve">therefore </w:t>
      </w:r>
      <w:r w:rsidR="007C1AA9" w:rsidRPr="00992EC0">
        <w:rPr>
          <w:rFonts w:cstheme="minorHAnsi"/>
        </w:rPr>
        <w:t>simply the norm in those member states.</w:t>
      </w:r>
      <w:r w:rsidR="007C1AA9" w:rsidRPr="00992EC0">
        <w:t xml:space="preserve"> </w:t>
      </w:r>
      <w:r w:rsidRPr="00992EC0">
        <w:t xml:space="preserve">Compliance behavior of Nordic member states in the EU is often explained from this stance (e.g. </w:t>
      </w:r>
      <w:r w:rsidR="001B444F" w:rsidRPr="00992EC0">
        <w:t xml:space="preserve">Sverdrup, 2004; </w:t>
      </w:r>
      <w:r w:rsidRPr="00992EC0">
        <w:t>B</w:t>
      </w:r>
      <w:r w:rsidRPr="00992EC0">
        <w:rPr>
          <w:rFonts w:cstheme="minorHAnsi"/>
        </w:rPr>
        <w:t>ö</w:t>
      </w:r>
      <w:r w:rsidR="009A77BF" w:rsidRPr="00992EC0">
        <w:t xml:space="preserve">rzel et al., 2010). Whether </w:t>
      </w:r>
      <w:r w:rsidR="00F92F77" w:rsidRPr="00992EC0">
        <w:t xml:space="preserve">or not states are Nordic serves </w:t>
      </w:r>
      <w:r w:rsidR="009A77BF" w:rsidRPr="00992EC0">
        <w:t xml:space="preserve">in the dataset as control variable. Some scholars plea that such a culture might also be present in post-2004 accession states (Sedelmeier, 2008). </w:t>
      </w:r>
      <w:r w:rsidR="00F92F77" w:rsidRPr="00992EC0">
        <w:t xml:space="preserve">A control variable about post-2004 accession countries is </w:t>
      </w:r>
      <w:r w:rsidR="00F3348B" w:rsidRPr="00992EC0">
        <w:t xml:space="preserve">therefore </w:t>
      </w:r>
      <w:r w:rsidR="00F92F77" w:rsidRPr="00992EC0">
        <w:t xml:space="preserve">also included in the dataset. </w:t>
      </w:r>
    </w:p>
    <w:p w14:paraId="3D7089BA" w14:textId="67039139" w:rsidR="00091A04" w:rsidRPr="00992EC0" w:rsidRDefault="00654486" w:rsidP="00654486">
      <w:pPr>
        <w:spacing w:line="360" w:lineRule="auto"/>
      </w:pPr>
      <w:r w:rsidRPr="00992EC0">
        <w:t xml:space="preserve">The third perspective is about the EU as a legitimate organization. </w:t>
      </w:r>
      <w:r w:rsidR="006D48FD" w:rsidRPr="00992EC0">
        <w:t>In this situ</w:t>
      </w:r>
      <w:r w:rsidR="00F9600D" w:rsidRPr="00992EC0">
        <w:t>ation, compliance is based on a</w:t>
      </w:r>
      <w:r w:rsidR="006D48FD" w:rsidRPr="00992EC0">
        <w:t xml:space="preserve"> m</w:t>
      </w:r>
      <w:r w:rsidRPr="00992EC0">
        <w:t>ember states</w:t>
      </w:r>
      <w:r w:rsidR="00F9600D" w:rsidRPr="00992EC0">
        <w:t>’</w:t>
      </w:r>
      <w:r w:rsidRPr="00992EC0">
        <w:t xml:space="preserve"> consider</w:t>
      </w:r>
      <w:r w:rsidR="00F9600D" w:rsidRPr="00992EC0">
        <w:t>ation of</w:t>
      </w:r>
      <w:r w:rsidRPr="00992EC0">
        <w:t xml:space="preserve"> the EU as the legitimate actor to make policy </w:t>
      </w:r>
      <w:r w:rsidR="00BB79F8" w:rsidRPr="00992EC0">
        <w:t>on</w:t>
      </w:r>
      <w:r w:rsidRPr="00992EC0">
        <w:t xml:space="preserve"> a certain topic (</w:t>
      </w:r>
      <w:r w:rsidR="006D48FD" w:rsidRPr="00992EC0">
        <w:t>Zwaan, 2012</w:t>
      </w:r>
      <w:r w:rsidRPr="00992EC0">
        <w:t>).</w:t>
      </w:r>
      <w:r w:rsidR="006D48FD" w:rsidRPr="00992EC0">
        <w:t xml:space="preserve"> </w:t>
      </w:r>
      <w:r w:rsidR="007A4147" w:rsidRPr="00992EC0">
        <w:t xml:space="preserve">If they do </w:t>
      </w:r>
      <w:r w:rsidR="00CB4BAA" w:rsidRPr="00992EC0">
        <w:t xml:space="preserve">consider the EU to be </w:t>
      </w:r>
      <w:r w:rsidR="0008394A" w:rsidRPr="00992EC0">
        <w:t>a</w:t>
      </w:r>
      <w:r w:rsidR="00CB4BAA" w:rsidRPr="00992EC0">
        <w:t xml:space="preserve"> legitimate actor</w:t>
      </w:r>
      <w:r w:rsidR="007A4147" w:rsidRPr="00992EC0">
        <w:t xml:space="preserve">, it is likely that those member states will comply. </w:t>
      </w:r>
    </w:p>
    <w:p w14:paraId="21606A08" w14:textId="4B339B64" w:rsidR="00654486" w:rsidRDefault="00654486" w:rsidP="00654486">
      <w:pPr>
        <w:spacing w:line="360" w:lineRule="auto"/>
      </w:pPr>
      <w:r w:rsidRPr="00992EC0">
        <w:t>The final reason to comply is legitimate decision-making procedures. Actors will assess if the decision is taken in a ‘generally accepted manner’ (Zwaan, 2012; p. 19). The importance of th</w:t>
      </w:r>
      <w:r w:rsidR="00501F44">
        <w:t>is “procedural</w:t>
      </w:r>
      <w:r w:rsidRPr="00992EC0">
        <w:t xml:space="preserve"> </w:t>
      </w:r>
      <w:r w:rsidRPr="00992EC0">
        <w:lastRenderedPageBreak/>
        <w:t>legitimacy</w:t>
      </w:r>
      <w:r w:rsidR="00501F44">
        <w:t>”</w:t>
      </w:r>
      <w:r w:rsidRPr="00992EC0">
        <w:t xml:space="preserve"> of a decision-making pro</w:t>
      </w:r>
      <w:r>
        <w:t>cess is emphasized by multiple scholars</w:t>
      </w:r>
      <w:r w:rsidR="0008394A">
        <w:t>, but not much discussed in the EU</w:t>
      </w:r>
      <w:r>
        <w:t xml:space="preserve"> (Scott, 1991; </w:t>
      </w:r>
      <w:proofErr w:type="spellStart"/>
      <w:r>
        <w:t>Suchman</w:t>
      </w:r>
      <w:proofErr w:type="spellEnd"/>
      <w:r>
        <w:t xml:space="preserve">, 1995, Hurd, 1999, March and Olsen, 2004). This thesis will </w:t>
      </w:r>
      <w:r w:rsidR="00501F44">
        <w:t xml:space="preserve">therefor </w:t>
      </w:r>
      <w:r>
        <w:t>focus on th</w:t>
      </w:r>
      <w:r w:rsidR="00E85434">
        <w:t>e</w:t>
      </w:r>
      <w:r>
        <w:t xml:space="preserve"> fourth reason within legitimacy theories</w:t>
      </w:r>
      <w:r w:rsidR="00091A04">
        <w:t>.</w:t>
      </w:r>
      <w:r>
        <w:t xml:space="preserve"> </w:t>
      </w:r>
    </w:p>
    <w:p w14:paraId="0AD076FF" w14:textId="5065E463" w:rsidR="00D7138B" w:rsidRDefault="000425EA" w:rsidP="006945C7">
      <w:pPr>
        <w:pStyle w:val="Kop3"/>
        <w:spacing w:line="360" w:lineRule="auto"/>
      </w:pPr>
      <w:bookmarkStart w:id="8" w:name="_Toc3547833"/>
      <w:r>
        <w:t xml:space="preserve">2.2 </w:t>
      </w:r>
      <w:r w:rsidR="00D7138B">
        <w:t>Procedural fairness</w:t>
      </w:r>
      <w:bookmarkEnd w:id="8"/>
    </w:p>
    <w:p w14:paraId="7A71D00D" w14:textId="53F4040C" w:rsidR="00654486" w:rsidRDefault="000425EA" w:rsidP="00654486">
      <w:pPr>
        <w:spacing w:line="360" w:lineRule="auto"/>
      </w:pPr>
      <w:r w:rsidRPr="00992EC0">
        <w:t>It seems likely that legitimate decision-making procedure</w:t>
      </w:r>
      <w:r w:rsidR="0008394A" w:rsidRPr="00992EC0">
        <w:t>s</w:t>
      </w:r>
      <w:r w:rsidRPr="00992EC0">
        <w:t xml:space="preserve"> can influence compliance</w:t>
      </w:r>
      <w:r w:rsidR="00992EC0" w:rsidRPr="00992EC0">
        <w:t xml:space="preserve"> positively</w:t>
      </w:r>
      <w:r w:rsidRPr="00992EC0">
        <w:t>. Therefore</w:t>
      </w:r>
      <w:r w:rsidR="00654486" w:rsidRPr="00992EC0">
        <w:t xml:space="preserve">, it is interesting to elaborate on the concept of procedural </w:t>
      </w:r>
      <w:r w:rsidR="009C524D" w:rsidRPr="00992EC0">
        <w:t xml:space="preserve">legitimacy or what is called ‘procedural </w:t>
      </w:r>
      <w:r w:rsidR="00654486" w:rsidRPr="00992EC0">
        <w:t>fairness</w:t>
      </w:r>
      <w:r w:rsidR="009C524D" w:rsidRPr="00992EC0">
        <w:t>’</w:t>
      </w:r>
      <w:r w:rsidR="00654486" w:rsidRPr="00992EC0">
        <w:t>. The fairness of a decision-making procedure – procedural fairness –</w:t>
      </w:r>
      <w:r w:rsidRPr="00992EC0">
        <w:t xml:space="preserve"> influ</w:t>
      </w:r>
      <w:r>
        <w:t>ences</w:t>
      </w:r>
      <w:r w:rsidR="00654486">
        <w:t xml:space="preserve"> th</w:t>
      </w:r>
      <w:r>
        <w:t xml:space="preserve">e legitimacy of that procedure, as will be explained below. </w:t>
      </w:r>
    </w:p>
    <w:p w14:paraId="7B47847F" w14:textId="100162FD" w:rsidR="00654486" w:rsidRPr="00B84275" w:rsidRDefault="00654486" w:rsidP="00654486">
      <w:pPr>
        <w:spacing w:line="360" w:lineRule="auto"/>
        <w:rPr>
          <w:rFonts w:eastAsiaTheme="minorHAnsi" w:cstheme="minorHAnsi"/>
        </w:rPr>
      </w:pPr>
      <w:r>
        <w:t xml:space="preserve">A prominent researcher on procedural fairness is the </w:t>
      </w:r>
      <w:r w:rsidR="00501F44">
        <w:t>s</w:t>
      </w:r>
      <w:r>
        <w:t xml:space="preserve">ocial </w:t>
      </w:r>
      <w:r w:rsidR="00501F44">
        <w:t>p</w:t>
      </w:r>
      <w:r>
        <w:t>sychologist Tom Tyler. He found that procedural fairness affec</w:t>
      </w:r>
      <w:r w:rsidR="009A742C">
        <w:t xml:space="preserve">ts the legitimacy of courts, </w:t>
      </w:r>
      <w:r>
        <w:t>law enforcement officials</w:t>
      </w:r>
      <w:r w:rsidR="009C524D">
        <w:t xml:space="preserve"> and compliance</w:t>
      </w:r>
      <w:r w:rsidR="00F9600D">
        <w:t xml:space="preserve"> with court rulings.</w:t>
      </w:r>
      <w:r>
        <w:t xml:space="preserve"> Based on these findings, research </w:t>
      </w:r>
      <w:r w:rsidR="00091A04">
        <w:t>on</w:t>
      </w:r>
      <w:r>
        <w:t xml:space="preserve"> the relation between procedural fairness and the legitimacy of political institutions began. </w:t>
      </w:r>
      <w:r w:rsidR="000135B4">
        <w:t>L</w:t>
      </w:r>
      <w:r>
        <w:t xml:space="preserve">iterature </w:t>
      </w:r>
      <w:r w:rsidR="000135B4">
        <w:t>showed</w:t>
      </w:r>
      <w:r>
        <w:t xml:space="preserve"> that procedural fairness can </w:t>
      </w:r>
      <w:r w:rsidR="00E85434">
        <w:t>help create</w:t>
      </w:r>
      <w:r>
        <w:t xml:space="preserve"> institutional legitimacy (</w:t>
      </w:r>
      <w:r w:rsidR="000135B4">
        <w:t xml:space="preserve">Hibbing and Theiss-Morse, 2001; </w:t>
      </w:r>
      <w:r>
        <w:t>Grimes, 2006).</w:t>
      </w:r>
      <w:r w:rsidR="008932D1">
        <w:t xml:space="preserve"> S</w:t>
      </w:r>
      <w:r w:rsidR="00C845DF">
        <w:t xml:space="preserve">imilar </w:t>
      </w:r>
      <w:r>
        <w:t xml:space="preserve">results were found on </w:t>
      </w:r>
      <w:r w:rsidR="008932D1">
        <w:t xml:space="preserve">institutions like </w:t>
      </w:r>
      <w:r>
        <w:t xml:space="preserve">politics and government and </w:t>
      </w:r>
      <w:r w:rsidR="008932D1">
        <w:t xml:space="preserve">more specifically </w:t>
      </w:r>
      <w:r>
        <w:t>on the Supreme Court in the United States (Ulbig, 2002; Tyler et al., 1996). Different experiments took place to test procedural fairness more empirically</w:t>
      </w:r>
      <w:r w:rsidR="008932D1">
        <w:t xml:space="preserve">. </w:t>
      </w:r>
      <w:r>
        <w:t xml:space="preserve">A positive relation </w:t>
      </w:r>
      <w:r w:rsidR="00F9600D">
        <w:t xml:space="preserve">was found </w:t>
      </w:r>
      <w:r>
        <w:t>between the perceived neutrality of authorities and the willingness of people to</w:t>
      </w:r>
      <w:r w:rsidR="00FD624C">
        <w:t xml:space="preserve"> accept the</w:t>
      </w:r>
      <w:r w:rsidR="00914724">
        <w:t xml:space="preserve"> </w:t>
      </w:r>
      <w:r w:rsidR="00FD624C">
        <w:t>outcome</w:t>
      </w:r>
      <w:r w:rsidR="00914724">
        <w:t xml:space="preserve"> of their decision</w:t>
      </w:r>
      <w:r w:rsidR="00FD624C">
        <w:t xml:space="preserve"> (Tyler, 1994). </w:t>
      </w:r>
    </w:p>
    <w:p w14:paraId="01B2ED0F" w14:textId="333196AD" w:rsidR="005C477E" w:rsidRPr="00992EC0" w:rsidRDefault="00654486" w:rsidP="007C1AA9">
      <w:pPr>
        <w:spacing w:line="360" w:lineRule="auto"/>
      </w:pPr>
      <w:r>
        <w:t>Scholars have focused on three aspects of procedural fairness: voice, dignity and consist</w:t>
      </w:r>
      <w:r w:rsidR="00091A04">
        <w:t>ency (Esaiasson et al., 2016).</w:t>
      </w:r>
      <w:r w:rsidR="003C6D9B">
        <w:t xml:space="preserve"> </w:t>
      </w:r>
      <w:r w:rsidR="00091A04">
        <w:t>Voice is defined a</w:t>
      </w:r>
      <w:r w:rsidR="007C1AA9">
        <w:t>s ‘the opportunity for individuals to present their opinions in the decision-making process’ (Esaiasson et al., 2016; p. 5). The second aspect, dignity is defined as ‘when authorities recognize individuals’ status as respected members of society during interactions’</w:t>
      </w:r>
      <w:r w:rsidR="006B45F6">
        <w:t xml:space="preserve"> (Esaiasson et al., 2016; p. 5)</w:t>
      </w:r>
      <w:r w:rsidR="007C1AA9">
        <w:t>. Finally, consistency is defined as ‘the absence of systematic bias in the conduct of decision-making authorities’ (Esaiasson et al, 2016; p. 5).</w:t>
      </w:r>
    </w:p>
    <w:p w14:paraId="23EE7BF4" w14:textId="4D35C1F6" w:rsidR="00D223C3" w:rsidRPr="00992EC0" w:rsidRDefault="00B01A88" w:rsidP="007C1AA9">
      <w:pPr>
        <w:spacing w:line="360" w:lineRule="auto"/>
      </w:pPr>
      <w:r w:rsidRPr="00992EC0">
        <w:t>A</w:t>
      </w:r>
      <w:r w:rsidR="006366BA" w:rsidRPr="00992EC0">
        <w:t xml:space="preserve"> </w:t>
      </w:r>
      <w:r w:rsidRPr="00992EC0">
        <w:t xml:space="preserve">decision-making </w:t>
      </w:r>
      <w:r w:rsidR="006366BA" w:rsidRPr="00992EC0">
        <w:t xml:space="preserve">procedure would </w:t>
      </w:r>
      <w:r w:rsidR="00501F44">
        <w:t xml:space="preserve">thus </w:t>
      </w:r>
      <w:r w:rsidR="006366BA" w:rsidRPr="00992EC0">
        <w:t xml:space="preserve">be </w:t>
      </w:r>
      <w:r w:rsidR="00501F44">
        <w:t xml:space="preserve">more </w:t>
      </w:r>
      <w:r w:rsidR="006B45F6" w:rsidRPr="00992EC0">
        <w:t>fair</w:t>
      </w:r>
      <w:r w:rsidR="006366BA" w:rsidRPr="00992EC0">
        <w:t xml:space="preserve"> if participants</w:t>
      </w:r>
      <w:r w:rsidR="00CB4BAA" w:rsidRPr="00992EC0">
        <w:t xml:space="preserve"> in the procedure</w:t>
      </w:r>
      <w:r w:rsidR="006366BA" w:rsidRPr="00992EC0">
        <w:t xml:space="preserve"> ha</w:t>
      </w:r>
      <w:r w:rsidR="00F96EE4" w:rsidRPr="00992EC0">
        <w:t>d</w:t>
      </w:r>
      <w:r w:rsidR="006366BA" w:rsidRPr="00992EC0">
        <w:t xml:space="preserve"> more opportunities to express their preferences (voice), if authorities recognize</w:t>
      </w:r>
      <w:r w:rsidR="00F96EE4" w:rsidRPr="00992EC0">
        <w:t>d</w:t>
      </w:r>
      <w:r w:rsidR="006366BA" w:rsidRPr="00992EC0">
        <w:t xml:space="preserve"> individuals as respected members of society during interactions in the best way possible (dignity) and if a systemic bias </w:t>
      </w:r>
      <w:r w:rsidR="0008394A" w:rsidRPr="00992EC0">
        <w:t xml:space="preserve">in decision-making </w:t>
      </w:r>
      <w:r w:rsidR="00E84D71">
        <w:t>is</w:t>
      </w:r>
      <w:r w:rsidR="006366BA" w:rsidRPr="00992EC0">
        <w:t xml:space="preserve"> absent (consistency). </w:t>
      </w:r>
      <w:r w:rsidR="009D06B7" w:rsidRPr="00992EC0">
        <w:t>For the dignity component, t</w:t>
      </w:r>
      <w:r w:rsidR="00BF6CC6" w:rsidRPr="00992EC0">
        <w:t xml:space="preserve">he emphasis </w:t>
      </w:r>
      <w:r w:rsidR="00F96EE4" w:rsidRPr="00992EC0">
        <w:t>in this study lies</w:t>
      </w:r>
      <w:r w:rsidR="00BF6CC6" w:rsidRPr="00992EC0">
        <w:t xml:space="preserve"> predominantly on the society aspect</w:t>
      </w:r>
      <w:r w:rsidR="00F96EE4" w:rsidRPr="00992EC0">
        <w:t xml:space="preserve"> </w:t>
      </w:r>
      <w:r w:rsidR="008932D1">
        <w:t>of the definition, instead of how people are treated during interactions. It is very difficult</w:t>
      </w:r>
      <w:r w:rsidR="009D06B7" w:rsidRPr="00992EC0">
        <w:t xml:space="preserve"> </w:t>
      </w:r>
      <w:r w:rsidR="00BF6CC6" w:rsidRPr="00992EC0">
        <w:t xml:space="preserve">to measure </w:t>
      </w:r>
      <w:r w:rsidR="00BF6CC6" w:rsidRPr="00992EC0">
        <w:rPr>
          <w:i/>
        </w:rPr>
        <w:t xml:space="preserve">how </w:t>
      </w:r>
      <w:r w:rsidR="00BF6CC6" w:rsidRPr="00992EC0">
        <w:t>society was treated during interactions with the EU</w:t>
      </w:r>
      <w:r w:rsidR="008932D1">
        <w:t>, for the following reasons: t</w:t>
      </w:r>
      <w:r w:rsidR="009D06B7" w:rsidRPr="00992EC0">
        <w:t>his is firstly subjective and thus differs between every individual, an</w:t>
      </w:r>
      <w:r w:rsidR="009D06B7">
        <w:t xml:space="preserve">d secondly, would require contacting </w:t>
      </w:r>
      <w:r w:rsidR="00F9600D">
        <w:t>many</w:t>
      </w:r>
      <w:r w:rsidR="009D06B7">
        <w:t xml:space="preserve"> individual</w:t>
      </w:r>
      <w:r w:rsidR="00F9600D">
        <w:t>s</w:t>
      </w:r>
      <w:r w:rsidR="009D06B7">
        <w:t xml:space="preserve"> involved in the interactions, which </w:t>
      </w:r>
      <w:r w:rsidR="00F96EE4">
        <w:t xml:space="preserve">would be </w:t>
      </w:r>
      <w:r w:rsidR="00F9600D">
        <w:t>difficult. I</w:t>
      </w:r>
      <w:r w:rsidR="009D06B7">
        <w:t xml:space="preserve">t is easier to measure </w:t>
      </w:r>
      <w:r w:rsidR="009D06B7">
        <w:rPr>
          <w:i/>
        </w:rPr>
        <w:t xml:space="preserve">that </w:t>
      </w:r>
      <w:r w:rsidR="009D06B7">
        <w:t>society was involved in interactions</w:t>
      </w:r>
      <w:r w:rsidR="008932D1">
        <w:t xml:space="preserve"> and that will be done in this study. </w:t>
      </w:r>
    </w:p>
    <w:p w14:paraId="02B1F283" w14:textId="374FA2E9" w:rsidR="00601251" w:rsidRDefault="00601251" w:rsidP="006945C7">
      <w:pPr>
        <w:pStyle w:val="Kop3"/>
        <w:spacing w:line="360" w:lineRule="auto"/>
      </w:pPr>
      <w:bookmarkStart w:id="9" w:name="_Toc3547834"/>
      <w:r>
        <w:lastRenderedPageBreak/>
        <w:t>2.</w:t>
      </w:r>
      <w:r w:rsidR="000425EA">
        <w:t>3</w:t>
      </w:r>
      <w:r>
        <w:t xml:space="preserve"> Formulating hypotheses</w:t>
      </w:r>
      <w:bookmarkEnd w:id="9"/>
    </w:p>
    <w:p w14:paraId="4DA7E288" w14:textId="2965C430" w:rsidR="00601251" w:rsidRDefault="00CB4BAA" w:rsidP="00601251">
      <w:pPr>
        <w:spacing w:line="360" w:lineRule="auto"/>
      </w:pPr>
      <w:r w:rsidRPr="00992EC0">
        <w:t>T</w:t>
      </w:r>
      <w:r w:rsidR="00601251" w:rsidRPr="00992EC0">
        <w:t xml:space="preserve">his theoretical framework </w:t>
      </w:r>
      <w:r w:rsidRPr="00992EC0">
        <w:t>showed</w:t>
      </w:r>
      <w:r w:rsidR="00601251" w:rsidRPr="00992EC0">
        <w:t xml:space="preserve"> that a positive relation between the level of procedural fairness and the level of compliance is likely. It also showed that procedural fairness has various aspects.</w:t>
      </w:r>
      <w:r w:rsidRPr="00992EC0">
        <w:t xml:space="preserve"> The following hypothes</w:t>
      </w:r>
      <w:r w:rsidR="002310F9" w:rsidRPr="00992EC0">
        <w:t>es</w:t>
      </w:r>
      <w:r w:rsidRPr="00992EC0">
        <w:t xml:space="preserve"> follow logically from that.</w:t>
      </w:r>
      <w:r w:rsidR="00601251" w:rsidRPr="00992EC0">
        <w:t xml:space="preserve"> In order to have more insight in the process and the exact composition of procedural fairness, the components are split in the first three hypotheses.</w:t>
      </w:r>
      <w:r w:rsidR="00601251">
        <w:t xml:space="preserve"> </w:t>
      </w:r>
    </w:p>
    <w:p w14:paraId="3CAA54A5" w14:textId="77777777" w:rsidR="00601251" w:rsidRPr="00992EC0" w:rsidRDefault="00601251" w:rsidP="00601251">
      <w:pPr>
        <w:spacing w:line="360" w:lineRule="auto"/>
      </w:pPr>
      <w:r>
        <w:t>H1a:</w:t>
      </w:r>
    </w:p>
    <w:p w14:paraId="6D7E2497" w14:textId="77777777" w:rsidR="00601251" w:rsidRDefault="00601251" w:rsidP="00601251">
      <w:pPr>
        <w:spacing w:line="360" w:lineRule="auto"/>
        <w:ind w:left="708"/>
      </w:pPr>
      <w:r>
        <w:t>The higher the level of voice in a decision-making procedure, the higher the level of compliance with that decision.</w:t>
      </w:r>
    </w:p>
    <w:p w14:paraId="1B4EAF37" w14:textId="77777777" w:rsidR="00601251" w:rsidRDefault="00601251" w:rsidP="00601251">
      <w:pPr>
        <w:spacing w:line="360" w:lineRule="auto"/>
      </w:pPr>
      <w:r>
        <w:t>H1b:</w:t>
      </w:r>
    </w:p>
    <w:p w14:paraId="34A49C49" w14:textId="77777777" w:rsidR="00601251" w:rsidRDefault="00601251" w:rsidP="00601251">
      <w:pPr>
        <w:spacing w:line="360" w:lineRule="auto"/>
        <w:ind w:left="708"/>
      </w:pPr>
      <w:r>
        <w:t xml:space="preserve">The higher the level of dignity in a decision-making procedure, the higher the level of compliance with that decision.  </w:t>
      </w:r>
    </w:p>
    <w:p w14:paraId="2A0C650D" w14:textId="77777777" w:rsidR="00601251" w:rsidRDefault="00601251" w:rsidP="00601251">
      <w:pPr>
        <w:spacing w:line="360" w:lineRule="auto"/>
      </w:pPr>
      <w:r>
        <w:t>H1c:</w:t>
      </w:r>
    </w:p>
    <w:p w14:paraId="388D76F8" w14:textId="4F7FBB70" w:rsidR="00601251" w:rsidRPr="00992EC0" w:rsidRDefault="00601251" w:rsidP="00601251">
      <w:pPr>
        <w:spacing w:line="360" w:lineRule="auto"/>
        <w:ind w:left="708"/>
      </w:pPr>
      <w:r>
        <w:t>The higher the level of consistency in a decision-making procedure, the higher the level of compliance with that de</w:t>
      </w:r>
      <w:r w:rsidRPr="00992EC0">
        <w:t xml:space="preserve">cision. </w:t>
      </w:r>
    </w:p>
    <w:p w14:paraId="54914022" w14:textId="2A875D56" w:rsidR="00CB4BAA" w:rsidRPr="00992EC0" w:rsidRDefault="000425EA" w:rsidP="00CB4BAA">
      <w:pPr>
        <w:spacing w:line="360" w:lineRule="auto"/>
      </w:pPr>
      <w:r w:rsidRPr="00992EC0">
        <w:t>Formulating these hypotheses is the first step in this study. They</w:t>
      </w:r>
      <w:r w:rsidR="00CB4BAA" w:rsidRPr="00992EC0">
        <w:t xml:space="preserve"> will be specified </w:t>
      </w:r>
      <w:r w:rsidRPr="00992EC0">
        <w:t xml:space="preserve">further </w:t>
      </w:r>
      <w:r w:rsidR="00CB4BAA" w:rsidRPr="00992EC0">
        <w:t xml:space="preserve">in the methodological chapter. That deserves </w:t>
      </w:r>
      <w:r w:rsidR="002310F9" w:rsidRPr="00992EC0">
        <w:t>thorough</w:t>
      </w:r>
      <w:r w:rsidR="00CB4BAA" w:rsidRPr="00992EC0">
        <w:t xml:space="preserve"> attention</w:t>
      </w:r>
      <w:r w:rsidRPr="00992EC0">
        <w:t xml:space="preserve"> and discussion</w:t>
      </w:r>
      <w:r w:rsidR="00CB4BAA" w:rsidRPr="00992EC0">
        <w:t xml:space="preserve">, since EU decision making procedures can have many forms. </w:t>
      </w:r>
      <w:r w:rsidR="002310F9" w:rsidRPr="00992EC0">
        <w:t>In order to specify the concepts of procedural fairness decently, it is important to understand EU decision-making procedures and the</w:t>
      </w:r>
      <w:r w:rsidR="00992EC0">
        <w:t>ir</w:t>
      </w:r>
      <w:r w:rsidR="002310F9" w:rsidRPr="00992EC0">
        <w:t xml:space="preserve"> possible differences. The section below will elaborate upon that.  </w:t>
      </w:r>
    </w:p>
    <w:p w14:paraId="0F15F871" w14:textId="59FC5E0A" w:rsidR="007C1AA9" w:rsidRDefault="007C1AA9" w:rsidP="006945C7">
      <w:pPr>
        <w:pStyle w:val="Kop5"/>
        <w:spacing w:line="360" w:lineRule="auto"/>
      </w:pPr>
      <w:r>
        <w:t>Decision-making procedures in the EU</w:t>
      </w:r>
    </w:p>
    <w:p w14:paraId="7176F3AA" w14:textId="2E3E4A0A" w:rsidR="007C1AA9" w:rsidRDefault="007C1AA9" w:rsidP="007C1AA9">
      <w:pPr>
        <w:spacing w:line="360" w:lineRule="auto"/>
      </w:pPr>
      <w:r>
        <w:t xml:space="preserve">To </w:t>
      </w:r>
      <w:r w:rsidR="002A2B1F">
        <w:t xml:space="preserve">adopt </w:t>
      </w:r>
      <w:r>
        <w:t xml:space="preserve">EU law, </w:t>
      </w:r>
      <w:r w:rsidR="002A2B1F">
        <w:t xml:space="preserve">several </w:t>
      </w:r>
      <w:r>
        <w:t xml:space="preserve">decision-making procedures are </w:t>
      </w:r>
      <w:r w:rsidR="002A2B1F">
        <w:t xml:space="preserve">provided </w:t>
      </w:r>
      <w:r>
        <w:t>in various EU treaties. The most common procedures were</w:t>
      </w:r>
      <w:r w:rsidR="005A4433">
        <w:t xml:space="preserve"> previously</w:t>
      </w:r>
      <w:r>
        <w:t xml:space="preserve"> the co-decision procedure, the consultation procedure and the cooperation procedure (Schulz and Konig, 2000). Since the Treaty of Lisbon, the procedures </w:t>
      </w:r>
      <w:r w:rsidR="005A4433">
        <w:t>have been</w:t>
      </w:r>
      <w:r>
        <w:t xml:space="preserve"> slightly adapted. </w:t>
      </w:r>
    </w:p>
    <w:p w14:paraId="7B6EA994" w14:textId="319F34D2" w:rsidR="007C1AA9" w:rsidRDefault="00F9600D" w:rsidP="007C1AA9">
      <w:pPr>
        <w:spacing w:line="360" w:lineRule="auto"/>
      </w:pPr>
      <w:r>
        <w:t>Nowadays, t</w:t>
      </w:r>
      <w:r w:rsidR="007C1AA9">
        <w:t xml:space="preserve">he most common decision-making procedure is the </w:t>
      </w:r>
      <w:r w:rsidR="00317197" w:rsidRPr="003205EF">
        <w:rPr>
          <w:b/>
          <w:i/>
        </w:rPr>
        <w:t>ordinary legislative procedure</w:t>
      </w:r>
      <w:r w:rsidR="00317197">
        <w:rPr>
          <w:b/>
          <w:i/>
        </w:rPr>
        <w:t xml:space="preserve">. </w:t>
      </w:r>
      <w:r w:rsidR="007C1AA9">
        <w:t xml:space="preserve">When this procedure is used, </w:t>
      </w:r>
      <w:r w:rsidR="00317197">
        <w:t>the Commission has the right to propose legislation. T</w:t>
      </w:r>
      <w:r w:rsidR="007C1AA9">
        <w:t xml:space="preserve">he European Parliament and the Council </w:t>
      </w:r>
      <w:r w:rsidR="005A4433">
        <w:t>attempt</w:t>
      </w:r>
      <w:r w:rsidR="007C1AA9">
        <w:t xml:space="preserve"> to agr</w:t>
      </w:r>
      <w:r w:rsidR="00317197">
        <w:t xml:space="preserve">ee upon the legislation together. </w:t>
      </w:r>
      <w:r w:rsidR="007C1AA9">
        <w:t xml:space="preserve">If this is not successful, </w:t>
      </w:r>
      <w:r w:rsidR="00317197">
        <w:t>a tri</w:t>
      </w:r>
      <w:r w:rsidR="005A4433">
        <w:t>a</w:t>
      </w:r>
      <w:r w:rsidR="00317197">
        <w:t>logue is set up to</w:t>
      </w:r>
      <w:r w:rsidR="007C1AA9">
        <w:t xml:space="preserve"> mediate between the Parliament and the Council</w:t>
      </w:r>
      <w:r w:rsidR="00FD624C">
        <w:t xml:space="preserve"> (European Union, 2018). </w:t>
      </w:r>
      <w:r w:rsidR="005A4433">
        <w:t>Significantly</w:t>
      </w:r>
      <w:r w:rsidR="00FD624C">
        <w:t xml:space="preserve">, under this procedure, the EP has the power to veto legislative proposals. The ordinary legislative procedure </w:t>
      </w:r>
      <w:r w:rsidR="007C1AA9">
        <w:t xml:space="preserve">requires the Council to vote on the proposal, either by Qualified Majority Voting (QMV) or by unanimity. </w:t>
      </w:r>
      <w:r w:rsidR="005A4433">
        <w:t xml:space="preserve">The </w:t>
      </w:r>
      <w:r w:rsidR="007C1AA9">
        <w:t xml:space="preserve">voting procedure </w:t>
      </w:r>
      <w:r w:rsidR="005A4433">
        <w:t>that is used</w:t>
      </w:r>
      <w:r w:rsidR="007C1AA9">
        <w:t xml:space="preserve"> depends on the legal basis of the </w:t>
      </w:r>
      <w:r w:rsidR="007C1AA9">
        <w:lastRenderedPageBreak/>
        <w:t xml:space="preserve">act (Heisenberg, 2005). </w:t>
      </w:r>
      <w:r w:rsidR="007C1AA9" w:rsidRPr="00D223C3">
        <w:t xml:space="preserve">The difference between voting </w:t>
      </w:r>
      <w:r w:rsidR="00AF40F8" w:rsidRPr="00AF40F8">
        <w:t>by</w:t>
      </w:r>
      <w:r w:rsidR="007C1AA9" w:rsidRPr="00D223C3">
        <w:t xml:space="preserve"> QMV or </w:t>
      </w:r>
      <w:r w:rsidR="00AF40F8" w:rsidRPr="00AF40F8">
        <w:t xml:space="preserve">by </w:t>
      </w:r>
      <w:r w:rsidR="007C1AA9" w:rsidRPr="00D223C3">
        <w:t xml:space="preserve">unanimity </w:t>
      </w:r>
      <w:r w:rsidR="00317197" w:rsidRPr="00D223C3">
        <w:t xml:space="preserve">in the Council </w:t>
      </w:r>
      <w:r w:rsidR="007C1AA9" w:rsidRPr="00D223C3">
        <w:t>is the first major difference in European decision-making procedures.</w:t>
      </w:r>
      <w:r w:rsidR="007C1AA9">
        <w:t xml:space="preserve"> </w:t>
      </w:r>
    </w:p>
    <w:p w14:paraId="5F6C9776" w14:textId="0004E7CA" w:rsidR="007134A2" w:rsidRPr="000C02F4" w:rsidRDefault="007C1AA9" w:rsidP="007134A2">
      <w:pPr>
        <w:spacing w:line="360" w:lineRule="auto"/>
      </w:pPr>
      <w:r>
        <w:t>QMV</w:t>
      </w:r>
      <w:r w:rsidR="002A2B1F">
        <w:t xml:space="preserve"> has been </w:t>
      </w:r>
      <w:r w:rsidR="0069165F">
        <w:t>extended to many decision-making subject</w:t>
      </w:r>
      <w:r w:rsidR="002A2B1F">
        <w:t>s</w:t>
      </w:r>
      <w:r w:rsidR="0069165F">
        <w:t xml:space="preserve"> </w:t>
      </w:r>
      <w:r w:rsidR="002A2B1F">
        <w:t xml:space="preserve">since </w:t>
      </w:r>
      <w:r w:rsidR="0069165F">
        <w:t>the Single European Act</w:t>
      </w:r>
      <w:r w:rsidR="002A2B1F">
        <w:t xml:space="preserve"> </w:t>
      </w:r>
      <w:r w:rsidR="00F71378">
        <w:t>was</w:t>
      </w:r>
      <w:r w:rsidR="002A2B1F">
        <w:t xml:space="preserve"> signed</w:t>
      </w:r>
      <w:r w:rsidR="0069165F">
        <w:t xml:space="preserve"> </w:t>
      </w:r>
      <w:r>
        <w:t>(Heisenberg, 2005). It is a rather complicated procedure</w:t>
      </w:r>
      <w:r w:rsidR="00F71378">
        <w:t xml:space="preserve"> that</w:t>
      </w:r>
      <w:r>
        <w:t xml:space="preserve"> deserves some explanation.</w:t>
      </w:r>
      <w:r w:rsidR="0069165F">
        <w:t xml:space="preserve"> </w:t>
      </w:r>
      <w:r w:rsidR="001929B7">
        <w:t>As decided by the Lisbon treaty</w:t>
      </w:r>
      <w:r w:rsidR="00B01A88">
        <w:t xml:space="preserve">, </w:t>
      </w:r>
      <w:r w:rsidR="00F71378">
        <w:t>it is currently</w:t>
      </w:r>
      <w:r w:rsidR="00B01A88">
        <w:t xml:space="preserve"> as follows</w:t>
      </w:r>
      <w:r w:rsidR="0069165F">
        <w:t>.</w:t>
      </w:r>
      <w:r>
        <w:t xml:space="preserve"> A proposal is accepted </w:t>
      </w:r>
      <w:r w:rsidR="002A2B1F">
        <w:t xml:space="preserve">by the Council </w:t>
      </w:r>
      <w:r>
        <w:t xml:space="preserve">when 55% of the member states – in practice, this is 16 of the 28 – vote in favor or the proposal. Those countries have to </w:t>
      </w:r>
      <w:r w:rsidR="00F9600D">
        <w:t>cover</w:t>
      </w:r>
      <w:r>
        <w:t xml:space="preserve"> 65% of the European population (European Council, 2017). However, member states have an option to block the proposal, called the ‘blocking minority’. If at least four member</w:t>
      </w:r>
      <w:r w:rsidR="00FD624C">
        <w:t>s</w:t>
      </w:r>
      <w:r>
        <w:t xml:space="preserve"> of the Council w</w:t>
      </w:r>
      <w:r w:rsidR="00F71378">
        <w:t>hich</w:t>
      </w:r>
      <w:r>
        <w:t xml:space="preserve"> together</w:t>
      </w:r>
      <w:r w:rsidR="00F71378">
        <w:t xml:space="preserve"> include</w:t>
      </w:r>
      <w:r>
        <w:t xml:space="preserve"> 35% of the European population vote against, the proposal is rejected. </w:t>
      </w:r>
      <w:r w:rsidR="00FD624C">
        <w:t xml:space="preserve">This is a bias in favor of bigger member states, since smaller member states will never be able to block a proposal, simply because they will </w:t>
      </w:r>
      <w:r w:rsidR="0069165F">
        <w:t xml:space="preserve">never reach the 35% population. </w:t>
      </w:r>
      <w:r w:rsidR="001929B7">
        <w:t>This procedure entered into force</w:t>
      </w:r>
      <w:r w:rsidR="00F71378">
        <w:t xml:space="preserve"> on</w:t>
      </w:r>
      <w:r w:rsidR="001929B7">
        <w:t xml:space="preserve"> the 1</w:t>
      </w:r>
      <w:r w:rsidR="001929B7" w:rsidRPr="001929B7">
        <w:rPr>
          <w:vertAlign w:val="superscript"/>
        </w:rPr>
        <w:t>st</w:t>
      </w:r>
      <w:r w:rsidR="001929B7">
        <w:t xml:space="preserve"> of November 2014</w:t>
      </w:r>
      <w:r w:rsidR="00992EC0">
        <w:t>.</w:t>
      </w:r>
      <w:r w:rsidR="001929B7">
        <w:t xml:space="preserve"> QM</w:t>
      </w:r>
      <w:r w:rsidR="00F71378">
        <w:t>V</w:t>
      </w:r>
      <w:r w:rsidR="001929B7">
        <w:t xml:space="preserve"> was already introduced in the treaty of Nice, but the</w:t>
      </w:r>
      <w:r w:rsidR="00F71378">
        <w:t>se</w:t>
      </w:r>
      <w:r w:rsidR="001929B7">
        <w:t xml:space="preserve"> </w:t>
      </w:r>
      <w:r w:rsidR="002A2B1F">
        <w:t xml:space="preserve">QMV </w:t>
      </w:r>
      <w:r w:rsidR="001929B7">
        <w:t xml:space="preserve">rules were slightly different (Devaney and Poptcheva, 2014). </w:t>
      </w:r>
      <w:r w:rsidR="007134A2">
        <w:t xml:space="preserve">According to some scholars, the power of the Commission has increased by the introduction of QMV, because not every member state has to agree with the proposal (Schulz and Konig, 2000). </w:t>
      </w:r>
    </w:p>
    <w:p w14:paraId="63FB7E14" w14:textId="77777777" w:rsidR="00255CD7" w:rsidRDefault="007C1AA9" w:rsidP="007C1AA9">
      <w:pPr>
        <w:spacing w:line="360" w:lineRule="auto"/>
      </w:pPr>
      <w:r>
        <w:t xml:space="preserve">One of the European </w:t>
      </w:r>
      <w:r w:rsidRPr="003205EF">
        <w:rPr>
          <w:b/>
          <w:i/>
        </w:rPr>
        <w:t>special decision-making procedures</w:t>
      </w:r>
      <w:r>
        <w:t xml:space="preserve"> is the consultation procedure. The European Parliament can </w:t>
      </w:r>
      <w:r w:rsidR="002A2B1F">
        <w:t xml:space="preserve">only </w:t>
      </w:r>
      <w:r>
        <w:t>advise the Council on topics</w:t>
      </w:r>
      <w:r w:rsidR="002A2B1F">
        <w:t xml:space="preserve"> in this case</w:t>
      </w:r>
      <w:r>
        <w:t>. The second special procedure, the agreement procedure, gives more power to the European Parliament. In that case, the EP has to agree, put has no power to amend legislation. This used to be named the cooperation proce</w:t>
      </w:r>
      <w:r w:rsidR="00760594">
        <w:t xml:space="preserve">dure (Schulz and Konig, 2000). </w:t>
      </w:r>
    </w:p>
    <w:p w14:paraId="4220BAE7" w14:textId="75D6FB79" w:rsidR="006B6224" w:rsidRDefault="00376E75" w:rsidP="00376E75">
      <w:pPr>
        <w:spacing w:line="360" w:lineRule="auto"/>
      </w:pPr>
      <w:r>
        <w:t>Since the co-decision procedure is most often used, this paper will focus on that procedure</w:t>
      </w:r>
      <w:r w:rsidR="00513548">
        <w:t xml:space="preserve">, its fairness </w:t>
      </w:r>
      <w:r w:rsidR="00D223C3">
        <w:t>and its impact on compliance</w:t>
      </w:r>
      <w:r w:rsidR="00E84D71">
        <w:t xml:space="preserve"> with the legislation that is produced via this procedure</w:t>
      </w:r>
      <w:r>
        <w:t>. However, differences are still pos</w:t>
      </w:r>
      <w:r w:rsidR="00094CF5">
        <w:t>sible within this procedure. Therefore,</w:t>
      </w:r>
      <w:r>
        <w:t xml:space="preserve"> the fairness of a procedure can </w:t>
      </w:r>
      <w:r w:rsidR="00D223C3">
        <w:t xml:space="preserve">also </w:t>
      </w:r>
      <w:r>
        <w:t xml:space="preserve">differ. </w:t>
      </w:r>
    </w:p>
    <w:p w14:paraId="357DC790" w14:textId="406F9EB9" w:rsidR="00D13E21" w:rsidRDefault="00D13E21" w:rsidP="006945C7">
      <w:pPr>
        <w:pStyle w:val="Kop4"/>
        <w:spacing w:line="360" w:lineRule="auto"/>
      </w:pPr>
      <w:r>
        <w:t>Outcome favorability</w:t>
      </w:r>
    </w:p>
    <w:p w14:paraId="672D637E" w14:textId="212F653B" w:rsidR="00654486" w:rsidRDefault="000425EA" w:rsidP="00654486">
      <w:pPr>
        <w:spacing w:line="360" w:lineRule="auto"/>
      </w:pPr>
      <w:r w:rsidRPr="00992EC0">
        <w:t xml:space="preserve">There is much debate about how procedural fairness interacts with other explaining factors, </w:t>
      </w:r>
      <w:r w:rsidR="00E84D71">
        <w:t xml:space="preserve">in particular </w:t>
      </w:r>
      <w:r w:rsidRPr="00992EC0">
        <w:t>outcome favorability (Gangl, 2003; Grimes, 2006; Esaiasson, 2010; Visschers and Siegrist, 2012; Esaiasson</w:t>
      </w:r>
      <w:r w:rsidR="00CB7002" w:rsidRPr="00992EC0">
        <w:t xml:space="preserve"> et al.</w:t>
      </w:r>
      <w:r w:rsidRPr="00992EC0">
        <w:t>, 2012). Outcome favorability is about the willingne</w:t>
      </w:r>
      <w:r>
        <w:t xml:space="preserve">ss </w:t>
      </w:r>
      <w:r w:rsidR="00654486">
        <w:t xml:space="preserve">to accept </w:t>
      </w:r>
      <w:r>
        <w:t>a</w:t>
      </w:r>
      <w:r w:rsidR="00654486">
        <w:t xml:space="preserve"> decision</w:t>
      </w:r>
      <w:r w:rsidR="00E84D71">
        <w:t xml:space="preserve"> </w:t>
      </w:r>
      <w:r w:rsidR="00654486">
        <w:t>(Esaiasson et al., 2016)</w:t>
      </w:r>
      <w:r w:rsidR="00E84D71">
        <w:t xml:space="preserve">; it </w:t>
      </w:r>
      <w:r w:rsidR="00654486">
        <w:t xml:space="preserve">is defined as ‘the degree to which a decision coincides with an individual’s preference’ (Esaiasson et al., 2016; p. 2). Outcome favorability is </w:t>
      </w:r>
      <w:r w:rsidR="006B45F6">
        <w:t>a</w:t>
      </w:r>
      <w:r w:rsidR="00654486">
        <w:t xml:space="preserve"> predictor for decision acceptance</w:t>
      </w:r>
      <w:r w:rsidR="00E84D71">
        <w:t xml:space="preserve"> and compliance, as is also </w:t>
      </w:r>
      <w:r w:rsidR="00654486">
        <w:t xml:space="preserve">found in </w:t>
      </w:r>
      <w:r w:rsidR="00E84D71">
        <w:t xml:space="preserve">EU </w:t>
      </w:r>
      <w:r w:rsidR="00654486">
        <w:t xml:space="preserve">compliance literature. Member states are more likely to comply when they favor the policy outcome (Mastenbroek, 2005). This has been </w:t>
      </w:r>
      <w:r w:rsidR="007633FD">
        <w:t>studi</w:t>
      </w:r>
      <w:r w:rsidR="00654486">
        <w:t>ed extensively</w:t>
      </w:r>
      <w:r w:rsidR="00E84D71">
        <w:t xml:space="preserve">, </w:t>
      </w:r>
      <w:r w:rsidR="00E84D71">
        <w:lastRenderedPageBreak/>
        <w:t>in particular in third wave studies</w:t>
      </w:r>
      <w:r w:rsidR="00654486">
        <w:t>.</w:t>
      </w:r>
      <w:r w:rsidR="006E1A71">
        <w:t xml:space="preserve"> So, o</w:t>
      </w:r>
      <w:r w:rsidR="00654486">
        <w:t xml:space="preserve">utcome favorability – on state level – </w:t>
      </w:r>
      <w:r w:rsidR="006E1A71">
        <w:t xml:space="preserve">can </w:t>
      </w:r>
      <w:r w:rsidR="00654486">
        <w:t>determine</w:t>
      </w:r>
      <w:r w:rsidR="007633FD">
        <w:t xml:space="preserve"> an EU state’s</w:t>
      </w:r>
      <w:r w:rsidR="006E1A71">
        <w:t xml:space="preserve"> </w:t>
      </w:r>
      <w:r w:rsidR="00654486">
        <w:t>degree</w:t>
      </w:r>
      <w:r w:rsidR="006E1A71">
        <w:t xml:space="preserve"> of compliance. </w:t>
      </w:r>
    </w:p>
    <w:p w14:paraId="534ED36E" w14:textId="324B3BFC" w:rsidR="00A75939" w:rsidRDefault="000B4424" w:rsidP="00094CF5">
      <w:pPr>
        <w:spacing w:line="360" w:lineRule="auto"/>
      </w:pPr>
      <w:r>
        <w:t xml:space="preserve">The </w:t>
      </w:r>
      <w:r w:rsidR="00A75939">
        <w:t>effect</w:t>
      </w:r>
      <w:r>
        <w:t xml:space="preserve"> of procedural fairness </w:t>
      </w:r>
      <w:r w:rsidR="00E84D71">
        <w:t xml:space="preserve">on compliance </w:t>
      </w:r>
      <w:r>
        <w:t>would be e</w:t>
      </w:r>
      <w:r w:rsidR="003B60E1">
        <w:t>specially</w:t>
      </w:r>
      <w:r>
        <w:t xml:space="preserve"> visible when </w:t>
      </w:r>
      <w:r w:rsidR="00A75939">
        <w:t>a member state does not favor the outcome of a certain decision-making procedure. Non-compliance would then be expected</w:t>
      </w:r>
      <w:r w:rsidR="00312357">
        <w:t xml:space="preserve">, from a </w:t>
      </w:r>
      <w:r w:rsidR="00E84D71">
        <w:t xml:space="preserve">‘favorability’ / </w:t>
      </w:r>
      <w:r w:rsidR="00312357">
        <w:t>‘willingness’-perspective.</w:t>
      </w:r>
      <w:r w:rsidR="006C78A6">
        <w:t xml:space="preserve"> </w:t>
      </w:r>
      <w:r w:rsidR="00A75939">
        <w:t>A high degree of procedural fairness could however lead to compliance</w:t>
      </w:r>
      <w:r w:rsidR="006C78A6">
        <w:t>, following the reasoning behind hypothesis 1</w:t>
      </w:r>
      <w:r w:rsidR="00A75939">
        <w:t>. The effect of procedural fairness</w:t>
      </w:r>
      <w:r w:rsidR="00E84D71">
        <w:t xml:space="preserve"> on compliance</w:t>
      </w:r>
      <w:r w:rsidR="00A75939">
        <w:t xml:space="preserve"> </w:t>
      </w:r>
      <w:r w:rsidR="006C78A6">
        <w:t>would</w:t>
      </w:r>
      <w:r w:rsidR="00A75939">
        <w:t xml:space="preserve"> </w:t>
      </w:r>
      <w:r w:rsidR="006C78A6">
        <w:t xml:space="preserve">be </w:t>
      </w:r>
      <w:r w:rsidR="00E84D71">
        <w:t xml:space="preserve">demonstrated </w:t>
      </w:r>
      <w:r w:rsidR="006C78A6">
        <w:t>convincing</w:t>
      </w:r>
      <w:r w:rsidR="00992EC0">
        <w:t>ly</w:t>
      </w:r>
      <w:r w:rsidR="006C78A6">
        <w:t xml:space="preserve"> </w:t>
      </w:r>
      <w:r w:rsidR="00A75939">
        <w:t xml:space="preserve">in a case where the </w:t>
      </w:r>
      <w:r>
        <w:t>outcome favorab</w:t>
      </w:r>
      <w:r w:rsidR="00A75939">
        <w:t xml:space="preserve">ility is low, the procedural fairness is high and the member state does comply. </w:t>
      </w:r>
    </w:p>
    <w:p w14:paraId="0B22365E" w14:textId="77777777" w:rsidR="00EF102E" w:rsidRDefault="00094CF5" w:rsidP="00094CF5">
      <w:pPr>
        <w:spacing w:line="360" w:lineRule="auto"/>
      </w:pPr>
      <w:r>
        <w:t xml:space="preserve">This leads to the second hypothesis. </w:t>
      </w:r>
    </w:p>
    <w:p w14:paraId="5918DF41" w14:textId="16D34663" w:rsidR="00094CF5" w:rsidRDefault="00094CF5" w:rsidP="00094CF5">
      <w:pPr>
        <w:spacing w:line="360" w:lineRule="auto"/>
      </w:pPr>
      <w:r>
        <w:t>H2:</w:t>
      </w:r>
    </w:p>
    <w:p w14:paraId="2A39997B" w14:textId="168F71F1" w:rsidR="00094CF5" w:rsidRPr="00992EC0" w:rsidRDefault="00094CF5" w:rsidP="00855EAC">
      <w:pPr>
        <w:spacing w:line="360" w:lineRule="auto"/>
        <w:ind w:left="708"/>
      </w:pPr>
      <w:r>
        <w:t>Mem</w:t>
      </w:r>
      <w:r w:rsidRPr="00992EC0">
        <w:t xml:space="preserve">ber states who are against a certain </w:t>
      </w:r>
      <w:r w:rsidR="006C78A6" w:rsidRPr="00992EC0">
        <w:t>directive</w:t>
      </w:r>
      <w:r w:rsidRPr="00992EC0">
        <w:t xml:space="preserve"> </w:t>
      </w:r>
      <w:r w:rsidR="00493162" w:rsidRPr="00992EC0">
        <w:t>for outcome reasons</w:t>
      </w:r>
      <w:r w:rsidR="00E84D71">
        <w:t>,</w:t>
      </w:r>
      <w:r w:rsidR="00493162" w:rsidRPr="00992EC0">
        <w:t xml:space="preserve"> </w:t>
      </w:r>
      <w:r w:rsidRPr="00992EC0">
        <w:t xml:space="preserve">are more likely to comply with that </w:t>
      </w:r>
      <w:r w:rsidR="006C78A6" w:rsidRPr="00992EC0">
        <w:t>directive</w:t>
      </w:r>
      <w:r w:rsidRPr="00992EC0">
        <w:t xml:space="preserve"> if the decision-making process was fair, compared to member states who </w:t>
      </w:r>
      <w:r w:rsidR="00513548" w:rsidRPr="00992EC0">
        <w:t xml:space="preserve">are against a </w:t>
      </w:r>
      <w:r w:rsidRPr="00992EC0">
        <w:t xml:space="preserve">certain </w:t>
      </w:r>
      <w:r w:rsidR="006C78A6" w:rsidRPr="00992EC0">
        <w:t>directive</w:t>
      </w:r>
      <w:r w:rsidRPr="00992EC0">
        <w:t xml:space="preserve"> </w:t>
      </w:r>
      <w:r w:rsidR="00D249F2" w:rsidRPr="00992EC0">
        <w:t>that</w:t>
      </w:r>
      <w:r w:rsidR="00513548" w:rsidRPr="00992EC0">
        <w:t xml:space="preserve"> had</w:t>
      </w:r>
      <w:r w:rsidRPr="00992EC0">
        <w:t xml:space="preserve"> a less fair decision-making procedure. </w:t>
      </w:r>
    </w:p>
    <w:p w14:paraId="767C10A7" w14:textId="24B9D309" w:rsidR="006C78A6" w:rsidRPr="00992EC0" w:rsidRDefault="006C78A6" w:rsidP="00094CF5">
      <w:pPr>
        <w:spacing w:line="360" w:lineRule="auto"/>
      </w:pPr>
      <w:r w:rsidRPr="00992EC0">
        <w:t xml:space="preserve">The first hypotheses split the three components of procedural fairness. This hypothesis does not, because it focuses on the comprehensive level of procedural fairness – when all aspects are included. A member state could perceive a procedure as fair, even when one of the components would be low. </w:t>
      </w:r>
      <w:r w:rsidR="00855EAC" w:rsidRPr="00992EC0">
        <w:t xml:space="preserve">An example makes this </w:t>
      </w:r>
      <w:r w:rsidR="006B45F6" w:rsidRPr="00992EC0">
        <w:t>clearer</w:t>
      </w:r>
      <w:r w:rsidR="00855EAC" w:rsidRPr="00992EC0">
        <w:t xml:space="preserve">: </w:t>
      </w:r>
      <w:r w:rsidRPr="00992EC0">
        <w:t xml:space="preserve">a process can still considered to be fair if voice and consistency are high, but dignity is low. </w:t>
      </w:r>
      <w:r w:rsidR="00855EAC" w:rsidRPr="00992EC0">
        <w:t xml:space="preserve">Moreover, the first hypothesis already provides insight in the influence of the various components on compliance. Splitting the components therefore </w:t>
      </w:r>
      <w:r w:rsidR="00D249F2" w:rsidRPr="00992EC0">
        <w:t xml:space="preserve">makes </w:t>
      </w:r>
      <w:r w:rsidR="00855EAC" w:rsidRPr="00992EC0">
        <w:t xml:space="preserve">no sense for this hypothesis. </w:t>
      </w:r>
    </w:p>
    <w:p w14:paraId="7EC1C77D" w14:textId="7D512329" w:rsidR="00094CF5" w:rsidRPr="00272BB1" w:rsidRDefault="00094CF5" w:rsidP="00094CF5">
      <w:pPr>
        <w:spacing w:line="360" w:lineRule="auto"/>
      </w:pPr>
      <w:r w:rsidRPr="00992EC0">
        <w:t>These hypothe</w:t>
      </w:r>
      <w:r>
        <w:t xml:space="preserve">ses will be guiding </w:t>
      </w:r>
      <w:r w:rsidR="00D249F2">
        <w:t xml:space="preserve">the </w:t>
      </w:r>
      <w:r>
        <w:t>research</w:t>
      </w:r>
      <w:r w:rsidR="00D249F2">
        <w:t xml:space="preserve"> that follows</w:t>
      </w:r>
      <w:r>
        <w:t>. In the conclusion, these hypothes</w:t>
      </w:r>
      <w:r w:rsidR="00D249F2">
        <w:t>e</w:t>
      </w:r>
      <w:r>
        <w:t xml:space="preserve">s </w:t>
      </w:r>
      <w:r w:rsidR="009F7CD6">
        <w:t xml:space="preserve">will be </w:t>
      </w:r>
      <w:r>
        <w:t xml:space="preserve">discussed </w:t>
      </w:r>
      <w:r w:rsidR="009F7CD6">
        <w:t xml:space="preserve">again and conclusions will be drawn on whether </w:t>
      </w:r>
      <w:r>
        <w:t xml:space="preserve">they should be rejected or not. </w:t>
      </w:r>
    </w:p>
    <w:p w14:paraId="63794828" w14:textId="77777777" w:rsidR="009132B4" w:rsidRDefault="00493162" w:rsidP="006945C7">
      <w:pPr>
        <w:pStyle w:val="Kop3"/>
        <w:spacing w:line="360" w:lineRule="auto"/>
      </w:pPr>
      <w:bookmarkStart w:id="10" w:name="_Toc3547835"/>
      <w:r>
        <w:t>2.4 Summary</w:t>
      </w:r>
      <w:bookmarkEnd w:id="10"/>
    </w:p>
    <w:p w14:paraId="2F3BAA7B" w14:textId="4BDEFF54" w:rsidR="009132B4" w:rsidRDefault="009132B4" w:rsidP="009132B4">
      <w:pPr>
        <w:spacing w:line="360" w:lineRule="auto"/>
        <w:rPr>
          <w:rFonts w:asciiTheme="majorHAnsi" w:eastAsiaTheme="majorEastAsia" w:hAnsiTheme="majorHAnsi" w:cstheme="majorBidi"/>
          <w:color w:val="2E74B5" w:themeColor="accent1" w:themeShade="BF"/>
          <w:sz w:val="32"/>
          <w:szCs w:val="32"/>
        </w:rPr>
      </w:pPr>
      <w:r w:rsidRPr="00992EC0">
        <w:t>In this chapter, an overview of compliance literature was provided. Hypotheses were formulated after discussion of the concepts of procedural fairness and outcome favorability. EU decision making procedures were discussed as well, in order to be able to specify the hypotheses further in the next chapter.</w:t>
      </w:r>
      <w:r>
        <w:br w:type="page"/>
      </w:r>
    </w:p>
    <w:p w14:paraId="3CB3CD3B" w14:textId="3EBE8D33" w:rsidR="00A165CA" w:rsidRDefault="009132B4" w:rsidP="00A165CA">
      <w:pPr>
        <w:pStyle w:val="Kop1"/>
        <w:tabs>
          <w:tab w:val="left" w:pos="5295"/>
        </w:tabs>
      </w:pPr>
      <w:bookmarkStart w:id="11" w:name="_Toc3547836"/>
      <w:r>
        <w:lastRenderedPageBreak/>
        <w:t>C</w:t>
      </w:r>
      <w:r w:rsidR="00AA6CBE">
        <w:t xml:space="preserve">hapter </w:t>
      </w:r>
      <w:r w:rsidR="007C1AA9">
        <w:t>3</w:t>
      </w:r>
      <w:r w:rsidR="00A165CA">
        <w:t xml:space="preserve"> – Method</w:t>
      </w:r>
      <w:r w:rsidR="0078127C">
        <w:t>ological framework</w:t>
      </w:r>
      <w:bookmarkEnd w:id="11"/>
      <w:r w:rsidR="00A165CA">
        <w:t xml:space="preserve"> </w:t>
      </w:r>
      <w:r w:rsidR="00A165CA">
        <w:tab/>
      </w:r>
    </w:p>
    <w:p w14:paraId="58D523AE" w14:textId="77777777" w:rsidR="00A165CA" w:rsidRDefault="00A165CA" w:rsidP="00A165CA"/>
    <w:p w14:paraId="126E977C" w14:textId="2CBEDE1F" w:rsidR="008C0506" w:rsidRDefault="008C0506" w:rsidP="009175BA">
      <w:pPr>
        <w:spacing w:line="360" w:lineRule="auto"/>
      </w:pPr>
      <w:r w:rsidRPr="008C0506">
        <w:t xml:space="preserve">In the previous chapter, </w:t>
      </w:r>
      <w:r w:rsidR="00C845DF">
        <w:t xml:space="preserve">the </w:t>
      </w:r>
      <w:r w:rsidRPr="008C0506">
        <w:t>concept of procedural fairness</w:t>
      </w:r>
      <w:r w:rsidR="00855EAC">
        <w:t xml:space="preserve"> and its components voice, dignity and consistency</w:t>
      </w:r>
      <w:r w:rsidR="00D249F2">
        <w:t xml:space="preserve"> were elaborated upon</w:t>
      </w:r>
      <w:r w:rsidR="00855EAC">
        <w:t xml:space="preserve">. </w:t>
      </w:r>
      <w:r w:rsidR="00925268">
        <w:t>The legitimacy explanation for (non-)compliance was highlighted and it was made clear that fairness of decision-making procedures determines this legitimacy. Hypotheses were formulated in the final p</w:t>
      </w:r>
      <w:r w:rsidR="00896AE8">
        <w:t xml:space="preserve">art, after EU decision-making processes were discussed. </w:t>
      </w:r>
    </w:p>
    <w:p w14:paraId="7A38FB7C" w14:textId="3547BC4B" w:rsidR="000C02F4" w:rsidRDefault="00925268" w:rsidP="009175BA">
      <w:pPr>
        <w:spacing w:line="360" w:lineRule="auto"/>
      </w:pPr>
      <w:r>
        <w:t xml:space="preserve">This section </w:t>
      </w:r>
      <w:r w:rsidR="000C02F4">
        <w:t xml:space="preserve">is devoted to the methodology of this </w:t>
      </w:r>
      <w:r w:rsidR="00884C9E">
        <w:t>study</w:t>
      </w:r>
      <w:r>
        <w:t xml:space="preserve"> and </w:t>
      </w:r>
      <w:r w:rsidR="00884C9E">
        <w:t>hence</w:t>
      </w:r>
      <w:r>
        <w:t xml:space="preserve"> builds on choices made in the theoretical framework.</w:t>
      </w:r>
      <w:r w:rsidR="000C02F4">
        <w:t xml:space="preserve"> </w:t>
      </w:r>
      <w:r w:rsidR="004504C1">
        <w:t xml:space="preserve">All choices regarding methodology will be explained. </w:t>
      </w:r>
      <w:r w:rsidR="000C02F4">
        <w:t xml:space="preserve">This section </w:t>
      </w:r>
      <w:r w:rsidR="004504C1">
        <w:t xml:space="preserve">thus </w:t>
      </w:r>
      <w:r w:rsidR="000C02F4">
        <w:t xml:space="preserve">contains information about the variables, the operationalization, the research units, a discussion about the up- and downsides of </w:t>
      </w:r>
      <w:r w:rsidR="004408D7">
        <w:t>the statistical methods</w:t>
      </w:r>
      <w:r w:rsidR="000C02F4">
        <w:t xml:space="preserve"> and an evaluation of the validity and reliability of the results. </w:t>
      </w:r>
    </w:p>
    <w:p w14:paraId="7714CDE9" w14:textId="4ED1B8EA" w:rsidR="007A5001" w:rsidRDefault="00017B44" w:rsidP="007A5001">
      <w:pPr>
        <w:pStyle w:val="Kop3"/>
        <w:spacing w:line="360" w:lineRule="auto"/>
      </w:pPr>
      <w:bookmarkStart w:id="12" w:name="_Toc3547837"/>
      <w:r>
        <w:t xml:space="preserve">3.1 </w:t>
      </w:r>
      <w:r w:rsidR="007A5001">
        <w:t>Research strategy</w:t>
      </w:r>
      <w:bookmarkEnd w:id="12"/>
    </w:p>
    <w:p w14:paraId="742C6C3C" w14:textId="4F1AAA10" w:rsidR="007A5001" w:rsidRDefault="007A5001" w:rsidP="007A5001">
      <w:pPr>
        <w:spacing w:line="360" w:lineRule="auto"/>
      </w:pPr>
      <w:r>
        <w:t>In order to discover the relation between procedural fairness and compliance</w:t>
      </w:r>
      <w:r w:rsidR="00C845DF">
        <w:t>, this</w:t>
      </w:r>
      <w:r>
        <w:t xml:space="preserve"> </w:t>
      </w:r>
      <w:r w:rsidR="007F6DD6">
        <w:t>study</w:t>
      </w:r>
      <w:r>
        <w:t xml:space="preserve"> in</w:t>
      </w:r>
      <w:r w:rsidR="007F6DD6">
        <w:t>vestigates</w:t>
      </w:r>
      <w:r>
        <w:t xml:space="preserve"> the influence of decision-making procedures on compliance, and more specifically, the fairness of these procedures. </w:t>
      </w:r>
      <w:r w:rsidR="007A2DB3" w:rsidRPr="00D96891">
        <w:t xml:space="preserve">The first hypothesis will be tested by using multiple regression analysis, with </w:t>
      </w:r>
      <w:r w:rsidR="007A2DB3">
        <w:t>615</w:t>
      </w:r>
      <w:r w:rsidR="007A2DB3" w:rsidRPr="00D96891">
        <w:t xml:space="preserve"> cases </w:t>
      </w:r>
      <w:r w:rsidR="007A2DB3">
        <w:t xml:space="preserve">of (non-) compliance with 22 directives </w:t>
      </w:r>
      <w:r w:rsidR="007A2DB3" w:rsidRPr="00D96891">
        <w:t>in the dataset.</w:t>
      </w:r>
      <w:r w:rsidR="007A2DB3">
        <w:t xml:space="preserve"> </w:t>
      </w:r>
      <w:r w:rsidR="007A552A">
        <w:t xml:space="preserve">Decision-making procedures within the EU can vary in fairness. </w:t>
      </w:r>
      <w:r>
        <w:t xml:space="preserve">By coding </w:t>
      </w:r>
      <w:r w:rsidR="00D27544">
        <w:t xml:space="preserve">22 </w:t>
      </w:r>
      <w:r>
        <w:t>decision-making procedures on several ‘fair’ components, the ‘fairness’ of a certain decision-making procedure can be determined.</w:t>
      </w:r>
    </w:p>
    <w:p w14:paraId="67413F18" w14:textId="5BAB430E" w:rsidR="0071368C" w:rsidRPr="00D96891" w:rsidRDefault="0071368C" w:rsidP="007A5001">
      <w:pPr>
        <w:spacing w:line="360" w:lineRule="auto"/>
      </w:pPr>
      <w:r w:rsidRPr="00D96891">
        <w:t xml:space="preserve">The second hypothesis will be tested by </w:t>
      </w:r>
      <w:r w:rsidR="00D96891">
        <w:t>the Mann-Whitney test</w:t>
      </w:r>
      <w:r w:rsidRPr="00D96891">
        <w:t>, but only with the</w:t>
      </w:r>
      <w:r w:rsidR="00D27544">
        <w:t xml:space="preserve"> 17</w:t>
      </w:r>
      <w:r w:rsidRPr="00D96891">
        <w:t xml:space="preserve"> cases </w:t>
      </w:r>
      <w:r w:rsidR="007A2DB3">
        <w:t xml:space="preserve">of (non-)compliance </w:t>
      </w:r>
      <w:r w:rsidR="007A2DB3" w:rsidRPr="00F4052B">
        <w:t xml:space="preserve">with </w:t>
      </w:r>
      <w:r w:rsidR="00F4052B" w:rsidRPr="00F4052B">
        <w:t>10</w:t>
      </w:r>
      <w:r w:rsidR="007A2DB3" w:rsidRPr="00F4052B">
        <w:t xml:space="preserve"> directives</w:t>
      </w:r>
      <w:r w:rsidR="007A2DB3">
        <w:t xml:space="preserve"> </w:t>
      </w:r>
      <w:r w:rsidRPr="00D96891">
        <w:t>in the dataset whe</w:t>
      </w:r>
      <w:r w:rsidR="00C845DF">
        <w:t xml:space="preserve">re member states voted against a proposal for a directive in the European Council. </w:t>
      </w:r>
    </w:p>
    <w:p w14:paraId="4D1E5AF4" w14:textId="75BFBC31" w:rsidR="00567E8C" w:rsidRDefault="00017B44" w:rsidP="00567E8C">
      <w:pPr>
        <w:pStyle w:val="Kop3"/>
        <w:spacing w:line="360" w:lineRule="auto"/>
      </w:pPr>
      <w:bookmarkStart w:id="13" w:name="_Toc3547838"/>
      <w:r>
        <w:t xml:space="preserve">3.2 </w:t>
      </w:r>
      <w:r w:rsidR="00567E8C">
        <w:t>Data analysis</w:t>
      </w:r>
      <w:bookmarkEnd w:id="13"/>
    </w:p>
    <w:p w14:paraId="10ECBE3F" w14:textId="231A2A5B" w:rsidR="00D96891" w:rsidRDefault="00D96891" w:rsidP="00D96891">
      <w:pPr>
        <w:pStyle w:val="Kop4"/>
      </w:pPr>
      <w:r>
        <w:t>Regression analysis</w:t>
      </w:r>
    </w:p>
    <w:p w14:paraId="20941750" w14:textId="15B8D15D" w:rsidR="00567E8C" w:rsidRDefault="00567E8C" w:rsidP="00567E8C">
      <w:pPr>
        <w:spacing w:line="360" w:lineRule="auto"/>
      </w:pPr>
      <w:r>
        <w:t xml:space="preserve">In this thesis, regression analysis will be used to test the </w:t>
      </w:r>
      <w:r w:rsidR="004408D7">
        <w:t>first hypotheses</w:t>
      </w:r>
      <w:r>
        <w:t>. In the section below, it is explained why regression analysis is</w:t>
      </w:r>
      <w:r w:rsidR="004408D7">
        <w:t xml:space="preserve"> best</w:t>
      </w:r>
      <w:r w:rsidR="007F6DD6">
        <w:t xml:space="preserve"> </w:t>
      </w:r>
      <w:r w:rsidR="004408D7">
        <w:t xml:space="preserve">suited for these hypotheses. </w:t>
      </w:r>
    </w:p>
    <w:p w14:paraId="6C4F1547" w14:textId="523ACFEF" w:rsidR="00567E8C" w:rsidRPr="00992EC0" w:rsidRDefault="00C845DF" w:rsidP="00567E8C">
      <w:pPr>
        <w:spacing w:line="360" w:lineRule="auto"/>
      </w:pPr>
      <w:r>
        <w:t>Regression analysi</w:t>
      </w:r>
      <w:r w:rsidR="00567E8C">
        <w:t xml:space="preserve">s </w:t>
      </w:r>
      <w:r>
        <w:t>is</w:t>
      </w:r>
      <w:r w:rsidR="00567E8C">
        <w:t xml:space="preserve"> used to show a correlation between two variables</w:t>
      </w:r>
      <w:r w:rsidR="007F6DD6">
        <w:t xml:space="preserve">, </w:t>
      </w:r>
      <w:r w:rsidR="00567E8C">
        <w:t>produc</w:t>
      </w:r>
      <w:r w:rsidR="007F6DD6">
        <w:t>ing</w:t>
      </w:r>
      <w:r w:rsidR="00567E8C">
        <w:t xml:space="preserve"> the regression coefficient that shows the effect of the independent variable on the depe</w:t>
      </w:r>
      <w:r w:rsidR="0008743F">
        <w:t xml:space="preserve">ndent variable (Pollock, 2011). </w:t>
      </w:r>
      <w:r w:rsidR="00567E8C">
        <w:t xml:space="preserve">Regression analysis is also able to produce a coefficient that estimates </w:t>
      </w:r>
      <w:r>
        <w:t>to what extent</w:t>
      </w:r>
      <w:r w:rsidR="00567E8C">
        <w:t xml:space="preserve"> the independent variable is able to explain the dependent variable, namely the R-square (Pollock, 2011). Howe</w:t>
      </w:r>
      <w:r w:rsidR="00567E8C" w:rsidRPr="00992EC0">
        <w:t>ver, the direction of the relation also matters. Regression analysis can discover th</w:t>
      </w:r>
      <w:r w:rsidR="007A552A" w:rsidRPr="00992EC0">
        <w:t>is</w:t>
      </w:r>
      <w:r w:rsidR="00567E8C" w:rsidRPr="00992EC0">
        <w:t xml:space="preserve"> ‘causal arrow’</w:t>
      </w:r>
      <w:r w:rsidRPr="00992EC0">
        <w:t xml:space="preserve"> </w:t>
      </w:r>
      <w:r w:rsidR="002A38D1" w:rsidRPr="00992EC0">
        <w:t xml:space="preserve">by testing the correlation </w:t>
      </w:r>
      <w:r w:rsidRPr="00992EC0">
        <w:t>between two variables</w:t>
      </w:r>
      <w:r w:rsidR="002310F9" w:rsidRPr="00992EC0">
        <w:t xml:space="preserve"> and its direction</w:t>
      </w:r>
      <w:r w:rsidRPr="00992EC0">
        <w:t xml:space="preserve">, for example between procedural fairness and </w:t>
      </w:r>
      <w:r w:rsidR="006B45F6" w:rsidRPr="00992EC0">
        <w:t>compliance</w:t>
      </w:r>
      <w:r w:rsidR="00567E8C" w:rsidRPr="00992EC0">
        <w:t xml:space="preserve"> (Lewis-Beck, 1995). </w:t>
      </w:r>
    </w:p>
    <w:p w14:paraId="30F02DFE" w14:textId="16A09338" w:rsidR="00567E8C" w:rsidRPr="00992EC0" w:rsidRDefault="00567E8C" w:rsidP="00567E8C">
      <w:pPr>
        <w:spacing w:line="360" w:lineRule="auto"/>
      </w:pPr>
      <w:r w:rsidRPr="00992EC0">
        <w:lastRenderedPageBreak/>
        <w:t xml:space="preserve">In social sciences, it is not likely that a relation between </w:t>
      </w:r>
      <w:r w:rsidR="0008743F" w:rsidRPr="00992EC0">
        <w:t xml:space="preserve">factors </w:t>
      </w:r>
      <w:r w:rsidRPr="00992EC0">
        <w:t>is comp</w:t>
      </w:r>
      <w:r w:rsidR="00C845DF" w:rsidRPr="00992EC0">
        <w:t xml:space="preserve">letely linear. This is also true </w:t>
      </w:r>
      <w:r w:rsidRPr="00992EC0">
        <w:t xml:space="preserve">for the relation between procedural fairness and compliance. Therefore, the error term matters. The error is the difference between the observed value and the predicted value (Lewis-Beck, 1995). This shows the variance in the correlation. The prediction error is calculated as the sum of the squares of the individual errors (Lewis-Beck, 1995). For various regression lines, this technique can be applied. The line with the smallest value, the </w:t>
      </w:r>
      <w:r w:rsidRPr="00992EC0">
        <w:rPr>
          <w:i/>
        </w:rPr>
        <w:t>least squares</w:t>
      </w:r>
      <w:r w:rsidRPr="00992EC0">
        <w:t xml:space="preserve">¸ predicts the relation best. The intercept is a constant line, which gives the predicted value for Y when X = 0 (Lewis-Back, 1995). The difference in Y, when X goes up with one, is the slope. Based on the slope, interferences about the relation can be made. </w:t>
      </w:r>
    </w:p>
    <w:p w14:paraId="5C3AFFA7" w14:textId="7BCB644A" w:rsidR="00567E8C" w:rsidRPr="00992EC0" w:rsidRDefault="007A552A" w:rsidP="00567E8C">
      <w:pPr>
        <w:spacing w:line="360" w:lineRule="auto"/>
      </w:pPr>
      <w:r w:rsidRPr="00992EC0">
        <w:t>So, in this research</w:t>
      </w:r>
      <w:r w:rsidR="003E3743" w:rsidRPr="00992EC0">
        <w:t xml:space="preserve"> design</w:t>
      </w:r>
      <w:r w:rsidRPr="00992EC0">
        <w:t>, multiple d</w:t>
      </w:r>
      <w:r w:rsidR="00567E8C" w:rsidRPr="00992EC0">
        <w:t>ependent variable</w:t>
      </w:r>
      <w:r w:rsidR="003E3743" w:rsidRPr="00992EC0">
        <w:t>s</w:t>
      </w:r>
      <w:r w:rsidR="00567E8C" w:rsidRPr="00992EC0">
        <w:t xml:space="preserve"> predict the independent variable. This is called a </w:t>
      </w:r>
      <w:r w:rsidRPr="00992EC0">
        <w:t>multiple regression</w:t>
      </w:r>
      <w:r w:rsidR="00567E8C" w:rsidRPr="00992EC0">
        <w:t xml:space="preserve"> analysis (Pollock, 2011). The process is th</w:t>
      </w:r>
      <w:r w:rsidR="007A2DB3">
        <w:t>e</w:t>
      </w:r>
      <w:r w:rsidR="00567E8C" w:rsidRPr="00992EC0">
        <w:t>n named ordinary least squares (OLS) regression. An OLS regression model</w:t>
      </w:r>
      <w:r w:rsidR="002A38D1" w:rsidRPr="00992EC0">
        <w:t xml:space="preserve"> with multiple dependent variables </w:t>
      </w:r>
      <w:r w:rsidR="00567E8C" w:rsidRPr="00992EC0">
        <w:t xml:space="preserve">has the following equation. </w:t>
      </w:r>
      <w:r w:rsidR="002A38D1" w:rsidRPr="00992EC0">
        <w:br/>
      </w:r>
      <w:r w:rsidR="00D27544" w:rsidRPr="00992EC0">
        <w:rPr>
          <w:noProof/>
        </w:rPr>
        <w:drawing>
          <wp:inline distT="0" distB="0" distL="0" distR="0" wp14:anchorId="407DAACF" wp14:editId="21C8E585">
            <wp:extent cx="3000375" cy="32436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86518" cy="333678"/>
                    </a:xfrm>
                    <a:prstGeom prst="rect">
                      <a:avLst/>
                    </a:prstGeom>
                    <a:noFill/>
                    <a:ln>
                      <a:noFill/>
                    </a:ln>
                  </pic:spPr>
                </pic:pic>
              </a:graphicData>
            </a:graphic>
          </wp:inline>
        </w:drawing>
      </w:r>
      <w:r w:rsidR="00567E8C" w:rsidRPr="00992EC0">
        <w:br/>
        <w:t xml:space="preserve">In this equation, </w:t>
      </w:r>
      <w:r w:rsidR="002A38D1" w:rsidRPr="00992EC0">
        <w:rPr>
          <w:noProof/>
        </w:rPr>
        <w:drawing>
          <wp:inline distT="0" distB="0" distL="0" distR="0" wp14:anchorId="6D466F03" wp14:editId="0D8E4CD6">
            <wp:extent cx="114300" cy="163285"/>
            <wp:effectExtent l="0" t="0" r="0" b="825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3853" cy="176933"/>
                    </a:xfrm>
                    <a:prstGeom prst="rect">
                      <a:avLst/>
                    </a:prstGeom>
                    <a:noFill/>
                    <a:ln>
                      <a:noFill/>
                    </a:ln>
                  </pic:spPr>
                </pic:pic>
              </a:graphicData>
            </a:graphic>
          </wp:inline>
        </w:drawing>
      </w:r>
      <w:r w:rsidR="002A38D1" w:rsidRPr="00992EC0">
        <w:t xml:space="preserve"> </w:t>
      </w:r>
      <w:r w:rsidR="00567E8C" w:rsidRPr="00992EC0">
        <w:t xml:space="preserve">is the intercept, </w:t>
      </w:r>
      <w:r w:rsidR="002A38D1" w:rsidRPr="00992EC0">
        <w:rPr>
          <w:noProof/>
        </w:rPr>
        <w:drawing>
          <wp:inline distT="0" distB="0" distL="0" distR="0" wp14:anchorId="65FF4D31" wp14:editId="5E4476D2">
            <wp:extent cx="1333500" cy="1905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15381" cy="216483"/>
                    </a:xfrm>
                    <a:prstGeom prst="rect">
                      <a:avLst/>
                    </a:prstGeom>
                    <a:noFill/>
                    <a:ln>
                      <a:noFill/>
                    </a:ln>
                  </pic:spPr>
                </pic:pic>
              </a:graphicData>
            </a:graphic>
          </wp:inline>
        </w:drawing>
      </w:r>
      <w:r w:rsidR="002A38D1" w:rsidRPr="00992EC0">
        <w:rPr>
          <w:rFonts w:cstheme="minorHAnsi"/>
        </w:rPr>
        <w:t xml:space="preserve"> represent </w:t>
      </w:r>
      <w:r w:rsidR="00567E8C" w:rsidRPr="00992EC0">
        <w:t xml:space="preserve">the slope and </w:t>
      </w:r>
      <w:r w:rsidR="002A38D1" w:rsidRPr="00992EC0">
        <w:rPr>
          <w:noProof/>
        </w:rPr>
        <w:drawing>
          <wp:inline distT="0" distB="0" distL="0" distR="0" wp14:anchorId="3C9AD756" wp14:editId="14D91A18">
            <wp:extent cx="129048" cy="167005"/>
            <wp:effectExtent l="0" t="0" r="4445" b="444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1832" cy="183549"/>
                    </a:xfrm>
                    <a:prstGeom prst="rect">
                      <a:avLst/>
                    </a:prstGeom>
                    <a:noFill/>
                    <a:ln>
                      <a:noFill/>
                    </a:ln>
                  </pic:spPr>
                </pic:pic>
              </a:graphicData>
            </a:graphic>
          </wp:inline>
        </w:drawing>
      </w:r>
      <w:r w:rsidR="002A38D1" w:rsidRPr="00992EC0">
        <w:t>is</w:t>
      </w:r>
      <w:r w:rsidR="00567E8C" w:rsidRPr="00992EC0">
        <w:t xml:space="preserve"> the error term. </w:t>
      </w:r>
    </w:p>
    <w:p w14:paraId="5E6E9E54" w14:textId="226C49C6" w:rsidR="00567E8C" w:rsidRDefault="00567E8C" w:rsidP="00567E8C">
      <w:pPr>
        <w:spacing w:line="360" w:lineRule="auto"/>
      </w:pPr>
      <w:r w:rsidRPr="00992EC0">
        <w:t xml:space="preserve">The interpretation of the coefficients is as follows. The significance of a relationship depends on the </w:t>
      </w:r>
      <w:r w:rsidR="00C845DF" w:rsidRPr="00992EC0">
        <w:t>alpha,</w:t>
      </w:r>
      <w:r w:rsidR="00C845DF">
        <w:t xml:space="preserve"> which </w:t>
      </w:r>
      <w:r>
        <w:t>usually</w:t>
      </w:r>
      <w:r w:rsidR="00C845DF">
        <w:t xml:space="preserve"> has a value of</w:t>
      </w:r>
      <w:r>
        <w:t xml:space="preserve"> 0.05. </w:t>
      </w:r>
      <w:r w:rsidR="00C845DF">
        <w:t xml:space="preserve">Coefficients below this value indicate that the variables are likely to be correlated. </w:t>
      </w:r>
      <w:r>
        <w:t>Significance can be determined with the t-score and a t-table. The critical t-value depends on the degree of freedom, which is calculated as N-2 (Lewis-Beck, 1995). In this resear</w:t>
      </w:r>
      <w:r w:rsidRPr="00992EC0">
        <w:t>ch</w:t>
      </w:r>
      <w:r w:rsidR="003B64A9" w:rsidRPr="00992EC0">
        <w:t xml:space="preserve"> design</w:t>
      </w:r>
      <w:r w:rsidRPr="00992EC0">
        <w:t xml:space="preserve">, </w:t>
      </w:r>
      <w:r w:rsidR="00C845DF" w:rsidRPr="00992EC0">
        <w:t xml:space="preserve">the degrees of freedom would be 613, </w:t>
      </w:r>
      <w:r w:rsidR="00DF44FA" w:rsidRPr="00992EC0">
        <w:t xml:space="preserve">since </w:t>
      </w:r>
      <w:r w:rsidRPr="00992EC0">
        <w:t xml:space="preserve">the number of cases is </w:t>
      </w:r>
      <w:r w:rsidR="00DF44FA" w:rsidRPr="00992EC0">
        <w:t>615</w:t>
      </w:r>
      <w:r w:rsidRPr="00992EC0">
        <w:t>. The critical t-value then would be</w:t>
      </w:r>
      <w:r w:rsidR="00DF44FA" w:rsidRPr="00992EC0">
        <w:t xml:space="preserve"> 1.964</w:t>
      </w:r>
      <w:r w:rsidRPr="00992EC0">
        <w:t xml:space="preserve"> (Lewis-Beck, 1995). If the t-score is higher than this critical value, the null h</w:t>
      </w:r>
      <w:r>
        <w:t xml:space="preserve">ypothesis – which states that there is no relation between X and Y – can safely be rejected. If this t-score is lower than the critical t-value, the null hypothesis cannot be rejected. </w:t>
      </w:r>
    </w:p>
    <w:p w14:paraId="54BCF599" w14:textId="4FD915FF" w:rsidR="00567E8C" w:rsidRDefault="00567E8C" w:rsidP="00567E8C">
      <w:pPr>
        <w:spacing w:line="360" w:lineRule="auto"/>
      </w:pPr>
      <w:r>
        <w:t>If the value of the R-square is 1.0, the regres</w:t>
      </w:r>
      <w:r w:rsidR="00C845DF">
        <w:t>sion includes all the variation. This means that the independent variable(s) predict the dependent variable perfectly.</w:t>
      </w:r>
      <w:r>
        <w:t xml:space="preserve"> On the contrary, if value of the R-square equals 0.0, there is no relation between X and Y (Lewis-Back, 1995). So, the R-square measures the ‘goodness-of-fit’ of the variables. </w:t>
      </w:r>
    </w:p>
    <w:p w14:paraId="26155ED4" w14:textId="15D84299" w:rsidR="00D96891" w:rsidRDefault="00D96891" w:rsidP="00D96891">
      <w:pPr>
        <w:pStyle w:val="Kop4"/>
      </w:pPr>
      <w:r>
        <w:t>Mann-Whitney test</w:t>
      </w:r>
    </w:p>
    <w:p w14:paraId="396544CF" w14:textId="2B265D6A" w:rsidR="00EF102E" w:rsidRDefault="004408D7" w:rsidP="004408D7">
      <w:pPr>
        <w:spacing w:line="360" w:lineRule="auto"/>
      </w:pPr>
      <w:r>
        <w:t xml:space="preserve">The dataset for the second </w:t>
      </w:r>
      <w:r w:rsidR="00DC5FFD">
        <w:t>hypothesis only counts 17 cases</w:t>
      </w:r>
      <w:r w:rsidR="009C308D">
        <w:t xml:space="preserve"> of (non-)compliance</w:t>
      </w:r>
      <w:r w:rsidR="00DC5FFD">
        <w:t>,</w:t>
      </w:r>
      <w:r w:rsidR="00C845DF">
        <w:t xml:space="preserve"> the number of times a member state voted against a </w:t>
      </w:r>
      <w:r w:rsidR="009C308D">
        <w:t>directive.</w:t>
      </w:r>
      <w:r w:rsidR="00DC5FFD">
        <w:t xml:space="preserve"> </w:t>
      </w:r>
      <w:r>
        <w:t>This is too low to run a multiple regression analysis, because its assumptions will be violated. A better option is the Mann-Whitney test</w:t>
      </w:r>
      <w:r w:rsidR="004E7320">
        <w:t xml:space="preserve">, </w:t>
      </w:r>
      <w:r w:rsidR="003B64A9">
        <w:t xml:space="preserve">named after the </w:t>
      </w:r>
      <w:r w:rsidR="003B64A9">
        <w:lastRenderedPageBreak/>
        <w:t>two scholars who invented it</w:t>
      </w:r>
      <w:r w:rsidR="004E7320">
        <w:t xml:space="preserve"> (1947)</w:t>
      </w:r>
      <w:r>
        <w:t xml:space="preserve">. This test is suitable for eight cases at least </w:t>
      </w:r>
      <w:r w:rsidR="004E7320">
        <w:t>and can be used for</w:t>
      </w:r>
      <w:r w:rsidR="00EF102E">
        <w:t xml:space="preserve"> not normally distributed data.</w:t>
      </w:r>
      <w:r w:rsidR="00DC5FFD">
        <w:t xml:space="preserve"> </w:t>
      </w:r>
      <w:r w:rsidR="004E7320">
        <w:t>In an ideal situation, both group</w:t>
      </w:r>
      <w:r w:rsidR="00992EC0">
        <w:t>s</w:t>
      </w:r>
      <w:r w:rsidR="004E7320">
        <w:t xml:space="preserve"> have an equal si</w:t>
      </w:r>
      <w:r w:rsidR="00EF102E">
        <w:t xml:space="preserve">ze (Fay and </w:t>
      </w:r>
      <w:proofErr w:type="spellStart"/>
      <w:r w:rsidR="00EF102E">
        <w:t>Proschan</w:t>
      </w:r>
      <w:proofErr w:type="spellEnd"/>
      <w:r w:rsidR="00EF102E">
        <w:t>, 2010).</w:t>
      </w:r>
      <w:r w:rsidR="004E7320">
        <w:t xml:space="preserve"> The low number of cases does, however, influence the generalizability of the results. </w:t>
      </w:r>
      <w:r>
        <w:t xml:space="preserve">The test compares two groups and analyses if </w:t>
      </w:r>
      <w:r w:rsidR="00DC5FFD">
        <w:t>they</w:t>
      </w:r>
      <w:r>
        <w:t xml:space="preserve"> differ significantly</w:t>
      </w:r>
      <w:r w:rsidR="00B12634">
        <w:t>, in this study in terms of compliance</w:t>
      </w:r>
      <w:r w:rsidR="00EF102E">
        <w:t xml:space="preserve"> (Nachar, 2008). </w:t>
      </w:r>
      <w:r w:rsidR="00353777">
        <w:t xml:space="preserve"> </w:t>
      </w:r>
    </w:p>
    <w:p w14:paraId="017A7B6A" w14:textId="45DB93F8" w:rsidR="00353777" w:rsidRPr="00D96891" w:rsidRDefault="00353777" w:rsidP="004408D7">
      <w:pPr>
        <w:spacing w:line="360" w:lineRule="auto"/>
      </w:pPr>
      <w:r>
        <w:t xml:space="preserve">The assumptions will be discussed in the analysis. </w:t>
      </w:r>
    </w:p>
    <w:p w14:paraId="586C3329" w14:textId="5F114A0D" w:rsidR="00A165CA" w:rsidRPr="000308DF" w:rsidRDefault="001E72ED" w:rsidP="009175BA">
      <w:pPr>
        <w:pStyle w:val="Kop3"/>
        <w:spacing w:line="360" w:lineRule="auto"/>
      </w:pPr>
      <w:bookmarkStart w:id="14" w:name="_Toc3547839"/>
      <w:r>
        <w:t>3.</w:t>
      </w:r>
      <w:r w:rsidR="009C308D">
        <w:t>3</w:t>
      </w:r>
      <w:r w:rsidR="00017B44">
        <w:t xml:space="preserve"> </w:t>
      </w:r>
      <w:r w:rsidR="00A464E1">
        <w:t>Conceptualization</w:t>
      </w:r>
      <w:bookmarkEnd w:id="14"/>
    </w:p>
    <w:p w14:paraId="49F399AA" w14:textId="295AA38A" w:rsidR="003205EF" w:rsidRDefault="003C6D9B" w:rsidP="009175BA">
      <w:pPr>
        <w:spacing w:line="360" w:lineRule="auto"/>
      </w:pPr>
      <w:r>
        <w:t>T</w:t>
      </w:r>
      <w:r w:rsidR="00480389">
        <w:t>he</w:t>
      </w:r>
      <w:r w:rsidR="009C308D">
        <w:t xml:space="preserve"> main</w:t>
      </w:r>
      <w:r w:rsidR="00480389">
        <w:t xml:space="preserve"> i</w:t>
      </w:r>
      <w:r w:rsidR="003205EF">
        <w:t>ndependent variable (</w:t>
      </w:r>
      <w:r w:rsidR="00A165CA">
        <w:t>X</w:t>
      </w:r>
      <w:r w:rsidR="003205EF">
        <w:t>) in this research is the</w:t>
      </w:r>
      <w:r w:rsidR="00A165CA">
        <w:t xml:space="preserve"> </w:t>
      </w:r>
      <w:r w:rsidR="003205EF">
        <w:t>‘</w:t>
      </w:r>
      <w:r w:rsidR="00A165CA">
        <w:t xml:space="preserve">procedural fairness of EU </w:t>
      </w:r>
      <w:r w:rsidR="00353777">
        <w:t xml:space="preserve">decision-making </w:t>
      </w:r>
      <w:r w:rsidR="006B45F6">
        <w:t>processes’</w:t>
      </w:r>
      <w:r w:rsidR="003205EF">
        <w:t xml:space="preserve">. </w:t>
      </w:r>
      <w:r>
        <w:t>In</w:t>
      </w:r>
      <w:r w:rsidR="003D24DB">
        <w:t xml:space="preserve"> the theoretical framework, it </w:t>
      </w:r>
      <w:r>
        <w:t xml:space="preserve">has been conceptualized in the three components: voice, consistency and dignity. </w:t>
      </w:r>
      <w:r w:rsidR="00193A8F">
        <w:t xml:space="preserve"> </w:t>
      </w:r>
    </w:p>
    <w:p w14:paraId="215AEC92" w14:textId="6B817E6B" w:rsidR="001B391C" w:rsidRDefault="003205EF" w:rsidP="009175BA">
      <w:pPr>
        <w:spacing w:line="360" w:lineRule="auto"/>
      </w:pPr>
      <w:r>
        <w:t>The dependent variable (Y) is compliance. This is defined</w:t>
      </w:r>
      <w:r w:rsidR="00D5346C">
        <w:t xml:space="preserve"> as ‘compliance </w:t>
      </w:r>
      <w:r w:rsidR="00DF42FE">
        <w:t>wi</w:t>
      </w:r>
      <w:r w:rsidR="008932D1">
        <w:t>th</w:t>
      </w:r>
      <w:r w:rsidR="00DF42FE">
        <w:t xml:space="preserve"> rules or decisions of governing authority’</w:t>
      </w:r>
      <w:r w:rsidR="008932D1">
        <w:t>.</w:t>
      </w:r>
    </w:p>
    <w:p w14:paraId="38326067" w14:textId="3552C138" w:rsidR="006821A9" w:rsidRDefault="001E72ED" w:rsidP="00A464E1">
      <w:pPr>
        <w:pStyle w:val="Kop3"/>
        <w:spacing w:line="360" w:lineRule="auto"/>
      </w:pPr>
      <w:bookmarkStart w:id="15" w:name="_Toc3547840"/>
      <w:r>
        <w:t>3.</w:t>
      </w:r>
      <w:r w:rsidR="009C308D">
        <w:t>4</w:t>
      </w:r>
      <w:r w:rsidR="00017B44">
        <w:t xml:space="preserve"> </w:t>
      </w:r>
      <w:r w:rsidR="006821A9">
        <w:t>Operationalization of the independent variable</w:t>
      </w:r>
      <w:bookmarkEnd w:id="15"/>
    </w:p>
    <w:p w14:paraId="63A000A7" w14:textId="475A69CC" w:rsidR="009C308D" w:rsidRDefault="006821A9" w:rsidP="00077AF4">
      <w:pPr>
        <w:spacing w:line="360" w:lineRule="auto"/>
      </w:pPr>
      <w:r>
        <w:t>The independent variable, compliance is measured as follows.</w:t>
      </w:r>
      <w:r w:rsidR="00A50763">
        <w:t xml:space="preserve"> In case of non-compliance,</w:t>
      </w:r>
      <w:r>
        <w:t xml:space="preserve"> </w:t>
      </w:r>
      <w:r w:rsidR="00A50763">
        <w:t>t</w:t>
      </w:r>
      <w:r>
        <w:t>he Com</w:t>
      </w:r>
      <w:r w:rsidR="00A50763">
        <w:t>mission can start an</w:t>
      </w:r>
      <w:r>
        <w:t xml:space="preserve"> infringement procedure</w:t>
      </w:r>
      <w:r w:rsidR="00DC5FFD">
        <w:t xml:space="preserve"> to urge or punish a member state to comply. </w:t>
      </w:r>
      <w:r>
        <w:t>A decision to start an infringement procedure can be found in the database on infringement decisions. A formal infringement procedure has different stages. To notify a member state that is non-com</w:t>
      </w:r>
      <w:r w:rsidR="00131251">
        <w:t>pliant, the Commission sends a letter of f</w:t>
      </w:r>
      <w:r>
        <w:t>ormal</w:t>
      </w:r>
      <w:r w:rsidR="00131251">
        <w:t xml:space="preserve"> notice.</w:t>
      </w:r>
      <w:r w:rsidR="00DC5FFD">
        <w:t xml:space="preserve"> This indicates the start of an </w:t>
      </w:r>
      <w:r>
        <w:t>infringement p</w:t>
      </w:r>
      <w:r w:rsidR="00DC5FFD">
        <w:t xml:space="preserve">rocedure. </w:t>
      </w:r>
      <w:r>
        <w:t xml:space="preserve">The second step is that the Commission </w:t>
      </w:r>
      <w:r w:rsidR="00131251">
        <w:t>issues</w:t>
      </w:r>
      <w:r>
        <w:t xml:space="preserve"> a reasoned opinion to the member state, explaining why the country is non-compliant with EU law. After that stag</w:t>
      </w:r>
      <w:r w:rsidR="00131251">
        <w:t xml:space="preserve">e, the Commission can decide </w:t>
      </w:r>
      <w:r w:rsidR="001E6B29">
        <w:t>on</w:t>
      </w:r>
      <w:r w:rsidR="00131251">
        <w:t xml:space="preserve"> a referral</w:t>
      </w:r>
      <w:r>
        <w:t xml:space="preserve"> to the European Court of Justice. The Court, in the end, is able to impose (financial) penalties (European Commission, 2018). The f</w:t>
      </w:r>
      <w:r w:rsidR="001E6B29">
        <w:t>u</w:t>
      </w:r>
      <w:r>
        <w:t>rther the infringement procedure</w:t>
      </w:r>
      <w:r w:rsidR="001E6B29">
        <w:t xml:space="preserve"> is taken</w:t>
      </w:r>
      <w:r>
        <w:t>, t</w:t>
      </w:r>
      <w:r w:rsidR="00DC5FFD">
        <w:t>he heavier the non-compliance of a member state</w:t>
      </w:r>
      <w:r>
        <w:t xml:space="preserve">. </w:t>
      </w:r>
    </w:p>
    <w:p w14:paraId="7FA90E34" w14:textId="14706406" w:rsidR="006821A9" w:rsidRDefault="00EA6AEB" w:rsidP="00077AF4">
      <w:pPr>
        <w:spacing w:line="360" w:lineRule="auto"/>
      </w:pPr>
      <w:r w:rsidRPr="00992EC0">
        <w:t xml:space="preserve">So, </w:t>
      </w:r>
      <w:r w:rsidR="00921709" w:rsidRPr="00992EC0">
        <w:t xml:space="preserve">the degree of </w:t>
      </w:r>
      <w:r w:rsidR="00077AF4" w:rsidRPr="00992EC0">
        <w:t xml:space="preserve">compliance </w:t>
      </w:r>
      <w:r w:rsidR="009C308D">
        <w:t>can be</w:t>
      </w:r>
      <w:r w:rsidR="00077AF4" w:rsidRPr="00992EC0">
        <w:t xml:space="preserve"> measured </w:t>
      </w:r>
      <w:r w:rsidR="00DC5FFD" w:rsidRPr="00992EC0">
        <w:t>by</w:t>
      </w:r>
      <w:r w:rsidR="00077AF4" w:rsidRPr="00992EC0">
        <w:t xml:space="preserve"> the stage of an infringement procedure. </w:t>
      </w:r>
      <w:r w:rsidR="00773E3A" w:rsidRPr="00992EC0">
        <w:t>The variable is measured at ordinal level, because a higher v</w:t>
      </w:r>
      <w:r w:rsidR="00773E3A">
        <w:t xml:space="preserve">alue means more non-compliance, but differences between values are not equal. </w:t>
      </w:r>
      <w:r w:rsidR="00077AF4">
        <w:t xml:space="preserve">The table below shows the stages of the infringement procedure and how they are measured in a structured manner. </w:t>
      </w:r>
      <w:r>
        <w:t>It is important to note that compliance is measured negatively: the higher in the infringement procedures, the less compliance.</w:t>
      </w:r>
    </w:p>
    <w:p w14:paraId="1392E957" w14:textId="77777777" w:rsidR="00077AF4" w:rsidRPr="00334331" w:rsidRDefault="00334331" w:rsidP="00077AF4">
      <w:pPr>
        <w:spacing w:line="360" w:lineRule="auto"/>
        <w:rPr>
          <w:i/>
        </w:rPr>
      </w:pPr>
      <w:r>
        <w:rPr>
          <w:i/>
        </w:rPr>
        <w:t>Table 1: T</w:t>
      </w:r>
      <w:r w:rsidR="00077AF4" w:rsidRPr="00334331">
        <w:rPr>
          <w:i/>
        </w:rPr>
        <w:t>he different stages of the infringement procedure and the degree of non-compliance</w:t>
      </w:r>
    </w:p>
    <w:tbl>
      <w:tblPr>
        <w:tblStyle w:val="Tabelraster"/>
        <w:tblW w:w="0" w:type="auto"/>
        <w:tblLook w:val="04A0" w:firstRow="1" w:lastRow="0" w:firstColumn="1" w:lastColumn="0" w:noHBand="0" w:noVBand="1"/>
      </w:tblPr>
      <w:tblGrid>
        <w:gridCol w:w="4630"/>
        <w:gridCol w:w="4432"/>
      </w:tblGrid>
      <w:tr w:rsidR="00334331" w14:paraId="77BF4143" w14:textId="77777777" w:rsidTr="00334331">
        <w:tc>
          <w:tcPr>
            <w:tcW w:w="4630" w:type="dxa"/>
          </w:tcPr>
          <w:p w14:paraId="060E593E" w14:textId="77777777" w:rsidR="00334331" w:rsidRPr="00DF030F" w:rsidRDefault="00334331" w:rsidP="00B12523">
            <w:pPr>
              <w:rPr>
                <w:b/>
                <w:lang w:eastAsia="nl-NL"/>
              </w:rPr>
            </w:pPr>
            <w:r>
              <w:rPr>
                <w:b/>
                <w:lang w:eastAsia="nl-NL"/>
              </w:rPr>
              <w:t xml:space="preserve">Compliance phase </w:t>
            </w:r>
          </w:p>
        </w:tc>
        <w:tc>
          <w:tcPr>
            <w:tcW w:w="4432" w:type="dxa"/>
          </w:tcPr>
          <w:p w14:paraId="6F82608F" w14:textId="4998C947" w:rsidR="00334331" w:rsidRPr="00DF030F" w:rsidRDefault="00DC5FFD" w:rsidP="00B12523">
            <w:pPr>
              <w:rPr>
                <w:b/>
              </w:rPr>
            </w:pPr>
            <w:r>
              <w:rPr>
                <w:b/>
              </w:rPr>
              <w:t>Value</w:t>
            </w:r>
            <w:r w:rsidR="00334331">
              <w:rPr>
                <w:b/>
              </w:rPr>
              <w:t xml:space="preserve"> (x)</w:t>
            </w:r>
          </w:p>
        </w:tc>
      </w:tr>
      <w:tr w:rsidR="00334331" w14:paraId="1720A153" w14:textId="77777777" w:rsidTr="00334331">
        <w:tc>
          <w:tcPr>
            <w:tcW w:w="4630" w:type="dxa"/>
          </w:tcPr>
          <w:p w14:paraId="7F379628" w14:textId="6EA55D95" w:rsidR="00334331" w:rsidRPr="00F915CB" w:rsidRDefault="00334331" w:rsidP="00B12523">
            <w:pPr>
              <w:rPr>
                <w:lang w:eastAsia="nl-NL"/>
              </w:rPr>
            </w:pPr>
            <w:r>
              <w:rPr>
                <w:lang w:eastAsia="nl-NL"/>
              </w:rPr>
              <w:t>Case open</w:t>
            </w:r>
          </w:p>
        </w:tc>
        <w:tc>
          <w:tcPr>
            <w:tcW w:w="4432" w:type="dxa"/>
          </w:tcPr>
          <w:p w14:paraId="12886F40" w14:textId="77777777" w:rsidR="00334331" w:rsidRDefault="00334331" w:rsidP="00B12523">
            <w:r>
              <w:t>1</w:t>
            </w:r>
          </w:p>
        </w:tc>
      </w:tr>
      <w:tr w:rsidR="00334331" w14:paraId="63D34B42" w14:textId="77777777" w:rsidTr="00334331">
        <w:tc>
          <w:tcPr>
            <w:tcW w:w="4630" w:type="dxa"/>
          </w:tcPr>
          <w:p w14:paraId="59D9B409" w14:textId="77777777" w:rsidR="00334331" w:rsidRPr="00F915CB" w:rsidRDefault="00334331" w:rsidP="00B12523">
            <w:pPr>
              <w:rPr>
                <w:lang w:eastAsia="nl-NL"/>
              </w:rPr>
            </w:pPr>
            <w:r w:rsidRPr="00F915CB">
              <w:rPr>
                <w:lang w:eastAsia="nl-NL"/>
              </w:rPr>
              <w:t>Formal notice Art. 258 TFEU 1</w:t>
            </w:r>
          </w:p>
          <w:p w14:paraId="0FDC90AB" w14:textId="77777777" w:rsidR="00334331" w:rsidRDefault="00334331" w:rsidP="00B12523"/>
        </w:tc>
        <w:tc>
          <w:tcPr>
            <w:tcW w:w="4432" w:type="dxa"/>
          </w:tcPr>
          <w:p w14:paraId="1BA6A9F8" w14:textId="77777777" w:rsidR="00334331" w:rsidRDefault="00334331" w:rsidP="00B12523">
            <w:r>
              <w:t>2</w:t>
            </w:r>
          </w:p>
        </w:tc>
      </w:tr>
      <w:tr w:rsidR="00334331" w14:paraId="6BB7FCB2" w14:textId="77777777" w:rsidTr="00334331">
        <w:tc>
          <w:tcPr>
            <w:tcW w:w="4630" w:type="dxa"/>
          </w:tcPr>
          <w:p w14:paraId="3BFB1DB6" w14:textId="77777777" w:rsidR="00334331" w:rsidRPr="00F915CB" w:rsidRDefault="00334331" w:rsidP="00B12523">
            <w:pPr>
              <w:rPr>
                <w:lang w:eastAsia="nl-NL"/>
              </w:rPr>
            </w:pPr>
            <w:r>
              <w:rPr>
                <w:lang w:eastAsia="nl-NL"/>
              </w:rPr>
              <w:lastRenderedPageBreak/>
              <w:t>Reasoned opinion Art. 258 TFEU</w:t>
            </w:r>
          </w:p>
          <w:p w14:paraId="2BAF96D3" w14:textId="77777777" w:rsidR="00334331" w:rsidRDefault="00334331" w:rsidP="00B12523"/>
        </w:tc>
        <w:tc>
          <w:tcPr>
            <w:tcW w:w="4432" w:type="dxa"/>
          </w:tcPr>
          <w:p w14:paraId="0A39EFFA" w14:textId="77777777" w:rsidR="00334331" w:rsidRDefault="00334331" w:rsidP="00B12523">
            <w:r>
              <w:t>3</w:t>
            </w:r>
          </w:p>
        </w:tc>
      </w:tr>
      <w:tr w:rsidR="00334331" w14:paraId="2F79C693" w14:textId="77777777" w:rsidTr="00334331">
        <w:tc>
          <w:tcPr>
            <w:tcW w:w="4630" w:type="dxa"/>
          </w:tcPr>
          <w:p w14:paraId="0C661F52" w14:textId="77777777" w:rsidR="00334331" w:rsidRPr="00E467FD" w:rsidRDefault="001F2F39" w:rsidP="00B12523">
            <w:pPr>
              <w:rPr>
                <w:rFonts w:cstheme="minorHAnsi"/>
                <w:lang w:eastAsia="nl-NL"/>
              </w:rPr>
            </w:pPr>
            <w:hyperlink r:id="rId16" w:tgtFrame="_blank" w:history="1">
              <w:r w:rsidR="00334331" w:rsidRPr="00E467FD">
                <w:rPr>
                  <w:rFonts w:cstheme="minorHAnsi"/>
                  <w:bdr w:val="none" w:sz="0" w:space="0" w:color="auto" w:frame="1"/>
                  <w:lang w:eastAsia="nl-NL"/>
                </w:rPr>
                <w:t>Referral to Court Art. 258 TFEU  - 260(3) TFEU</w:t>
              </w:r>
            </w:hyperlink>
          </w:p>
          <w:p w14:paraId="44CC3A92" w14:textId="77777777" w:rsidR="00334331" w:rsidRDefault="00334331" w:rsidP="00B12523"/>
        </w:tc>
        <w:tc>
          <w:tcPr>
            <w:tcW w:w="4432" w:type="dxa"/>
          </w:tcPr>
          <w:p w14:paraId="69EFCC34" w14:textId="77777777" w:rsidR="00334331" w:rsidRDefault="00334331" w:rsidP="00B12523">
            <w:r>
              <w:t>4</w:t>
            </w:r>
          </w:p>
        </w:tc>
      </w:tr>
      <w:tr w:rsidR="00334331" w:rsidRPr="00DF030F" w14:paraId="01818726" w14:textId="77777777" w:rsidTr="00334331">
        <w:tc>
          <w:tcPr>
            <w:tcW w:w="4630" w:type="dxa"/>
          </w:tcPr>
          <w:p w14:paraId="6DC3CD84" w14:textId="77777777" w:rsidR="00334331" w:rsidRDefault="00334331" w:rsidP="00B12523">
            <w:r>
              <w:t>Formal notice Art. 260 TFEU</w:t>
            </w:r>
          </w:p>
        </w:tc>
        <w:tc>
          <w:tcPr>
            <w:tcW w:w="4432" w:type="dxa"/>
          </w:tcPr>
          <w:p w14:paraId="0BB0322C" w14:textId="77777777" w:rsidR="00334331" w:rsidRDefault="00334331" w:rsidP="00B12523">
            <w:r>
              <w:t>4 or 5</w:t>
            </w:r>
          </w:p>
        </w:tc>
      </w:tr>
      <w:tr w:rsidR="00334331" w:rsidRPr="00DF030F" w14:paraId="6414B238" w14:textId="77777777" w:rsidTr="00334331">
        <w:tc>
          <w:tcPr>
            <w:tcW w:w="4630" w:type="dxa"/>
          </w:tcPr>
          <w:p w14:paraId="612A6304" w14:textId="77777777" w:rsidR="00334331" w:rsidRDefault="00334331" w:rsidP="00B12523">
            <w:r>
              <w:t>Referral to court Art. 260 TFEU</w:t>
            </w:r>
          </w:p>
        </w:tc>
        <w:tc>
          <w:tcPr>
            <w:tcW w:w="4432" w:type="dxa"/>
          </w:tcPr>
          <w:p w14:paraId="322582B9" w14:textId="62AA1478" w:rsidR="00334331" w:rsidRDefault="00334331" w:rsidP="00DA2D64">
            <w:r>
              <w:t xml:space="preserve">6 and </w:t>
            </w:r>
            <w:r w:rsidR="00DA2D64">
              <w:t>higher</w:t>
            </w:r>
          </w:p>
        </w:tc>
      </w:tr>
    </w:tbl>
    <w:p w14:paraId="08016FF6" w14:textId="77777777" w:rsidR="001F2F39" w:rsidRDefault="001F2F39" w:rsidP="00B12634">
      <w:pPr>
        <w:pStyle w:val="Kop3"/>
      </w:pPr>
    </w:p>
    <w:p w14:paraId="447D12A1" w14:textId="03DEE268" w:rsidR="00A91593" w:rsidRDefault="00A91593" w:rsidP="00A91593">
      <w:pPr>
        <w:spacing w:line="360" w:lineRule="auto"/>
      </w:pPr>
      <w:r>
        <w:t xml:space="preserve">To test the second hypothesis, data on compliance in 17 cases – 17 decision-making procedures in which (a) member state(s) voted against a directive – was drawn from the first dataset. </w:t>
      </w:r>
    </w:p>
    <w:p w14:paraId="09060555" w14:textId="261D1360" w:rsidR="00A464E1" w:rsidRPr="00A91593" w:rsidRDefault="00017B44" w:rsidP="00A91593">
      <w:pPr>
        <w:spacing w:line="360" w:lineRule="auto"/>
        <w:rPr>
          <w:rFonts w:asciiTheme="majorHAnsi" w:eastAsiaTheme="majorEastAsia" w:hAnsiTheme="majorHAnsi" w:cstheme="majorBidi"/>
          <w:color w:val="1F4D78" w:themeColor="accent1" w:themeShade="7F"/>
          <w:sz w:val="24"/>
          <w:szCs w:val="24"/>
        </w:rPr>
      </w:pPr>
      <w:bookmarkStart w:id="16" w:name="_Toc3547841"/>
      <w:r w:rsidRPr="001F2F39">
        <w:rPr>
          <w:rStyle w:val="Kop3Char"/>
        </w:rPr>
        <w:t>3.</w:t>
      </w:r>
      <w:r w:rsidR="001F2F39">
        <w:rPr>
          <w:rStyle w:val="Kop3Char"/>
        </w:rPr>
        <w:t>5</w:t>
      </w:r>
      <w:r w:rsidRPr="001F2F39">
        <w:rPr>
          <w:rStyle w:val="Kop3Char"/>
        </w:rPr>
        <w:t xml:space="preserve"> </w:t>
      </w:r>
      <w:r w:rsidR="00A464E1" w:rsidRPr="001F2F39">
        <w:rPr>
          <w:rStyle w:val="Kop3Char"/>
        </w:rPr>
        <w:t xml:space="preserve">Operationalization </w:t>
      </w:r>
      <w:r w:rsidR="001364F4" w:rsidRPr="001F2F39">
        <w:rPr>
          <w:rStyle w:val="Kop3Char"/>
        </w:rPr>
        <w:t xml:space="preserve">of </w:t>
      </w:r>
      <w:r w:rsidR="0071368C" w:rsidRPr="001F2F39">
        <w:rPr>
          <w:rStyle w:val="Kop3Char"/>
        </w:rPr>
        <w:t xml:space="preserve">the </w:t>
      </w:r>
      <w:r w:rsidR="001364F4" w:rsidRPr="001F2F39">
        <w:rPr>
          <w:rStyle w:val="Kop3Char"/>
        </w:rPr>
        <w:t>dependent variable</w:t>
      </w:r>
      <w:bookmarkEnd w:id="16"/>
    </w:p>
    <w:p w14:paraId="47075270" w14:textId="08825913" w:rsidR="00D5346C" w:rsidRPr="00992EC0" w:rsidRDefault="00D5346C" w:rsidP="00A464E1">
      <w:pPr>
        <w:spacing w:line="360" w:lineRule="auto"/>
      </w:pPr>
      <w:r w:rsidRPr="00A464E1">
        <w:t>It is difficult to operationalize procedural fairness,</w:t>
      </w:r>
      <w:r w:rsidR="003C6D9B">
        <w:t xml:space="preserve"> since fairness is subjectiv</w:t>
      </w:r>
      <w:r w:rsidR="003C6D9B" w:rsidRPr="00992EC0">
        <w:t>e.</w:t>
      </w:r>
      <w:r w:rsidR="00EF0103" w:rsidRPr="00992EC0">
        <w:t xml:space="preserve"> </w:t>
      </w:r>
      <w:r w:rsidR="009C308D">
        <w:t xml:space="preserve">As it is impossible to </w:t>
      </w:r>
      <w:r w:rsidR="00C27521">
        <w:t>measure this subjectivity for this research, objective measures will be used as a proxy for this. P</w:t>
      </w:r>
      <w:r w:rsidR="00193A8F" w:rsidRPr="00992EC0">
        <w:t xml:space="preserve">ossible </w:t>
      </w:r>
      <w:r w:rsidR="00493162" w:rsidRPr="00992EC0">
        <w:t xml:space="preserve">indicators will be discussed </w:t>
      </w:r>
      <w:r w:rsidR="00C27521">
        <w:t xml:space="preserve">in depth </w:t>
      </w:r>
      <w:r w:rsidR="00493162" w:rsidRPr="00992EC0">
        <w:t>for that reason</w:t>
      </w:r>
      <w:r w:rsidR="00193A8F" w:rsidRPr="00992EC0">
        <w:t xml:space="preserve">. First, the aspects of procedural fairness are repeated, </w:t>
      </w:r>
      <w:r w:rsidR="00DC5FFD" w:rsidRPr="00992EC0">
        <w:t>including</w:t>
      </w:r>
      <w:r w:rsidR="00193A8F" w:rsidRPr="00992EC0">
        <w:t xml:space="preserve"> their definition. </w:t>
      </w:r>
      <w:r w:rsidR="00493162" w:rsidRPr="00992EC0">
        <w:t xml:space="preserve">Choices are made and explained later on in this chapter. </w:t>
      </w:r>
    </w:p>
    <w:p w14:paraId="7EF2743E" w14:textId="77777777" w:rsidR="00C0156A" w:rsidRPr="00613CC8" w:rsidRDefault="00C0156A" w:rsidP="009175BA">
      <w:pPr>
        <w:pStyle w:val="Kop5"/>
        <w:spacing w:line="360" w:lineRule="auto"/>
      </w:pPr>
      <w:r>
        <w:t>Possible i</w:t>
      </w:r>
      <w:r w:rsidRPr="00613CC8">
        <w:t>ndicators</w:t>
      </w:r>
    </w:p>
    <w:p w14:paraId="36625B65" w14:textId="58E86692" w:rsidR="00193A8F" w:rsidRDefault="00C0156A" w:rsidP="009175BA">
      <w:pPr>
        <w:spacing w:line="360" w:lineRule="auto"/>
      </w:pPr>
      <w:r>
        <w:t xml:space="preserve">The first component of procedural fairness is </w:t>
      </w:r>
      <w:r w:rsidRPr="00D8137C">
        <w:rPr>
          <w:b/>
        </w:rPr>
        <w:t>voice</w:t>
      </w:r>
      <w:r w:rsidR="00EA6AEB">
        <w:t>, defined as</w:t>
      </w:r>
      <w:r>
        <w:t xml:space="preserve"> </w:t>
      </w:r>
      <w:r w:rsidR="00EA6AEB">
        <w:t xml:space="preserve">‘the opportunity for individuals to present their opinions in the decision-making process’ (Esaiasson et al., 2016; p. 5). </w:t>
      </w:r>
      <w:r w:rsidR="00F43DDF">
        <w:t>It is important to look for measurable manifestation</w:t>
      </w:r>
      <w:r w:rsidR="003D24DB">
        <w:t>s</w:t>
      </w:r>
      <w:r w:rsidR="00F43DDF">
        <w:t xml:space="preserve"> of input moments for representatives of member states.</w:t>
      </w:r>
    </w:p>
    <w:p w14:paraId="765908AE" w14:textId="77777777" w:rsidR="00C0156A" w:rsidRDefault="00C0156A" w:rsidP="009175BA">
      <w:pPr>
        <w:spacing w:line="360" w:lineRule="auto"/>
      </w:pPr>
      <w:r>
        <w:t>There are a number of possible indicators for this aspect.</w:t>
      </w:r>
      <w:r w:rsidR="007A554C">
        <w:t xml:space="preserve"> Some indicators are country-specific, some indicators vary per decision-making procedure. </w:t>
      </w:r>
    </w:p>
    <w:p w14:paraId="50AEF6FE" w14:textId="77777777" w:rsidR="00C0156A" w:rsidRDefault="00C0156A" w:rsidP="009175BA">
      <w:pPr>
        <w:pStyle w:val="Lijstalinea"/>
        <w:numPr>
          <w:ilvl w:val="0"/>
          <w:numId w:val="1"/>
        </w:numPr>
        <w:spacing w:line="360" w:lineRule="auto"/>
      </w:pPr>
      <w:r>
        <w:t xml:space="preserve">The number of times the proposal is discussed in the Council </w:t>
      </w:r>
      <w:r w:rsidR="004E5F75">
        <w:t xml:space="preserve">or in preparatory bodies. </w:t>
      </w:r>
    </w:p>
    <w:p w14:paraId="63464ACF" w14:textId="701A553B" w:rsidR="00C0156A" w:rsidRDefault="00C0156A" w:rsidP="009175BA">
      <w:pPr>
        <w:spacing w:line="360" w:lineRule="auto"/>
      </w:pPr>
      <w:r>
        <w:t>A proposal of the Commission can be discussed multiple times</w:t>
      </w:r>
      <w:r w:rsidR="004E5F75">
        <w:t>, in the Council or in pr</w:t>
      </w:r>
      <w:r w:rsidR="004E5F75" w:rsidRPr="00992EC0">
        <w:t>eparatory bodies</w:t>
      </w:r>
      <w:r w:rsidR="00A03AFD" w:rsidRPr="00992EC0">
        <w:t xml:space="preserve">. These </w:t>
      </w:r>
      <w:r w:rsidR="002310F9" w:rsidRPr="00992EC0">
        <w:t>‘</w:t>
      </w:r>
      <w:r w:rsidR="00A03AFD" w:rsidRPr="00992EC0">
        <w:t>preparatory bodies</w:t>
      </w:r>
      <w:r w:rsidR="002310F9" w:rsidRPr="00992EC0">
        <w:t>’</w:t>
      </w:r>
      <w:r w:rsidR="000862B1" w:rsidRPr="00992EC0">
        <w:t xml:space="preserve"> </w:t>
      </w:r>
      <w:r w:rsidR="00773E3A" w:rsidRPr="00992EC0">
        <w:t>are not further defined in EUR-L</w:t>
      </w:r>
      <w:r w:rsidR="000862B1" w:rsidRPr="00992EC0">
        <w:t>ex</w:t>
      </w:r>
      <w:r w:rsidR="00BF6CC6" w:rsidRPr="00992EC0">
        <w:t xml:space="preserve">, but </w:t>
      </w:r>
      <w:r w:rsidR="00921709" w:rsidRPr="00992EC0">
        <w:t xml:space="preserve">this is probably about </w:t>
      </w:r>
      <w:r w:rsidR="00A03AFD" w:rsidRPr="00992EC0">
        <w:t xml:space="preserve">the various </w:t>
      </w:r>
      <w:r w:rsidR="00BF6CC6" w:rsidRPr="00992EC0">
        <w:t xml:space="preserve">Council </w:t>
      </w:r>
      <w:r w:rsidR="00A03AFD" w:rsidRPr="00992EC0">
        <w:t>working parties dealing with the proposal</w:t>
      </w:r>
      <w:r w:rsidR="00BF6CC6" w:rsidRPr="00992EC0">
        <w:t xml:space="preserve"> and COREPER I or II. </w:t>
      </w:r>
      <w:r w:rsidRPr="00992EC0">
        <w:t>For the</w:t>
      </w:r>
      <w:r>
        <w:t xml:space="preserve"> member states, this offers </w:t>
      </w:r>
      <w:r w:rsidR="00DC5FFD">
        <w:t>an</w:t>
      </w:r>
      <w:r>
        <w:t xml:space="preserve"> opportunity to present their opinion on the topic. In short, the more times a proposal is discussed in the Council, the more opportunities member states have to express their opinion.</w:t>
      </w:r>
    </w:p>
    <w:p w14:paraId="1AB0CD8E" w14:textId="77777777" w:rsidR="00C0156A" w:rsidRDefault="00C0156A" w:rsidP="009175BA">
      <w:pPr>
        <w:pStyle w:val="Lijstalinea"/>
        <w:numPr>
          <w:ilvl w:val="0"/>
          <w:numId w:val="1"/>
        </w:numPr>
        <w:spacing w:line="360" w:lineRule="auto"/>
      </w:pPr>
      <w:r>
        <w:t>Speaking time</w:t>
      </w:r>
      <w:r w:rsidR="003B0A00">
        <w:t xml:space="preserve"> per member state</w:t>
      </w:r>
    </w:p>
    <w:p w14:paraId="0BCA78B6" w14:textId="4AAEE2B3" w:rsidR="00C0156A" w:rsidRDefault="00C0156A" w:rsidP="009175BA">
      <w:pPr>
        <w:spacing w:line="360" w:lineRule="auto"/>
      </w:pPr>
      <w:r>
        <w:t xml:space="preserve">Another option to test this component of procedural fairness is speaking time of the members of the Council. This might be difficult, because </w:t>
      </w:r>
      <w:r w:rsidR="00A50763">
        <w:t>m</w:t>
      </w:r>
      <w:r w:rsidR="00B04DE7">
        <w:t>ost of the</w:t>
      </w:r>
      <w:r w:rsidR="00A50763">
        <w:t xml:space="preserve"> deliberation</w:t>
      </w:r>
      <w:r w:rsidR="00B04DE7">
        <w:t>s</w:t>
      </w:r>
      <w:r>
        <w:t xml:space="preserve"> ha</w:t>
      </w:r>
      <w:r w:rsidR="00B04DE7">
        <w:t>ve</w:t>
      </w:r>
      <w:r>
        <w:t xml:space="preserve"> not be</w:t>
      </w:r>
      <w:r w:rsidR="00B04DE7">
        <w:t>en made</w:t>
      </w:r>
      <w:r>
        <w:t xml:space="preserve"> public.</w:t>
      </w:r>
    </w:p>
    <w:p w14:paraId="5A468882" w14:textId="03FC6DC1" w:rsidR="00DC31EE" w:rsidRDefault="00F43DDF" w:rsidP="009175BA">
      <w:pPr>
        <w:spacing w:line="360" w:lineRule="auto"/>
      </w:pPr>
      <w:r>
        <w:t xml:space="preserve">The second component of procedural fairness is </w:t>
      </w:r>
      <w:r w:rsidRPr="00D8137C">
        <w:rPr>
          <w:b/>
        </w:rPr>
        <w:t>dignity</w:t>
      </w:r>
      <w:r w:rsidR="00EA6AEB">
        <w:t xml:space="preserve">, defined as ‘when authorities recognize individuals’ status as respected members of society during interactions’ (Esaiasson et al., 2016; p. 5). </w:t>
      </w:r>
      <w:r>
        <w:lastRenderedPageBreak/>
        <w:t>For this, manifestations of the recognition of representatives of society should be taken into account, because being</w:t>
      </w:r>
      <w:r w:rsidR="00567E8C">
        <w:t xml:space="preserve"> treated as</w:t>
      </w:r>
      <w:r>
        <w:t xml:space="preserve"> a respected member of society clearly comes forward in the definition. </w:t>
      </w:r>
    </w:p>
    <w:p w14:paraId="5EEFC60E" w14:textId="77777777" w:rsidR="00C0156A" w:rsidRDefault="004E5F75" w:rsidP="009175BA">
      <w:pPr>
        <w:pStyle w:val="Lijstalinea"/>
        <w:numPr>
          <w:ilvl w:val="0"/>
          <w:numId w:val="1"/>
        </w:numPr>
        <w:spacing w:line="360" w:lineRule="auto"/>
      </w:pPr>
      <w:r>
        <w:t>Technical</w:t>
      </w:r>
      <w:r w:rsidR="00C0156A">
        <w:t xml:space="preserve"> procedure</w:t>
      </w:r>
    </w:p>
    <w:p w14:paraId="2F8DF754" w14:textId="0B14C917" w:rsidR="00757D68" w:rsidRDefault="00757D68" w:rsidP="009175BA">
      <w:pPr>
        <w:spacing w:line="360" w:lineRule="auto"/>
      </w:pPr>
      <w:r>
        <w:t xml:space="preserve">When </w:t>
      </w:r>
      <w:r w:rsidR="009D06B7">
        <w:t>the Commission decides that a certain proposal</w:t>
      </w:r>
      <w:r>
        <w:t xml:space="preserve"> is technical, experts are obligator</w:t>
      </w:r>
      <w:r w:rsidR="00DE276A">
        <w:t>il</w:t>
      </w:r>
      <w:r>
        <w:t>y consulted</w:t>
      </w:r>
      <w:r w:rsidR="000D0C30">
        <w:t xml:space="preserve"> (European </w:t>
      </w:r>
      <w:r w:rsidR="002209ED">
        <w:t>Union, 2018)</w:t>
      </w:r>
      <w:r w:rsidR="004E5F75">
        <w:t xml:space="preserve">. </w:t>
      </w:r>
      <w:r w:rsidR="00567E8C">
        <w:t>One could make the argument that</w:t>
      </w:r>
      <w:r w:rsidR="009D06B7">
        <w:t xml:space="preserve"> involvement by experts increases input by society, for two reasons. </w:t>
      </w:r>
      <w:r w:rsidR="00567E8C">
        <w:t xml:space="preserve">Firstly, the experts are part of that society. Secondly, experts will advise about the consequences for society. </w:t>
      </w:r>
      <w:r w:rsidR="002651B2">
        <w:t xml:space="preserve">The downside of this operationalization is that </w:t>
      </w:r>
      <w:r w:rsidR="000D0C30">
        <w:t xml:space="preserve">experts </w:t>
      </w:r>
      <w:r w:rsidR="00567E8C">
        <w:t xml:space="preserve">could be biased, or </w:t>
      </w:r>
      <w:r w:rsidR="003C6D9B">
        <w:t xml:space="preserve">that they </w:t>
      </w:r>
      <w:r w:rsidR="009D06B7">
        <w:t xml:space="preserve">determine their opinion based on </w:t>
      </w:r>
      <w:r w:rsidR="003C6D9B">
        <w:t xml:space="preserve">individual preferences or interests. </w:t>
      </w:r>
      <w:r w:rsidR="003F44B6">
        <w:t xml:space="preserve">This </w:t>
      </w:r>
      <w:r w:rsidR="003C6D9B">
        <w:t xml:space="preserve">variable </w:t>
      </w:r>
      <w:r w:rsidR="003F44B6">
        <w:t>would be dichotomous, because there are only two options</w:t>
      </w:r>
      <w:r w:rsidR="00DE276A">
        <w:t xml:space="preserve"> – either </w:t>
      </w:r>
      <w:r w:rsidR="003F44B6">
        <w:t>it is a technical procedure</w:t>
      </w:r>
      <w:r w:rsidR="00DE276A">
        <w:t>,</w:t>
      </w:r>
      <w:r w:rsidR="003F44B6">
        <w:t xml:space="preserve"> or </w:t>
      </w:r>
      <w:r w:rsidR="00DE276A">
        <w:t xml:space="preserve">it is </w:t>
      </w:r>
      <w:r w:rsidR="003F44B6">
        <w:t xml:space="preserve">not. </w:t>
      </w:r>
    </w:p>
    <w:p w14:paraId="74562F19" w14:textId="77777777" w:rsidR="00C0156A" w:rsidRDefault="004E5F75" w:rsidP="009175BA">
      <w:pPr>
        <w:pStyle w:val="Lijstalinea"/>
        <w:numPr>
          <w:ilvl w:val="0"/>
          <w:numId w:val="1"/>
        </w:numPr>
        <w:spacing w:line="360" w:lineRule="auto"/>
      </w:pPr>
      <w:r>
        <w:t>Public consultation</w:t>
      </w:r>
    </w:p>
    <w:p w14:paraId="2959CD44" w14:textId="2E86F658" w:rsidR="002651B2" w:rsidRDefault="002651B2" w:rsidP="009175BA">
      <w:pPr>
        <w:spacing w:line="360" w:lineRule="auto"/>
      </w:pPr>
      <w:r>
        <w:t xml:space="preserve">The European Commission provides the opportunity for citizens, companies and stakeholders to </w:t>
      </w:r>
      <w:r w:rsidR="00DE276A">
        <w:t>be consulted</w:t>
      </w:r>
      <w:r>
        <w:t xml:space="preserve">. </w:t>
      </w:r>
      <w:r w:rsidR="00DE276A">
        <w:t>A</w:t>
      </w:r>
      <w:r>
        <w:t xml:space="preserve">n opinion </w:t>
      </w:r>
      <w:r w:rsidR="00DE276A">
        <w:t xml:space="preserve">can be presented </w:t>
      </w:r>
      <w:r>
        <w:t xml:space="preserve">to the Commission. The more responses the Commission receives from society, the more dignity </w:t>
      </w:r>
      <w:r w:rsidR="000D0C30">
        <w:t>the society has during the decision-making procedure.</w:t>
      </w:r>
      <w:r w:rsidR="00DC5FFD">
        <w:t xml:space="preserve"> However, the exact number of responses is not always available.</w:t>
      </w:r>
      <w:r w:rsidR="000D0C30">
        <w:t xml:space="preserve"> </w:t>
      </w:r>
      <w:r w:rsidR="00DC5FFD">
        <w:t xml:space="preserve">It is also an option to measure which type of consultation took place, since </w:t>
      </w:r>
      <w:r w:rsidR="00910A23">
        <w:t xml:space="preserve">multiple types of consultation exist (van Ballaert, 2017). </w:t>
      </w:r>
      <w:r w:rsidR="00DE276A">
        <w:t xml:space="preserve">The literature </w:t>
      </w:r>
      <w:r w:rsidR="00EF0103">
        <w:t xml:space="preserve">also </w:t>
      </w:r>
      <w:r w:rsidR="00DE276A">
        <w:t xml:space="preserve">showed </w:t>
      </w:r>
      <w:r w:rsidR="00A90C47">
        <w:t xml:space="preserve">that public consultations can be legitimation-building (van Ballaert, 2017). </w:t>
      </w:r>
      <w:r w:rsidR="00AF0E4D">
        <w:t>A downside of this operationalization might be that whether or not a public consultation to</w:t>
      </w:r>
      <w:r w:rsidR="00AF0E4D" w:rsidRPr="00AF0E4D">
        <w:t>ok place is not taken into account when civil servants are going to decide whether or not to comply.</w:t>
      </w:r>
    </w:p>
    <w:p w14:paraId="752474DA" w14:textId="3E1907DF" w:rsidR="00193A8F" w:rsidRDefault="00193A8F" w:rsidP="009175BA">
      <w:pPr>
        <w:spacing w:line="360" w:lineRule="auto"/>
      </w:pPr>
      <w:r w:rsidRPr="00AE427D">
        <w:rPr>
          <w:b/>
        </w:rPr>
        <w:t>Consistency</w:t>
      </w:r>
      <w:r w:rsidR="00EA6AEB">
        <w:t xml:space="preserve">, defined as ‘the absence of systematic bias in the conduct of decision-making authorities’ (Esaiasson et al, 2016; p. 5), </w:t>
      </w:r>
      <w:r w:rsidR="00AE427D">
        <w:t xml:space="preserve">is the final aspect of procedural fairness. </w:t>
      </w:r>
      <w:r w:rsidR="004F3898">
        <w:t xml:space="preserve">In the ordinary decision-making procedure, </w:t>
      </w:r>
      <w:r w:rsidR="00785F57">
        <w:t>some biases can be observed</w:t>
      </w:r>
      <w:r w:rsidR="004F3898">
        <w:t xml:space="preserve">. Their absence would make the procedure </w:t>
      </w:r>
      <w:r w:rsidR="004E5F75">
        <w:t>fairer</w:t>
      </w:r>
      <w:r w:rsidR="004F3898">
        <w:t xml:space="preserve">. </w:t>
      </w:r>
    </w:p>
    <w:p w14:paraId="12A3D685" w14:textId="77777777" w:rsidR="00564D16" w:rsidRDefault="002046AA" w:rsidP="009175BA">
      <w:pPr>
        <w:pStyle w:val="Lijstalinea"/>
        <w:numPr>
          <w:ilvl w:val="0"/>
          <w:numId w:val="1"/>
        </w:numPr>
        <w:spacing w:line="360" w:lineRule="auto"/>
      </w:pPr>
      <w:r>
        <w:t>Blocking minority</w:t>
      </w:r>
    </w:p>
    <w:p w14:paraId="32696197" w14:textId="3C6A10C0" w:rsidR="004F3898" w:rsidRDefault="004F3898" w:rsidP="009175BA">
      <w:pPr>
        <w:spacing w:line="360" w:lineRule="auto"/>
      </w:pPr>
      <w:r>
        <w:t>In the Council, around 80% of the decision are made thr</w:t>
      </w:r>
      <w:r w:rsidR="00475996">
        <w:t>ough QMV (European Council, 2017</w:t>
      </w:r>
      <w:r>
        <w:t xml:space="preserve">). QMV has a bias in its rules. One </w:t>
      </w:r>
      <w:r w:rsidR="003D24DB">
        <w:t xml:space="preserve">example of a bias </w:t>
      </w:r>
      <w:r>
        <w:t xml:space="preserve">is the blocking minority. When </w:t>
      </w:r>
      <w:r w:rsidR="009032EF">
        <w:t xml:space="preserve">4 member states with 35% of the European population are against, the proposal is rejected. This is a bias in the decision-making rules towards the </w:t>
      </w:r>
      <w:r w:rsidR="00131251">
        <w:t>largest</w:t>
      </w:r>
      <w:r w:rsidR="009032EF">
        <w:t xml:space="preserve"> European member states, because small states will </w:t>
      </w:r>
      <w:r w:rsidR="005C6D42">
        <w:t>struggle to</w:t>
      </w:r>
      <w:r w:rsidR="009032EF">
        <w:t xml:space="preserve"> reach 35% of the European population</w:t>
      </w:r>
      <w:r w:rsidR="005C6D42">
        <w:t xml:space="preserve"> together</w:t>
      </w:r>
      <w:r w:rsidR="009032EF">
        <w:t xml:space="preserve">. </w:t>
      </w:r>
      <w:r w:rsidR="00912D39">
        <w:t xml:space="preserve">A </w:t>
      </w:r>
      <w:r w:rsidR="00131251">
        <w:t>problem</w:t>
      </w:r>
      <w:r w:rsidR="00912D39">
        <w:t xml:space="preserve"> of this operationalization is that when a proposal is rejected by blocking minority, the proposal is obviously not approved. Measuring compliance is consequently not possible. So, the proposal need to be blocked one time, but has to be approved after. One could wonder if </w:t>
      </w:r>
      <w:r w:rsidR="003D24DB">
        <w:t>such</w:t>
      </w:r>
      <w:r w:rsidR="00912D39">
        <w:t xml:space="preserve"> </w:t>
      </w:r>
      <w:r w:rsidR="003D24DB">
        <w:t xml:space="preserve">a </w:t>
      </w:r>
      <w:r w:rsidR="00912D39">
        <w:t>decision-making</w:t>
      </w:r>
      <w:r w:rsidR="003D24DB">
        <w:t xml:space="preserve"> process</w:t>
      </w:r>
      <w:r w:rsidR="00912D39">
        <w:t xml:space="preserve"> occurs regularly. However, if </w:t>
      </w:r>
      <w:r w:rsidR="00912D39">
        <w:lastRenderedPageBreak/>
        <w:t>similar processes could be included in the analysis, this would be interesting. In that case, some member states are clearly against the policy.</w:t>
      </w:r>
      <w:r w:rsidR="00DC5FFD">
        <w:t xml:space="preserve"> I</w:t>
      </w:r>
      <w:r w:rsidR="00912D39">
        <w:t xml:space="preserve">t would be interesting to </w:t>
      </w:r>
      <w:r w:rsidR="00DC5FFD">
        <w:t>see if they complied if the procedure was fair.</w:t>
      </w:r>
      <w:r w:rsidR="004E5F75">
        <w:t xml:space="preserve"> </w:t>
      </w:r>
    </w:p>
    <w:p w14:paraId="0FD1BD51" w14:textId="77777777" w:rsidR="00C0156A" w:rsidRDefault="004E5F75" w:rsidP="009175BA">
      <w:pPr>
        <w:pStyle w:val="Lijstalinea"/>
        <w:numPr>
          <w:ilvl w:val="0"/>
          <w:numId w:val="1"/>
        </w:numPr>
        <w:spacing w:line="360" w:lineRule="auto"/>
      </w:pPr>
      <w:r>
        <w:t>QMV or u</w:t>
      </w:r>
      <w:r w:rsidR="00C0156A">
        <w:t xml:space="preserve">nanimity </w:t>
      </w:r>
    </w:p>
    <w:p w14:paraId="7C588FA2" w14:textId="4C116985" w:rsidR="00C0156A" w:rsidRDefault="009032EF" w:rsidP="009175BA">
      <w:pPr>
        <w:spacing w:line="360" w:lineRule="auto"/>
      </w:pPr>
      <w:r>
        <w:t xml:space="preserve">The bigger member states seem to be </w:t>
      </w:r>
      <w:r w:rsidR="00131251">
        <w:t>favored</w:t>
      </w:r>
      <w:r>
        <w:t xml:space="preserve"> anyway by QMV, because one of the</w:t>
      </w:r>
      <w:r w:rsidR="005C6D42">
        <w:t>m</w:t>
      </w:r>
      <w:r w:rsidR="00912D39">
        <w:t xml:space="preserve"> – France, Germany, Italy and the U.K. – </w:t>
      </w:r>
      <w:r>
        <w:t>i</w:t>
      </w:r>
      <w:r w:rsidR="00415ADD">
        <w:t xml:space="preserve">s always needed for a majority (Lewis, 2015). </w:t>
      </w:r>
      <w:r w:rsidR="00912D39">
        <w:t>One could say that t</w:t>
      </w:r>
      <w:r w:rsidR="00607BB3">
        <w:t xml:space="preserve">o </w:t>
      </w:r>
      <w:r w:rsidR="00912D39">
        <w:t xml:space="preserve">some extent, the QMV has a bias in favor of the bigger states. Unanimity would be </w:t>
      </w:r>
      <w:r w:rsidR="004E5F75">
        <w:t>fairer</w:t>
      </w:r>
      <w:r w:rsidR="00912D39">
        <w:t xml:space="preserve">. </w:t>
      </w:r>
      <w:r w:rsidR="00C454F1">
        <w:t>However</w:t>
      </w:r>
      <w:r w:rsidR="00475996">
        <w:t xml:space="preserve">, decisions </w:t>
      </w:r>
      <w:r w:rsidR="00131251">
        <w:t xml:space="preserve">formally </w:t>
      </w:r>
      <w:r w:rsidR="00475996">
        <w:t>made by unanimity are usually more politically salient (European Council, 2017).</w:t>
      </w:r>
      <w:r w:rsidR="00C454F1">
        <w:t xml:space="preserve"> This could affect the degree of compliance and is a downside of this measurement. </w:t>
      </w:r>
    </w:p>
    <w:p w14:paraId="6C8B376E" w14:textId="77777777" w:rsidR="00C63017" w:rsidRDefault="003F44B6" w:rsidP="009175BA">
      <w:pPr>
        <w:pStyle w:val="Lijstalinea"/>
        <w:numPr>
          <w:ilvl w:val="0"/>
          <w:numId w:val="18"/>
        </w:numPr>
        <w:spacing w:line="360" w:lineRule="auto"/>
      </w:pPr>
      <w:r>
        <w:t>Average weight</w:t>
      </w:r>
      <w:r w:rsidR="00526D88">
        <w:t xml:space="preserve"> of </w:t>
      </w:r>
      <w:r>
        <w:t xml:space="preserve">opposing </w:t>
      </w:r>
      <w:r w:rsidR="00526D88">
        <w:t>vote</w:t>
      </w:r>
      <w:r>
        <w:t>s</w:t>
      </w:r>
      <w:r w:rsidR="00526D88">
        <w:t xml:space="preserve"> in the Council</w:t>
      </w:r>
    </w:p>
    <w:p w14:paraId="33DA6149" w14:textId="7402011F" w:rsidR="00131251" w:rsidRDefault="00C63017" w:rsidP="009175BA">
      <w:pPr>
        <w:spacing w:line="360" w:lineRule="auto"/>
      </w:pPr>
      <w:r>
        <w:t xml:space="preserve">In the Council, the votes of the member states are not equal. The votes of </w:t>
      </w:r>
      <w:r w:rsidR="00131251">
        <w:t xml:space="preserve">the member states are weighted, as is shown in the figure below. </w:t>
      </w:r>
      <w:r>
        <w:t xml:space="preserve">One could say that this is a </w:t>
      </w:r>
      <w:r w:rsidR="00526D88">
        <w:t xml:space="preserve">bias and that not all member states are treated </w:t>
      </w:r>
      <w:r w:rsidR="00A17D99">
        <w:t xml:space="preserve">as </w:t>
      </w:r>
      <w:r w:rsidR="00526D88">
        <w:t>equal</w:t>
      </w:r>
      <w:r w:rsidR="00A17D99">
        <w:t>s</w:t>
      </w:r>
      <w:r w:rsidR="00526D88">
        <w:t xml:space="preserve">. </w:t>
      </w:r>
      <w:r w:rsidR="005D35DE">
        <w:t xml:space="preserve">The same weight of votes would be the fairest option, because voting is normally equal: one person, one vote. This </w:t>
      </w:r>
      <w:r w:rsidR="0087131A">
        <w:t>is not the case in the Council</w:t>
      </w:r>
      <w:r w:rsidR="00A17D99">
        <w:t xml:space="preserve">, which displays a clear </w:t>
      </w:r>
      <w:r w:rsidR="005D35DE">
        <w:t>bias towards bigger member states. Small member states cannot block a proposal</w:t>
      </w:r>
      <w:r w:rsidR="0087131A">
        <w:t xml:space="preserve"> with a blocking minority. Mem</w:t>
      </w:r>
      <w:r w:rsidR="00131251">
        <w:t xml:space="preserve">ber states with less weight in the Council will consider it unfair when they vote against a proposal, but </w:t>
      </w:r>
      <w:r w:rsidR="001B69AF">
        <w:t>lack the</w:t>
      </w:r>
      <w:r w:rsidR="00131251">
        <w:t xml:space="preserve"> weight</w:t>
      </w:r>
      <w:r w:rsidR="001B69AF">
        <w:t xml:space="preserve"> needed</w:t>
      </w:r>
      <w:r w:rsidR="00131251">
        <w:t xml:space="preserve"> to block it.</w:t>
      </w:r>
    </w:p>
    <w:p w14:paraId="5BD2FDC4" w14:textId="2D571236" w:rsidR="00131251" w:rsidRDefault="00526D88" w:rsidP="009175BA">
      <w:pPr>
        <w:spacing w:line="360" w:lineRule="auto"/>
      </w:pPr>
      <w:r>
        <w:t>In order to measure the influence of procedural fairness, the numbe</w:t>
      </w:r>
      <w:r w:rsidR="00DC5FFD">
        <w:t xml:space="preserve">r of opponents should also be </w:t>
      </w:r>
      <w:r w:rsidR="00131251">
        <w:t>included. The deci</w:t>
      </w:r>
      <w:r w:rsidR="0087131A">
        <w:t>sion-making process becomes more unfair</w:t>
      </w:r>
      <w:r w:rsidR="00131251">
        <w:t>, when</w:t>
      </w:r>
      <w:r w:rsidR="0087131A">
        <w:t xml:space="preserve"> more member states oppose the proposal, but are unable to block it. </w:t>
      </w:r>
      <w:r w:rsidR="00131251">
        <w:t xml:space="preserve"> </w:t>
      </w:r>
    </w:p>
    <w:p w14:paraId="485E36A6" w14:textId="70DF7882" w:rsidR="0087131A" w:rsidRDefault="0087131A" w:rsidP="009175BA">
      <w:pPr>
        <w:spacing w:line="360" w:lineRule="auto"/>
      </w:pPr>
      <w:r>
        <w:t>A</w:t>
      </w:r>
      <w:r w:rsidR="009A2B78">
        <w:t xml:space="preserve"> problem is that this does not measure procedural fairness exclusively, because the </w:t>
      </w:r>
      <w:r w:rsidR="00A50763">
        <w:t>number of opponents also indicates</w:t>
      </w:r>
      <w:r>
        <w:t xml:space="preserve"> t</w:t>
      </w:r>
      <w:r w:rsidR="00DC5FFD">
        <w:t>he favorability of a proposal. As shown, outcome f</w:t>
      </w:r>
      <w:r>
        <w:t>avorability also affects compliance</w:t>
      </w:r>
      <w:r w:rsidR="009A2B78">
        <w:t xml:space="preserve">. </w:t>
      </w:r>
    </w:p>
    <w:p w14:paraId="61634E1A" w14:textId="77777777" w:rsidR="00131251" w:rsidRPr="005808F3" w:rsidRDefault="007A23F1" w:rsidP="00131251">
      <w:pPr>
        <w:spacing w:line="360" w:lineRule="auto"/>
        <w:rPr>
          <w:i/>
        </w:rPr>
      </w:pPr>
      <w:r>
        <w:rPr>
          <w:i/>
        </w:rPr>
        <w:t>Figure 1</w:t>
      </w:r>
      <w:r w:rsidR="00131251" w:rsidRPr="005808F3">
        <w:rPr>
          <w:i/>
        </w:rPr>
        <w:t>: The weighting of votes in the Eur</w:t>
      </w:r>
      <w:r w:rsidR="00131251">
        <w:rPr>
          <w:i/>
        </w:rPr>
        <w:t xml:space="preserve">opean Council per member state, in 2018. </w:t>
      </w:r>
    </w:p>
    <w:tbl>
      <w:tblPr>
        <w:tblStyle w:val="Tabelraster"/>
        <w:tblW w:w="0" w:type="auto"/>
        <w:tblLook w:val="04A0" w:firstRow="1" w:lastRow="0" w:firstColumn="1" w:lastColumn="0" w:noHBand="0" w:noVBand="1"/>
      </w:tblPr>
      <w:tblGrid>
        <w:gridCol w:w="2265"/>
        <w:gridCol w:w="2265"/>
        <w:gridCol w:w="2266"/>
        <w:gridCol w:w="2266"/>
      </w:tblGrid>
      <w:tr w:rsidR="00493162" w14:paraId="02F743D1" w14:textId="77777777" w:rsidTr="00493162">
        <w:tc>
          <w:tcPr>
            <w:tcW w:w="2265" w:type="dxa"/>
          </w:tcPr>
          <w:p w14:paraId="6A2876E0" w14:textId="5316E3EB" w:rsidR="00493162" w:rsidRPr="00D27544" w:rsidRDefault="00493162" w:rsidP="00493162">
            <w:pPr>
              <w:spacing w:line="360" w:lineRule="auto"/>
              <w:rPr>
                <w:b/>
              </w:rPr>
            </w:pPr>
            <w:r w:rsidRPr="00D27544">
              <w:rPr>
                <w:b/>
              </w:rPr>
              <w:t>Member State</w:t>
            </w:r>
          </w:p>
        </w:tc>
        <w:tc>
          <w:tcPr>
            <w:tcW w:w="2265" w:type="dxa"/>
          </w:tcPr>
          <w:p w14:paraId="2D656D7B" w14:textId="58381517" w:rsidR="00493162" w:rsidRPr="00D27544" w:rsidRDefault="00493162" w:rsidP="00131251">
            <w:pPr>
              <w:spacing w:line="360" w:lineRule="auto"/>
              <w:rPr>
                <w:b/>
              </w:rPr>
            </w:pPr>
            <w:r w:rsidRPr="00D27544">
              <w:rPr>
                <w:b/>
              </w:rPr>
              <w:t>Weighting</w:t>
            </w:r>
          </w:p>
        </w:tc>
        <w:tc>
          <w:tcPr>
            <w:tcW w:w="2266" w:type="dxa"/>
          </w:tcPr>
          <w:p w14:paraId="2725D60F" w14:textId="4280E703" w:rsidR="00493162" w:rsidRPr="00D27544" w:rsidRDefault="00493162" w:rsidP="00131251">
            <w:pPr>
              <w:spacing w:line="360" w:lineRule="auto"/>
              <w:rPr>
                <w:b/>
              </w:rPr>
            </w:pPr>
            <w:r w:rsidRPr="00D27544">
              <w:rPr>
                <w:b/>
              </w:rPr>
              <w:t>Member State</w:t>
            </w:r>
          </w:p>
        </w:tc>
        <w:tc>
          <w:tcPr>
            <w:tcW w:w="2266" w:type="dxa"/>
          </w:tcPr>
          <w:p w14:paraId="7191D723" w14:textId="7DB8874C" w:rsidR="00493162" w:rsidRPr="00D27544" w:rsidRDefault="00493162" w:rsidP="00131251">
            <w:pPr>
              <w:spacing w:line="360" w:lineRule="auto"/>
              <w:rPr>
                <w:b/>
              </w:rPr>
            </w:pPr>
            <w:r w:rsidRPr="00D27544">
              <w:rPr>
                <w:b/>
              </w:rPr>
              <w:t>Weighting</w:t>
            </w:r>
          </w:p>
        </w:tc>
      </w:tr>
      <w:tr w:rsidR="00493162" w14:paraId="5BB6AAAC" w14:textId="77777777" w:rsidTr="00493162">
        <w:tc>
          <w:tcPr>
            <w:tcW w:w="2265" w:type="dxa"/>
          </w:tcPr>
          <w:p w14:paraId="62F16431" w14:textId="62670C33" w:rsidR="00493162" w:rsidRDefault="00493162" w:rsidP="00131251">
            <w:pPr>
              <w:spacing w:line="360" w:lineRule="auto"/>
            </w:pPr>
            <w:r>
              <w:t>Belgium</w:t>
            </w:r>
          </w:p>
        </w:tc>
        <w:tc>
          <w:tcPr>
            <w:tcW w:w="2265" w:type="dxa"/>
          </w:tcPr>
          <w:p w14:paraId="619D9FA4" w14:textId="0ABAC477" w:rsidR="00493162" w:rsidRDefault="00493162" w:rsidP="00131251">
            <w:pPr>
              <w:spacing w:line="360" w:lineRule="auto"/>
            </w:pPr>
            <w:r>
              <w:t>2,22</w:t>
            </w:r>
          </w:p>
        </w:tc>
        <w:tc>
          <w:tcPr>
            <w:tcW w:w="2266" w:type="dxa"/>
          </w:tcPr>
          <w:p w14:paraId="77024060" w14:textId="64C75003" w:rsidR="00493162" w:rsidRDefault="00493162" w:rsidP="00131251">
            <w:pPr>
              <w:spacing w:line="360" w:lineRule="auto"/>
            </w:pPr>
            <w:r>
              <w:t>Lithuania</w:t>
            </w:r>
          </w:p>
        </w:tc>
        <w:tc>
          <w:tcPr>
            <w:tcW w:w="2266" w:type="dxa"/>
          </w:tcPr>
          <w:p w14:paraId="2C6C8F00" w14:textId="62D1CD8D" w:rsidR="00493162" w:rsidRDefault="00493162" w:rsidP="00131251">
            <w:pPr>
              <w:spacing w:line="360" w:lineRule="auto"/>
            </w:pPr>
            <w:r>
              <w:t>0,56</w:t>
            </w:r>
          </w:p>
        </w:tc>
      </w:tr>
      <w:tr w:rsidR="00493162" w14:paraId="5F004EC9" w14:textId="77777777" w:rsidTr="00493162">
        <w:tc>
          <w:tcPr>
            <w:tcW w:w="2265" w:type="dxa"/>
          </w:tcPr>
          <w:p w14:paraId="09BE60C1" w14:textId="004EF2A8" w:rsidR="00493162" w:rsidRDefault="00493162" w:rsidP="00131251">
            <w:pPr>
              <w:spacing w:line="360" w:lineRule="auto"/>
            </w:pPr>
            <w:r>
              <w:t>Bulgaria</w:t>
            </w:r>
          </w:p>
        </w:tc>
        <w:tc>
          <w:tcPr>
            <w:tcW w:w="2265" w:type="dxa"/>
          </w:tcPr>
          <w:p w14:paraId="67927E8A" w14:textId="028D8C55" w:rsidR="00493162" w:rsidRDefault="00493162" w:rsidP="00131251">
            <w:pPr>
              <w:spacing w:line="360" w:lineRule="auto"/>
            </w:pPr>
            <w:r>
              <w:t>1,39</w:t>
            </w:r>
          </w:p>
        </w:tc>
        <w:tc>
          <w:tcPr>
            <w:tcW w:w="2266" w:type="dxa"/>
          </w:tcPr>
          <w:p w14:paraId="7A0D5756" w14:textId="008448C7" w:rsidR="00493162" w:rsidRDefault="00493162" w:rsidP="00131251">
            <w:pPr>
              <w:spacing w:line="360" w:lineRule="auto"/>
            </w:pPr>
            <w:r>
              <w:t>Luxemburg</w:t>
            </w:r>
          </w:p>
        </w:tc>
        <w:tc>
          <w:tcPr>
            <w:tcW w:w="2266" w:type="dxa"/>
          </w:tcPr>
          <w:p w14:paraId="6CDC6AF6" w14:textId="4AB48F1C" w:rsidR="00493162" w:rsidRDefault="00493162" w:rsidP="00131251">
            <w:pPr>
              <w:spacing w:line="360" w:lineRule="auto"/>
            </w:pPr>
            <w:r>
              <w:t>0,12</w:t>
            </w:r>
          </w:p>
        </w:tc>
      </w:tr>
      <w:tr w:rsidR="00493162" w14:paraId="4B45F37F" w14:textId="77777777" w:rsidTr="00493162">
        <w:tc>
          <w:tcPr>
            <w:tcW w:w="2265" w:type="dxa"/>
          </w:tcPr>
          <w:p w14:paraId="29DB52C2" w14:textId="1FBED311" w:rsidR="00493162" w:rsidRDefault="00493162" w:rsidP="00131251">
            <w:pPr>
              <w:spacing w:line="360" w:lineRule="auto"/>
            </w:pPr>
            <w:r>
              <w:t>Czech Republic</w:t>
            </w:r>
          </w:p>
        </w:tc>
        <w:tc>
          <w:tcPr>
            <w:tcW w:w="2265" w:type="dxa"/>
          </w:tcPr>
          <w:p w14:paraId="5E0298DE" w14:textId="26F4F997" w:rsidR="00493162" w:rsidRDefault="00493162" w:rsidP="00131251">
            <w:pPr>
              <w:spacing w:line="360" w:lineRule="auto"/>
            </w:pPr>
            <w:r>
              <w:t>2,04</w:t>
            </w:r>
          </w:p>
        </w:tc>
        <w:tc>
          <w:tcPr>
            <w:tcW w:w="2266" w:type="dxa"/>
          </w:tcPr>
          <w:p w14:paraId="24AF65ED" w14:textId="2B478A40" w:rsidR="00493162" w:rsidRDefault="00493162" w:rsidP="00131251">
            <w:pPr>
              <w:spacing w:line="360" w:lineRule="auto"/>
            </w:pPr>
            <w:r>
              <w:t>Hungary</w:t>
            </w:r>
          </w:p>
        </w:tc>
        <w:tc>
          <w:tcPr>
            <w:tcW w:w="2266" w:type="dxa"/>
          </w:tcPr>
          <w:p w14:paraId="77E5F070" w14:textId="2B4DE7C9" w:rsidR="00493162" w:rsidRDefault="00493162" w:rsidP="00131251">
            <w:pPr>
              <w:spacing w:line="360" w:lineRule="auto"/>
            </w:pPr>
            <w:r>
              <w:t>1,91</w:t>
            </w:r>
          </w:p>
        </w:tc>
      </w:tr>
      <w:tr w:rsidR="00493162" w14:paraId="28C0D631" w14:textId="77777777" w:rsidTr="00493162">
        <w:tc>
          <w:tcPr>
            <w:tcW w:w="2265" w:type="dxa"/>
          </w:tcPr>
          <w:p w14:paraId="559B1DE3" w14:textId="1EE2E8E7" w:rsidR="00493162" w:rsidRDefault="00493162" w:rsidP="00131251">
            <w:pPr>
              <w:spacing w:line="360" w:lineRule="auto"/>
            </w:pPr>
            <w:r>
              <w:t>Denmark</w:t>
            </w:r>
          </w:p>
        </w:tc>
        <w:tc>
          <w:tcPr>
            <w:tcW w:w="2265" w:type="dxa"/>
          </w:tcPr>
          <w:p w14:paraId="3AD663A2" w14:textId="76EA0029" w:rsidR="00493162" w:rsidRDefault="00493162" w:rsidP="00131251">
            <w:pPr>
              <w:spacing w:line="360" w:lineRule="auto"/>
            </w:pPr>
            <w:r>
              <w:t>1,12</w:t>
            </w:r>
          </w:p>
        </w:tc>
        <w:tc>
          <w:tcPr>
            <w:tcW w:w="2266" w:type="dxa"/>
          </w:tcPr>
          <w:p w14:paraId="4DB91358" w14:textId="1A584D98" w:rsidR="00493162" w:rsidRDefault="00493162" w:rsidP="00131251">
            <w:pPr>
              <w:spacing w:line="360" w:lineRule="auto"/>
            </w:pPr>
            <w:r>
              <w:t>Malta</w:t>
            </w:r>
          </w:p>
        </w:tc>
        <w:tc>
          <w:tcPr>
            <w:tcW w:w="2266" w:type="dxa"/>
          </w:tcPr>
          <w:p w14:paraId="5027FA79" w14:textId="7ADCE1D1" w:rsidR="00493162" w:rsidRDefault="00493162" w:rsidP="00131251">
            <w:pPr>
              <w:spacing w:line="360" w:lineRule="auto"/>
            </w:pPr>
            <w:r>
              <w:t>0,09</w:t>
            </w:r>
          </w:p>
        </w:tc>
      </w:tr>
      <w:tr w:rsidR="00493162" w14:paraId="08619064" w14:textId="77777777" w:rsidTr="00493162">
        <w:tc>
          <w:tcPr>
            <w:tcW w:w="2265" w:type="dxa"/>
          </w:tcPr>
          <w:p w14:paraId="08E5CE4D" w14:textId="05572F99" w:rsidR="00493162" w:rsidRDefault="00493162" w:rsidP="00131251">
            <w:pPr>
              <w:spacing w:line="360" w:lineRule="auto"/>
            </w:pPr>
            <w:r>
              <w:t>Germany</w:t>
            </w:r>
          </w:p>
        </w:tc>
        <w:tc>
          <w:tcPr>
            <w:tcW w:w="2265" w:type="dxa"/>
          </w:tcPr>
          <w:p w14:paraId="732811CC" w14:textId="79747DF0" w:rsidR="00493162" w:rsidRDefault="00493162" w:rsidP="00131251">
            <w:pPr>
              <w:spacing w:line="360" w:lineRule="auto"/>
            </w:pPr>
            <w:r>
              <w:t>16,10</w:t>
            </w:r>
          </w:p>
        </w:tc>
        <w:tc>
          <w:tcPr>
            <w:tcW w:w="2266" w:type="dxa"/>
          </w:tcPr>
          <w:p w14:paraId="633FB74B" w14:textId="1E0F2CB8" w:rsidR="00493162" w:rsidRDefault="00493162" w:rsidP="00131251">
            <w:pPr>
              <w:spacing w:line="360" w:lineRule="auto"/>
            </w:pPr>
            <w:r>
              <w:t>The Netherlands</w:t>
            </w:r>
          </w:p>
        </w:tc>
        <w:tc>
          <w:tcPr>
            <w:tcW w:w="2266" w:type="dxa"/>
          </w:tcPr>
          <w:p w14:paraId="1E679F93" w14:textId="7E1342BE" w:rsidR="00493162" w:rsidRDefault="00493162" w:rsidP="00131251">
            <w:pPr>
              <w:spacing w:line="360" w:lineRule="auto"/>
            </w:pPr>
            <w:r>
              <w:t>3,36</w:t>
            </w:r>
          </w:p>
        </w:tc>
      </w:tr>
      <w:tr w:rsidR="00493162" w14:paraId="42A74832" w14:textId="77777777" w:rsidTr="00493162">
        <w:tc>
          <w:tcPr>
            <w:tcW w:w="2265" w:type="dxa"/>
          </w:tcPr>
          <w:p w14:paraId="21ECF278" w14:textId="5898622A" w:rsidR="00493162" w:rsidRDefault="00493162" w:rsidP="00131251">
            <w:pPr>
              <w:spacing w:line="360" w:lineRule="auto"/>
            </w:pPr>
            <w:r>
              <w:t>Estonia</w:t>
            </w:r>
          </w:p>
        </w:tc>
        <w:tc>
          <w:tcPr>
            <w:tcW w:w="2265" w:type="dxa"/>
          </w:tcPr>
          <w:p w14:paraId="1A1EAA88" w14:textId="33F5938F" w:rsidR="00493162" w:rsidRDefault="00D27544" w:rsidP="00131251">
            <w:pPr>
              <w:spacing w:line="360" w:lineRule="auto"/>
            </w:pPr>
            <w:r>
              <w:t>0,</w:t>
            </w:r>
            <w:r w:rsidR="00493162">
              <w:t>26</w:t>
            </w:r>
          </w:p>
        </w:tc>
        <w:tc>
          <w:tcPr>
            <w:tcW w:w="2266" w:type="dxa"/>
          </w:tcPr>
          <w:p w14:paraId="2580DB14" w14:textId="0E5105A6" w:rsidR="00493162" w:rsidRDefault="00D27544" w:rsidP="00131251">
            <w:pPr>
              <w:spacing w:line="360" w:lineRule="auto"/>
            </w:pPr>
            <w:r>
              <w:t>Austria</w:t>
            </w:r>
          </w:p>
        </w:tc>
        <w:tc>
          <w:tcPr>
            <w:tcW w:w="2266" w:type="dxa"/>
          </w:tcPr>
          <w:p w14:paraId="5B616688" w14:textId="7DC31E74" w:rsidR="00493162" w:rsidRDefault="00D27544" w:rsidP="00131251">
            <w:pPr>
              <w:spacing w:line="360" w:lineRule="auto"/>
            </w:pPr>
            <w:r>
              <w:t>1,71</w:t>
            </w:r>
          </w:p>
        </w:tc>
      </w:tr>
      <w:tr w:rsidR="00493162" w14:paraId="3E3F5FB7" w14:textId="77777777" w:rsidTr="00493162">
        <w:tc>
          <w:tcPr>
            <w:tcW w:w="2265" w:type="dxa"/>
          </w:tcPr>
          <w:p w14:paraId="2689895F" w14:textId="08B46132" w:rsidR="00493162" w:rsidRDefault="00D27544" w:rsidP="00131251">
            <w:pPr>
              <w:spacing w:line="360" w:lineRule="auto"/>
            </w:pPr>
            <w:r>
              <w:lastRenderedPageBreak/>
              <w:t>Ireland</w:t>
            </w:r>
          </w:p>
        </w:tc>
        <w:tc>
          <w:tcPr>
            <w:tcW w:w="2265" w:type="dxa"/>
          </w:tcPr>
          <w:p w14:paraId="0567C7E0" w14:textId="41159E2C" w:rsidR="00493162" w:rsidRDefault="00D27544" w:rsidP="00131251">
            <w:pPr>
              <w:spacing w:line="360" w:lineRule="auto"/>
            </w:pPr>
            <w:r>
              <w:t>0,93</w:t>
            </w:r>
          </w:p>
        </w:tc>
        <w:tc>
          <w:tcPr>
            <w:tcW w:w="2266" w:type="dxa"/>
          </w:tcPr>
          <w:p w14:paraId="796B7EFD" w14:textId="456AD7E1" w:rsidR="00493162" w:rsidRDefault="00D27544" w:rsidP="00131251">
            <w:pPr>
              <w:spacing w:line="360" w:lineRule="auto"/>
            </w:pPr>
            <w:r>
              <w:t>Poland</w:t>
            </w:r>
          </w:p>
        </w:tc>
        <w:tc>
          <w:tcPr>
            <w:tcW w:w="2266" w:type="dxa"/>
          </w:tcPr>
          <w:p w14:paraId="2BF3ACF8" w14:textId="7E18D466" w:rsidR="00D27544" w:rsidRDefault="00D27544" w:rsidP="00131251">
            <w:pPr>
              <w:spacing w:line="360" w:lineRule="auto"/>
            </w:pPr>
            <w:r>
              <w:t>7,41</w:t>
            </w:r>
          </w:p>
        </w:tc>
      </w:tr>
      <w:tr w:rsidR="00D27544" w14:paraId="50CC73F3" w14:textId="77777777" w:rsidTr="00493162">
        <w:tc>
          <w:tcPr>
            <w:tcW w:w="2265" w:type="dxa"/>
          </w:tcPr>
          <w:p w14:paraId="61C8323A" w14:textId="51FEC11F" w:rsidR="00D27544" w:rsidRDefault="00D27544" w:rsidP="00131251">
            <w:pPr>
              <w:spacing w:line="360" w:lineRule="auto"/>
            </w:pPr>
            <w:r>
              <w:t>Greece</w:t>
            </w:r>
          </w:p>
        </w:tc>
        <w:tc>
          <w:tcPr>
            <w:tcW w:w="2265" w:type="dxa"/>
          </w:tcPr>
          <w:p w14:paraId="583BD55A" w14:textId="3C0862FB" w:rsidR="00D27544" w:rsidRDefault="00D27544" w:rsidP="00131251">
            <w:pPr>
              <w:spacing w:line="360" w:lineRule="auto"/>
            </w:pPr>
            <w:r>
              <w:t>2,10</w:t>
            </w:r>
          </w:p>
        </w:tc>
        <w:tc>
          <w:tcPr>
            <w:tcW w:w="2266" w:type="dxa"/>
          </w:tcPr>
          <w:p w14:paraId="0A74C852" w14:textId="0511F3F3" w:rsidR="00D27544" w:rsidRDefault="00D27544" w:rsidP="00131251">
            <w:pPr>
              <w:spacing w:line="360" w:lineRule="auto"/>
            </w:pPr>
            <w:r>
              <w:t>Portugal</w:t>
            </w:r>
          </w:p>
        </w:tc>
        <w:tc>
          <w:tcPr>
            <w:tcW w:w="2266" w:type="dxa"/>
          </w:tcPr>
          <w:p w14:paraId="3D35B779" w14:textId="2E2106BF" w:rsidR="00D27544" w:rsidRDefault="00D27544" w:rsidP="00131251">
            <w:pPr>
              <w:spacing w:line="360" w:lineRule="auto"/>
            </w:pPr>
            <w:r>
              <w:t>2,01</w:t>
            </w:r>
          </w:p>
        </w:tc>
      </w:tr>
      <w:tr w:rsidR="00D27544" w14:paraId="7B385870" w14:textId="77777777" w:rsidTr="00493162">
        <w:tc>
          <w:tcPr>
            <w:tcW w:w="2265" w:type="dxa"/>
          </w:tcPr>
          <w:p w14:paraId="38B46922" w14:textId="2F103A6E" w:rsidR="00D27544" w:rsidRDefault="00D27544" w:rsidP="00131251">
            <w:pPr>
              <w:spacing w:line="360" w:lineRule="auto"/>
            </w:pPr>
            <w:r>
              <w:t>Spain</w:t>
            </w:r>
          </w:p>
        </w:tc>
        <w:tc>
          <w:tcPr>
            <w:tcW w:w="2265" w:type="dxa"/>
          </w:tcPr>
          <w:p w14:paraId="7C32123C" w14:textId="655D089F" w:rsidR="00D27544" w:rsidRDefault="00D27544" w:rsidP="00131251">
            <w:pPr>
              <w:spacing w:line="360" w:lineRule="auto"/>
            </w:pPr>
            <w:r>
              <w:t>9,08</w:t>
            </w:r>
          </w:p>
        </w:tc>
        <w:tc>
          <w:tcPr>
            <w:tcW w:w="2266" w:type="dxa"/>
          </w:tcPr>
          <w:p w14:paraId="27F270FF" w14:textId="4525F774" w:rsidR="00D27544" w:rsidRDefault="00D27544" w:rsidP="00131251">
            <w:pPr>
              <w:spacing w:line="360" w:lineRule="auto"/>
            </w:pPr>
            <w:r>
              <w:t>Romania</w:t>
            </w:r>
          </w:p>
        </w:tc>
        <w:tc>
          <w:tcPr>
            <w:tcW w:w="2266" w:type="dxa"/>
          </w:tcPr>
          <w:p w14:paraId="1AE5C161" w14:textId="4763076D" w:rsidR="00D27544" w:rsidRDefault="00D27544" w:rsidP="00131251">
            <w:pPr>
              <w:spacing w:line="360" w:lineRule="auto"/>
            </w:pPr>
            <w:r>
              <w:t>3,83</w:t>
            </w:r>
          </w:p>
        </w:tc>
      </w:tr>
      <w:tr w:rsidR="00D27544" w14:paraId="0F9E8BAB" w14:textId="77777777" w:rsidTr="00493162">
        <w:tc>
          <w:tcPr>
            <w:tcW w:w="2265" w:type="dxa"/>
          </w:tcPr>
          <w:p w14:paraId="52D031E5" w14:textId="779CCD91" w:rsidR="00D27544" w:rsidRDefault="00D27544" w:rsidP="00131251">
            <w:pPr>
              <w:spacing w:line="360" w:lineRule="auto"/>
            </w:pPr>
            <w:r>
              <w:t>France</w:t>
            </w:r>
          </w:p>
        </w:tc>
        <w:tc>
          <w:tcPr>
            <w:tcW w:w="2265" w:type="dxa"/>
          </w:tcPr>
          <w:p w14:paraId="1816FAF5" w14:textId="4E279B8D" w:rsidR="00D27544" w:rsidRDefault="00D27544" w:rsidP="00131251">
            <w:pPr>
              <w:spacing w:line="360" w:lineRule="auto"/>
            </w:pPr>
            <w:r>
              <w:t>13,09</w:t>
            </w:r>
          </w:p>
        </w:tc>
        <w:tc>
          <w:tcPr>
            <w:tcW w:w="2266" w:type="dxa"/>
          </w:tcPr>
          <w:p w14:paraId="44A63789" w14:textId="373CCB37" w:rsidR="00D27544" w:rsidRDefault="00D27544" w:rsidP="00131251">
            <w:pPr>
              <w:spacing w:line="360" w:lineRule="auto"/>
            </w:pPr>
            <w:r>
              <w:t>Slovenia</w:t>
            </w:r>
          </w:p>
        </w:tc>
        <w:tc>
          <w:tcPr>
            <w:tcW w:w="2266" w:type="dxa"/>
          </w:tcPr>
          <w:p w14:paraId="37AD54E4" w14:textId="4CC67F14" w:rsidR="00D27544" w:rsidRDefault="00D27544" w:rsidP="00131251">
            <w:pPr>
              <w:spacing w:line="360" w:lineRule="auto"/>
            </w:pPr>
            <w:r>
              <w:t>0,40</w:t>
            </w:r>
          </w:p>
        </w:tc>
      </w:tr>
      <w:tr w:rsidR="00D27544" w14:paraId="26C5ED89" w14:textId="77777777" w:rsidTr="00493162">
        <w:tc>
          <w:tcPr>
            <w:tcW w:w="2265" w:type="dxa"/>
          </w:tcPr>
          <w:p w14:paraId="7C965BFC" w14:textId="352BA555" w:rsidR="00D27544" w:rsidRDefault="00D27544" w:rsidP="00131251">
            <w:pPr>
              <w:spacing w:line="360" w:lineRule="auto"/>
            </w:pPr>
            <w:r>
              <w:t>Croatia</w:t>
            </w:r>
          </w:p>
        </w:tc>
        <w:tc>
          <w:tcPr>
            <w:tcW w:w="2265" w:type="dxa"/>
          </w:tcPr>
          <w:p w14:paraId="2F53BCA6" w14:textId="45681510" w:rsidR="00D27544" w:rsidRDefault="00D27544" w:rsidP="00131251">
            <w:pPr>
              <w:spacing w:line="360" w:lineRule="auto"/>
            </w:pPr>
            <w:r>
              <w:t>0,81</w:t>
            </w:r>
          </w:p>
        </w:tc>
        <w:tc>
          <w:tcPr>
            <w:tcW w:w="2266" w:type="dxa"/>
          </w:tcPr>
          <w:p w14:paraId="3A78E793" w14:textId="5B3A1096" w:rsidR="00D27544" w:rsidRDefault="00D27544" w:rsidP="00131251">
            <w:pPr>
              <w:spacing w:line="360" w:lineRule="auto"/>
            </w:pPr>
            <w:r>
              <w:t>Slovakia</w:t>
            </w:r>
          </w:p>
        </w:tc>
        <w:tc>
          <w:tcPr>
            <w:tcW w:w="2266" w:type="dxa"/>
          </w:tcPr>
          <w:p w14:paraId="4B58BFE1" w14:textId="5E795526" w:rsidR="00D27544" w:rsidRDefault="00D27544" w:rsidP="00131251">
            <w:pPr>
              <w:spacing w:line="360" w:lineRule="auto"/>
            </w:pPr>
            <w:r>
              <w:t>1,06</w:t>
            </w:r>
          </w:p>
        </w:tc>
      </w:tr>
      <w:tr w:rsidR="00D27544" w14:paraId="143943F1" w14:textId="77777777" w:rsidTr="00493162">
        <w:tc>
          <w:tcPr>
            <w:tcW w:w="2265" w:type="dxa"/>
          </w:tcPr>
          <w:p w14:paraId="5B3DBADB" w14:textId="75A703E6" w:rsidR="00D27544" w:rsidRDefault="00D27544" w:rsidP="00131251">
            <w:pPr>
              <w:spacing w:line="360" w:lineRule="auto"/>
            </w:pPr>
            <w:r>
              <w:t>Italy</w:t>
            </w:r>
          </w:p>
        </w:tc>
        <w:tc>
          <w:tcPr>
            <w:tcW w:w="2265" w:type="dxa"/>
          </w:tcPr>
          <w:p w14:paraId="6A365705" w14:textId="57A71796" w:rsidR="00D27544" w:rsidRDefault="00D27544" w:rsidP="00131251">
            <w:pPr>
              <w:spacing w:line="360" w:lineRule="auto"/>
            </w:pPr>
            <w:r>
              <w:t>11,95</w:t>
            </w:r>
          </w:p>
        </w:tc>
        <w:tc>
          <w:tcPr>
            <w:tcW w:w="2266" w:type="dxa"/>
          </w:tcPr>
          <w:p w14:paraId="41B5577F" w14:textId="780361C9" w:rsidR="00D27544" w:rsidRDefault="00D27544" w:rsidP="00131251">
            <w:pPr>
              <w:spacing w:line="360" w:lineRule="auto"/>
            </w:pPr>
            <w:r>
              <w:t>Finland</w:t>
            </w:r>
          </w:p>
        </w:tc>
        <w:tc>
          <w:tcPr>
            <w:tcW w:w="2266" w:type="dxa"/>
          </w:tcPr>
          <w:p w14:paraId="64EA8691" w14:textId="12E4D67F" w:rsidR="00D27544" w:rsidRDefault="00D27544" w:rsidP="00131251">
            <w:pPr>
              <w:spacing w:line="360" w:lineRule="auto"/>
            </w:pPr>
            <w:r>
              <w:t>1,07</w:t>
            </w:r>
          </w:p>
        </w:tc>
      </w:tr>
      <w:tr w:rsidR="00D27544" w14:paraId="08F18AC7" w14:textId="77777777" w:rsidTr="00493162">
        <w:tc>
          <w:tcPr>
            <w:tcW w:w="2265" w:type="dxa"/>
          </w:tcPr>
          <w:p w14:paraId="4D60D161" w14:textId="11C0D51B" w:rsidR="00D27544" w:rsidRDefault="00D27544" w:rsidP="00131251">
            <w:pPr>
              <w:spacing w:line="360" w:lineRule="auto"/>
            </w:pPr>
            <w:r>
              <w:t>Cyprus</w:t>
            </w:r>
          </w:p>
        </w:tc>
        <w:tc>
          <w:tcPr>
            <w:tcW w:w="2265" w:type="dxa"/>
          </w:tcPr>
          <w:p w14:paraId="164D4FA1" w14:textId="18B09BF0" w:rsidR="00D27544" w:rsidRDefault="00D27544" w:rsidP="00131251">
            <w:pPr>
              <w:spacing w:line="360" w:lineRule="auto"/>
            </w:pPr>
            <w:r>
              <w:t>0,17</w:t>
            </w:r>
          </w:p>
        </w:tc>
        <w:tc>
          <w:tcPr>
            <w:tcW w:w="2266" w:type="dxa"/>
          </w:tcPr>
          <w:p w14:paraId="2EF4A1B7" w14:textId="6298EFC3" w:rsidR="00D27544" w:rsidRDefault="00D27544" w:rsidP="00131251">
            <w:pPr>
              <w:spacing w:line="360" w:lineRule="auto"/>
            </w:pPr>
            <w:r>
              <w:t>Sweden</w:t>
            </w:r>
          </w:p>
        </w:tc>
        <w:tc>
          <w:tcPr>
            <w:tcW w:w="2266" w:type="dxa"/>
          </w:tcPr>
          <w:p w14:paraId="79ECB53B" w14:textId="5AC7CF19" w:rsidR="00D27544" w:rsidRDefault="00D27544" w:rsidP="00131251">
            <w:pPr>
              <w:spacing w:line="360" w:lineRule="auto"/>
            </w:pPr>
            <w:r>
              <w:t>1,97</w:t>
            </w:r>
          </w:p>
        </w:tc>
      </w:tr>
      <w:tr w:rsidR="00D27544" w14:paraId="357B6154" w14:textId="77777777" w:rsidTr="00493162">
        <w:tc>
          <w:tcPr>
            <w:tcW w:w="2265" w:type="dxa"/>
          </w:tcPr>
          <w:p w14:paraId="53F098BF" w14:textId="0A21F361" w:rsidR="00D27544" w:rsidRDefault="00D27544" w:rsidP="00131251">
            <w:pPr>
              <w:spacing w:line="360" w:lineRule="auto"/>
            </w:pPr>
            <w:r>
              <w:t>Latvia</w:t>
            </w:r>
          </w:p>
        </w:tc>
        <w:tc>
          <w:tcPr>
            <w:tcW w:w="2265" w:type="dxa"/>
          </w:tcPr>
          <w:p w14:paraId="5020B113" w14:textId="37B1B823" w:rsidR="00D27544" w:rsidRDefault="00D27544" w:rsidP="00131251">
            <w:pPr>
              <w:spacing w:line="360" w:lineRule="auto"/>
            </w:pPr>
            <w:r>
              <w:t>0,38</w:t>
            </w:r>
          </w:p>
        </w:tc>
        <w:tc>
          <w:tcPr>
            <w:tcW w:w="2266" w:type="dxa"/>
          </w:tcPr>
          <w:p w14:paraId="11361001" w14:textId="58C0BE10" w:rsidR="00D27544" w:rsidRDefault="00D27544" w:rsidP="00131251">
            <w:pPr>
              <w:spacing w:line="360" w:lineRule="auto"/>
            </w:pPr>
            <w:r>
              <w:t>United Kingdom</w:t>
            </w:r>
          </w:p>
        </w:tc>
        <w:tc>
          <w:tcPr>
            <w:tcW w:w="2266" w:type="dxa"/>
          </w:tcPr>
          <w:p w14:paraId="6210B1A1" w14:textId="3080EEAA" w:rsidR="00D27544" w:rsidRDefault="00D27544" w:rsidP="00131251">
            <w:pPr>
              <w:spacing w:line="360" w:lineRule="auto"/>
            </w:pPr>
            <w:r>
              <w:t>12,85</w:t>
            </w:r>
          </w:p>
        </w:tc>
      </w:tr>
    </w:tbl>
    <w:p w14:paraId="68A7A593" w14:textId="36CEFCCC" w:rsidR="00131251" w:rsidRPr="00AE32C5" w:rsidRDefault="003D3CD9" w:rsidP="00131251">
      <w:pPr>
        <w:spacing w:line="360" w:lineRule="auto"/>
        <w:rPr>
          <w:i/>
          <w:sz w:val="20"/>
        </w:rPr>
      </w:pPr>
      <w:r>
        <w:rPr>
          <w:i/>
          <w:sz w:val="20"/>
        </w:rPr>
        <w:br/>
      </w:r>
      <w:r w:rsidR="00131251" w:rsidRPr="00AE32C5">
        <w:rPr>
          <w:i/>
          <w:sz w:val="20"/>
        </w:rPr>
        <w:t>(Source: Council of the European Union, 2018).</w:t>
      </w:r>
    </w:p>
    <w:p w14:paraId="0287E128" w14:textId="77777777" w:rsidR="00DC31EE" w:rsidRDefault="00131251" w:rsidP="00DC31EE">
      <w:pPr>
        <w:pStyle w:val="Lijstalinea"/>
        <w:numPr>
          <w:ilvl w:val="0"/>
          <w:numId w:val="18"/>
        </w:numPr>
        <w:spacing w:line="360" w:lineRule="auto"/>
      </w:pPr>
      <w:r>
        <w:t>Number and population of o</w:t>
      </w:r>
      <w:r w:rsidR="00DC31EE">
        <w:t xml:space="preserve">pposing member </w:t>
      </w:r>
      <w:r>
        <w:t>states</w:t>
      </w:r>
    </w:p>
    <w:p w14:paraId="31D56C76" w14:textId="41C2AF84" w:rsidR="00DC31EE" w:rsidRDefault="00DC31EE" w:rsidP="00DC31EE">
      <w:pPr>
        <w:spacing w:line="360" w:lineRule="auto"/>
      </w:pPr>
      <w:r>
        <w:t xml:space="preserve">A final way to measure a possible bias towards bigger member states in the decision-making procedure is </w:t>
      </w:r>
      <w:r w:rsidR="001B69AF">
        <w:t xml:space="preserve">to </w:t>
      </w:r>
      <w:r>
        <w:t xml:space="preserve">count the number of opposing member states </w:t>
      </w:r>
      <w:r w:rsidR="003D24DB">
        <w:t xml:space="preserve">and </w:t>
      </w:r>
      <w:r>
        <w:t>their population.</w:t>
      </w:r>
      <w:r w:rsidR="007A5001">
        <w:t xml:space="preserve"> The </w:t>
      </w:r>
      <w:r w:rsidR="001B69AF">
        <w:t xml:space="preserve">higher the number of </w:t>
      </w:r>
      <w:r w:rsidR="007A5001">
        <w:t xml:space="preserve">member states </w:t>
      </w:r>
      <w:r w:rsidR="001B69AF">
        <w:t xml:space="preserve">that </w:t>
      </w:r>
      <w:r w:rsidR="007A5001">
        <w:t xml:space="preserve">opposed an (accepted) directive, </w:t>
      </w:r>
      <w:r>
        <w:t xml:space="preserve">the </w:t>
      </w:r>
      <w:r w:rsidR="001B69AF">
        <w:t>lower the degree of fairness of</w:t>
      </w:r>
      <w:r>
        <w:t xml:space="preserve"> the procedure. </w:t>
      </w:r>
      <w:r w:rsidR="007A5001">
        <w:t>Th</w:t>
      </w:r>
      <w:r w:rsidR="00E51305">
        <w:t xml:space="preserve">is is due to </w:t>
      </w:r>
      <w:r w:rsidR="007A5001">
        <w:t xml:space="preserve">opposing member states </w:t>
      </w:r>
      <w:r w:rsidR="00E51305">
        <w:t>being</w:t>
      </w:r>
      <w:r w:rsidR="007A5001">
        <w:t xml:space="preserve"> unable to </w:t>
      </w:r>
      <w:r w:rsidR="00E51305">
        <w:t xml:space="preserve">prevent </w:t>
      </w:r>
      <w:r w:rsidR="00EF0103">
        <w:t xml:space="preserve">the decision </w:t>
      </w:r>
      <w:r w:rsidR="007A5001">
        <w:t xml:space="preserve">with a blocking minority. For population, the same can be said. The higher the population of opposing member states was, the </w:t>
      </w:r>
      <w:r w:rsidR="00E51305">
        <w:t>lower the degree of</w:t>
      </w:r>
      <w:r w:rsidR="007A5001">
        <w:t xml:space="preserve"> the procedur</w:t>
      </w:r>
      <w:r w:rsidR="00E51305">
        <w:t>e’s fairness</w:t>
      </w:r>
      <w:r w:rsidR="007A5001">
        <w:t xml:space="preserve">. </w:t>
      </w:r>
    </w:p>
    <w:p w14:paraId="6CCD2DAD" w14:textId="6980CD71" w:rsidR="001E72ED" w:rsidRDefault="00CC6172" w:rsidP="00136F6A">
      <w:pPr>
        <w:spacing w:line="360" w:lineRule="auto"/>
      </w:pPr>
      <w:r>
        <w:t>All different options to measure procedural fairness have been discussed</w:t>
      </w:r>
      <w:r w:rsidR="00014842">
        <w:t xml:space="preserve">. Now, operationalization decisions </w:t>
      </w:r>
      <w:r w:rsidR="00DC5FFD">
        <w:t>will</w:t>
      </w:r>
      <w:r w:rsidR="00014842">
        <w:t xml:space="preserve"> be made. This thesis focuses on the fairness of a deci</w:t>
      </w:r>
      <w:r w:rsidR="00DC5FFD">
        <w:t xml:space="preserve">sion-making process, so </w:t>
      </w:r>
      <w:r w:rsidR="00014842">
        <w:t>all measurements should be components of the decision-making process</w:t>
      </w:r>
      <w:r w:rsidR="00DC5FFD">
        <w:t>. T</w:t>
      </w:r>
      <w:r w:rsidR="00014842">
        <w:t>he following components will be used</w:t>
      </w:r>
      <w:r w:rsidR="001E72ED">
        <w:t xml:space="preserve"> to measure procedural fairness to test the first hypothesis.</w:t>
      </w:r>
    </w:p>
    <w:p w14:paraId="4081362A" w14:textId="77777777" w:rsidR="00014842" w:rsidRDefault="00014842" w:rsidP="00B12634">
      <w:pPr>
        <w:pStyle w:val="Kop4"/>
      </w:pPr>
      <w:r>
        <w:t xml:space="preserve">Voice: </w:t>
      </w:r>
    </w:p>
    <w:p w14:paraId="3807C80B" w14:textId="64D42BA6" w:rsidR="004E5F75" w:rsidRPr="004E5F75" w:rsidRDefault="00014842" w:rsidP="00136F6A">
      <w:pPr>
        <w:pStyle w:val="Lijstalinea"/>
        <w:numPr>
          <w:ilvl w:val="0"/>
          <w:numId w:val="24"/>
        </w:numPr>
        <w:spacing w:line="360" w:lineRule="auto"/>
      </w:pPr>
      <w:r w:rsidRPr="00136F6A">
        <w:rPr>
          <w:b/>
        </w:rPr>
        <w:t xml:space="preserve">The number of times </w:t>
      </w:r>
      <w:r w:rsidR="004E5F75">
        <w:rPr>
          <w:b/>
        </w:rPr>
        <w:t>the proposal i</w:t>
      </w:r>
      <w:r w:rsidR="00E51305">
        <w:rPr>
          <w:b/>
        </w:rPr>
        <w:t>s</w:t>
      </w:r>
      <w:r w:rsidR="004E5F75">
        <w:rPr>
          <w:b/>
        </w:rPr>
        <w:t xml:space="preserve"> discussed in the Council or in preparatory bodies. </w:t>
      </w:r>
    </w:p>
    <w:p w14:paraId="1D921F39" w14:textId="55916102" w:rsidR="00014842" w:rsidRDefault="00E51305" w:rsidP="00E51305">
      <w:pPr>
        <w:pStyle w:val="Lijstalinea"/>
        <w:spacing w:line="360" w:lineRule="auto"/>
      </w:pPr>
      <w:r>
        <w:t xml:space="preserve">The opportunities that member states have to promote their interests increase the more time a proposal is discussed. </w:t>
      </w:r>
      <w:r w:rsidR="00014842">
        <w:t xml:space="preserve">This increases the fairness of the procedure. </w:t>
      </w:r>
      <w:r w:rsidR="004E5F75">
        <w:t xml:space="preserve">This can be </w:t>
      </w:r>
      <w:r w:rsidR="001364F4">
        <w:t>measured on the website of EUR-L</w:t>
      </w:r>
      <w:r w:rsidR="004E5F75">
        <w:t xml:space="preserve">ex, </w:t>
      </w:r>
      <w:r w:rsidR="000730F6">
        <w:t>the European law database, where among</w:t>
      </w:r>
      <w:r>
        <w:t xml:space="preserve"> other things</w:t>
      </w:r>
      <w:r w:rsidR="007A5001">
        <w:t>,</w:t>
      </w:r>
      <w:r w:rsidR="004E5F75">
        <w:t xml:space="preserve"> legislative procedures are documented. </w:t>
      </w:r>
      <w:r w:rsidR="00206159">
        <w:t xml:space="preserve">Mostly, this value ranges between 3 and 10. </w:t>
      </w:r>
      <w:r w:rsidR="00B27759">
        <w:t>This variable is</w:t>
      </w:r>
      <w:r w:rsidR="00E12C2C">
        <w:t xml:space="preserve"> measured at</w:t>
      </w:r>
      <w:r w:rsidR="00B27759">
        <w:t xml:space="preserve"> </w:t>
      </w:r>
      <w:r w:rsidR="00773E3A">
        <w:t>ratio</w:t>
      </w:r>
      <w:r w:rsidR="00E12C2C">
        <w:t xml:space="preserve"> level</w:t>
      </w:r>
      <w:r w:rsidR="00B27759">
        <w:t>.</w:t>
      </w:r>
    </w:p>
    <w:p w14:paraId="09C47D4A" w14:textId="77777777" w:rsidR="00014842" w:rsidRDefault="00014842" w:rsidP="00B12634">
      <w:pPr>
        <w:pStyle w:val="Kop4"/>
      </w:pPr>
      <w:r>
        <w:t>Dignity:</w:t>
      </w:r>
    </w:p>
    <w:p w14:paraId="52074078" w14:textId="77777777" w:rsidR="00014842" w:rsidRPr="00136F6A" w:rsidRDefault="004E5F75" w:rsidP="00136F6A">
      <w:pPr>
        <w:pStyle w:val="Lijstalinea"/>
        <w:numPr>
          <w:ilvl w:val="0"/>
          <w:numId w:val="24"/>
        </w:numPr>
        <w:spacing w:line="360" w:lineRule="auto"/>
        <w:rPr>
          <w:b/>
        </w:rPr>
      </w:pPr>
      <w:r>
        <w:rPr>
          <w:b/>
        </w:rPr>
        <w:t xml:space="preserve">Public consultations </w:t>
      </w:r>
    </w:p>
    <w:p w14:paraId="7B412B75" w14:textId="7F750731" w:rsidR="00136F6A" w:rsidRDefault="00DC5FFD" w:rsidP="00206159">
      <w:pPr>
        <w:pStyle w:val="Lijstalinea"/>
        <w:spacing w:line="360" w:lineRule="auto"/>
      </w:pPr>
      <w:r>
        <w:t>S</w:t>
      </w:r>
      <w:r w:rsidR="00136F6A">
        <w:t xml:space="preserve">ociety </w:t>
      </w:r>
      <w:r w:rsidR="00732D12">
        <w:t xml:space="preserve">is </w:t>
      </w:r>
      <w:r w:rsidR="004E5F75">
        <w:t xml:space="preserve">represented </w:t>
      </w:r>
      <w:r w:rsidR="00136F6A">
        <w:t xml:space="preserve">in the </w:t>
      </w:r>
      <w:r>
        <w:t xml:space="preserve">decision-making </w:t>
      </w:r>
      <w:r w:rsidR="00136F6A">
        <w:t>process</w:t>
      </w:r>
      <w:r>
        <w:t xml:space="preserve"> </w:t>
      </w:r>
      <w:r w:rsidR="00E51305">
        <w:t>by</w:t>
      </w:r>
      <w:r>
        <w:t xml:space="preserve"> a public consultation</w:t>
      </w:r>
      <w:r w:rsidR="00136F6A">
        <w:t>.</w:t>
      </w:r>
      <w:r w:rsidR="004E5F75">
        <w:t xml:space="preserve"> So, if a public consultation took place</w:t>
      </w:r>
      <w:r w:rsidR="007A5001">
        <w:t xml:space="preserve">, the decision-making procedure was </w:t>
      </w:r>
      <w:r w:rsidR="006B45F6">
        <w:t>fairer</w:t>
      </w:r>
      <w:r w:rsidR="007A5001">
        <w:t xml:space="preserve">. </w:t>
      </w:r>
      <w:r w:rsidR="00C713E4">
        <w:t>Whether or not</w:t>
      </w:r>
      <w:r w:rsidR="007A5001">
        <w:t xml:space="preserve"> the Commission held </w:t>
      </w:r>
      <w:r w:rsidR="004E5F75">
        <w:t xml:space="preserve">a public consultation can be found in the policy proposal of the </w:t>
      </w:r>
      <w:r w:rsidR="004E5F75">
        <w:lastRenderedPageBreak/>
        <w:t>Commission.</w:t>
      </w:r>
      <w:r w:rsidR="005412FF">
        <w:t xml:space="preserve"> Consultations are often</w:t>
      </w:r>
      <w:r w:rsidR="009B657C">
        <w:t xml:space="preserve"> intended</w:t>
      </w:r>
      <w:r w:rsidR="005412FF">
        <w:t xml:space="preserve"> for stakeholders and expert</w:t>
      </w:r>
      <w:r w:rsidR="00C713E4">
        <w:t>s</w:t>
      </w:r>
      <w:r w:rsidR="005412FF">
        <w:t xml:space="preserve"> and not </w:t>
      </w:r>
      <w:r w:rsidR="009B657C">
        <w:t xml:space="preserve">primarily </w:t>
      </w:r>
      <w:r w:rsidR="005412FF">
        <w:t>for the public (Kohler-Koch and Quit</w:t>
      </w:r>
      <w:r w:rsidR="00F9711A">
        <w:t>t</w:t>
      </w:r>
      <w:r w:rsidR="005412FF">
        <w:t>katt, 2013).</w:t>
      </w:r>
      <w:r w:rsidR="007A5001">
        <w:t xml:space="preserve"> So, v</w:t>
      </w:r>
      <w:r w:rsidR="00206159">
        <w:t>arious types of public consultations can be distinguished (van Ballaert, 2017). However, in this</w:t>
      </w:r>
      <w:r w:rsidR="00C713E4">
        <w:t xml:space="preserve"> study</w:t>
      </w:r>
      <w:r w:rsidR="00206159">
        <w:t xml:space="preserve"> it matters for who</w:t>
      </w:r>
      <w:r w:rsidR="002017D7">
        <w:t>m</w:t>
      </w:r>
      <w:r w:rsidR="00206159">
        <w:t xml:space="preserve"> the consultations are organized. </w:t>
      </w:r>
      <w:r w:rsidR="009B657C">
        <w:t xml:space="preserve">Dignity is defined as </w:t>
      </w:r>
      <w:r w:rsidR="00206159">
        <w:t>‘authorities recogniz</w:t>
      </w:r>
      <w:r w:rsidR="009B657C">
        <w:t>[ing]</w:t>
      </w:r>
      <w:r w:rsidR="00206159">
        <w:t xml:space="preserve"> individuals’ status as respected members of society during interactions’ (Esaiasson et al., 2016; p. 5). This definition does not make a strict difference between stakeholders and citizens. Consultations of citizens are more inclusive though, because both citizens and stakeholders have the opportunity to respond. More individuals are then recognized as respected members of society. Consultations for stakeholders only will therefore be indicated with a 1, whereas consultations for citizens </w:t>
      </w:r>
      <w:r w:rsidR="00880274">
        <w:t xml:space="preserve">and stakeholders </w:t>
      </w:r>
      <w:r w:rsidR="00206159">
        <w:t xml:space="preserve">will be indicated with a 2. </w:t>
      </w:r>
      <w:r w:rsidR="00B27759">
        <w:t>This variable is</w:t>
      </w:r>
      <w:r w:rsidR="00E12C2C">
        <w:t xml:space="preserve"> measured at</w:t>
      </w:r>
      <w:r w:rsidR="00B27759">
        <w:t xml:space="preserve"> </w:t>
      </w:r>
      <w:r w:rsidR="00697D18">
        <w:t>ordinal</w:t>
      </w:r>
      <w:r w:rsidR="00E12C2C">
        <w:t xml:space="preserve"> level</w:t>
      </w:r>
      <w:r w:rsidR="00B27759">
        <w:t xml:space="preserve">. </w:t>
      </w:r>
    </w:p>
    <w:p w14:paraId="0E2D2EFA" w14:textId="77777777" w:rsidR="00014842" w:rsidRDefault="00014842" w:rsidP="00B12634">
      <w:pPr>
        <w:pStyle w:val="Kop4"/>
      </w:pPr>
      <w:r>
        <w:t>Consistency:</w:t>
      </w:r>
    </w:p>
    <w:p w14:paraId="766FEFE1" w14:textId="77777777" w:rsidR="00014842" w:rsidRPr="00136F6A" w:rsidRDefault="00014842" w:rsidP="00136F6A">
      <w:pPr>
        <w:pStyle w:val="Lijstalinea"/>
        <w:numPr>
          <w:ilvl w:val="0"/>
          <w:numId w:val="24"/>
        </w:numPr>
        <w:spacing w:line="360" w:lineRule="auto"/>
        <w:rPr>
          <w:b/>
        </w:rPr>
      </w:pPr>
      <w:r w:rsidRPr="00136F6A">
        <w:rPr>
          <w:b/>
        </w:rPr>
        <w:t xml:space="preserve">Average weighting of opposing </w:t>
      </w:r>
      <w:r w:rsidR="00620D3B">
        <w:rPr>
          <w:b/>
        </w:rPr>
        <w:t xml:space="preserve">and abstaining </w:t>
      </w:r>
      <w:r w:rsidRPr="00136F6A">
        <w:rPr>
          <w:b/>
        </w:rPr>
        <w:t xml:space="preserve">votes in the </w:t>
      </w:r>
      <w:r w:rsidR="00136F6A">
        <w:rPr>
          <w:b/>
        </w:rPr>
        <w:t>Council</w:t>
      </w:r>
    </w:p>
    <w:p w14:paraId="5A2DCDF4" w14:textId="48B9B666" w:rsidR="002017D7" w:rsidRDefault="00136F6A" w:rsidP="00697E4E">
      <w:pPr>
        <w:pStyle w:val="Lijstalinea"/>
        <w:spacing w:line="360" w:lineRule="auto"/>
      </w:pPr>
      <w:r>
        <w:t>Member states do not have the same weight of votes in the Council. The lower the average weighting of opposing vote</w:t>
      </w:r>
      <w:r w:rsidR="00BF6CC6">
        <w:t>s</w:t>
      </w:r>
      <w:r>
        <w:t xml:space="preserve"> in the Council, the more unfair the process. In that case, many member states with low weighting voted against, which is perceived as more unfair. </w:t>
      </w:r>
      <w:r w:rsidR="007A5001">
        <w:t>M</w:t>
      </w:r>
      <w:r w:rsidR="00620D3B">
        <w:t xml:space="preserve">ember states who abstain will also be considered as </w:t>
      </w:r>
      <w:r w:rsidR="00F9711A">
        <w:t xml:space="preserve">voting </w:t>
      </w:r>
      <w:r w:rsidR="00620D3B">
        <w:t>against. This can safely be stated for two reasons. First, it is clear that member states do not support the proposal</w:t>
      </w:r>
      <w:r w:rsidR="00F9711A">
        <w:t xml:space="preserve"> when they abstain</w:t>
      </w:r>
      <w:r w:rsidR="009B657C">
        <w:t xml:space="preserve"> –</w:t>
      </w:r>
      <w:r w:rsidR="00620D3B">
        <w:t xml:space="preserve"> </w:t>
      </w:r>
      <w:r w:rsidR="009B657C">
        <w:t xml:space="preserve">if they did, </w:t>
      </w:r>
      <w:r w:rsidR="005D35DE">
        <w:t>they would have voted in favor. Second</w:t>
      </w:r>
      <w:r w:rsidR="00620D3B">
        <w:t xml:space="preserve">, the Council itself states on its website that an abstention counts as a vote against under QMV (European Council, 2017). </w:t>
      </w:r>
      <w:r w:rsidR="005D35DE">
        <w:t>The average weight of the opposing vot</w:t>
      </w:r>
      <w:r w:rsidR="00C713E4">
        <w:t>es is calculated as follows. The value of the weight of</w:t>
      </w:r>
      <w:r w:rsidR="005D35DE">
        <w:t xml:space="preserve"> opposing or abstaining votes</w:t>
      </w:r>
      <w:r w:rsidR="00C713E4">
        <w:t xml:space="preserve"> as a percentage of the total weight of votes is calculated. This number is</w:t>
      </w:r>
      <w:r w:rsidR="005D35DE">
        <w:t xml:space="preserve"> divided by the squared number of opposing or abstaining member states, in order to give more weight to an opposing or abstaining member state. </w:t>
      </w:r>
      <w:r w:rsidR="00910A23">
        <w:t xml:space="preserve">Otherwise, the fairness would be too low if only one member state is against the proposal. </w:t>
      </w:r>
      <w:r w:rsidR="00B27759">
        <w:t xml:space="preserve">This variable is </w:t>
      </w:r>
      <w:r w:rsidR="00773E3A">
        <w:t xml:space="preserve">continuous and measured at ratio level. </w:t>
      </w:r>
    </w:p>
    <w:p w14:paraId="5A19B871" w14:textId="594D327A" w:rsidR="00794226" w:rsidRDefault="009C4AC6" w:rsidP="00DA3363">
      <w:pPr>
        <w:spacing w:line="360" w:lineRule="auto"/>
      </w:pPr>
      <w:r>
        <w:t>To test th</w:t>
      </w:r>
      <w:r w:rsidR="00B12634">
        <w:t>e second</w:t>
      </w:r>
      <w:r>
        <w:t xml:space="preserve"> hypothes</w:t>
      </w:r>
      <w:r w:rsidR="00B12634">
        <w:t>i</w:t>
      </w:r>
      <w:r>
        <w:t>s, the dataset is split in two group</w:t>
      </w:r>
      <w:r w:rsidR="00B12634">
        <w:t>s</w:t>
      </w:r>
      <w:r>
        <w:t xml:space="preserve">. The first group </w:t>
      </w:r>
      <w:r w:rsidR="00090DDF">
        <w:t xml:space="preserve">contains decision-making procedures with a level of procedural fairness under the average level of </w:t>
      </w:r>
      <w:r w:rsidR="00B26E39">
        <w:t xml:space="preserve">the </w:t>
      </w:r>
      <w:r w:rsidR="00090DDF">
        <w:t xml:space="preserve">procedural fairness of the total amount of cases. The second group consists of decision-making procedures with a level of </w:t>
      </w:r>
      <w:r w:rsidR="00B26E39">
        <w:t xml:space="preserve">the </w:t>
      </w:r>
      <w:r w:rsidR="00090DDF">
        <w:t xml:space="preserve">procedural fairness above the average level of the total amount of cases. </w:t>
      </w:r>
    </w:p>
    <w:p w14:paraId="41A69BF9" w14:textId="62689953" w:rsidR="00DA3363" w:rsidRDefault="00DA3363" w:rsidP="00DA3363">
      <w:pPr>
        <w:spacing w:line="360" w:lineRule="auto"/>
      </w:pPr>
      <w:r>
        <w:t xml:space="preserve">A new variable (Fairness I) is created to calculate the average fairness in the dataset. The composed variable contains </w:t>
      </w:r>
      <w:r w:rsidR="00B26E39">
        <w:t xml:space="preserve">for each decision-making procedure </w:t>
      </w:r>
      <w:r>
        <w:t xml:space="preserve">the values of voice and dignity added up, minus the value for consistency. The total value for fairness divided by the number of cases is the average value of procedural fairness in this dataset. </w:t>
      </w:r>
    </w:p>
    <w:p w14:paraId="375BEA32" w14:textId="0CCF1E73" w:rsidR="00090DDF" w:rsidRDefault="00DA3363" w:rsidP="00DA3363">
      <w:pPr>
        <w:spacing w:line="360" w:lineRule="auto"/>
      </w:pPr>
      <w:r>
        <w:lastRenderedPageBreak/>
        <w:t xml:space="preserve">A second dummy variable is created </w:t>
      </w:r>
      <w:r w:rsidR="00794226">
        <w:t xml:space="preserve">on that basis </w:t>
      </w:r>
      <w:r>
        <w:t>(Fairness II). Cases with a higher value than the average level of procedural fairness get a ‘1’ and constitute the first group. Cases with a lower value than the average level of procedural fairness get a ‘0’ and constitute the second group of eight cases. This dummy variable is the independent variable; compliance the dependent variable</w:t>
      </w:r>
      <w:r w:rsidR="00794226">
        <w:t xml:space="preserve">. </w:t>
      </w:r>
      <w:r w:rsidR="00090DDF">
        <w:t xml:space="preserve">This dependent variable is measured exactly like it was measured for hypothesis 1. </w:t>
      </w:r>
    </w:p>
    <w:p w14:paraId="2A42E701" w14:textId="4937011E" w:rsidR="00567E8C" w:rsidRDefault="00017B44" w:rsidP="00567E8C">
      <w:pPr>
        <w:pStyle w:val="Kop3"/>
        <w:tabs>
          <w:tab w:val="left" w:pos="6195"/>
        </w:tabs>
        <w:spacing w:line="360" w:lineRule="auto"/>
      </w:pPr>
      <w:bookmarkStart w:id="17" w:name="_Toc3547842"/>
      <w:r>
        <w:t>3</w:t>
      </w:r>
      <w:r w:rsidR="001E72ED">
        <w:t>.</w:t>
      </w:r>
      <w:r w:rsidR="001F2F39">
        <w:t>6</w:t>
      </w:r>
      <w:r>
        <w:t xml:space="preserve"> </w:t>
      </w:r>
      <w:r w:rsidR="00567E8C">
        <w:t>Control variables</w:t>
      </w:r>
      <w:bookmarkEnd w:id="17"/>
      <w:r w:rsidR="00567E8C">
        <w:tab/>
      </w:r>
    </w:p>
    <w:p w14:paraId="628514F6" w14:textId="403E0057" w:rsidR="00F9711A" w:rsidRDefault="00567E8C" w:rsidP="00567E8C">
      <w:pPr>
        <w:spacing w:line="360" w:lineRule="auto"/>
      </w:pPr>
      <w:r>
        <w:t>As mentioned in the theoretical framework, the</w:t>
      </w:r>
      <w:r w:rsidR="000A551B">
        <w:t xml:space="preserve"> factors to control for are willingness</w:t>
      </w:r>
      <w:r>
        <w:rPr>
          <w:b/>
        </w:rPr>
        <w:t xml:space="preserve"> </w:t>
      </w:r>
      <w:r>
        <w:t xml:space="preserve">and </w:t>
      </w:r>
      <w:r w:rsidR="000A551B">
        <w:t>a</w:t>
      </w:r>
      <w:r w:rsidRPr="00C713E4">
        <w:t>dministrative capacity.</w:t>
      </w:r>
      <w:r>
        <w:rPr>
          <w:b/>
        </w:rPr>
        <w:t xml:space="preserve"> </w:t>
      </w:r>
      <w:r>
        <w:t xml:space="preserve">The willingness of member states can be derived from their </w:t>
      </w:r>
      <w:r w:rsidR="00F9711A">
        <w:t xml:space="preserve">voting behavior in the Council. </w:t>
      </w:r>
      <w:r w:rsidR="00E12C2C">
        <w:t>This variable is</w:t>
      </w:r>
      <w:r w:rsidR="00697D18">
        <w:t xml:space="preserve"> dichotomous; either in favor or against. </w:t>
      </w:r>
    </w:p>
    <w:p w14:paraId="63A4D146" w14:textId="69DA2126" w:rsidR="00567E8C" w:rsidRDefault="00567E8C" w:rsidP="00567E8C">
      <w:pPr>
        <w:spacing w:line="360" w:lineRule="auto"/>
      </w:pPr>
      <w:r>
        <w:t>The administrative capacity of a member state can be determined by amongst others the GDP of a country and the level of corruption (Börzel, 2003). To control for the size of the country, the GDP per capita is taken into account. For these numbers, data from the IMF is used.</w:t>
      </w:r>
      <w:r w:rsidR="00697D18">
        <w:t xml:space="preserve"> This variable is measured at ratio level and is continuous.</w:t>
      </w:r>
      <w:r>
        <w:t xml:space="preserve"> The level of corruption is indicated by the Corruption Perception Index of Transparency International. Since it is hard to measure corruption objectively, this dataset</w:t>
      </w:r>
      <w:r w:rsidR="00697D18">
        <w:t xml:space="preserve"> – about the perception of corruption – is </w:t>
      </w:r>
      <w:r>
        <w:t xml:space="preserve">the best option to demonstrate the level of corruption in a country. </w:t>
      </w:r>
      <w:r w:rsidR="000A551B">
        <w:t xml:space="preserve">Another indication for the administrative capacity is the quality of government (Dahlberg and Holmberg, 2014). </w:t>
      </w:r>
      <w:r>
        <w:t xml:space="preserve">The quality of government is measured by data from the Quality of Government Institute from the University of Gothenburg. </w:t>
      </w:r>
      <w:r w:rsidR="00697D18">
        <w:t xml:space="preserve">Both variables are measured at ordinal level. </w:t>
      </w:r>
      <w:r>
        <w:t xml:space="preserve">Together, </w:t>
      </w:r>
      <w:r w:rsidR="00773E3A">
        <w:t>these variables</w:t>
      </w:r>
      <w:r>
        <w:t xml:space="preserve"> </w:t>
      </w:r>
      <w:r w:rsidR="00773E3A">
        <w:t>represent</w:t>
      </w:r>
      <w:r>
        <w:t xml:space="preserve"> the administrative capacity of an EU member state. </w:t>
      </w:r>
    </w:p>
    <w:p w14:paraId="44FD684F" w14:textId="47A1D18B" w:rsidR="00697E4E" w:rsidRDefault="00567E8C" w:rsidP="00567E8C">
      <w:pPr>
        <w:spacing w:line="360" w:lineRule="auto"/>
      </w:pPr>
      <w:r>
        <w:t>There are two othe</w:t>
      </w:r>
      <w:r w:rsidRPr="00880274">
        <w:t xml:space="preserve">r </w:t>
      </w:r>
      <w:r w:rsidR="00921709" w:rsidRPr="00880274">
        <w:t>facto</w:t>
      </w:r>
      <w:r w:rsidRPr="00880274">
        <w:t>r</w:t>
      </w:r>
      <w:r w:rsidR="00921709" w:rsidRPr="00880274">
        <w:t>s explaining</w:t>
      </w:r>
      <w:r w:rsidRPr="00880274">
        <w:t xml:space="preserve"> co</w:t>
      </w:r>
      <w:r>
        <w:t>mpl</w:t>
      </w:r>
      <w:r w:rsidR="00E66DDF">
        <w:t>iance included in this analysis as control variables.</w:t>
      </w:r>
      <w:r w:rsidR="00F9711A">
        <w:t xml:space="preserve"> I</w:t>
      </w:r>
      <w:r>
        <w:t>ncorporati</w:t>
      </w:r>
      <w:r w:rsidR="00F9711A">
        <w:t xml:space="preserve">ng those factors in the theory ensures </w:t>
      </w:r>
      <w:r>
        <w:t xml:space="preserve">a closer look to the differences </w:t>
      </w:r>
      <w:r w:rsidR="00F9711A">
        <w:t>between countries and regions</w:t>
      </w:r>
      <w:r>
        <w:t xml:space="preserve">. First, a reason for compliance can be a culture of compliance in the </w:t>
      </w:r>
      <w:r w:rsidR="009B657C">
        <w:t>states that acceded in 2004 and after</w:t>
      </w:r>
      <w:r>
        <w:t xml:space="preserve">. The EU required these states to transpose much EU policy as a condition </w:t>
      </w:r>
      <w:r w:rsidR="009B657C">
        <w:t>for acceding</w:t>
      </w:r>
      <w:r>
        <w:t xml:space="preserve"> </w:t>
      </w:r>
      <w:r w:rsidRPr="0000198B">
        <w:t>(</w:t>
      </w:r>
      <w:r w:rsidR="0000198B">
        <w:t>Sedelmeier, 2008</w:t>
      </w:r>
      <w:r w:rsidRPr="0000198B">
        <w:t>).</w:t>
      </w:r>
      <w:r w:rsidR="0000198B">
        <w:t xml:space="preserve"> </w:t>
      </w:r>
      <w:r>
        <w:t xml:space="preserve">In these countries, a culture of </w:t>
      </w:r>
      <w:r w:rsidR="00910A23">
        <w:t>complying with supranational law</w:t>
      </w:r>
      <w:r>
        <w:t xml:space="preserve"> – as</w:t>
      </w:r>
      <w:r w:rsidR="00910A23">
        <w:t xml:space="preserve"> the norm – is present</w:t>
      </w:r>
      <w:r w:rsidR="00E66DDF">
        <w:t xml:space="preserve">. </w:t>
      </w:r>
      <w:r>
        <w:t xml:space="preserve">The second theory about compliance is that Nordic countries would comply better with EU law because of a culture </w:t>
      </w:r>
      <w:r w:rsidR="009B657C">
        <w:t>that favors abiding to the law</w:t>
      </w:r>
      <w:r>
        <w:t xml:space="preserve"> (Sverdrup, 2004). With Nordic states, Denmark, Finland and Sweden are meant, </w:t>
      </w:r>
      <w:r w:rsidR="00C713E4">
        <w:t>in line with</w:t>
      </w:r>
      <w:r>
        <w:t xml:space="preserve"> the definition of Sverdrup.</w:t>
      </w:r>
      <w:r w:rsidR="00E12C2C">
        <w:t xml:space="preserve"> </w:t>
      </w:r>
      <w:r w:rsidR="00697D18">
        <w:t xml:space="preserve">Both variables are dichotomous. </w:t>
      </w:r>
      <w:r w:rsidR="00E12C2C">
        <w:t xml:space="preserve"> </w:t>
      </w:r>
    </w:p>
    <w:p w14:paraId="48977E88" w14:textId="75757694" w:rsidR="00697E4E" w:rsidRDefault="00697E4E" w:rsidP="00567E8C">
      <w:pPr>
        <w:spacing w:line="360" w:lineRule="auto"/>
      </w:pPr>
      <w:r>
        <w:t xml:space="preserve">Now the choices about operationalization are made, it is time for an overview of the variables in this </w:t>
      </w:r>
      <w:r w:rsidR="009B657C">
        <w:t>study,</w:t>
      </w:r>
      <w:r>
        <w:t xml:space="preserve"> and their operationalization. This is show</w:t>
      </w:r>
      <w:r w:rsidR="009B657C">
        <w:t>n</w:t>
      </w:r>
      <w:r>
        <w:t xml:space="preserve"> in the table below.</w:t>
      </w:r>
    </w:p>
    <w:p w14:paraId="76DE0D75" w14:textId="77777777" w:rsidR="00E072D9" w:rsidRDefault="00E072D9">
      <w:pPr>
        <w:rPr>
          <w:i/>
        </w:rPr>
      </w:pPr>
      <w:r>
        <w:rPr>
          <w:i/>
        </w:rPr>
        <w:br w:type="page"/>
      </w:r>
    </w:p>
    <w:p w14:paraId="3FB72A7B" w14:textId="2761E732" w:rsidR="00697E4E" w:rsidRPr="00697E4E" w:rsidRDefault="00697E4E" w:rsidP="00697E4E">
      <w:pPr>
        <w:spacing w:line="360" w:lineRule="auto"/>
        <w:rPr>
          <w:i/>
        </w:rPr>
      </w:pPr>
      <w:r>
        <w:rPr>
          <w:i/>
        </w:rPr>
        <w:lastRenderedPageBreak/>
        <w:t xml:space="preserve">Table </w:t>
      </w:r>
      <w:r w:rsidR="00077AF4">
        <w:rPr>
          <w:i/>
        </w:rPr>
        <w:t>2</w:t>
      </w:r>
      <w:r w:rsidRPr="005808F3">
        <w:rPr>
          <w:i/>
        </w:rPr>
        <w:t xml:space="preserve">: </w:t>
      </w:r>
      <w:r w:rsidR="00C14F34">
        <w:rPr>
          <w:i/>
        </w:rPr>
        <w:t>O</w:t>
      </w:r>
      <w:r>
        <w:rPr>
          <w:i/>
        </w:rPr>
        <w:t xml:space="preserve">verview of </w:t>
      </w:r>
      <w:r w:rsidR="00772C69">
        <w:rPr>
          <w:i/>
        </w:rPr>
        <w:t>the variables in this research</w:t>
      </w:r>
    </w:p>
    <w:tbl>
      <w:tblPr>
        <w:tblStyle w:val="Tabelraster"/>
        <w:tblW w:w="9062" w:type="dxa"/>
        <w:tblInd w:w="10" w:type="dxa"/>
        <w:tblLook w:val="04A0" w:firstRow="1" w:lastRow="0" w:firstColumn="1" w:lastColumn="0" w:noHBand="0" w:noVBand="1"/>
      </w:tblPr>
      <w:tblGrid>
        <w:gridCol w:w="1554"/>
        <w:gridCol w:w="1402"/>
        <w:gridCol w:w="1459"/>
        <w:gridCol w:w="1612"/>
        <w:gridCol w:w="1569"/>
        <w:gridCol w:w="1466"/>
      </w:tblGrid>
      <w:tr w:rsidR="00697D18" w:rsidRPr="00601251" w14:paraId="666A15F2" w14:textId="77777777" w:rsidTr="00697D18">
        <w:trPr>
          <w:trHeight w:val="394"/>
        </w:trPr>
        <w:tc>
          <w:tcPr>
            <w:tcW w:w="1673" w:type="dxa"/>
          </w:tcPr>
          <w:p w14:paraId="70E57697" w14:textId="77777777" w:rsidR="00697D18" w:rsidRDefault="00697D18" w:rsidP="00697E4E">
            <w:pPr>
              <w:pStyle w:val="Kop3"/>
              <w:outlineLvl w:val="2"/>
            </w:pPr>
            <w:bookmarkStart w:id="18" w:name="_Toc3196937"/>
            <w:bookmarkStart w:id="19" w:name="_Toc3538971"/>
            <w:bookmarkStart w:id="20" w:name="_Toc3547843"/>
            <w:r>
              <w:t>Variable</w:t>
            </w:r>
            <w:bookmarkEnd w:id="18"/>
            <w:bookmarkEnd w:id="19"/>
            <w:bookmarkEnd w:id="20"/>
          </w:p>
        </w:tc>
        <w:tc>
          <w:tcPr>
            <w:tcW w:w="1596" w:type="dxa"/>
          </w:tcPr>
          <w:p w14:paraId="2E036AC1" w14:textId="77777777" w:rsidR="00697D18" w:rsidRDefault="00697D18" w:rsidP="00697E4E">
            <w:pPr>
              <w:pStyle w:val="Kop3"/>
              <w:outlineLvl w:val="2"/>
            </w:pPr>
            <w:bookmarkStart w:id="21" w:name="_Toc3196938"/>
            <w:bookmarkStart w:id="22" w:name="_Toc3538972"/>
            <w:bookmarkStart w:id="23" w:name="_Toc3547844"/>
            <w:r>
              <w:t>Component</w:t>
            </w:r>
            <w:bookmarkEnd w:id="21"/>
            <w:bookmarkEnd w:id="22"/>
            <w:bookmarkEnd w:id="23"/>
            <w:r>
              <w:t xml:space="preserve"> </w:t>
            </w:r>
          </w:p>
        </w:tc>
        <w:tc>
          <w:tcPr>
            <w:tcW w:w="1625" w:type="dxa"/>
          </w:tcPr>
          <w:p w14:paraId="5423372B" w14:textId="77777777" w:rsidR="00697D18" w:rsidRDefault="00697D18" w:rsidP="00697E4E">
            <w:pPr>
              <w:pStyle w:val="Kop3"/>
              <w:outlineLvl w:val="2"/>
            </w:pPr>
            <w:bookmarkStart w:id="24" w:name="_Toc3196939"/>
            <w:bookmarkStart w:id="25" w:name="_Toc3538973"/>
            <w:bookmarkStart w:id="26" w:name="_Toc3547845"/>
            <w:r>
              <w:t>Indicator</w:t>
            </w:r>
            <w:bookmarkEnd w:id="24"/>
            <w:bookmarkEnd w:id="25"/>
            <w:bookmarkEnd w:id="26"/>
            <w:r>
              <w:t xml:space="preserve"> </w:t>
            </w:r>
          </w:p>
        </w:tc>
        <w:tc>
          <w:tcPr>
            <w:tcW w:w="1744" w:type="dxa"/>
          </w:tcPr>
          <w:p w14:paraId="66084A48" w14:textId="77777777" w:rsidR="00697D18" w:rsidRDefault="00697D18" w:rsidP="00697E4E">
            <w:pPr>
              <w:pStyle w:val="Kop3"/>
              <w:outlineLvl w:val="2"/>
            </w:pPr>
            <w:bookmarkStart w:id="27" w:name="_Toc3196940"/>
            <w:bookmarkStart w:id="28" w:name="_Toc3538974"/>
            <w:bookmarkStart w:id="29" w:name="_Toc3547846"/>
            <w:r>
              <w:t>Measurement</w:t>
            </w:r>
            <w:bookmarkEnd w:id="27"/>
            <w:bookmarkEnd w:id="28"/>
            <w:bookmarkEnd w:id="29"/>
          </w:p>
        </w:tc>
        <w:tc>
          <w:tcPr>
            <w:tcW w:w="1088" w:type="dxa"/>
          </w:tcPr>
          <w:p w14:paraId="529CD8BA" w14:textId="4B9CBC91" w:rsidR="00697D18" w:rsidRDefault="00697D18" w:rsidP="00697E4E">
            <w:pPr>
              <w:pStyle w:val="Kop3"/>
              <w:outlineLvl w:val="2"/>
            </w:pPr>
            <w:bookmarkStart w:id="30" w:name="_Toc3196941"/>
            <w:bookmarkStart w:id="31" w:name="_Toc3538975"/>
            <w:bookmarkStart w:id="32" w:name="_Toc3547847"/>
            <w:r>
              <w:t>Level of measurement</w:t>
            </w:r>
            <w:bookmarkEnd w:id="30"/>
            <w:bookmarkEnd w:id="31"/>
            <w:bookmarkEnd w:id="32"/>
          </w:p>
        </w:tc>
        <w:tc>
          <w:tcPr>
            <w:tcW w:w="1336" w:type="dxa"/>
          </w:tcPr>
          <w:p w14:paraId="671687F1" w14:textId="34A8A4F2" w:rsidR="00697D18" w:rsidRPr="00697D18" w:rsidRDefault="00697D18" w:rsidP="00697E4E">
            <w:pPr>
              <w:pStyle w:val="Kop3"/>
              <w:outlineLvl w:val="2"/>
              <w:rPr>
                <w:lang w:val="fr-FR"/>
              </w:rPr>
            </w:pPr>
            <w:bookmarkStart w:id="33" w:name="_Toc3196942"/>
            <w:bookmarkStart w:id="34" w:name="_Toc3538976"/>
            <w:bookmarkStart w:id="35" w:name="_Toc3547848"/>
            <w:proofErr w:type="spellStart"/>
            <w:r w:rsidRPr="00697D18">
              <w:rPr>
                <w:lang w:val="fr-FR"/>
              </w:rPr>
              <w:t>Effect</w:t>
            </w:r>
            <w:proofErr w:type="spellEnd"/>
            <w:r w:rsidRPr="00697D18">
              <w:rPr>
                <w:lang w:val="fr-FR"/>
              </w:rPr>
              <w:t xml:space="preserve"> on Y (compliance)</w:t>
            </w:r>
            <w:bookmarkEnd w:id="33"/>
            <w:bookmarkEnd w:id="34"/>
            <w:bookmarkEnd w:id="35"/>
            <w:r w:rsidRPr="00697D18">
              <w:rPr>
                <w:lang w:val="fr-FR"/>
              </w:rPr>
              <w:t xml:space="preserve"> </w:t>
            </w:r>
          </w:p>
        </w:tc>
      </w:tr>
      <w:tr w:rsidR="00697D18" w14:paraId="383A6C53" w14:textId="77777777" w:rsidTr="00697D18">
        <w:trPr>
          <w:trHeight w:val="394"/>
        </w:trPr>
        <w:tc>
          <w:tcPr>
            <w:tcW w:w="1673" w:type="dxa"/>
          </w:tcPr>
          <w:p w14:paraId="0ED8C640" w14:textId="77777777" w:rsidR="00697D18" w:rsidRPr="00DF45BD" w:rsidRDefault="00697D18" w:rsidP="00765C38">
            <w:pPr>
              <w:rPr>
                <w:b/>
              </w:rPr>
            </w:pPr>
            <w:r>
              <w:rPr>
                <w:b/>
              </w:rPr>
              <w:t>Dependent variable</w:t>
            </w:r>
          </w:p>
        </w:tc>
        <w:tc>
          <w:tcPr>
            <w:tcW w:w="1596" w:type="dxa"/>
          </w:tcPr>
          <w:p w14:paraId="2D3A36DB" w14:textId="77777777" w:rsidR="00697D18" w:rsidRDefault="00697D18" w:rsidP="00765C38"/>
        </w:tc>
        <w:tc>
          <w:tcPr>
            <w:tcW w:w="1625" w:type="dxa"/>
          </w:tcPr>
          <w:p w14:paraId="2D572C7A" w14:textId="77777777" w:rsidR="00697D18" w:rsidRDefault="00697D18" w:rsidP="00765C38"/>
        </w:tc>
        <w:tc>
          <w:tcPr>
            <w:tcW w:w="1744" w:type="dxa"/>
          </w:tcPr>
          <w:p w14:paraId="045211A6" w14:textId="77777777" w:rsidR="00697D18" w:rsidRDefault="00697D18" w:rsidP="00765C38"/>
        </w:tc>
        <w:tc>
          <w:tcPr>
            <w:tcW w:w="1088" w:type="dxa"/>
          </w:tcPr>
          <w:p w14:paraId="5DF90FCB" w14:textId="77777777" w:rsidR="00697D18" w:rsidRDefault="00697D18" w:rsidP="00765C38"/>
        </w:tc>
        <w:tc>
          <w:tcPr>
            <w:tcW w:w="1336" w:type="dxa"/>
          </w:tcPr>
          <w:p w14:paraId="5B7BD22A" w14:textId="2DA2EA08" w:rsidR="00697D18" w:rsidRDefault="00697D18" w:rsidP="00765C38"/>
        </w:tc>
      </w:tr>
      <w:tr w:rsidR="00697D18" w14:paraId="7DC96BF8" w14:textId="77777777" w:rsidTr="00697D18">
        <w:trPr>
          <w:trHeight w:val="683"/>
        </w:trPr>
        <w:tc>
          <w:tcPr>
            <w:tcW w:w="1673" w:type="dxa"/>
          </w:tcPr>
          <w:p w14:paraId="345A888A" w14:textId="77777777" w:rsidR="00697D18" w:rsidRDefault="00697D18" w:rsidP="00765C38">
            <w:r>
              <w:t>Procedural fairness</w:t>
            </w:r>
          </w:p>
        </w:tc>
        <w:tc>
          <w:tcPr>
            <w:tcW w:w="1596" w:type="dxa"/>
          </w:tcPr>
          <w:p w14:paraId="1034EE8D" w14:textId="77777777" w:rsidR="00697D18" w:rsidRDefault="00697D18" w:rsidP="00765C38">
            <w:r>
              <w:t>Voice</w:t>
            </w:r>
          </w:p>
        </w:tc>
        <w:tc>
          <w:tcPr>
            <w:tcW w:w="1625" w:type="dxa"/>
          </w:tcPr>
          <w:p w14:paraId="59B05796" w14:textId="77777777" w:rsidR="00697D18" w:rsidRDefault="00697D18" w:rsidP="00765C38">
            <w:r>
              <w:t xml:space="preserve">Number of times a proposal is discussed in the (preparatory) bodies of the EU. </w:t>
            </w:r>
          </w:p>
        </w:tc>
        <w:tc>
          <w:tcPr>
            <w:tcW w:w="1744" w:type="dxa"/>
          </w:tcPr>
          <w:p w14:paraId="5D1CF074" w14:textId="56E5397F" w:rsidR="00697D18" w:rsidRDefault="00697D18" w:rsidP="00697D18"/>
        </w:tc>
        <w:tc>
          <w:tcPr>
            <w:tcW w:w="1088" w:type="dxa"/>
          </w:tcPr>
          <w:p w14:paraId="09C3F8CD" w14:textId="596C3DC1" w:rsidR="00697D18" w:rsidRDefault="00697D18" w:rsidP="00765C38">
            <w:r>
              <w:t>Ratio</w:t>
            </w:r>
          </w:p>
        </w:tc>
        <w:tc>
          <w:tcPr>
            <w:tcW w:w="1336" w:type="dxa"/>
          </w:tcPr>
          <w:p w14:paraId="3A417F9D" w14:textId="7981A52A" w:rsidR="00697D18" w:rsidRDefault="00880274" w:rsidP="00765C38">
            <w:r>
              <w:t>+</w:t>
            </w:r>
          </w:p>
        </w:tc>
      </w:tr>
      <w:tr w:rsidR="00697D18" w14:paraId="293E1AF3" w14:textId="77777777" w:rsidTr="00697D18">
        <w:trPr>
          <w:trHeight w:val="705"/>
        </w:trPr>
        <w:tc>
          <w:tcPr>
            <w:tcW w:w="1673" w:type="dxa"/>
          </w:tcPr>
          <w:p w14:paraId="3340034E" w14:textId="77777777" w:rsidR="00697D18" w:rsidRDefault="00697D18" w:rsidP="00765C38">
            <w:pPr>
              <w:pStyle w:val="Kop3"/>
              <w:spacing w:line="360" w:lineRule="auto"/>
              <w:outlineLvl w:val="2"/>
            </w:pPr>
          </w:p>
        </w:tc>
        <w:tc>
          <w:tcPr>
            <w:tcW w:w="1596" w:type="dxa"/>
          </w:tcPr>
          <w:p w14:paraId="39CB84B4" w14:textId="77777777" w:rsidR="00697D18" w:rsidRDefault="00697D18" w:rsidP="00765C38">
            <w:r>
              <w:t>Dignity</w:t>
            </w:r>
          </w:p>
        </w:tc>
        <w:tc>
          <w:tcPr>
            <w:tcW w:w="1625" w:type="dxa"/>
          </w:tcPr>
          <w:p w14:paraId="4FAEBE2A" w14:textId="77777777" w:rsidR="00697D18" w:rsidRDefault="00697D18" w:rsidP="00765C38">
            <w:r>
              <w:t>Public consultation</w:t>
            </w:r>
          </w:p>
        </w:tc>
        <w:tc>
          <w:tcPr>
            <w:tcW w:w="1744" w:type="dxa"/>
          </w:tcPr>
          <w:p w14:paraId="7DC223C0" w14:textId="77777777" w:rsidR="00697D18" w:rsidRDefault="00697D18" w:rsidP="00765C38">
            <w:r>
              <w:t xml:space="preserve">0 = no public consultation </w:t>
            </w:r>
          </w:p>
          <w:p w14:paraId="0349740A" w14:textId="77777777" w:rsidR="00432D47" w:rsidRDefault="00697D18" w:rsidP="00432D47">
            <w:r>
              <w:t xml:space="preserve">1 = public consultation only for stakeholders </w:t>
            </w:r>
          </w:p>
          <w:p w14:paraId="5ACC4F37" w14:textId="0E215B3B" w:rsidR="00697D18" w:rsidRDefault="00432D47" w:rsidP="00432D47">
            <w:r>
              <w:t xml:space="preserve">2 = </w:t>
            </w:r>
            <w:r w:rsidR="00697D18">
              <w:t>public consultation for citizens</w:t>
            </w:r>
          </w:p>
        </w:tc>
        <w:tc>
          <w:tcPr>
            <w:tcW w:w="1088" w:type="dxa"/>
          </w:tcPr>
          <w:p w14:paraId="4299C3B7" w14:textId="7F5A0165" w:rsidR="00697D18" w:rsidRDefault="00697D18" w:rsidP="00DF45BD">
            <w:r>
              <w:t>Ordinal</w:t>
            </w:r>
          </w:p>
        </w:tc>
        <w:tc>
          <w:tcPr>
            <w:tcW w:w="1336" w:type="dxa"/>
          </w:tcPr>
          <w:p w14:paraId="6B07E737" w14:textId="064E9316" w:rsidR="00697D18" w:rsidRDefault="00880274" w:rsidP="00DF45BD">
            <w:r>
              <w:t>+</w:t>
            </w:r>
          </w:p>
        </w:tc>
      </w:tr>
      <w:tr w:rsidR="00697D18" w14:paraId="09567266" w14:textId="77777777" w:rsidTr="00697D18">
        <w:trPr>
          <w:trHeight w:val="683"/>
        </w:trPr>
        <w:tc>
          <w:tcPr>
            <w:tcW w:w="1673" w:type="dxa"/>
          </w:tcPr>
          <w:p w14:paraId="4E9C9A64" w14:textId="77777777" w:rsidR="00697D18" w:rsidRDefault="00697D18" w:rsidP="00765C38">
            <w:pPr>
              <w:pStyle w:val="Kop3"/>
              <w:spacing w:line="360" w:lineRule="auto"/>
              <w:outlineLvl w:val="2"/>
            </w:pPr>
          </w:p>
        </w:tc>
        <w:tc>
          <w:tcPr>
            <w:tcW w:w="1596" w:type="dxa"/>
          </w:tcPr>
          <w:p w14:paraId="68DBDE6B" w14:textId="77777777" w:rsidR="00697D18" w:rsidRDefault="00697D18" w:rsidP="00765C38">
            <w:r>
              <w:t>Consistency</w:t>
            </w:r>
          </w:p>
        </w:tc>
        <w:tc>
          <w:tcPr>
            <w:tcW w:w="1625" w:type="dxa"/>
          </w:tcPr>
          <w:p w14:paraId="55F0A4E2" w14:textId="77777777" w:rsidR="00697D18" w:rsidRDefault="00697D18" w:rsidP="00765C38">
            <w:r>
              <w:t>The number of opposing member states with low voting weight in the Council</w:t>
            </w:r>
          </w:p>
        </w:tc>
        <w:tc>
          <w:tcPr>
            <w:tcW w:w="1744" w:type="dxa"/>
          </w:tcPr>
          <w:p w14:paraId="7CC5E364" w14:textId="36C0289D" w:rsidR="00697D18" w:rsidRPr="00432D47" w:rsidRDefault="00697D18" w:rsidP="00DF45BD">
            <w:pPr>
              <w:rPr>
                <w:rFonts w:ascii="Calibri" w:hAnsi="Calibri" w:cs="Calibri"/>
              </w:rPr>
            </w:pPr>
            <w:r>
              <w:t>(Total weight of opposing votes / Total weight of votes) * 100 / number of opposing member states</w:t>
            </w:r>
            <w:r>
              <w:rPr>
                <w:rFonts w:ascii="Calibri" w:hAnsi="Calibri" w:cs="Calibri"/>
              </w:rPr>
              <w:t>²</w:t>
            </w:r>
          </w:p>
        </w:tc>
        <w:tc>
          <w:tcPr>
            <w:tcW w:w="1088" w:type="dxa"/>
          </w:tcPr>
          <w:p w14:paraId="35F5EABF" w14:textId="77777777" w:rsidR="00432D47" w:rsidRDefault="00697D18" w:rsidP="00DF45BD">
            <w:r>
              <w:t>Ratio</w:t>
            </w:r>
          </w:p>
          <w:p w14:paraId="259F0DB5" w14:textId="77777777" w:rsidR="00432D47" w:rsidRDefault="00432D47" w:rsidP="00DF45BD">
            <w:pPr>
              <w:rPr>
                <w:rFonts w:ascii="Calibri" w:hAnsi="Calibri" w:cs="Calibri"/>
              </w:rPr>
            </w:pPr>
          </w:p>
          <w:p w14:paraId="3417B2CA" w14:textId="77777777" w:rsidR="00432D47" w:rsidRDefault="00432D47" w:rsidP="00DF45BD">
            <w:pPr>
              <w:rPr>
                <w:rFonts w:ascii="Calibri" w:hAnsi="Calibri" w:cs="Calibri"/>
              </w:rPr>
            </w:pPr>
          </w:p>
          <w:p w14:paraId="00A3343C" w14:textId="77777777" w:rsidR="00432D47" w:rsidRDefault="00432D47" w:rsidP="00DF45BD">
            <w:pPr>
              <w:rPr>
                <w:rFonts w:ascii="Calibri" w:hAnsi="Calibri" w:cs="Calibri"/>
              </w:rPr>
            </w:pPr>
          </w:p>
          <w:p w14:paraId="37CDD913" w14:textId="77777777" w:rsidR="00432D47" w:rsidRDefault="00432D47" w:rsidP="00DF45BD">
            <w:pPr>
              <w:rPr>
                <w:rFonts w:ascii="Calibri" w:hAnsi="Calibri" w:cs="Calibri"/>
              </w:rPr>
            </w:pPr>
          </w:p>
          <w:p w14:paraId="0C428F2B" w14:textId="77777777" w:rsidR="00432D47" w:rsidRDefault="00432D47" w:rsidP="00DF45BD">
            <w:pPr>
              <w:rPr>
                <w:rFonts w:ascii="Calibri" w:hAnsi="Calibri" w:cs="Calibri"/>
              </w:rPr>
            </w:pPr>
          </w:p>
          <w:p w14:paraId="37E9DA55" w14:textId="77777777" w:rsidR="00432D47" w:rsidRDefault="00432D47" w:rsidP="00DF45BD">
            <w:pPr>
              <w:rPr>
                <w:rFonts w:ascii="Calibri" w:hAnsi="Calibri" w:cs="Calibri"/>
              </w:rPr>
            </w:pPr>
          </w:p>
          <w:p w14:paraId="7AD781D9" w14:textId="3335F44C" w:rsidR="00697D18" w:rsidRDefault="00432D47" w:rsidP="00DF45BD">
            <w:r>
              <w:rPr>
                <w:rFonts w:ascii="Calibri" w:hAnsi="Calibri" w:cs="Calibri"/>
              </w:rPr>
              <w:t>Continuous variable</w:t>
            </w:r>
            <w:r w:rsidR="00697D18">
              <w:t xml:space="preserve"> </w:t>
            </w:r>
          </w:p>
        </w:tc>
        <w:tc>
          <w:tcPr>
            <w:tcW w:w="1336" w:type="dxa"/>
          </w:tcPr>
          <w:p w14:paraId="4EB17807" w14:textId="70603986" w:rsidR="00697D18" w:rsidRDefault="00880274" w:rsidP="00DF45BD">
            <w:r>
              <w:t>-</w:t>
            </w:r>
          </w:p>
        </w:tc>
      </w:tr>
      <w:tr w:rsidR="00697D18" w14:paraId="2FE6E71B" w14:textId="77777777" w:rsidTr="00697D18">
        <w:trPr>
          <w:trHeight w:val="705"/>
        </w:trPr>
        <w:tc>
          <w:tcPr>
            <w:tcW w:w="1673" w:type="dxa"/>
          </w:tcPr>
          <w:p w14:paraId="546F5BF7" w14:textId="77777777" w:rsidR="00697D18" w:rsidRPr="00765C38" w:rsidRDefault="00697D18" w:rsidP="00765C38">
            <w:pPr>
              <w:rPr>
                <w:b/>
              </w:rPr>
            </w:pPr>
            <w:r>
              <w:rPr>
                <w:b/>
              </w:rPr>
              <w:t>Control variables</w:t>
            </w:r>
          </w:p>
        </w:tc>
        <w:tc>
          <w:tcPr>
            <w:tcW w:w="1596" w:type="dxa"/>
          </w:tcPr>
          <w:p w14:paraId="4F27F350" w14:textId="77777777" w:rsidR="00697D18" w:rsidRDefault="00697D18" w:rsidP="00765C38">
            <w:pPr>
              <w:pStyle w:val="Kop3"/>
              <w:spacing w:line="360" w:lineRule="auto"/>
              <w:outlineLvl w:val="2"/>
            </w:pPr>
          </w:p>
        </w:tc>
        <w:tc>
          <w:tcPr>
            <w:tcW w:w="1625" w:type="dxa"/>
          </w:tcPr>
          <w:p w14:paraId="4AAE2312" w14:textId="77777777" w:rsidR="00697D18" w:rsidRDefault="00697D18" w:rsidP="00765C38">
            <w:pPr>
              <w:pStyle w:val="Kop3"/>
              <w:spacing w:line="360" w:lineRule="auto"/>
              <w:outlineLvl w:val="2"/>
            </w:pPr>
          </w:p>
        </w:tc>
        <w:tc>
          <w:tcPr>
            <w:tcW w:w="1744" w:type="dxa"/>
          </w:tcPr>
          <w:p w14:paraId="15844FAB" w14:textId="77777777" w:rsidR="00697D18" w:rsidRDefault="00697D18" w:rsidP="00765C38">
            <w:pPr>
              <w:pStyle w:val="Kop3"/>
              <w:spacing w:line="360" w:lineRule="auto"/>
              <w:outlineLvl w:val="2"/>
            </w:pPr>
          </w:p>
        </w:tc>
        <w:tc>
          <w:tcPr>
            <w:tcW w:w="1088" w:type="dxa"/>
          </w:tcPr>
          <w:p w14:paraId="6C8D75A3" w14:textId="77777777" w:rsidR="00697D18" w:rsidRDefault="00697D18" w:rsidP="00765C38">
            <w:pPr>
              <w:pStyle w:val="Kop3"/>
              <w:spacing w:line="360" w:lineRule="auto"/>
              <w:outlineLvl w:val="2"/>
            </w:pPr>
          </w:p>
        </w:tc>
        <w:tc>
          <w:tcPr>
            <w:tcW w:w="1336" w:type="dxa"/>
          </w:tcPr>
          <w:p w14:paraId="0FF11CB4" w14:textId="7DC0E7E7" w:rsidR="00697D18" w:rsidRDefault="00697D18" w:rsidP="00765C38">
            <w:pPr>
              <w:pStyle w:val="Kop3"/>
              <w:spacing w:line="360" w:lineRule="auto"/>
              <w:outlineLvl w:val="2"/>
            </w:pPr>
          </w:p>
        </w:tc>
      </w:tr>
      <w:tr w:rsidR="00697D18" w14:paraId="376ED102" w14:textId="77777777" w:rsidTr="00697D18">
        <w:trPr>
          <w:trHeight w:val="705"/>
        </w:trPr>
        <w:tc>
          <w:tcPr>
            <w:tcW w:w="1673" w:type="dxa"/>
          </w:tcPr>
          <w:p w14:paraId="483CB5C0" w14:textId="77777777" w:rsidR="00697D18" w:rsidRPr="00765C38" w:rsidRDefault="00697D18" w:rsidP="00765C38">
            <w:r>
              <w:t>Willingness</w:t>
            </w:r>
          </w:p>
        </w:tc>
        <w:tc>
          <w:tcPr>
            <w:tcW w:w="1596" w:type="dxa"/>
          </w:tcPr>
          <w:p w14:paraId="5C155067" w14:textId="77777777" w:rsidR="00697D18" w:rsidRDefault="00697D18" w:rsidP="00765C38">
            <w:pPr>
              <w:pStyle w:val="Kop3"/>
              <w:spacing w:line="360" w:lineRule="auto"/>
              <w:outlineLvl w:val="2"/>
            </w:pPr>
          </w:p>
        </w:tc>
        <w:tc>
          <w:tcPr>
            <w:tcW w:w="1625" w:type="dxa"/>
          </w:tcPr>
          <w:p w14:paraId="38BA6E76" w14:textId="77777777" w:rsidR="00697D18" w:rsidRDefault="00697D18" w:rsidP="00DF45BD">
            <w:r>
              <w:t xml:space="preserve">Vote in Council </w:t>
            </w:r>
          </w:p>
        </w:tc>
        <w:tc>
          <w:tcPr>
            <w:tcW w:w="1744" w:type="dxa"/>
          </w:tcPr>
          <w:p w14:paraId="632C860C" w14:textId="77777777" w:rsidR="00697D18" w:rsidRDefault="00697D18" w:rsidP="00DF45BD">
            <w:r>
              <w:t>0 = in favor</w:t>
            </w:r>
          </w:p>
          <w:p w14:paraId="3E1F6AC1" w14:textId="77777777" w:rsidR="00697D18" w:rsidRDefault="00697D18" w:rsidP="00DF45BD">
            <w:r>
              <w:t>1 = against or abstain</w:t>
            </w:r>
          </w:p>
        </w:tc>
        <w:tc>
          <w:tcPr>
            <w:tcW w:w="1088" w:type="dxa"/>
          </w:tcPr>
          <w:p w14:paraId="03A4B851" w14:textId="710A1391" w:rsidR="00697D18" w:rsidRDefault="00697D18" w:rsidP="00DF45BD">
            <w:r>
              <w:t xml:space="preserve">Dichotomous </w:t>
            </w:r>
          </w:p>
        </w:tc>
        <w:tc>
          <w:tcPr>
            <w:tcW w:w="1336" w:type="dxa"/>
          </w:tcPr>
          <w:p w14:paraId="564F3345" w14:textId="2C84AC93" w:rsidR="00697D18" w:rsidRDefault="00880274" w:rsidP="00DF45BD">
            <w:r>
              <w:t>-</w:t>
            </w:r>
          </w:p>
        </w:tc>
      </w:tr>
      <w:tr w:rsidR="00697D18" w14:paraId="06BEF1A6" w14:textId="77777777" w:rsidTr="00697D18">
        <w:trPr>
          <w:trHeight w:val="705"/>
        </w:trPr>
        <w:tc>
          <w:tcPr>
            <w:tcW w:w="1673" w:type="dxa"/>
          </w:tcPr>
          <w:p w14:paraId="315505A1" w14:textId="77777777" w:rsidR="00697D18" w:rsidRDefault="00697D18" w:rsidP="00697E4E">
            <w:r>
              <w:t>Administrative capacity</w:t>
            </w:r>
          </w:p>
        </w:tc>
        <w:tc>
          <w:tcPr>
            <w:tcW w:w="1596" w:type="dxa"/>
          </w:tcPr>
          <w:p w14:paraId="25C5CB67" w14:textId="77777777" w:rsidR="00697D18" w:rsidRDefault="00697D18" w:rsidP="00697E4E">
            <w:pPr>
              <w:pStyle w:val="Kop3"/>
              <w:spacing w:line="360" w:lineRule="auto"/>
              <w:outlineLvl w:val="2"/>
            </w:pPr>
          </w:p>
        </w:tc>
        <w:tc>
          <w:tcPr>
            <w:tcW w:w="1625" w:type="dxa"/>
          </w:tcPr>
          <w:p w14:paraId="3019070F" w14:textId="77777777" w:rsidR="00697D18" w:rsidRDefault="00697D18" w:rsidP="00697E4E"/>
        </w:tc>
        <w:tc>
          <w:tcPr>
            <w:tcW w:w="1744" w:type="dxa"/>
          </w:tcPr>
          <w:p w14:paraId="4B309FB8" w14:textId="77777777" w:rsidR="00697D18" w:rsidRDefault="00697D18" w:rsidP="00697E4E"/>
        </w:tc>
        <w:tc>
          <w:tcPr>
            <w:tcW w:w="1088" w:type="dxa"/>
          </w:tcPr>
          <w:p w14:paraId="2093E14D" w14:textId="77777777" w:rsidR="00697D18" w:rsidRDefault="00697D18" w:rsidP="00697E4E"/>
        </w:tc>
        <w:tc>
          <w:tcPr>
            <w:tcW w:w="1336" w:type="dxa"/>
          </w:tcPr>
          <w:p w14:paraId="236C2472" w14:textId="5B4133E1" w:rsidR="00697D18" w:rsidRDefault="00880274" w:rsidP="00697E4E">
            <w:r>
              <w:t>+</w:t>
            </w:r>
          </w:p>
        </w:tc>
      </w:tr>
      <w:tr w:rsidR="00697D18" w14:paraId="07D7C54D" w14:textId="77777777" w:rsidTr="00697D18">
        <w:trPr>
          <w:trHeight w:val="705"/>
        </w:trPr>
        <w:tc>
          <w:tcPr>
            <w:tcW w:w="1673" w:type="dxa"/>
          </w:tcPr>
          <w:p w14:paraId="664924AD" w14:textId="77777777" w:rsidR="00697D18" w:rsidRDefault="00697D18" w:rsidP="00697E4E"/>
        </w:tc>
        <w:tc>
          <w:tcPr>
            <w:tcW w:w="1596" w:type="dxa"/>
          </w:tcPr>
          <w:p w14:paraId="1F10E39B" w14:textId="77777777" w:rsidR="00697D18" w:rsidRDefault="00697D18" w:rsidP="00697E4E">
            <w:r>
              <w:t>GDP per capita</w:t>
            </w:r>
          </w:p>
        </w:tc>
        <w:tc>
          <w:tcPr>
            <w:tcW w:w="1625" w:type="dxa"/>
          </w:tcPr>
          <w:p w14:paraId="65F87438" w14:textId="77777777" w:rsidR="00697D18" w:rsidRDefault="00697D18" w:rsidP="00697E4E">
            <w:r>
              <w:t xml:space="preserve">International dollars </w:t>
            </w:r>
          </w:p>
        </w:tc>
        <w:tc>
          <w:tcPr>
            <w:tcW w:w="1744" w:type="dxa"/>
          </w:tcPr>
          <w:p w14:paraId="078F6A0E" w14:textId="62B713FF" w:rsidR="00697D18" w:rsidRDefault="00697D18" w:rsidP="00697E4E">
            <w:pPr>
              <w:tabs>
                <w:tab w:val="right" w:pos="1746"/>
              </w:tabs>
            </w:pPr>
          </w:p>
        </w:tc>
        <w:tc>
          <w:tcPr>
            <w:tcW w:w="1088" w:type="dxa"/>
          </w:tcPr>
          <w:p w14:paraId="211A875A" w14:textId="2C802D05" w:rsidR="00697D18" w:rsidRDefault="00C14F34" w:rsidP="00697E4E">
            <w:r>
              <w:t xml:space="preserve">Ratio </w:t>
            </w:r>
          </w:p>
        </w:tc>
        <w:tc>
          <w:tcPr>
            <w:tcW w:w="1336" w:type="dxa"/>
          </w:tcPr>
          <w:p w14:paraId="23E4492B" w14:textId="3ED8447C" w:rsidR="00697D18" w:rsidRDefault="00880274" w:rsidP="00697E4E">
            <w:r>
              <w:t>+</w:t>
            </w:r>
          </w:p>
        </w:tc>
      </w:tr>
      <w:tr w:rsidR="00697D18" w14:paraId="0C255BC0" w14:textId="77777777" w:rsidTr="00697D18">
        <w:trPr>
          <w:trHeight w:val="705"/>
        </w:trPr>
        <w:tc>
          <w:tcPr>
            <w:tcW w:w="1673" w:type="dxa"/>
          </w:tcPr>
          <w:p w14:paraId="7BB8C3CE" w14:textId="77777777" w:rsidR="00697D18" w:rsidRDefault="00697D18" w:rsidP="00697E4E"/>
        </w:tc>
        <w:tc>
          <w:tcPr>
            <w:tcW w:w="1596" w:type="dxa"/>
          </w:tcPr>
          <w:p w14:paraId="7A3CB5CF" w14:textId="77777777" w:rsidR="00697D18" w:rsidRDefault="00697D18" w:rsidP="00697E4E">
            <w:r>
              <w:t>Level of corruption</w:t>
            </w:r>
          </w:p>
        </w:tc>
        <w:tc>
          <w:tcPr>
            <w:tcW w:w="1625" w:type="dxa"/>
          </w:tcPr>
          <w:p w14:paraId="0617CFB2" w14:textId="77777777" w:rsidR="00697D18" w:rsidRDefault="00697D18" w:rsidP="00697E4E">
            <w:r>
              <w:t>Corruption Perception Index</w:t>
            </w:r>
          </w:p>
        </w:tc>
        <w:tc>
          <w:tcPr>
            <w:tcW w:w="1744" w:type="dxa"/>
          </w:tcPr>
          <w:p w14:paraId="5A879F21" w14:textId="77777777" w:rsidR="00697D18" w:rsidRDefault="00697D18" w:rsidP="00697E4E">
            <w:r>
              <w:t>0 = corrupt</w:t>
            </w:r>
          </w:p>
          <w:p w14:paraId="1FF0890F" w14:textId="77777777" w:rsidR="00697D18" w:rsidRDefault="00697D18" w:rsidP="00697E4E">
            <w:r>
              <w:t>100 = not corrupt at all</w:t>
            </w:r>
          </w:p>
        </w:tc>
        <w:tc>
          <w:tcPr>
            <w:tcW w:w="1088" w:type="dxa"/>
          </w:tcPr>
          <w:p w14:paraId="48135C9F" w14:textId="638B652A" w:rsidR="00697D18" w:rsidRDefault="00C14F34" w:rsidP="00697E4E">
            <w:r>
              <w:t xml:space="preserve">Ordinal </w:t>
            </w:r>
          </w:p>
        </w:tc>
        <w:tc>
          <w:tcPr>
            <w:tcW w:w="1336" w:type="dxa"/>
          </w:tcPr>
          <w:p w14:paraId="69C6D6A5" w14:textId="5C00C661" w:rsidR="00697D18" w:rsidRDefault="00880274" w:rsidP="00697E4E">
            <w:r>
              <w:t>+</w:t>
            </w:r>
          </w:p>
        </w:tc>
      </w:tr>
      <w:tr w:rsidR="00697D18" w14:paraId="486171BC" w14:textId="77777777" w:rsidTr="00697D18">
        <w:trPr>
          <w:trHeight w:val="705"/>
        </w:trPr>
        <w:tc>
          <w:tcPr>
            <w:tcW w:w="1673" w:type="dxa"/>
          </w:tcPr>
          <w:p w14:paraId="103D8622" w14:textId="77777777" w:rsidR="00697D18" w:rsidRDefault="00697D18" w:rsidP="00697E4E"/>
        </w:tc>
        <w:tc>
          <w:tcPr>
            <w:tcW w:w="1596" w:type="dxa"/>
          </w:tcPr>
          <w:p w14:paraId="234F6E5E" w14:textId="77777777" w:rsidR="00697D18" w:rsidRDefault="00697D18" w:rsidP="00697E4E">
            <w:r>
              <w:t xml:space="preserve">Quality of Government </w:t>
            </w:r>
          </w:p>
        </w:tc>
        <w:tc>
          <w:tcPr>
            <w:tcW w:w="1625" w:type="dxa"/>
          </w:tcPr>
          <w:p w14:paraId="3949BF7A" w14:textId="77777777" w:rsidR="00697D18" w:rsidRDefault="00697D18" w:rsidP="00697E4E">
            <w:r>
              <w:t>Quality of Government Index</w:t>
            </w:r>
          </w:p>
        </w:tc>
        <w:tc>
          <w:tcPr>
            <w:tcW w:w="1744" w:type="dxa"/>
          </w:tcPr>
          <w:p w14:paraId="5D436F0E" w14:textId="77777777" w:rsidR="00697D18" w:rsidRDefault="00697D18" w:rsidP="00697E4E">
            <w:r>
              <w:t>0 = worst quality of government</w:t>
            </w:r>
          </w:p>
          <w:p w14:paraId="7F084DB7" w14:textId="77777777" w:rsidR="00697D18" w:rsidRDefault="00697D18" w:rsidP="00697E4E">
            <w:r>
              <w:lastRenderedPageBreak/>
              <w:t>100 = best quality of government</w:t>
            </w:r>
          </w:p>
        </w:tc>
        <w:tc>
          <w:tcPr>
            <w:tcW w:w="1088" w:type="dxa"/>
          </w:tcPr>
          <w:p w14:paraId="71F8BB67" w14:textId="476017DF" w:rsidR="00697D18" w:rsidRDefault="00C14F34" w:rsidP="00697E4E">
            <w:r>
              <w:lastRenderedPageBreak/>
              <w:t>Ordinal</w:t>
            </w:r>
          </w:p>
        </w:tc>
        <w:tc>
          <w:tcPr>
            <w:tcW w:w="1336" w:type="dxa"/>
          </w:tcPr>
          <w:p w14:paraId="7C9A5951" w14:textId="102A5F29" w:rsidR="00697D18" w:rsidRDefault="00880274" w:rsidP="00697E4E">
            <w:r>
              <w:t>+</w:t>
            </w:r>
          </w:p>
        </w:tc>
      </w:tr>
      <w:tr w:rsidR="00C14F34" w14:paraId="41CD961C" w14:textId="77777777" w:rsidTr="00697D18">
        <w:trPr>
          <w:trHeight w:val="705"/>
        </w:trPr>
        <w:tc>
          <w:tcPr>
            <w:tcW w:w="1673" w:type="dxa"/>
          </w:tcPr>
          <w:p w14:paraId="66EAB3CE" w14:textId="3AF455B3" w:rsidR="00C14F34" w:rsidRDefault="00C14F34" w:rsidP="00697E4E">
            <w:r>
              <w:t>Accession</w:t>
            </w:r>
          </w:p>
        </w:tc>
        <w:tc>
          <w:tcPr>
            <w:tcW w:w="1596" w:type="dxa"/>
          </w:tcPr>
          <w:p w14:paraId="5500DAF3" w14:textId="77777777" w:rsidR="00C14F34" w:rsidRDefault="00C14F34" w:rsidP="00697E4E"/>
        </w:tc>
        <w:tc>
          <w:tcPr>
            <w:tcW w:w="1625" w:type="dxa"/>
          </w:tcPr>
          <w:p w14:paraId="1CDC7273" w14:textId="34AA565C" w:rsidR="00C14F34" w:rsidRDefault="00C14F34" w:rsidP="00697E4E">
            <w:r>
              <w:t>Year of accession</w:t>
            </w:r>
          </w:p>
        </w:tc>
        <w:tc>
          <w:tcPr>
            <w:tcW w:w="1744" w:type="dxa"/>
          </w:tcPr>
          <w:p w14:paraId="5BAB2634" w14:textId="77777777" w:rsidR="00C14F34" w:rsidRDefault="00C14F34" w:rsidP="00697E4E">
            <w:r>
              <w:t>0 = before 2004</w:t>
            </w:r>
          </w:p>
          <w:p w14:paraId="501F54E8" w14:textId="0B1E910A" w:rsidR="00C14F34" w:rsidRDefault="00C14F34" w:rsidP="00697E4E">
            <w:r>
              <w:t>1 = after 2004</w:t>
            </w:r>
          </w:p>
        </w:tc>
        <w:tc>
          <w:tcPr>
            <w:tcW w:w="1088" w:type="dxa"/>
          </w:tcPr>
          <w:p w14:paraId="5D092BC9" w14:textId="72B10D2E" w:rsidR="00C14F34" w:rsidRDefault="00C14F34" w:rsidP="00697E4E">
            <w:r>
              <w:t xml:space="preserve">Dichotomous </w:t>
            </w:r>
          </w:p>
        </w:tc>
        <w:tc>
          <w:tcPr>
            <w:tcW w:w="1336" w:type="dxa"/>
          </w:tcPr>
          <w:p w14:paraId="43E1A040" w14:textId="19D80140" w:rsidR="00C14F34" w:rsidRDefault="00880274" w:rsidP="00697E4E">
            <w:r>
              <w:t>+</w:t>
            </w:r>
          </w:p>
        </w:tc>
      </w:tr>
      <w:tr w:rsidR="00C14F34" w14:paraId="40D3AB38" w14:textId="77777777" w:rsidTr="00697D18">
        <w:trPr>
          <w:trHeight w:val="705"/>
        </w:trPr>
        <w:tc>
          <w:tcPr>
            <w:tcW w:w="1673" w:type="dxa"/>
          </w:tcPr>
          <w:p w14:paraId="3CB51B96" w14:textId="600DC801" w:rsidR="00C14F34" w:rsidRDefault="00C14F34" w:rsidP="00697E4E">
            <w:r>
              <w:t>Nordic</w:t>
            </w:r>
          </w:p>
        </w:tc>
        <w:tc>
          <w:tcPr>
            <w:tcW w:w="1596" w:type="dxa"/>
          </w:tcPr>
          <w:p w14:paraId="0AF01EEA" w14:textId="77777777" w:rsidR="00C14F34" w:rsidRDefault="00C14F34" w:rsidP="00697E4E"/>
        </w:tc>
        <w:tc>
          <w:tcPr>
            <w:tcW w:w="1625" w:type="dxa"/>
          </w:tcPr>
          <w:p w14:paraId="38DEAD2F" w14:textId="5D851213" w:rsidR="00C14F34" w:rsidRDefault="00C14F34" w:rsidP="00697E4E">
            <w:r>
              <w:t>Geographical indication</w:t>
            </w:r>
          </w:p>
        </w:tc>
        <w:tc>
          <w:tcPr>
            <w:tcW w:w="1744" w:type="dxa"/>
          </w:tcPr>
          <w:p w14:paraId="7221AD39" w14:textId="77777777" w:rsidR="00C14F34" w:rsidRDefault="00C14F34" w:rsidP="00697E4E">
            <w:r>
              <w:t>0 = Not Nordic</w:t>
            </w:r>
          </w:p>
          <w:p w14:paraId="51A6A410" w14:textId="7DCC82DE" w:rsidR="00C14F34" w:rsidRDefault="00C14F34" w:rsidP="00697E4E">
            <w:r>
              <w:t>1 = Nordic</w:t>
            </w:r>
          </w:p>
        </w:tc>
        <w:tc>
          <w:tcPr>
            <w:tcW w:w="1088" w:type="dxa"/>
          </w:tcPr>
          <w:p w14:paraId="00F0D84D" w14:textId="18857AD8" w:rsidR="00C14F34" w:rsidRDefault="00C14F34" w:rsidP="00697E4E">
            <w:r>
              <w:t xml:space="preserve">Dichotomous </w:t>
            </w:r>
          </w:p>
        </w:tc>
        <w:tc>
          <w:tcPr>
            <w:tcW w:w="1336" w:type="dxa"/>
          </w:tcPr>
          <w:p w14:paraId="32A6B753" w14:textId="4816E841" w:rsidR="00C14F34" w:rsidRDefault="00880274" w:rsidP="00697E4E">
            <w:r>
              <w:t>+</w:t>
            </w:r>
          </w:p>
        </w:tc>
      </w:tr>
      <w:tr w:rsidR="00697D18" w14:paraId="73F0D4A9" w14:textId="77777777" w:rsidTr="00697D18">
        <w:trPr>
          <w:trHeight w:val="705"/>
        </w:trPr>
        <w:tc>
          <w:tcPr>
            <w:tcW w:w="1673" w:type="dxa"/>
          </w:tcPr>
          <w:p w14:paraId="5D551622" w14:textId="77777777" w:rsidR="00697D18" w:rsidRPr="00DF45BD" w:rsidRDefault="00697D18" w:rsidP="00697E4E">
            <w:pPr>
              <w:rPr>
                <w:b/>
              </w:rPr>
            </w:pPr>
            <w:r>
              <w:rPr>
                <w:b/>
              </w:rPr>
              <w:t>Independent variable</w:t>
            </w:r>
          </w:p>
        </w:tc>
        <w:tc>
          <w:tcPr>
            <w:tcW w:w="1596" w:type="dxa"/>
          </w:tcPr>
          <w:p w14:paraId="243EF237" w14:textId="77777777" w:rsidR="00697D18" w:rsidRDefault="00697D18" w:rsidP="00697E4E">
            <w:pPr>
              <w:pStyle w:val="Kop3"/>
              <w:spacing w:line="360" w:lineRule="auto"/>
              <w:outlineLvl w:val="2"/>
            </w:pPr>
          </w:p>
        </w:tc>
        <w:tc>
          <w:tcPr>
            <w:tcW w:w="1625" w:type="dxa"/>
          </w:tcPr>
          <w:p w14:paraId="1DDEF5FC" w14:textId="77777777" w:rsidR="00697D18" w:rsidRDefault="00697D18" w:rsidP="00697E4E">
            <w:pPr>
              <w:pStyle w:val="Kop3"/>
              <w:spacing w:line="360" w:lineRule="auto"/>
              <w:outlineLvl w:val="2"/>
            </w:pPr>
          </w:p>
        </w:tc>
        <w:tc>
          <w:tcPr>
            <w:tcW w:w="1744" w:type="dxa"/>
          </w:tcPr>
          <w:p w14:paraId="0D8F7B66" w14:textId="77777777" w:rsidR="00697D18" w:rsidRDefault="00697D18" w:rsidP="00697E4E">
            <w:pPr>
              <w:pStyle w:val="Kop3"/>
              <w:spacing w:line="360" w:lineRule="auto"/>
              <w:outlineLvl w:val="2"/>
            </w:pPr>
          </w:p>
        </w:tc>
        <w:tc>
          <w:tcPr>
            <w:tcW w:w="1088" w:type="dxa"/>
          </w:tcPr>
          <w:p w14:paraId="13D1D3C5" w14:textId="77777777" w:rsidR="00697D18" w:rsidRDefault="00697D18" w:rsidP="00697E4E">
            <w:pPr>
              <w:pStyle w:val="Kop3"/>
              <w:spacing w:line="360" w:lineRule="auto"/>
              <w:outlineLvl w:val="2"/>
            </w:pPr>
          </w:p>
        </w:tc>
        <w:tc>
          <w:tcPr>
            <w:tcW w:w="1336" w:type="dxa"/>
          </w:tcPr>
          <w:p w14:paraId="547DAA08" w14:textId="7062A7F2" w:rsidR="00697D18" w:rsidRDefault="00697D18" w:rsidP="00697E4E">
            <w:pPr>
              <w:pStyle w:val="Kop3"/>
              <w:spacing w:line="360" w:lineRule="auto"/>
              <w:outlineLvl w:val="2"/>
            </w:pPr>
          </w:p>
        </w:tc>
      </w:tr>
      <w:tr w:rsidR="00697D18" w14:paraId="45546E62" w14:textId="77777777" w:rsidTr="00697D18">
        <w:trPr>
          <w:trHeight w:val="705"/>
        </w:trPr>
        <w:tc>
          <w:tcPr>
            <w:tcW w:w="1673" w:type="dxa"/>
          </w:tcPr>
          <w:p w14:paraId="791B5CD7" w14:textId="57DD6731" w:rsidR="00697D18" w:rsidRPr="00DF45BD" w:rsidRDefault="00432D47" w:rsidP="00C14F34">
            <w:r>
              <w:t>(Non)-c</w:t>
            </w:r>
            <w:r w:rsidR="00697D18">
              <w:t>ompliance</w:t>
            </w:r>
          </w:p>
        </w:tc>
        <w:tc>
          <w:tcPr>
            <w:tcW w:w="1596" w:type="dxa"/>
          </w:tcPr>
          <w:p w14:paraId="29C59147" w14:textId="77777777" w:rsidR="00697D18" w:rsidRDefault="00697D18" w:rsidP="00697E4E">
            <w:pPr>
              <w:pStyle w:val="Kop3"/>
              <w:spacing w:line="360" w:lineRule="auto"/>
              <w:outlineLvl w:val="2"/>
            </w:pPr>
          </w:p>
        </w:tc>
        <w:tc>
          <w:tcPr>
            <w:tcW w:w="1625" w:type="dxa"/>
          </w:tcPr>
          <w:p w14:paraId="1B631D4C" w14:textId="77777777" w:rsidR="00697D18" w:rsidRDefault="00697D18" w:rsidP="00697E4E">
            <w:r>
              <w:t>Stage of infringement procedure</w:t>
            </w:r>
          </w:p>
        </w:tc>
        <w:tc>
          <w:tcPr>
            <w:tcW w:w="1744" w:type="dxa"/>
          </w:tcPr>
          <w:p w14:paraId="059DB813" w14:textId="63643AA1" w:rsidR="00C14F34" w:rsidRDefault="00C14F34" w:rsidP="00697E4E">
            <w:r>
              <w:t>0 = Compliance</w:t>
            </w:r>
          </w:p>
          <w:p w14:paraId="4467B18B" w14:textId="3381621D" w:rsidR="00697D18" w:rsidRDefault="00697D18" w:rsidP="00697E4E">
            <w:r>
              <w:t xml:space="preserve">1 &amp; 2 = Formal notice </w:t>
            </w:r>
          </w:p>
          <w:p w14:paraId="5912FF88" w14:textId="77777777" w:rsidR="00697D18" w:rsidRDefault="00697D18" w:rsidP="00697E4E">
            <w:r>
              <w:t xml:space="preserve">3 = Reasoned opinion </w:t>
            </w:r>
          </w:p>
          <w:p w14:paraId="48E1DCAC" w14:textId="77777777" w:rsidR="00697D18" w:rsidRDefault="00697D18" w:rsidP="00697E4E">
            <w:r>
              <w:t xml:space="preserve">4 = Referral to Court </w:t>
            </w:r>
          </w:p>
          <w:p w14:paraId="1BDB8B47" w14:textId="77777777" w:rsidR="00697D18" w:rsidRDefault="00697D18" w:rsidP="00697E4E">
            <w:r>
              <w:t>5 = Formal notice Art. 260</w:t>
            </w:r>
          </w:p>
          <w:p w14:paraId="507ADFA2" w14:textId="18848EA9" w:rsidR="00697D18" w:rsidRDefault="00697D18" w:rsidP="00697E4E">
            <w:r>
              <w:t xml:space="preserve">6 </w:t>
            </w:r>
            <w:r w:rsidR="000A1FEA">
              <w:t xml:space="preserve">and higher </w:t>
            </w:r>
            <w:r>
              <w:t>= Referral to Court Art. 260</w:t>
            </w:r>
          </w:p>
        </w:tc>
        <w:tc>
          <w:tcPr>
            <w:tcW w:w="1088" w:type="dxa"/>
          </w:tcPr>
          <w:p w14:paraId="1BF8E6A8" w14:textId="6616AF6C" w:rsidR="00697D18" w:rsidRDefault="00C14F34" w:rsidP="00C14F34">
            <w:r>
              <w:t>Ordinal</w:t>
            </w:r>
          </w:p>
        </w:tc>
        <w:tc>
          <w:tcPr>
            <w:tcW w:w="1336" w:type="dxa"/>
          </w:tcPr>
          <w:p w14:paraId="14E23693" w14:textId="628ED11B" w:rsidR="00697D18" w:rsidRDefault="00697D18" w:rsidP="00697E4E">
            <w:pPr>
              <w:pStyle w:val="Kop3"/>
              <w:spacing w:line="360" w:lineRule="auto"/>
              <w:outlineLvl w:val="2"/>
            </w:pPr>
          </w:p>
        </w:tc>
      </w:tr>
    </w:tbl>
    <w:p w14:paraId="1C76BDA1" w14:textId="5D27A62A" w:rsidR="001E72ED" w:rsidRDefault="001E72ED" w:rsidP="001E72ED">
      <w:pPr>
        <w:pStyle w:val="Kop3"/>
        <w:spacing w:line="360" w:lineRule="auto"/>
      </w:pPr>
      <w:r>
        <w:br/>
      </w:r>
      <w:bookmarkStart w:id="36" w:name="_Toc3547849"/>
      <w:r>
        <w:t>3.</w:t>
      </w:r>
      <w:r w:rsidR="001F2F39">
        <w:t>7</w:t>
      </w:r>
      <w:r>
        <w:t xml:space="preserve"> Case selection</w:t>
      </w:r>
      <w:bookmarkEnd w:id="36"/>
    </w:p>
    <w:p w14:paraId="12558B47" w14:textId="32124ED0" w:rsidR="001E72ED" w:rsidRPr="00880274" w:rsidRDefault="001E72ED" w:rsidP="001E72ED">
      <w:pPr>
        <w:spacing w:line="360" w:lineRule="auto"/>
      </w:pPr>
      <w:r>
        <w:t>In this section, the criteria for case selection are discussed.</w:t>
      </w:r>
      <w:r w:rsidR="0038453A">
        <w:t xml:space="preserve"> Data is needed about decision-making procedures of certain directives, and data about the compliance with those directives is</w:t>
      </w:r>
      <w:r w:rsidR="0038453A" w:rsidRPr="00880274">
        <w:t xml:space="preserve"> needed as well. </w:t>
      </w:r>
    </w:p>
    <w:p w14:paraId="76CCE8B3" w14:textId="4ECF6C4A" w:rsidR="001E72ED" w:rsidRPr="00880274" w:rsidRDefault="001E72ED" w:rsidP="001E72ED">
      <w:pPr>
        <w:spacing w:line="360" w:lineRule="auto"/>
      </w:pPr>
      <w:r w:rsidRPr="00880274">
        <w:t xml:space="preserve">This research design only includes decision-making procedures on </w:t>
      </w:r>
      <w:r w:rsidR="001D4168" w:rsidRPr="00880274">
        <w:t xml:space="preserve">and compliance with </w:t>
      </w:r>
      <w:r w:rsidRPr="00880274">
        <w:t xml:space="preserve">binding policies that have to be transposed into national legislation. So, only decision-making procedures on directives will be included, since member states have to report to the European Commission when they transposed directives in national legislation. Besides, it is more interesting to investigate binding policies, since those policies are obligatory for member states to implement. Since compliance normally takes time, the decision-making procedure should be finished by 2016. In that case, member states will have had approximately two years to implement the directive on the national level. </w:t>
      </w:r>
      <w:r w:rsidR="00503945" w:rsidRPr="00880274">
        <w:t xml:space="preserve">So, the first criterion is that the decision-making procedure is about a directive and the second criterion is that the decision-making procedure was finished by 2016. </w:t>
      </w:r>
    </w:p>
    <w:p w14:paraId="2E0806ED" w14:textId="4D60E2CE" w:rsidR="001E72ED" w:rsidRPr="00880274" w:rsidRDefault="001E72ED" w:rsidP="001E72ED">
      <w:pPr>
        <w:spacing w:line="360" w:lineRule="auto"/>
      </w:pPr>
      <w:r w:rsidRPr="00880274">
        <w:t xml:space="preserve">The directives of which the decision-making procedures </w:t>
      </w:r>
      <w:r w:rsidR="00A256CD" w:rsidRPr="00880274">
        <w:t>will</w:t>
      </w:r>
      <w:r w:rsidRPr="00880274">
        <w:t xml:space="preserve"> be </w:t>
      </w:r>
      <w:r w:rsidR="00503945" w:rsidRPr="00880274">
        <w:t>analyzed</w:t>
      </w:r>
      <w:r w:rsidRPr="00880274">
        <w:t xml:space="preserve"> are selected from a database with infringement procedures. In this database from the European Commission, delays in compliance per directive are visible. </w:t>
      </w:r>
      <w:r w:rsidR="00503945" w:rsidRPr="00880274">
        <w:t xml:space="preserve">The third criterion is that at least one member state does not comply with the directive of which the decision-making procedure is analyzed. </w:t>
      </w:r>
    </w:p>
    <w:p w14:paraId="04FE7B28" w14:textId="18464A78" w:rsidR="001E72ED" w:rsidRPr="00880274" w:rsidRDefault="001E72ED" w:rsidP="001E72ED">
      <w:pPr>
        <w:spacing w:line="360" w:lineRule="auto"/>
      </w:pPr>
      <w:r w:rsidRPr="00880274">
        <w:lastRenderedPageBreak/>
        <w:t>It is important that all necessary information about the decision-making procedure can be found. For this, a memo by the European Commission has to be attached to the</w:t>
      </w:r>
      <w:r w:rsidR="00503945" w:rsidRPr="00880274">
        <w:t xml:space="preserve"> infringement</w:t>
      </w:r>
      <w:r w:rsidRPr="00880274">
        <w:t xml:space="preserve"> decision in the database. </w:t>
      </w:r>
      <w:r w:rsidR="00503945" w:rsidRPr="00880274">
        <w:t>The presence of such a memo is</w:t>
      </w:r>
      <w:r w:rsidRPr="00880274">
        <w:t xml:space="preserve"> the </w:t>
      </w:r>
      <w:r w:rsidR="00503945" w:rsidRPr="00880274">
        <w:t>fourth</w:t>
      </w:r>
      <w:r w:rsidRPr="00880274">
        <w:t xml:space="preserve"> requirement for </w:t>
      </w:r>
      <w:r w:rsidR="00503945" w:rsidRPr="00880274">
        <w:t>decision-making procedures</w:t>
      </w:r>
      <w:r w:rsidRPr="00880274">
        <w:t xml:space="preserve"> to be selected. </w:t>
      </w:r>
    </w:p>
    <w:p w14:paraId="6E655A74" w14:textId="59D89F45" w:rsidR="00191DB7" w:rsidRDefault="001E72ED" w:rsidP="001E72ED">
      <w:pPr>
        <w:spacing w:line="360" w:lineRule="auto"/>
      </w:pPr>
      <w:r w:rsidRPr="00880274">
        <w:t xml:space="preserve">Cases will be selected randomly, in order to meet statistical assumptions for the regression analysis. In this respect, randomly means without any preference for policy area, date of vote or </w:t>
      </w:r>
      <w:r>
        <w:t xml:space="preserve">other previously defined structure. </w:t>
      </w:r>
      <w:r w:rsidR="00191DB7">
        <w:t xml:space="preserve">Based on the above, members states’ compliance score with 22 directives have been selected  </w:t>
      </w:r>
      <w:r w:rsidR="00191DB7" w:rsidRPr="00880274">
        <w:t xml:space="preserve">to run a statistically significant and generalizable analysis. </w:t>
      </w:r>
      <w:r w:rsidR="00191DB7">
        <w:t xml:space="preserve">In total this has resulted in </w:t>
      </w:r>
      <w:r w:rsidR="00191DB7" w:rsidRPr="00880274">
        <w:t>615 cases</w:t>
      </w:r>
      <w:r w:rsidR="00191DB7">
        <w:t xml:space="preserve"> of (non-) compliance with EU directives.  </w:t>
      </w:r>
    </w:p>
    <w:p w14:paraId="7E984CEA" w14:textId="77777777" w:rsidR="00090DDF" w:rsidRDefault="00090DDF" w:rsidP="00090DDF">
      <w:pPr>
        <w:spacing w:line="360" w:lineRule="auto"/>
      </w:pPr>
      <w:r w:rsidRPr="00880274">
        <w:t xml:space="preserve">The data </w:t>
      </w:r>
      <w:r>
        <w:t xml:space="preserve">about the decision-making procedures </w:t>
      </w:r>
      <w:r w:rsidRPr="00880274">
        <w:t xml:space="preserve">will be gathered as follows. In the infringement database, directives will be randomly </w:t>
      </w:r>
      <w:r>
        <w:t>selected. The decision-making procedure of that directive will be analyzed. Sometimes, a memo with more explanation about the decision is attached to the file. Those memos contain important information about the decision-making procedure.</w:t>
      </w:r>
    </w:p>
    <w:p w14:paraId="33CBA079" w14:textId="77777777" w:rsidR="00090DDF" w:rsidRDefault="00090DDF" w:rsidP="00090DDF">
      <w:pPr>
        <w:spacing w:line="360" w:lineRule="auto"/>
      </w:pPr>
      <w:r>
        <w:t xml:space="preserve">In this memo, a link can be found to a page in EUR-Lex about the decision-making procedure of the directive that is not complied with. On this page, information about the times the proposal is discussed can be found. Also, on that page, the procedure number can be found. When searching for this number in EUR-Lex, the original proposal can be found. Whether or not a public consultation took place and which kind of consultation was held can be found in the proposal by searching for ‘consultation’. The result of the vote on the specific proposal can be found in the database on public votes. </w:t>
      </w:r>
    </w:p>
    <w:p w14:paraId="6662FD32" w14:textId="25D8185A" w:rsidR="00090DDF" w:rsidRDefault="00090DDF" w:rsidP="00090DDF">
      <w:pPr>
        <w:spacing w:line="360" w:lineRule="auto"/>
      </w:pPr>
      <w:r>
        <w:t xml:space="preserve">Memos prior to January 17, 2012 are not accessible in the infringement database. Therefore, only infringement procedures started after this date are used. However, infringement decisions can still be about directives from long before January 2012. </w:t>
      </w:r>
    </w:p>
    <w:p w14:paraId="607C2927" w14:textId="0CC4F129" w:rsidR="00567E8C" w:rsidRDefault="001E72ED" w:rsidP="006945C7">
      <w:pPr>
        <w:pStyle w:val="Kop3"/>
        <w:spacing w:before="0" w:line="360" w:lineRule="auto"/>
      </w:pPr>
      <w:bookmarkStart w:id="37" w:name="_Toc3547850"/>
      <w:r>
        <w:t>3.</w:t>
      </w:r>
      <w:r w:rsidR="001F2F39">
        <w:t>8</w:t>
      </w:r>
      <w:r w:rsidR="00017B44">
        <w:t xml:space="preserve"> </w:t>
      </w:r>
      <w:r w:rsidR="00567E8C">
        <w:t>Data collection</w:t>
      </w:r>
      <w:bookmarkEnd w:id="37"/>
    </w:p>
    <w:p w14:paraId="1643AA31" w14:textId="2BCE72B0" w:rsidR="00567E8C" w:rsidRPr="00880274" w:rsidRDefault="00567E8C" w:rsidP="006945C7">
      <w:pPr>
        <w:spacing w:after="0" w:line="360" w:lineRule="auto"/>
      </w:pPr>
      <w:r w:rsidRPr="00880274">
        <w:t xml:space="preserve">European databases </w:t>
      </w:r>
      <w:r w:rsidR="00C713E4" w:rsidRPr="00880274">
        <w:t>can provide many of the needed data</w:t>
      </w:r>
      <w:r w:rsidRPr="00880274">
        <w:t>, as is described below.</w:t>
      </w:r>
    </w:p>
    <w:p w14:paraId="3CE4D84B" w14:textId="77777777" w:rsidR="00567E8C" w:rsidRPr="00880274" w:rsidRDefault="00567E8C" w:rsidP="003D3CD9">
      <w:pPr>
        <w:pStyle w:val="Kop4"/>
      </w:pPr>
      <w:r w:rsidRPr="003D3CD9">
        <w:t>Voice</w:t>
      </w:r>
    </w:p>
    <w:p w14:paraId="324A7B74" w14:textId="1C302701" w:rsidR="00567E8C" w:rsidRPr="00880274" w:rsidRDefault="00567E8C" w:rsidP="00567E8C">
      <w:pPr>
        <w:pStyle w:val="Lijstalinea"/>
        <w:numPr>
          <w:ilvl w:val="0"/>
          <w:numId w:val="17"/>
        </w:numPr>
        <w:spacing w:line="360" w:lineRule="auto"/>
      </w:pPr>
      <w:r w:rsidRPr="00880274">
        <w:t xml:space="preserve">The number of times something is discussed in the (preparatory) bodies </w:t>
      </w:r>
      <w:r w:rsidR="00191DB7">
        <w:t xml:space="preserve">of the Council </w:t>
      </w:r>
      <w:r w:rsidRPr="00880274">
        <w:t xml:space="preserve">can be found in EUR-Lex. </w:t>
      </w:r>
    </w:p>
    <w:p w14:paraId="6E6EF28B" w14:textId="77777777" w:rsidR="00567E8C" w:rsidRPr="00880274" w:rsidRDefault="00567E8C" w:rsidP="003D3CD9">
      <w:pPr>
        <w:pStyle w:val="Kop4"/>
      </w:pPr>
      <w:r w:rsidRPr="003D3CD9">
        <w:t>Dignity</w:t>
      </w:r>
      <w:r w:rsidRPr="00880274">
        <w:t xml:space="preserve"> </w:t>
      </w:r>
    </w:p>
    <w:p w14:paraId="315BC3CB" w14:textId="675A0263" w:rsidR="00567E8C" w:rsidRPr="00880274" w:rsidRDefault="00567E8C" w:rsidP="00567E8C">
      <w:pPr>
        <w:pStyle w:val="Lijstalinea"/>
        <w:numPr>
          <w:ilvl w:val="0"/>
          <w:numId w:val="20"/>
        </w:numPr>
        <w:spacing w:line="360" w:lineRule="auto"/>
      </w:pPr>
      <w:r w:rsidRPr="00880274">
        <w:t xml:space="preserve">Whether or not a public consultation took place and what type of consultation </w:t>
      </w:r>
      <w:r w:rsidR="000B3DD8" w:rsidRPr="00880274">
        <w:t xml:space="preserve">it was </w:t>
      </w:r>
      <w:r w:rsidRPr="00880274">
        <w:t xml:space="preserve">can be found in the proposal from the Commission for a certain policy, accessible on EUR-Lex. </w:t>
      </w:r>
    </w:p>
    <w:p w14:paraId="287321FB" w14:textId="77777777" w:rsidR="00567E8C" w:rsidRPr="00880274" w:rsidRDefault="00567E8C" w:rsidP="003D3CD9">
      <w:pPr>
        <w:pStyle w:val="Kop4"/>
      </w:pPr>
      <w:r w:rsidRPr="003D3CD9">
        <w:lastRenderedPageBreak/>
        <w:t>Consistency</w:t>
      </w:r>
      <w:r w:rsidRPr="00880274">
        <w:t xml:space="preserve"> </w:t>
      </w:r>
    </w:p>
    <w:p w14:paraId="63EB6EDA" w14:textId="7B036897" w:rsidR="00567E8C" w:rsidRPr="00880274" w:rsidRDefault="00567E8C" w:rsidP="00567E8C">
      <w:pPr>
        <w:pStyle w:val="Lijstalinea"/>
        <w:numPr>
          <w:ilvl w:val="0"/>
          <w:numId w:val="21"/>
        </w:numPr>
        <w:spacing w:line="360" w:lineRule="auto"/>
        <w:rPr>
          <w:i/>
        </w:rPr>
      </w:pPr>
      <w:r w:rsidRPr="00880274">
        <w:t xml:space="preserve">The weighting of opposing and abstaining votes in the </w:t>
      </w:r>
      <w:r w:rsidR="00880274">
        <w:t xml:space="preserve">European </w:t>
      </w:r>
      <w:r w:rsidRPr="00880274">
        <w:t>Council is shown in the res</w:t>
      </w:r>
      <w:r w:rsidR="00432D47" w:rsidRPr="00880274">
        <w:t xml:space="preserve">ults of the vote in the Council. </w:t>
      </w:r>
      <w:r w:rsidRPr="00880274">
        <w:t xml:space="preserve">The public voting results can be found on the website of the Council. </w:t>
      </w:r>
    </w:p>
    <w:p w14:paraId="5A0884C6" w14:textId="77777777" w:rsidR="00567E8C" w:rsidRPr="0004661D" w:rsidRDefault="00567E8C" w:rsidP="0004661D">
      <w:pPr>
        <w:pStyle w:val="Kop4"/>
      </w:pPr>
      <w:r w:rsidRPr="0004661D">
        <w:t>Non-compliance</w:t>
      </w:r>
    </w:p>
    <w:p w14:paraId="13DA8922" w14:textId="75E038C9" w:rsidR="00567E8C" w:rsidRPr="00880274" w:rsidRDefault="00567E8C" w:rsidP="00567E8C">
      <w:pPr>
        <w:pStyle w:val="Lijstalinea"/>
        <w:numPr>
          <w:ilvl w:val="0"/>
          <w:numId w:val="21"/>
        </w:numPr>
        <w:spacing w:line="360" w:lineRule="auto"/>
        <w:ind w:left="714" w:hanging="357"/>
      </w:pPr>
      <w:r w:rsidRPr="00880274">
        <w:t xml:space="preserve">Data about non-compliance can be found in the database on infringement decisions of the </w:t>
      </w:r>
      <w:r w:rsidR="00880274">
        <w:t xml:space="preserve">European </w:t>
      </w:r>
      <w:r w:rsidRPr="00880274">
        <w:t xml:space="preserve">Commission. </w:t>
      </w:r>
    </w:p>
    <w:p w14:paraId="6E0FDC25" w14:textId="782A3D00" w:rsidR="007A3F34" w:rsidRDefault="001E72ED" w:rsidP="009175BA">
      <w:pPr>
        <w:pStyle w:val="Kop3"/>
        <w:spacing w:line="360" w:lineRule="auto"/>
      </w:pPr>
      <w:bookmarkStart w:id="38" w:name="_Toc3547851"/>
      <w:r>
        <w:t>3.</w:t>
      </w:r>
      <w:r w:rsidR="001F2F39">
        <w:t>9</w:t>
      </w:r>
      <w:r w:rsidR="00017B44">
        <w:t xml:space="preserve"> </w:t>
      </w:r>
      <w:r w:rsidR="007A3F34">
        <w:t>Validity and reliability</w:t>
      </w:r>
      <w:bookmarkEnd w:id="38"/>
      <w:r w:rsidR="007A3F34">
        <w:t xml:space="preserve"> </w:t>
      </w:r>
    </w:p>
    <w:p w14:paraId="717D6EF3" w14:textId="4361A310" w:rsidR="005E1221" w:rsidRPr="00880274" w:rsidRDefault="005E1221" w:rsidP="009175BA">
      <w:pPr>
        <w:spacing w:line="360" w:lineRule="auto"/>
      </w:pPr>
      <w:r>
        <w:t xml:space="preserve">In scientific research, validity is </w:t>
      </w:r>
      <w:r w:rsidR="00C43104">
        <w:t xml:space="preserve">of crucial </w:t>
      </w:r>
      <w:r>
        <w:t>importan</w:t>
      </w:r>
      <w:r w:rsidR="00C43104" w:rsidRPr="00880274">
        <w:t>ce</w:t>
      </w:r>
      <w:r w:rsidRPr="00880274">
        <w:t xml:space="preserve">. </w:t>
      </w:r>
      <w:r w:rsidR="00C43104" w:rsidRPr="00880274">
        <w:t xml:space="preserve">It </w:t>
      </w:r>
      <w:r w:rsidRPr="00880274">
        <w:t>has two components, namely external and internal validity. When both concepts are explained, it becomes clear why they are considered so important in science.</w:t>
      </w:r>
    </w:p>
    <w:p w14:paraId="741655B0" w14:textId="48F56DE4" w:rsidR="005F45F6" w:rsidRPr="00880274" w:rsidRDefault="005E1221" w:rsidP="009175BA">
      <w:pPr>
        <w:spacing w:line="360" w:lineRule="auto"/>
      </w:pPr>
      <w:r w:rsidRPr="00880274">
        <w:t>Internal validity deals with the question of operationalization. High internal validity would mean that the researcher actually measured what he or she wanted to measure</w:t>
      </w:r>
      <w:r w:rsidR="005F45F6" w:rsidRPr="00880274">
        <w:t xml:space="preserve"> (Schmitter</w:t>
      </w:r>
      <w:r w:rsidR="002B63E1" w:rsidRPr="00880274">
        <w:t>, 2016)</w:t>
      </w:r>
      <w:r w:rsidRPr="00880274">
        <w:t xml:space="preserve">. To apply this to this thesis, </w:t>
      </w:r>
      <w:r w:rsidR="005F45F6" w:rsidRPr="00880274">
        <w:t>the degree of internal validity would be to what extent procedural fairness is actually measured by the operationalization of voice, consistency and dignity. Some words need to be dedicated to that. It is clear that fairness is a sub</w:t>
      </w:r>
      <w:r w:rsidR="005D35DE" w:rsidRPr="00880274">
        <w:t>jective concept. On top of that, n</w:t>
      </w:r>
      <w:r w:rsidR="005F45F6" w:rsidRPr="00880274">
        <w:t xml:space="preserve">o clear operationalization about fairness existed, </w:t>
      </w:r>
      <w:r w:rsidR="00C43104" w:rsidRPr="00880274">
        <w:t>even if this could be</w:t>
      </w:r>
      <w:r w:rsidR="005F45F6" w:rsidRPr="00880274">
        <w:t xml:space="preserve"> measur</w:t>
      </w:r>
      <w:r w:rsidR="00C43104" w:rsidRPr="00880274">
        <w:t>ed</w:t>
      </w:r>
      <w:r w:rsidR="005F45F6" w:rsidRPr="00880274">
        <w:t xml:space="preserve"> objectively. </w:t>
      </w:r>
      <w:r w:rsidR="00880274" w:rsidRPr="00880274">
        <w:t>So, m</w:t>
      </w:r>
      <w:r w:rsidR="005F45F6" w:rsidRPr="00880274">
        <w:t xml:space="preserve">any question marks are present </w:t>
      </w:r>
      <w:r w:rsidR="00C43104" w:rsidRPr="00880274">
        <w:t xml:space="preserve">regarding </w:t>
      </w:r>
      <w:r w:rsidR="005F45F6" w:rsidRPr="00880274">
        <w:t xml:space="preserve">the internal validity of this </w:t>
      </w:r>
      <w:r w:rsidR="00C43104" w:rsidRPr="00880274">
        <w:t>study</w:t>
      </w:r>
      <w:r w:rsidR="005F45F6" w:rsidRPr="00880274">
        <w:t>. However, answers</w:t>
      </w:r>
      <w:r w:rsidR="00C43104" w:rsidRPr="00880274">
        <w:t xml:space="preserve"> are provided</w:t>
      </w:r>
      <w:r w:rsidR="00C4215C" w:rsidRPr="00880274">
        <w:t xml:space="preserve"> as well: a</w:t>
      </w:r>
      <w:r w:rsidR="005F45F6" w:rsidRPr="00880274">
        <w:t xml:space="preserve">ll depends on the inferences made based on </w:t>
      </w:r>
      <w:r w:rsidR="00C43104" w:rsidRPr="00880274">
        <w:t>the study</w:t>
      </w:r>
      <w:r w:rsidR="00880274">
        <w:t>.</w:t>
      </w:r>
      <w:r w:rsidR="005F45F6" w:rsidRPr="00880274">
        <w:t xml:space="preserve"> Conclusions about the degree of fairness of a certain decision-making procedure should be drawn carefully</w:t>
      </w:r>
      <w:r w:rsidR="002B63E1" w:rsidRPr="00880274">
        <w:t xml:space="preserve">. Fairness is subjective for everyone, but a decision-making process can have </w:t>
      </w:r>
      <w:r w:rsidR="00C43104" w:rsidRPr="00880274">
        <w:t xml:space="preserve">aspects that are objectively more or less ‘fair’ </w:t>
      </w:r>
      <w:r w:rsidR="00C713E4" w:rsidRPr="00880274">
        <w:t>(Esaiasson et al., 2016)</w:t>
      </w:r>
      <w:r w:rsidR="00432D47" w:rsidRPr="00880274">
        <w:t>.</w:t>
      </w:r>
      <w:r w:rsidR="002B63E1" w:rsidRPr="00880274">
        <w:t xml:space="preserve"> </w:t>
      </w:r>
    </w:p>
    <w:p w14:paraId="17E2330E" w14:textId="7D4B277E" w:rsidR="009C6448" w:rsidRPr="00880274" w:rsidRDefault="002B63E1" w:rsidP="009175BA">
      <w:pPr>
        <w:spacing w:line="360" w:lineRule="auto"/>
      </w:pPr>
      <w:r w:rsidRPr="00880274">
        <w:t>The concept of e</w:t>
      </w:r>
      <w:r w:rsidR="00C43104" w:rsidRPr="00880274">
        <w:t>x</w:t>
      </w:r>
      <w:r w:rsidRPr="00880274">
        <w:t>ternal validity also matters</w:t>
      </w:r>
      <w:r w:rsidR="00F61247" w:rsidRPr="00880274">
        <w:t xml:space="preserve">, which is about the extent to which the data is representative for the population. </w:t>
      </w:r>
      <w:r w:rsidRPr="00880274">
        <w:t xml:space="preserve">This </w:t>
      </w:r>
      <w:r w:rsidR="00F61247" w:rsidRPr="00880274">
        <w:t xml:space="preserve">affects </w:t>
      </w:r>
      <w:r w:rsidRPr="00880274">
        <w:t xml:space="preserve">the generalizability of the </w:t>
      </w:r>
      <w:r w:rsidR="00A705F1" w:rsidRPr="00880274">
        <w:t>findings (Della Porta and Keating, 2008)</w:t>
      </w:r>
      <w:r w:rsidR="00C43104" w:rsidRPr="00880274">
        <w:t xml:space="preserve"> – something that </w:t>
      </w:r>
      <w:r w:rsidR="009C6448" w:rsidRPr="00880274">
        <w:t>is normally a concern for case studies, because those studies</w:t>
      </w:r>
      <w:r w:rsidR="006945C7">
        <w:t xml:space="preserve"> </w:t>
      </w:r>
      <w:r w:rsidR="009C6448" w:rsidRPr="00880274">
        <w:t xml:space="preserve">normally deal with few cases. </w:t>
      </w:r>
      <w:r w:rsidR="00432D47" w:rsidRPr="00880274">
        <w:t>For</w:t>
      </w:r>
      <w:r w:rsidR="00191DB7">
        <w:t xml:space="preserve"> testing</w:t>
      </w:r>
      <w:r w:rsidR="00432D47" w:rsidRPr="00880274">
        <w:t xml:space="preserve"> H1a-1c,</w:t>
      </w:r>
      <w:r w:rsidR="000A551B" w:rsidRPr="00880274">
        <w:t xml:space="preserve"> the </w:t>
      </w:r>
      <w:r w:rsidR="00191DB7">
        <w:t xml:space="preserve">compliance with </w:t>
      </w:r>
      <w:r w:rsidR="000A551B" w:rsidRPr="00880274">
        <w:t>22 directives are t</w:t>
      </w:r>
      <w:r w:rsidR="009C6448" w:rsidRPr="00880274">
        <w:t>aken into account.</w:t>
      </w:r>
      <w:r w:rsidR="00432D47" w:rsidRPr="00880274">
        <w:t xml:space="preserve"> </w:t>
      </w:r>
      <w:r w:rsidR="000A551B" w:rsidRPr="00880274">
        <w:t xml:space="preserve">In December 2016, </w:t>
      </w:r>
      <w:r w:rsidR="00F61247" w:rsidRPr="00880274">
        <w:t xml:space="preserve">almost </w:t>
      </w:r>
      <w:r w:rsidR="000A551B" w:rsidRPr="00880274">
        <w:t>900 directives were in force (</w:t>
      </w:r>
      <w:r w:rsidR="00F61247" w:rsidRPr="00880274">
        <w:t>Gorb</w:t>
      </w:r>
      <w:r w:rsidR="000A551B" w:rsidRPr="00880274">
        <w:t xml:space="preserve"> and </w:t>
      </w:r>
      <w:r w:rsidR="00F61247" w:rsidRPr="00880274">
        <w:t>Miller</w:t>
      </w:r>
      <w:r w:rsidR="000A551B" w:rsidRPr="00880274">
        <w:t>, 2017).</w:t>
      </w:r>
      <w:r w:rsidR="00F61247" w:rsidRPr="00880274">
        <w:t xml:space="preserve"> The selected cases form together around 2,4% of the population</w:t>
      </w:r>
      <w:r w:rsidR="00E21C68" w:rsidRPr="00880274">
        <w:t xml:space="preserve">, which is not very high. However, cases are selected randomly, which should increase their representativeness. </w:t>
      </w:r>
      <w:r w:rsidR="00432D47" w:rsidRPr="00880274">
        <w:t xml:space="preserve">Given the low amount of cases to test H2, external validity is problematic. Conclusions should </w:t>
      </w:r>
      <w:r w:rsidR="00C43104" w:rsidRPr="00880274">
        <w:t xml:space="preserve">therefore </w:t>
      </w:r>
      <w:r w:rsidR="00432D47" w:rsidRPr="00880274">
        <w:t>be drawn carefully</w:t>
      </w:r>
      <w:r w:rsidR="00E21C68" w:rsidRPr="00880274">
        <w:t xml:space="preserve">, specifically for H2. </w:t>
      </w:r>
    </w:p>
    <w:p w14:paraId="26CBFA5C" w14:textId="17455C17" w:rsidR="00493162" w:rsidRPr="00880274" w:rsidRDefault="009C6448" w:rsidP="004F28D3">
      <w:pPr>
        <w:spacing w:line="360" w:lineRule="auto"/>
      </w:pPr>
      <w:r w:rsidRPr="00880274">
        <w:t xml:space="preserve">Finally, the reliability of this </w:t>
      </w:r>
      <w:r w:rsidR="00C43104" w:rsidRPr="00880274">
        <w:t>study</w:t>
      </w:r>
      <w:r w:rsidRPr="00880274">
        <w:t xml:space="preserve"> should also be taken into account. Reliability is defined as</w:t>
      </w:r>
      <w:r w:rsidR="0000198B" w:rsidRPr="00880274">
        <w:t xml:space="preserve"> ‘</w:t>
      </w:r>
      <w:r w:rsidR="002B63E1" w:rsidRPr="00880274">
        <w:t xml:space="preserve">to provide agreement among independent observers’ (Schmitter, 2016; p. 29). </w:t>
      </w:r>
      <w:r w:rsidRPr="00880274">
        <w:t xml:space="preserve">For this reason, the </w:t>
      </w:r>
      <w:r w:rsidR="00C079D3" w:rsidRPr="00880274">
        <w:lastRenderedPageBreak/>
        <w:t>components of procedural fairness are</w:t>
      </w:r>
      <w:r w:rsidR="0000198B" w:rsidRPr="00880274">
        <w:t xml:space="preserve"> operationalized objectively</w:t>
      </w:r>
      <w:r w:rsidR="00C079D3" w:rsidRPr="00880274">
        <w:t xml:space="preserve">. </w:t>
      </w:r>
      <w:r w:rsidR="0000198B" w:rsidRPr="00880274">
        <w:t xml:space="preserve">Other observers would find the same </w:t>
      </w:r>
      <w:r w:rsidR="00836FEC" w:rsidRPr="00880274">
        <w:t>values</w:t>
      </w:r>
      <w:r w:rsidR="00432D47" w:rsidRPr="00880274">
        <w:t xml:space="preserve"> for all cases.</w:t>
      </w:r>
      <w:r w:rsidR="0000198B" w:rsidRPr="00880274">
        <w:t xml:space="preserve"> </w:t>
      </w:r>
      <w:r w:rsidR="00432D47" w:rsidRPr="00880274">
        <w:t>A problem could be that t</w:t>
      </w:r>
      <w:r w:rsidR="00C079D3" w:rsidRPr="00880274">
        <w:t xml:space="preserve">he weighting of votes will probably change after the UK </w:t>
      </w:r>
      <w:r w:rsidR="00432D47" w:rsidRPr="00880274">
        <w:t>leaves</w:t>
      </w:r>
      <w:r w:rsidR="00C079D3" w:rsidRPr="00880274">
        <w:t xml:space="preserve"> the EU, but since the distribution of today (May 1, 2018) </w:t>
      </w:r>
      <w:r w:rsidR="00432D47" w:rsidRPr="00880274">
        <w:t>is</w:t>
      </w:r>
      <w:r w:rsidR="00C079D3" w:rsidRPr="00880274">
        <w:t xml:space="preserve"> used during the research, others will find the same distribution on the first of May later on. </w:t>
      </w:r>
      <w:r w:rsidR="00C43104" w:rsidRPr="00880274">
        <w:t>To conclude</w:t>
      </w:r>
      <w:r w:rsidR="00C079D3" w:rsidRPr="00880274">
        <w:t>, other researches and independent observers will produce the same data if they wo</w:t>
      </w:r>
      <w:r w:rsidR="00836FEC" w:rsidRPr="00880274">
        <w:t>uld repeat the measurements. R</w:t>
      </w:r>
      <w:r w:rsidR="00C079D3" w:rsidRPr="00880274">
        <w:t xml:space="preserve">eliability is no point of </w:t>
      </w:r>
      <w:r w:rsidR="00432D47" w:rsidRPr="00880274">
        <w:t>concern</w:t>
      </w:r>
      <w:r w:rsidR="00C079D3" w:rsidRPr="00880274">
        <w:t xml:space="preserve">. </w:t>
      </w:r>
    </w:p>
    <w:p w14:paraId="25EE5949" w14:textId="64B92766" w:rsidR="00E33F11" w:rsidRDefault="00493162" w:rsidP="006945C7">
      <w:pPr>
        <w:pStyle w:val="Kop3"/>
        <w:spacing w:line="360" w:lineRule="auto"/>
      </w:pPr>
      <w:bookmarkStart w:id="39" w:name="_Toc3547852"/>
      <w:r>
        <w:t>3.1</w:t>
      </w:r>
      <w:r w:rsidR="001F2F39">
        <w:t>0</w:t>
      </w:r>
      <w:r>
        <w:t xml:space="preserve"> Summary</w:t>
      </w:r>
      <w:bookmarkEnd w:id="39"/>
    </w:p>
    <w:p w14:paraId="5BCD6C23" w14:textId="47370CFA" w:rsidR="00C47177" w:rsidRPr="00E33F11" w:rsidRDefault="00E33F11" w:rsidP="00C4215C">
      <w:pPr>
        <w:spacing w:line="360" w:lineRule="auto"/>
        <w:rPr>
          <w:rFonts w:asciiTheme="majorHAnsi" w:eastAsiaTheme="majorEastAsia" w:hAnsiTheme="majorHAnsi" w:cstheme="majorBidi"/>
          <w:color w:val="2E74B5" w:themeColor="accent1" w:themeShade="BF"/>
          <w:sz w:val="32"/>
          <w:szCs w:val="32"/>
        </w:rPr>
      </w:pPr>
      <w:r w:rsidRPr="00880274">
        <w:t xml:space="preserve">This methodological chapter contained information about the research strategy and the research units of this study. Much attention was dedicated to operationalize the three components of procedural fairness – voice, dignity and consistency. Voice is measured by the number of times a proposal is discussed, dignity is measured by the type of public consultation – if any, and consistency is measured by the average weight of opposing member states in the decision-making procedure. Other independent variables, the dependent variable, and control variables were also conceptualized and operationalized. </w:t>
      </w:r>
      <w:r w:rsidR="000A551B" w:rsidRPr="00880274">
        <w:t xml:space="preserve">Six control variables are used in this study to control for administrative capacity, willingness and a culture or habit of compliance. </w:t>
      </w:r>
      <w:r w:rsidRPr="00880274">
        <w:t xml:space="preserve">Finally, some words were dedicated to the collection of data, the criteria for case selection and the validity and reliability of this study. Concerning the latter subject, the external validity </w:t>
      </w:r>
      <w:r w:rsidR="00C4215C" w:rsidRPr="00880274">
        <w:t>of the dataset for the second hypothesis is problematic given the low amount of cases. Internal validity is also a point of attention, since procedural fairness is a subjective concept. Therefore should the outcome of the analysis – which will be conducted in the next chapter – be generalized carefully.</w:t>
      </w:r>
      <w:r w:rsidR="00C47177" w:rsidRPr="00E33F11">
        <w:rPr>
          <w:rFonts w:asciiTheme="majorHAnsi" w:eastAsiaTheme="majorEastAsia" w:hAnsiTheme="majorHAnsi" w:cstheme="majorBidi"/>
          <w:color w:val="2E74B5" w:themeColor="accent1" w:themeShade="BF"/>
          <w:sz w:val="32"/>
          <w:szCs w:val="32"/>
        </w:rPr>
        <w:br w:type="page"/>
      </w:r>
    </w:p>
    <w:p w14:paraId="72BA6290" w14:textId="77777777" w:rsidR="0015663E" w:rsidRDefault="00C47177" w:rsidP="00C47177">
      <w:pPr>
        <w:pStyle w:val="Kop1"/>
      </w:pPr>
      <w:bookmarkStart w:id="40" w:name="_Toc3547853"/>
      <w:r>
        <w:lastRenderedPageBreak/>
        <w:t>Chapter 4</w:t>
      </w:r>
      <w:r w:rsidR="0015663E">
        <w:t xml:space="preserve"> – Analysis</w:t>
      </w:r>
      <w:bookmarkEnd w:id="40"/>
    </w:p>
    <w:p w14:paraId="79F4E571" w14:textId="3B462DA5" w:rsidR="00DD773E" w:rsidRDefault="0015663E" w:rsidP="0015663E">
      <w:pPr>
        <w:spacing w:line="360" w:lineRule="auto"/>
      </w:pPr>
      <w:r>
        <w:br/>
      </w:r>
      <w:r w:rsidR="00DD773E">
        <w:t xml:space="preserve">All methodological and theoretical choices were explained in the previous chapters. </w:t>
      </w:r>
      <w:r w:rsidR="00432D47">
        <w:t>D</w:t>
      </w:r>
      <w:r w:rsidR="00D96891">
        <w:t xml:space="preserve">ata has been gathered </w:t>
      </w:r>
      <w:r w:rsidR="0045565F">
        <w:t xml:space="preserve">and </w:t>
      </w:r>
      <w:r w:rsidR="00D96891">
        <w:t>imported in</w:t>
      </w:r>
      <w:r w:rsidR="00C43104">
        <w:t>to</w:t>
      </w:r>
      <w:r w:rsidR="00D96891">
        <w:t xml:space="preserve"> a dataset. </w:t>
      </w:r>
      <w:r w:rsidR="00DD773E">
        <w:t xml:space="preserve">In this chapter, the hypotheses will be tested, using a multiple regression analysis for the first three hypotheses and a Mann-Whitney test for the second. </w:t>
      </w:r>
      <w:r w:rsidR="00121EEF">
        <w:t>Aft</w:t>
      </w:r>
      <w:r w:rsidR="00432D47">
        <w:t>er having recalled the hypothese</w:t>
      </w:r>
      <w:r w:rsidR="00121EEF">
        <w:t xml:space="preserve">s once again, the descriptive statistics of both are discussed. </w:t>
      </w:r>
      <w:r w:rsidR="00E378FA">
        <w:t>Assumptions are discussed thereafter. Finally, the results of the analysis are presented and discussed.</w:t>
      </w:r>
    </w:p>
    <w:p w14:paraId="2CC9CBE8" w14:textId="0FC3DB66" w:rsidR="00DD773E" w:rsidRDefault="006D0C15" w:rsidP="00D96891">
      <w:pPr>
        <w:pStyle w:val="Kop2"/>
      </w:pPr>
      <w:bookmarkStart w:id="41" w:name="_Toc3547854"/>
      <w:r>
        <w:t xml:space="preserve">4.1 </w:t>
      </w:r>
      <w:r w:rsidR="00DD773E">
        <w:t>Hypothesis 1</w:t>
      </w:r>
      <w:r w:rsidR="00D96891">
        <w:t>a – 1c</w:t>
      </w:r>
      <w:bookmarkEnd w:id="41"/>
    </w:p>
    <w:p w14:paraId="0A921140" w14:textId="7A901EEB" w:rsidR="00DD773E" w:rsidRDefault="00DD773E" w:rsidP="0015663E">
      <w:pPr>
        <w:spacing w:line="360" w:lineRule="auto"/>
      </w:pPr>
      <w:r>
        <w:t xml:space="preserve">To </w:t>
      </w:r>
      <w:r w:rsidR="0045565F">
        <w:t>refresh</w:t>
      </w:r>
      <w:r>
        <w:t xml:space="preserve"> the reader’s mind, the hypotheses are repeated below. </w:t>
      </w:r>
    </w:p>
    <w:p w14:paraId="4B59CCD3" w14:textId="77777777" w:rsidR="00DD773E" w:rsidRDefault="00DD773E" w:rsidP="00DD773E">
      <w:pPr>
        <w:spacing w:line="360" w:lineRule="auto"/>
      </w:pPr>
      <w:r>
        <w:t>H1a:</w:t>
      </w:r>
    </w:p>
    <w:p w14:paraId="4F13A832" w14:textId="77777777" w:rsidR="00DD773E" w:rsidRDefault="00DD773E" w:rsidP="002B7414">
      <w:pPr>
        <w:spacing w:line="360" w:lineRule="auto"/>
        <w:ind w:left="708"/>
      </w:pPr>
      <w:r>
        <w:t>The higher the level of voice in a decision-making procedure, the higher the level of compliance with that decision.</w:t>
      </w:r>
    </w:p>
    <w:p w14:paraId="4028756F" w14:textId="77777777" w:rsidR="00DD773E" w:rsidRDefault="00DD773E" w:rsidP="00DD773E">
      <w:pPr>
        <w:spacing w:line="360" w:lineRule="auto"/>
      </w:pPr>
      <w:r>
        <w:t>H1b:</w:t>
      </w:r>
    </w:p>
    <w:p w14:paraId="6B2DF30C" w14:textId="77777777" w:rsidR="00DD773E" w:rsidRDefault="00DD773E" w:rsidP="00DD773E">
      <w:pPr>
        <w:spacing w:line="360" w:lineRule="auto"/>
        <w:ind w:left="708"/>
      </w:pPr>
      <w:r>
        <w:t xml:space="preserve">The higher the level of dignity in a decision-making procedure, the higher the level of compliance with that decision.  </w:t>
      </w:r>
    </w:p>
    <w:p w14:paraId="5CD1F763" w14:textId="77777777" w:rsidR="00DD773E" w:rsidRDefault="00DD773E" w:rsidP="00DD773E">
      <w:pPr>
        <w:spacing w:line="360" w:lineRule="auto"/>
      </w:pPr>
      <w:r>
        <w:t>H1c:</w:t>
      </w:r>
    </w:p>
    <w:p w14:paraId="7E0C7DAF" w14:textId="77777777" w:rsidR="00DD773E" w:rsidRDefault="00DD773E" w:rsidP="00DD773E">
      <w:pPr>
        <w:spacing w:line="360" w:lineRule="auto"/>
        <w:ind w:left="708"/>
      </w:pPr>
      <w:r>
        <w:t xml:space="preserve">The higher the level of consistency in a decision-making procedure, the higher the level of compliance with that decision. </w:t>
      </w:r>
    </w:p>
    <w:p w14:paraId="67AB483C" w14:textId="7FCF26E0" w:rsidR="00A60364" w:rsidRDefault="00C86397" w:rsidP="00A60364">
      <w:pPr>
        <w:pStyle w:val="Kop3"/>
        <w:spacing w:line="360" w:lineRule="auto"/>
      </w:pPr>
      <w:bookmarkStart w:id="42" w:name="_Toc3547855"/>
      <w:r>
        <w:t>4.1</w:t>
      </w:r>
      <w:r w:rsidR="006D0C15">
        <w:t>.1</w:t>
      </w:r>
      <w:r>
        <w:t xml:space="preserve"> </w:t>
      </w:r>
      <w:r w:rsidR="00EB6603">
        <w:t>Descriptive statistics</w:t>
      </w:r>
      <w:bookmarkEnd w:id="42"/>
    </w:p>
    <w:p w14:paraId="6BCAF011" w14:textId="23A7A33B" w:rsidR="00560210" w:rsidRDefault="00FA1046" w:rsidP="002A4C6F">
      <w:pPr>
        <w:spacing w:line="360" w:lineRule="auto"/>
      </w:pPr>
      <w:r>
        <w:t>Below, d</w:t>
      </w:r>
      <w:r w:rsidR="00432D47">
        <w:t>escriptive statistics about the first</w:t>
      </w:r>
      <w:r w:rsidR="004F28D3">
        <w:t xml:space="preserve"> </w:t>
      </w:r>
      <w:r w:rsidR="00432D47">
        <w:t>dataset are shown</w:t>
      </w:r>
      <w:r w:rsidR="002A4C6F">
        <w:t>. The total amount of cases (N) is 615. One case is left out, because the member state, Italy, had two infringement procedures for the same directive.</w:t>
      </w:r>
      <w:r>
        <w:t xml:space="preserve"> </w:t>
      </w:r>
      <w:r w:rsidR="002A4C6F">
        <w:t xml:space="preserve">All variables included in the dataset are also shown. The variable with the abbreviation ‘AvWOpMS’ represents the average weight of opposing member states, the variable with the abbreviation ‘NumOpMS’ stands for the number of opposing member states and the variable with the abbreviation ‘PopOpMS’ shows the population of the opposing member states. On average, a proposal was discussed more than four times in the Council or preparatory bodies. The value 1,41 shows that a broad public consultation is usual in most of the cases. In all the cases, </w:t>
      </w:r>
      <w:r w:rsidR="0045565F">
        <w:t xml:space="preserve">there were only 17 times that a member state only voted against a directive </w:t>
      </w:r>
      <w:r w:rsidR="002A4C6F">
        <w:t xml:space="preserve">(0.03%). </w:t>
      </w:r>
    </w:p>
    <w:p w14:paraId="338E899A" w14:textId="77777777" w:rsidR="00560210" w:rsidRDefault="00560210" w:rsidP="002A4C6F">
      <w:pPr>
        <w:spacing w:line="360" w:lineRule="auto"/>
      </w:pPr>
    </w:p>
    <w:p w14:paraId="41FB70B7" w14:textId="77777777" w:rsidR="00560210" w:rsidRPr="00FA1046" w:rsidRDefault="00560210" w:rsidP="002A4C6F">
      <w:pPr>
        <w:spacing w:line="360" w:lineRule="auto"/>
      </w:pPr>
    </w:p>
    <w:tbl>
      <w:tblPr>
        <w:tblW w:w="6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1091"/>
        <w:gridCol w:w="1445"/>
        <w:gridCol w:w="1029"/>
      </w:tblGrid>
      <w:tr w:rsidR="00E66DDF" w:rsidRPr="008E7CA6" w14:paraId="779AB7FD" w14:textId="77777777" w:rsidTr="00560210">
        <w:trPr>
          <w:cantSplit/>
          <w:jc w:val="center"/>
        </w:trPr>
        <w:tc>
          <w:tcPr>
            <w:tcW w:w="6026" w:type="dxa"/>
            <w:gridSpan w:val="4"/>
            <w:tcBorders>
              <w:top w:val="nil"/>
              <w:left w:val="nil"/>
              <w:bottom w:val="nil"/>
              <w:right w:val="nil"/>
            </w:tcBorders>
            <w:shd w:val="clear" w:color="auto" w:fill="FFFFFF"/>
            <w:vAlign w:val="center"/>
          </w:tcPr>
          <w:p w14:paraId="7346A0FB" w14:textId="48DBD7F5" w:rsidR="00E66DDF" w:rsidRPr="008E7CA6" w:rsidRDefault="003714E3" w:rsidP="008E7CA6">
            <w:pPr>
              <w:autoSpaceDE w:val="0"/>
              <w:autoSpaceDN w:val="0"/>
              <w:adjustRightInd w:val="0"/>
              <w:spacing w:after="0" w:line="320" w:lineRule="atLeast"/>
              <w:ind w:right="60"/>
              <w:rPr>
                <w:rFonts w:ascii="Sylfaen" w:eastAsiaTheme="minorHAnsi" w:hAnsi="Sylfaen" w:cstheme="minorHAnsi"/>
                <w:i/>
                <w:sz w:val="20"/>
                <w:szCs w:val="20"/>
              </w:rPr>
            </w:pPr>
            <w:r w:rsidRPr="008E7CA6">
              <w:rPr>
                <w:rFonts w:ascii="Sylfaen" w:eastAsiaTheme="minorHAnsi" w:hAnsi="Sylfaen" w:cstheme="minorHAnsi"/>
                <w:i/>
                <w:sz w:val="20"/>
                <w:szCs w:val="20"/>
              </w:rPr>
              <w:lastRenderedPageBreak/>
              <w:t>T</w:t>
            </w:r>
            <w:r w:rsidR="00560210" w:rsidRPr="008E7CA6">
              <w:rPr>
                <w:rFonts w:ascii="Sylfaen" w:eastAsiaTheme="minorHAnsi" w:hAnsi="Sylfaen" w:cstheme="minorHAnsi"/>
                <w:i/>
                <w:sz w:val="20"/>
                <w:szCs w:val="20"/>
              </w:rPr>
              <w:t>ab</w:t>
            </w:r>
            <w:r w:rsidRPr="008E7CA6">
              <w:rPr>
                <w:rFonts w:ascii="Sylfaen" w:eastAsiaTheme="minorHAnsi" w:hAnsi="Sylfaen" w:cstheme="minorHAnsi"/>
                <w:i/>
                <w:sz w:val="20"/>
                <w:szCs w:val="20"/>
              </w:rPr>
              <w:t>le 3: Descriptive statistics</w:t>
            </w:r>
          </w:p>
        </w:tc>
      </w:tr>
      <w:tr w:rsidR="00E66DDF" w:rsidRPr="008E7CA6" w14:paraId="442653F7" w14:textId="77777777" w:rsidTr="00560210">
        <w:trPr>
          <w:cantSplit/>
          <w:jc w:val="center"/>
        </w:trPr>
        <w:tc>
          <w:tcPr>
            <w:tcW w:w="2461" w:type="dxa"/>
            <w:tcBorders>
              <w:top w:val="nil"/>
              <w:left w:val="nil"/>
              <w:bottom w:val="single" w:sz="8" w:space="0" w:color="152935"/>
              <w:right w:val="nil"/>
            </w:tcBorders>
            <w:shd w:val="clear" w:color="auto" w:fill="FFFFFF"/>
            <w:vAlign w:val="bottom"/>
          </w:tcPr>
          <w:p w14:paraId="05915A07" w14:textId="77777777" w:rsidR="00E66DDF" w:rsidRPr="008E7CA6" w:rsidRDefault="00E66DDF" w:rsidP="00E66DDF">
            <w:pPr>
              <w:autoSpaceDE w:val="0"/>
              <w:autoSpaceDN w:val="0"/>
              <w:adjustRightInd w:val="0"/>
              <w:spacing w:after="0" w:line="240" w:lineRule="auto"/>
              <w:rPr>
                <w:rFonts w:ascii="Sylfaen" w:eastAsiaTheme="minorHAnsi" w:hAnsi="Sylfaen" w:cs="Times New Roman"/>
                <w:sz w:val="20"/>
                <w:szCs w:val="20"/>
              </w:rPr>
            </w:pPr>
          </w:p>
        </w:tc>
        <w:tc>
          <w:tcPr>
            <w:tcW w:w="1091" w:type="dxa"/>
            <w:tcBorders>
              <w:top w:val="nil"/>
              <w:left w:val="nil"/>
              <w:bottom w:val="single" w:sz="8" w:space="0" w:color="152935"/>
              <w:right w:val="single" w:sz="8" w:space="0" w:color="E0E0E0"/>
            </w:tcBorders>
            <w:shd w:val="clear" w:color="auto" w:fill="FFFFFF"/>
            <w:vAlign w:val="bottom"/>
          </w:tcPr>
          <w:p w14:paraId="34376E6C" w14:textId="77777777" w:rsidR="00E66DDF" w:rsidRPr="008E7CA6" w:rsidRDefault="00E66DDF" w:rsidP="00E66DDF">
            <w:pPr>
              <w:autoSpaceDE w:val="0"/>
              <w:autoSpaceDN w:val="0"/>
              <w:adjustRightInd w:val="0"/>
              <w:spacing w:after="0" w:line="320" w:lineRule="atLeast"/>
              <w:ind w:left="60" w:right="60"/>
              <w:jc w:val="center"/>
              <w:rPr>
                <w:rFonts w:ascii="Sylfaen" w:eastAsiaTheme="minorHAnsi" w:hAnsi="Sylfaen" w:cs="Arial"/>
                <w:sz w:val="20"/>
                <w:szCs w:val="20"/>
              </w:rPr>
            </w:pPr>
            <w:r w:rsidRPr="008E7CA6">
              <w:rPr>
                <w:rFonts w:ascii="Sylfaen" w:eastAsiaTheme="minorHAnsi" w:hAnsi="Sylfaen" w:cs="Arial"/>
                <w:sz w:val="20"/>
                <w:szCs w:val="20"/>
              </w:rPr>
              <w:t>Mean</w:t>
            </w:r>
          </w:p>
        </w:tc>
        <w:tc>
          <w:tcPr>
            <w:tcW w:w="1445" w:type="dxa"/>
            <w:tcBorders>
              <w:top w:val="nil"/>
              <w:left w:val="single" w:sz="8" w:space="0" w:color="E0E0E0"/>
              <w:bottom w:val="single" w:sz="8" w:space="0" w:color="152935"/>
              <w:right w:val="single" w:sz="8" w:space="0" w:color="E0E0E0"/>
            </w:tcBorders>
            <w:shd w:val="clear" w:color="auto" w:fill="FFFFFF"/>
            <w:vAlign w:val="bottom"/>
          </w:tcPr>
          <w:p w14:paraId="4D9401B2" w14:textId="528A2DCE" w:rsidR="00E66DDF" w:rsidRPr="008E7CA6" w:rsidRDefault="00E66DDF" w:rsidP="00E66DDF">
            <w:pPr>
              <w:autoSpaceDE w:val="0"/>
              <w:autoSpaceDN w:val="0"/>
              <w:adjustRightInd w:val="0"/>
              <w:spacing w:after="0" w:line="320" w:lineRule="atLeast"/>
              <w:ind w:left="60" w:right="60"/>
              <w:jc w:val="center"/>
              <w:rPr>
                <w:rFonts w:ascii="Sylfaen" w:eastAsiaTheme="minorHAnsi" w:hAnsi="Sylfaen" w:cs="Arial"/>
                <w:sz w:val="20"/>
                <w:szCs w:val="20"/>
              </w:rPr>
            </w:pPr>
            <w:r w:rsidRPr="008E7CA6">
              <w:rPr>
                <w:rFonts w:ascii="Sylfaen" w:eastAsiaTheme="minorHAnsi" w:hAnsi="Sylfaen" w:cs="Arial"/>
                <w:sz w:val="20"/>
                <w:szCs w:val="20"/>
              </w:rPr>
              <w:t>Std. Deviation</w:t>
            </w:r>
          </w:p>
        </w:tc>
        <w:tc>
          <w:tcPr>
            <w:tcW w:w="1029" w:type="dxa"/>
            <w:tcBorders>
              <w:top w:val="nil"/>
              <w:left w:val="single" w:sz="8" w:space="0" w:color="E0E0E0"/>
              <w:bottom w:val="single" w:sz="8" w:space="0" w:color="152935"/>
              <w:right w:val="nil"/>
            </w:tcBorders>
            <w:shd w:val="clear" w:color="auto" w:fill="FFFFFF"/>
            <w:vAlign w:val="bottom"/>
          </w:tcPr>
          <w:p w14:paraId="4211E90C" w14:textId="7CC1F40B" w:rsidR="00E66DDF" w:rsidRPr="008E7CA6" w:rsidRDefault="00E66DDF" w:rsidP="00E66DDF">
            <w:pPr>
              <w:autoSpaceDE w:val="0"/>
              <w:autoSpaceDN w:val="0"/>
              <w:adjustRightInd w:val="0"/>
              <w:spacing w:after="0" w:line="320" w:lineRule="atLeast"/>
              <w:ind w:left="60" w:right="60"/>
              <w:jc w:val="center"/>
              <w:rPr>
                <w:rFonts w:ascii="Sylfaen" w:eastAsiaTheme="minorHAnsi" w:hAnsi="Sylfaen" w:cs="Arial"/>
                <w:sz w:val="20"/>
                <w:szCs w:val="20"/>
              </w:rPr>
            </w:pPr>
            <w:r w:rsidRPr="008E7CA6">
              <w:rPr>
                <w:rFonts w:ascii="Sylfaen" w:eastAsiaTheme="minorHAnsi" w:hAnsi="Sylfaen" w:cs="Arial"/>
                <w:sz w:val="20"/>
                <w:szCs w:val="20"/>
              </w:rPr>
              <w:t>N</w:t>
            </w:r>
          </w:p>
        </w:tc>
      </w:tr>
      <w:tr w:rsidR="008E7CA6" w:rsidRPr="008E7CA6" w14:paraId="3A6F9B46" w14:textId="77777777" w:rsidTr="008E7CA6">
        <w:trPr>
          <w:cantSplit/>
          <w:jc w:val="center"/>
        </w:trPr>
        <w:tc>
          <w:tcPr>
            <w:tcW w:w="2461" w:type="dxa"/>
            <w:tcBorders>
              <w:top w:val="single" w:sz="8" w:space="0" w:color="152935"/>
              <w:left w:val="nil"/>
              <w:bottom w:val="single" w:sz="8" w:space="0" w:color="AEAEAE"/>
              <w:right w:val="nil"/>
            </w:tcBorders>
            <w:shd w:val="clear" w:color="auto" w:fill="auto"/>
          </w:tcPr>
          <w:p w14:paraId="0D700612"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rPr>
            </w:pPr>
            <w:r w:rsidRPr="008E7CA6">
              <w:rPr>
                <w:rFonts w:ascii="Sylfaen" w:eastAsiaTheme="minorHAnsi" w:hAnsi="Sylfaen" w:cs="Arial"/>
                <w:b/>
                <w:sz w:val="20"/>
                <w:szCs w:val="20"/>
              </w:rPr>
              <w:t>Compliance</w:t>
            </w:r>
          </w:p>
        </w:tc>
        <w:tc>
          <w:tcPr>
            <w:tcW w:w="1091" w:type="dxa"/>
            <w:tcBorders>
              <w:top w:val="single" w:sz="8" w:space="0" w:color="152935"/>
              <w:left w:val="nil"/>
              <w:bottom w:val="single" w:sz="8" w:space="0" w:color="AEAEAE"/>
              <w:right w:val="single" w:sz="8" w:space="0" w:color="E0E0E0"/>
            </w:tcBorders>
            <w:shd w:val="clear" w:color="auto" w:fill="auto"/>
          </w:tcPr>
          <w:p w14:paraId="1DA5A420"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rPr>
            </w:pPr>
            <w:r w:rsidRPr="008E7CA6">
              <w:rPr>
                <w:rFonts w:ascii="Sylfaen" w:eastAsiaTheme="minorHAnsi" w:hAnsi="Sylfaen" w:cs="Arial"/>
                <w:sz w:val="20"/>
                <w:szCs w:val="20"/>
              </w:rPr>
              <w:t>,94</w:t>
            </w:r>
          </w:p>
        </w:tc>
        <w:tc>
          <w:tcPr>
            <w:tcW w:w="1445" w:type="dxa"/>
            <w:tcBorders>
              <w:top w:val="single" w:sz="8" w:space="0" w:color="152935"/>
              <w:left w:val="single" w:sz="8" w:space="0" w:color="E0E0E0"/>
              <w:bottom w:val="single" w:sz="8" w:space="0" w:color="AEAEAE"/>
              <w:right w:val="single" w:sz="8" w:space="0" w:color="E0E0E0"/>
            </w:tcBorders>
            <w:shd w:val="clear" w:color="auto" w:fill="auto"/>
          </w:tcPr>
          <w:p w14:paraId="76963351" w14:textId="4DA0BA28"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rPr>
            </w:pPr>
            <w:r w:rsidRPr="008E7CA6">
              <w:rPr>
                <w:rFonts w:ascii="Sylfaen" w:eastAsiaTheme="minorHAnsi" w:hAnsi="Sylfaen" w:cs="Arial"/>
                <w:sz w:val="20"/>
                <w:szCs w:val="20"/>
              </w:rPr>
              <w:t>1,345</w:t>
            </w:r>
          </w:p>
        </w:tc>
        <w:tc>
          <w:tcPr>
            <w:tcW w:w="1029" w:type="dxa"/>
            <w:tcBorders>
              <w:top w:val="single" w:sz="8" w:space="0" w:color="152935"/>
              <w:left w:val="single" w:sz="8" w:space="0" w:color="E0E0E0"/>
              <w:bottom w:val="single" w:sz="8" w:space="0" w:color="AEAEAE"/>
              <w:right w:val="nil"/>
            </w:tcBorders>
            <w:shd w:val="clear" w:color="auto" w:fill="auto"/>
          </w:tcPr>
          <w:p w14:paraId="7B3BA681"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rPr>
            </w:pPr>
            <w:r w:rsidRPr="008E7CA6">
              <w:rPr>
                <w:rFonts w:ascii="Sylfaen" w:eastAsiaTheme="minorHAnsi" w:hAnsi="Sylfaen" w:cs="Arial"/>
                <w:sz w:val="20"/>
                <w:szCs w:val="20"/>
              </w:rPr>
              <w:t>615</w:t>
            </w:r>
          </w:p>
        </w:tc>
      </w:tr>
      <w:tr w:rsidR="008E7CA6" w:rsidRPr="008E7CA6" w14:paraId="361A10D8"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66A4A25F"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rPr>
            </w:pPr>
            <w:r w:rsidRPr="008E7CA6">
              <w:rPr>
                <w:rFonts w:ascii="Sylfaen" w:eastAsiaTheme="minorHAnsi" w:hAnsi="Sylfaen" w:cs="Arial"/>
                <w:b/>
                <w:sz w:val="20"/>
                <w:szCs w:val="20"/>
              </w:rPr>
              <w:t>Number of times discussed</w:t>
            </w:r>
          </w:p>
        </w:tc>
        <w:tc>
          <w:tcPr>
            <w:tcW w:w="1091" w:type="dxa"/>
            <w:tcBorders>
              <w:top w:val="single" w:sz="8" w:space="0" w:color="AEAEAE"/>
              <w:left w:val="nil"/>
              <w:bottom w:val="single" w:sz="8" w:space="0" w:color="AEAEAE"/>
              <w:right w:val="single" w:sz="8" w:space="0" w:color="E0E0E0"/>
            </w:tcBorders>
            <w:shd w:val="clear" w:color="auto" w:fill="auto"/>
          </w:tcPr>
          <w:p w14:paraId="54F5FD76"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rPr>
            </w:pPr>
            <w:r w:rsidRPr="008E7CA6">
              <w:rPr>
                <w:rFonts w:ascii="Sylfaen" w:eastAsiaTheme="minorHAnsi" w:hAnsi="Sylfaen" w:cs="Arial"/>
                <w:sz w:val="20"/>
                <w:szCs w:val="20"/>
              </w:rPr>
              <w:t>4,10</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7C0987BB" w14:textId="6674556A"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rPr>
            </w:pPr>
            <w:r w:rsidRPr="008E7CA6">
              <w:rPr>
                <w:rFonts w:ascii="Sylfaen" w:eastAsiaTheme="minorHAnsi" w:hAnsi="Sylfaen" w:cs="Arial"/>
                <w:sz w:val="20"/>
                <w:szCs w:val="20"/>
              </w:rPr>
              <w:t>2,873</w:t>
            </w:r>
          </w:p>
        </w:tc>
        <w:tc>
          <w:tcPr>
            <w:tcW w:w="1029" w:type="dxa"/>
            <w:tcBorders>
              <w:top w:val="single" w:sz="8" w:space="0" w:color="AEAEAE"/>
              <w:left w:val="single" w:sz="8" w:space="0" w:color="E0E0E0"/>
              <w:bottom w:val="single" w:sz="8" w:space="0" w:color="AEAEAE"/>
              <w:right w:val="nil"/>
            </w:tcBorders>
            <w:shd w:val="clear" w:color="auto" w:fill="auto"/>
          </w:tcPr>
          <w:p w14:paraId="14A91868" w14:textId="132B1F0F"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rPr>
              <w:t>61</w:t>
            </w:r>
            <w:r w:rsidRPr="008E7CA6">
              <w:rPr>
                <w:rFonts w:ascii="Sylfaen" w:eastAsiaTheme="minorHAnsi" w:hAnsi="Sylfaen" w:cs="Arial"/>
                <w:sz w:val="20"/>
                <w:szCs w:val="20"/>
                <w:lang w:val="nl-NL"/>
              </w:rPr>
              <w:t>5</w:t>
            </w:r>
          </w:p>
        </w:tc>
      </w:tr>
      <w:tr w:rsidR="008E7CA6" w:rsidRPr="008E7CA6" w14:paraId="7C4DF3A4"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2104F7C0"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Consultations</w:t>
            </w:r>
          </w:p>
        </w:tc>
        <w:tc>
          <w:tcPr>
            <w:tcW w:w="1091" w:type="dxa"/>
            <w:tcBorders>
              <w:top w:val="single" w:sz="8" w:space="0" w:color="AEAEAE"/>
              <w:left w:val="nil"/>
              <w:bottom w:val="single" w:sz="8" w:space="0" w:color="AEAEAE"/>
              <w:right w:val="single" w:sz="8" w:space="0" w:color="E0E0E0"/>
            </w:tcBorders>
            <w:shd w:val="clear" w:color="auto" w:fill="auto"/>
          </w:tcPr>
          <w:p w14:paraId="56A14CF3"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1,41</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0511FC12" w14:textId="7FE70ABD"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,835</w:t>
            </w:r>
          </w:p>
        </w:tc>
        <w:tc>
          <w:tcPr>
            <w:tcW w:w="1029" w:type="dxa"/>
            <w:tcBorders>
              <w:top w:val="single" w:sz="8" w:space="0" w:color="AEAEAE"/>
              <w:left w:val="single" w:sz="8" w:space="0" w:color="E0E0E0"/>
              <w:bottom w:val="single" w:sz="8" w:space="0" w:color="AEAEAE"/>
              <w:right w:val="nil"/>
            </w:tcBorders>
            <w:shd w:val="clear" w:color="auto" w:fill="auto"/>
          </w:tcPr>
          <w:p w14:paraId="1DFFE056"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06B424C7"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5588E7D1"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AvWOpMS</w:t>
            </w:r>
          </w:p>
        </w:tc>
        <w:tc>
          <w:tcPr>
            <w:tcW w:w="1091" w:type="dxa"/>
            <w:tcBorders>
              <w:top w:val="single" w:sz="8" w:space="0" w:color="AEAEAE"/>
              <w:left w:val="nil"/>
              <w:bottom w:val="single" w:sz="8" w:space="0" w:color="AEAEAE"/>
              <w:right w:val="single" w:sz="8" w:space="0" w:color="E0E0E0"/>
            </w:tcBorders>
            <w:shd w:val="clear" w:color="auto" w:fill="auto"/>
          </w:tcPr>
          <w:p w14:paraId="003225E8"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1,4758</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1EE4D4C1"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2,41459</w:t>
            </w:r>
          </w:p>
        </w:tc>
        <w:tc>
          <w:tcPr>
            <w:tcW w:w="1029" w:type="dxa"/>
            <w:tcBorders>
              <w:top w:val="single" w:sz="8" w:space="0" w:color="AEAEAE"/>
              <w:left w:val="single" w:sz="8" w:space="0" w:color="E0E0E0"/>
              <w:bottom w:val="single" w:sz="8" w:space="0" w:color="AEAEAE"/>
              <w:right w:val="nil"/>
            </w:tcBorders>
            <w:shd w:val="clear" w:color="auto" w:fill="auto"/>
          </w:tcPr>
          <w:p w14:paraId="4BC2AEAE"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7CE3F709"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47F3986B"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NumOpMS</w:t>
            </w:r>
          </w:p>
        </w:tc>
        <w:tc>
          <w:tcPr>
            <w:tcW w:w="1091" w:type="dxa"/>
            <w:tcBorders>
              <w:top w:val="single" w:sz="8" w:space="0" w:color="AEAEAE"/>
              <w:left w:val="nil"/>
              <w:bottom w:val="single" w:sz="8" w:space="0" w:color="AEAEAE"/>
              <w:right w:val="single" w:sz="8" w:space="0" w:color="E0E0E0"/>
            </w:tcBorders>
            <w:shd w:val="clear" w:color="auto" w:fill="auto"/>
          </w:tcPr>
          <w:p w14:paraId="672B2E90"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,77</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7EA64784"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1,039</w:t>
            </w:r>
          </w:p>
        </w:tc>
        <w:tc>
          <w:tcPr>
            <w:tcW w:w="1029" w:type="dxa"/>
            <w:tcBorders>
              <w:top w:val="single" w:sz="8" w:space="0" w:color="AEAEAE"/>
              <w:left w:val="single" w:sz="8" w:space="0" w:color="E0E0E0"/>
              <w:bottom w:val="single" w:sz="8" w:space="0" w:color="AEAEAE"/>
              <w:right w:val="nil"/>
            </w:tcBorders>
            <w:shd w:val="clear" w:color="auto" w:fill="auto"/>
          </w:tcPr>
          <w:p w14:paraId="4C1280CC" w14:textId="0DD45238"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51852787"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508907CF"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PopOpMS</w:t>
            </w:r>
          </w:p>
        </w:tc>
        <w:tc>
          <w:tcPr>
            <w:tcW w:w="1091" w:type="dxa"/>
            <w:tcBorders>
              <w:top w:val="single" w:sz="8" w:space="0" w:color="AEAEAE"/>
              <w:left w:val="nil"/>
              <w:bottom w:val="single" w:sz="8" w:space="0" w:color="AEAEAE"/>
              <w:right w:val="single" w:sz="8" w:space="0" w:color="E0E0E0"/>
            </w:tcBorders>
            <w:shd w:val="clear" w:color="auto" w:fill="auto"/>
          </w:tcPr>
          <w:p w14:paraId="33FD6DA3"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3,8173</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1C63CD19"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6,52313</w:t>
            </w:r>
          </w:p>
        </w:tc>
        <w:tc>
          <w:tcPr>
            <w:tcW w:w="1029" w:type="dxa"/>
            <w:tcBorders>
              <w:top w:val="single" w:sz="8" w:space="0" w:color="AEAEAE"/>
              <w:left w:val="single" w:sz="8" w:space="0" w:color="E0E0E0"/>
              <w:bottom w:val="single" w:sz="8" w:space="0" w:color="AEAEAE"/>
              <w:right w:val="nil"/>
            </w:tcBorders>
            <w:shd w:val="clear" w:color="auto" w:fill="auto"/>
          </w:tcPr>
          <w:p w14:paraId="3BC00B7A" w14:textId="06D98FD1"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7354CECA"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7C4A4892"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Stance</w:t>
            </w:r>
          </w:p>
        </w:tc>
        <w:tc>
          <w:tcPr>
            <w:tcW w:w="1091" w:type="dxa"/>
            <w:tcBorders>
              <w:top w:val="single" w:sz="8" w:space="0" w:color="AEAEAE"/>
              <w:left w:val="nil"/>
              <w:bottom w:val="single" w:sz="8" w:space="0" w:color="AEAEAE"/>
              <w:right w:val="single" w:sz="8" w:space="0" w:color="E0E0E0"/>
            </w:tcBorders>
            <w:shd w:val="clear" w:color="auto" w:fill="auto"/>
          </w:tcPr>
          <w:p w14:paraId="48CF03C5"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,03</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48D08AC9"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,164</w:t>
            </w:r>
          </w:p>
        </w:tc>
        <w:tc>
          <w:tcPr>
            <w:tcW w:w="1029" w:type="dxa"/>
            <w:tcBorders>
              <w:top w:val="single" w:sz="8" w:space="0" w:color="AEAEAE"/>
              <w:left w:val="single" w:sz="8" w:space="0" w:color="E0E0E0"/>
              <w:bottom w:val="single" w:sz="8" w:space="0" w:color="AEAEAE"/>
              <w:right w:val="nil"/>
            </w:tcBorders>
            <w:shd w:val="clear" w:color="auto" w:fill="auto"/>
          </w:tcPr>
          <w:p w14:paraId="03692248"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443BB705"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178E02C9"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GDP</w:t>
            </w:r>
          </w:p>
        </w:tc>
        <w:tc>
          <w:tcPr>
            <w:tcW w:w="1091" w:type="dxa"/>
            <w:tcBorders>
              <w:top w:val="single" w:sz="8" w:space="0" w:color="AEAEAE"/>
              <w:left w:val="nil"/>
              <w:bottom w:val="single" w:sz="8" w:space="0" w:color="AEAEAE"/>
              <w:right w:val="single" w:sz="8" w:space="0" w:color="E0E0E0"/>
            </w:tcBorders>
            <w:shd w:val="clear" w:color="auto" w:fill="auto"/>
          </w:tcPr>
          <w:p w14:paraId="3E0DA5F9"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43324,67</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2CA509D7"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17543,310</w:t>
            </w:r>
          </w:p>
        </w:tc>
        <w:tc>
          <w:tcPr>
            <w:tcW w:w="1029" w:type="dxa"/>
            <w:tcBorders>
              <w:top w:val="single" w:sz="8" w:space="0" w:color="AEAEAE"/>
              <w:left w:val="single" w:sz="8" w:space="0" w:color="E0E0E0"/>
              <w:bottom w:val="single" w:sz="8" w:space="0" w:color="AEAEAE"/>
              <w:right w:val="nil"/>
            </w:tcBorders>
            <w:shd w:val="clear" w:color="auto" w:fill="auto"/>
          </w:tcPr>
          <w:p w14:paraId="5277426A"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77A37B8E"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41E924D7" w14:textId="77777777"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Corruption</w:t>
            </w:r>
          </w:p>
        </w:tc>
        <w:tc>
          <w:tcPr>
            <w:tcW w:w="1091" w:type="dxa"/>
            <w:tcBorders>
              <w:top w:val="single" w:sz="8" w:space="0" w:color="AEAEAE"/>
              <w:left w:val="nil"/>
              <w:bottom w:val="single" w:sz="8" w:space="0" w:color="AEAEAE"/>
              <w:right w:val="single" w:sz="8" w:space="0" w:color="E0E0E0"/>
            </w:tcBorders>
            <w:shd w:val="clear" w:color="auto" w:fill="auto"/>
          </w:tcPr>
          <w:p w14:paraId="283726C5"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64,68</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66D72529"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13,782</w:t>
            </w:r>
          </w:p>
        </w:tc>
        <w:tc>
          <w:tcPr>
            <w:tcW w:w="1029" w:type="dxa"/>
            <w:tcBorders>
              <w:top w:val="single" w:sz="8" w:space="0" w:color="AEAEAE"/>
              <w:left w:val="single" w:sz="8" w:space="0" w:color="E0E0E0"/>
              <w:bottom w:val="single" w:sz="8" w:space="0" w:color="AEAEAE"/>
              <w:right w:val="nil"/>
            </w:tcBorders>
            <w:shd w:val="clear" w:color="auto" w:fill="auto"/>
          </w:tcPr>
          <w:p w14:paraId="66B98EAD"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527C118B"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55C7E853" w14:textId="092471F5"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QGI</w:t>
            </w:r>
          </w:p>
        </w:tc>
        <w:tc>
          <w:tcPr>
            <w:tcW w:w="1091" w:type="dxa"/>
            <w:tcBorders>
              <w:top w:val="single" w:sz="8" w:space="0" w:color="AEAEAE"/>
              <w:left w:val="nil"/>
              <w:bottom w:val="single" w:sz="8" w:space="0" w:color="AEAEAE"/>
              <w:right w:val="single" w:sz="8" w:space="0" w:color="E0E0E0"/>
            </w:tcBorders>
            <w:shd w:val="clear" w:color="auto" w:fill="auto"/>
          </w:tcPr>
          <w:p w14:paraId="7128AE29"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49,6307</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40AE5E52"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21,10944</w:t>
            </w:r>
          </w:p>
        </w:tc>
        <w:tc>
          <w:tcPr>
            <w:tcW w:w="1029" w:type="dxa"/>
            <w:tcBorders>
              <w:top w:val="single" w:sz="8" w:space="0" w:color="AEAEAE"/>
              <w:left w:val="single" w:sz="8" w:space="0" w:color="E0E0E0"/>
              <w:bottom w:val="single" w:sz="8" w:space="0" w:color="AEAEAE"/>
              <w:right w:val="nil"/>
            </w:tcBorders>
            <w:shd w:val="clear" w:color="auto" w:fill="auto"/>
          </w:tcPr>
          <w:p w14:paraId="7C653A57"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7F74777A" w14:textId="77777777" w:rsidTr="008E7CA6">
        <w:trPr>
          <w:cantSplit/>
          <w:jc w:val="center"/>
        </w:trPr>
        <w:tc>
          <w:tcPr>
            <w:tcW w:w="2461" w:type="dxa"/>
            <w:tcBorders>
              <w:top w:val="single" w:sz="8" w:space="0" w:color="AEAEAE"/>
              <w:left w:val="nil"/>
              <w:bottom w:val="single" w:sz="8" w:space="0" w:color="AEAEAE"/>
              <w:right w:val="nil"/>
            </w:tcBorders>
            <w:shd w:val="clear" w:color="auto" w:fill="auto"/>
          </w:tcPr>
          <w:p w14:paraId="7CB9D7BC" w14:textId="49F526EB"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Nordic</w:t>
            </w:r>
          </w:p>
        </w:tc>
        <w:tc>
          <w:tcPr>
            <w:tcW w:w="1091" w:type="dxa"/>
            <w:tcBorders>
              <w:top w:val="single" w:sz="8" w:space="0" w:color="AEAEAE"/>
              <w:left w:val="nil"/>
              <w:bottom w:val="single" w:sz="8" w:space="0" w:color="AEAEAE"/>
              <w:right w:val="single" w:sz="8" w:space="0" w:color="E0E0E0"/>
            </w:tcBorders>
            <w:shd w:val="clear" w:color="auto" w:fill="auto"/>
          </w:tcPr>
          <w:p w14:paraId="00964A20"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,11</w:t>
            </w:r>
          </w:p>
        </w:tc>
        <w:tc>
          <w:tcPr>
            <w:tcW w:w="1445" w:type="dxa"/>
            <w:tcBorders>
              <w:top w:val="single" w:sz="8" w:space="0" w:color="AEAEAE"/>
              <w:left w:val="single" w:sz="8" w:space="0" w:color="E0E0E0"/>
              <w:bottom w:val="single" w:sz="8" w:space="0" w:color="AEAEAE"/>
              <w:right w:val="single" w:sz="8" w:space="0" w:color="E0E0E0"/>
            </w:tcBorders>
            <w:shd w:val="clear" w:color="auto" w:fill="auto"/>
          </w:tcPr>
          <w:p w14:paraId="20A666CC"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,310</w:t>
            </w:r>
          </w:p>
        </w:tc>
        <w:tc>
          <w:tcPr>
            <w:tcW w:w="1029" w:type="dxa"/>
            <w:tcBorders>
              <w:top w:val="single" w:sz="8" w:space="0" w:color="AEAEAE"/>
              <w:left w:val="single" w:sz="8" w:space="0" w:color="E0E0E0"/>
              <w:bottom w:val="single" w:sz="8" w:space="0" w:color="AEAEAE"/>
              <w:right w:val="nil"/>
            </w:tcBorders>
            <w:shd w:val="clear" w:color="auto" w:fill="auto"/>
          </w:tcPr>
          <w:p w14:paraId="2AC26A4B"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r w:rsidR="008E7CA6" w:rsidRPr="008E7CA6" w14:paraId="0A2BC6F0" w14:textId="77777777" w:rsidTr="008E7CA6">
        <w:trPr>
          <w:cantSplit/>
          <w:jc w:val="center"/>
        </w:trPr>
        <w:tc>
          <w:tcPr>
            <w:tcW w:w="2461" w:type="dxa"/>
            <w:tcBorders>
              <w:top w:val="single" w:sz="8" w:space="0" w:color="AEAEAE"/>
              <w:left w:val="nil"/>
              <w:bottom w:val="single" w:sz="8" w:space="0" w:color="152935"/>
              <w:right w:val="nil"/>
            </w:tcBorders>
            <w:shd w:val="clear" w:color="auto" w:fill="auto"/>
          </w:tcPr>
          <w:p w14:paraId="32187CAB" w14:textId="3B8F992D" w:rsidR="00E66DDF" w:rsidRPr="008E7CA6" w:rsidRDefault="00E66DDF" w:rsidP="00E66DDF">
            <w:pPr>
              <w:autoSpaceDE w:val="0"/>
              <w:autoSpaceDN w:val="0"/>
              <w:adjustRightInd w:val="0"/>
              <w:spacing w:after="0" w:line="320" w:lineRule="atLeast"/>
              <w:ind w:left="60" w:right="60"/>
              <w:rPr>
                <w:rFonts w:ascii="Sylfaen" w:eastAsiaTheme="minorHAnsi" w:hAnsi="Sylfaen" w:cs="Arial"/>
                <w:b/>
                <w:sz w:val="20"/>
                <w:szCs w:val="20"/>
                <w:lang w:val="nl-NL"/>
              </w:rPr>
            </w:pPr>
            <w:r w:rsidRPr="008E7CA6">
              <w:rPr>
                <w:rFonts w:ascii="Sylfaen" w:eastAsiaTheme="minorHAnsi" w:hAnsi="Sylfaen" w:cs="Arial"/>
                <w:b/>
                <w:sz w:val="20"/>
                <w:szCs w:val="20"/>
                <w:lang w:val="nl-NL"/>
              </w:rPr>
              <w:t>MS2004</w:t>
            </w:r>
          </w:p>
        </w:tc>
        <w:tc>
          <w:tcPr>
            <w:tcW w:w="1091" w:type="dxa"/>
            <w:tcBorders>
              <w:top w:val="single" w:sz="8" w:space="0" w:color="AEAEAE"/>
              <w:left w:val="nil"/>
              <w:bottom w:val="single" w:sz="8" w:space="0" w:color="152935"/>
              <w:right w:val="single" w:sz="8" w:space="0" w:color="E0E0E0"/>
            </w:tcBorders>
            <w:shd w:val="clear" w:color="auto" w:fill="auto"/>
          </w:tcPr>
          <w:p w14:paraId="70737938"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,46</w:t>
            </w:r>
          </w:p>
        </w:tc>
        <w:tc>
          <w:tcPr>
            <w:tcW w:w="1445" w:type="dxa"/>
            <w:tcBorders>
              <w:top w:val="single" w:sz="8" w:space="0" w:color="AEAEAE"/>
              <w:left w:val="single" w:sz="8" w:space="0" w:color="E0E0E0"/>
              <w:bottom w:val="single" w:sz="8" w:space="0" w:color="152935"/>
              <w:right w:val="single" w:sz="8" w:space="0" w:color="E0E0E0"/>
            </w:tcBorders>
            <w:shd w:val="clear" w:color="auto" w:fill="auto"/>
          </w:tcPr>
          <w:p w14:paraId="18FE5607"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,499</w:t>
            </w:r>
          </w:p>
        </w:tc>
        <w:tc>
          <w:tcPr>
            <w:tcW w:w="1029" w:type="dxa"/>
            <w:tcBorders>
              <w:top w:val="single" w:sz="8" w:space="0" w:color="AEAEAE"/>
              <w:left w:val="single" w:sz="8" w:space="0" w:color="E0E0E0"/>
              <w:bottom w:val="single" w:sz="8" w:space="0" w:color="152935"/>
              <w:right w:val="nil"/>
            </w:tcBorders>
            <w:shd w:val="clear" w:color="auto" w:fill="auto"/>
          </w:tcPr>
          <w:p w14:paraId="7037079B" w14:textId="77777777" w:rsidR="00E66DDF" w:rsidRPr="008E7CA6" w:rsidRDefault="00E66DDF" w:rsidP="00E66DDF">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8E7CA6">
              <w:rPr>
                <w:rFonts w:ascii="Sylfaen" w:eastAsiaTheme="minorHAnsi" w:hAnsi="Sylfaen" w:cs="Arial"/>
                <w:sz w:val="20"/>
                <w:szCs w:val="20"/>
                <w:lang w:val="nl-NL"/>
              </w:rPr>
              <w:t>615</w:t>
            </w:r>
          </w:p>
        </w:tc>
      </w:tr>
    </w:tbl>
    <w:p w14:paraId="4C7BA1F4" w14:textId="78532C1B" w:rsidR="00E66DDF" w:rsidRPr="00E66DDF" w:rsidRDefault="003714E3" w:rsidP="00E66DDF">
      <w:pPr>
        <w:autoSpaceDE w:val="0"/>
        <w:autoSpaceDN w:val="0"/>
        <w:adjustRightInd w:val="0"/>
        <w:spacing w:after="0" w:line="400" w:lineRule="atLeast"/>
        <w:rPr>
          <w:rFonts w:ascii="Times New Roman" w:eastAsiaTheme="minorHAnsi" w:hAnsi="Times New Roman" w:cs="Times New Roman"/>
          <w:sz w:val="24"/>
          <w:szCs w:val="24"/>
          <w:lang w:val="nl-NL"/>
        </w:rPr>
      </w:pPr>
      <w:r>
        <w:rPr>
          <w:noProof/>
        </w:rPr>
        <mc:AlternateContent>
          <mc:Choice Requires="wps">
            <w:drawing>
              <wp:anchor distT="0" distB="0" distL="114300" distR="114300" simplePos="0" relativeHeight="251663872" behindDoc="0" locked="0" layoutInCell="1" allowOverlap="1" wp14:anchorId="617C8E7D" wp14:editId="27FFBE9A">
                <wp:simplePos x="0" y="0"/>
                <wp:positionH relativeFrom="margin">
                  <wp:posOffset>852805</wp:posOffset>
                </wp:positionH>
                <wp:positionV relativeFrom="paragraph">
                  <wp:posOffset>-3103245</wp:posOffset>
                </wp:positionV>
                <wp:extent cx="4044950" cy="3270250"/>
                <wp:effectExtent l="0" t="0" r="12700" b="25400"/>
                <wp:wrapNone/>
                <wp:docPr id="19" name="Rectangle 19"/>
                <wp:cNvGraphicFramePr/>
                <a:graphic xmlns:a="http://schemas.openxmlformats.org/drawingml/2006/main">
                  <a:graphicData uri="http://schemas.microsoft.com/office/word/2010/wordprocessingShape">
                    <wps:wsp>
                      <wps:cNvSpPr/>
                      <wps:spPr>
                        <a:xfrm>
                          <a:off x="0" y="0"/>
                          <a:ext cx="4044950" cy="32702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65408D" w14:textId="558AF129" w:rsidR="001F2F39" w:rsidRDefault="001F2F39" w:rsidP="00560210">
                            <w:pPr>
                              <w:jc w:val="center"/>
                            </w:pPr>
                          </w:p>
                          <w:p w14:paraId="4E529639" w14:textId="77777777" w:rsidR="001F2F39" w:rsidRDefault="001F2F39" w:rsidP="0056021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7C8E7D" id="Rectangle 19" o:spid="_x0000_s1026" style="position:absolute;margin-left:67.15pt;margin-top:-244.35pt;width:318.5pt;height:257.5pt;z-index:251663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" filled="f" strokecolor="black [3213]" strokeweight="1.5pt">
                <v:textbox>
                  <w:txbxContent>
                    <w:p w14:paraId="7565408D" w14:textId="558AF129" w:rsidR="001F2F39" w:rsidRDefault="001F2F39" w:rsidP="00560210">
                      <w:pPr>
                        <w:jc w:val="center"/>
                      </w:pPr>
                    </w:p>
                    <w:p w14:paraId="4E529639" w14:textId="77777777" w:rsidR="001F2F39" w:rsidRDefault="001F2F39" w:rsidP="00560210">
                      <w:pPr>
                        <w:jc w:val="center"/>
                      </w:pPr>
                    </w:p>
                  </w:txbxContent>
                </v:textbox>
                <w10:wrap anchorx="margin"/>
              </v:rect>
            </w:pict>
          </mc:Fallback>
        </mc:AlternateContent>
      </w:r>
    </w:p>
    <w:p w14:paraId="3E00F365" w14:textId="742196B2" w:rsidR="00DC31EE" w:rsidRDefault="00C86397" w:rsidP="00206159">
      <w:pPr>
        <w:pStyle w:val="Kop3"/>
        <w:spacing w:line="360" w:lineRule="auto"/>
      </w:pPr>
      <w:bookmarkStart w:id="43" w:name="_Toc3547856"/>
      <w:r>
        <w:t>4.</w:t>
      </w:r>
      <w:r w:rsidR="006D0C15">
        <w:t>1.</w:t>
      </w:r>
      <w:r>
        <w:t xml:space="preserve">2 </w:t>
      </w:r>
      <w:r w:rsidR="00DC31EE">
        <w:t>Assumptions</w:t>
      </w:r>
      <w:bookmarkEnd w:id="43"/>
    </w:p>
    <w:p w14:paraId="458636CB" w14:textId="77777777" w:rsidR="00DC31EE" w:rsidRDefault="00DD4448" w:rsidP="00206159">
      <w:pPr>
        <w:spacing w:line="360" w:lineRule="auto"/>
      </w:pPr>
      <w:r>
        <w:t>In statistical analysis, meeting assumptions is</w:t>
      </w:r>
      <w:r w:rsidR="00206159">
        <w:t xml:space="preserve"> key. They ensure a valid and generalizable analysis. </w:t>
      </w:r>
      <w:r w:rsidR="00146723">
        <w:t xml:space="preserve">In the following section, assumptions for regression analysis are discussed and </w:t>
      </w:r>
      <w:r w:rsidR="002017D7">
        <w:t xml:space="preserve">it </w:t>
      </w:r>
      <w:r w:rsidR="00146723">
        <w:t xml:space="preserve">is shown why the data does not violate the assumptions. </w:t>
      </w:r>
    </w:p>
    <w:p w14:paraId="48F0E010" w14:textId="77777777" w:rsidR="00015C11" w:rsidRDefault="00015C11" w:rsidP="00206159">
      <w:pPr>
        <w:spacing w:line="360" w:lineRule="auto"/>
      </w:pPr>
      <w:r>
        <w:t xml:space="preserve">Lewis-Back (2011) listed the assumptions for regression analysis. They are shown below, including </w:t>
      </w:r>
      <w:r w:rsidR="008A0728">
        <w:t xml:space="preserve">an explanation of </w:t>
      </w:r>
      <w:r>
        <w:t>how the data in this research meet</w:t>
      </w:r>
      <w:r w:rsidR="008A0728">
        <w:t>s</w:t>
      </w:r>
      <w:r>
        <w:t xml:space="preserve"> those assumptions. </w:t>
      </w:r>
    </w:p>
    <w:p w14:paraId="5BD0A93E" w14:textId="77777777" w:rsidR="00015C11" w:rsidRDefault="00015C11" w:rsidP="00015C11">
      <w:pPr>
        <w:pStyle w:val="Lijstalinea"/>
        <w:numPr>
          <w:ilvl w:val="0"/>
          <w:numId w:val="31"/>
        </w:numPr>
        <w:spacing w:line="360" w:lineRule="auto"/>
      </w:pPr>
      <w:r>
        <w:t xml:space="preserve">No specification error. </w:t>
      </w:r>
    </w:p>
    <w:p w14:paraId="6EF98AC9" w14:textId="77777777" w:rsidR="00015C11" w:rsidRDefault="00015C11" w:rsidP="00015C11">
      <w:pPr>
        <w:pStyle w:val="Lijstalinea"/>
        <w:numPr>
          <w:ilvl w:val="1"/>
          <w:numId w:val="31"/>
        </w:numPr>
        <w:spacing w:line="360" w:lineRule="auto"/>
      </w:pPr>
      <w:r>
        <w:t xml:space="preserve">Y is dependent (not independent). </w:t>
      </w:r>
    </w:p>
    <w:p w14:paraId="764E23FF" w14:textId="77777777" w:rsidR="00A641B6" w:rsidRDefault="00A641B6" w:rsidP="00A641B6">
      <w:pPr>
        <w:spacing w:line="360" w:lineRule="auto"/>
      </w:pPr>
      <w:r>
        <w:t xml:space="preserve">Procedural fairness (X) influences compliance (Y), </w:t>
      </w:r>
      <w:r w:rsidR="000362A0">
        <w:t>it is</w:t>
      </w:r>
      <w:r w:rsidR="008A0728">
        <w:t xml:space="preserve"> theoretically</w:t>
      </w:r>
      <w:r w:rsidR="000362A0">
        <w:t xml:space="preserve"> highly unlikely that compliance does </w:t>
      </w:r>
      <w:r>
        <w:t>influence</w:t>
      </w:r>
      <w:r w:rsidR="000362A0">
        <w:t xml:space="preserve"> </w:t>
      </w:r>
      <w:r>
        <w:t xml:space="preserve">procedural fairness. </w:t>
      </w:r>
    </w:p>
    <w:p w14:paraId="2EC7EBE4" w14:textId="2BEBDCFA" w:rsidR="00015C11" w:rsidRDefault="006B45F6" w:rsidP="00015C11">
      <w:pPr>
        <w:pStyle w:val="Lijstalinea"/>
        <w:numPr>
          <w:ilvl w:val="1"/>
          <w:numId w:val="31"/>
        </w:numPr>
        <w:spacing w:line="360" w:lineRule="auto"/>
      </w:pPr>
      <w:r>
        <w:t>The independent variables</w:t>
      </w:r>
      <w:r w:rsidR="00015C11">
        <w:t xml:space="preserve"> do in fact influence Y. </w:t>
      </w:r>
    </w:p>
    <w:p w14:paraId="46B16637" w14:textId="5F041128" w:rsidR="00A641B6" w:rsidRDefault="00A641B6" w:rsidP="00A641B6">
      <w:pPr>
        <w:spacing w:line="360" w:lineRule="auto"/>
      </w:pPr>
      <w:r>
        <w:t xml:space="preserve">In the theoretical framework and the methodological chapter is explained how voice, consistency and dignity </w:t>
      </w:r>
      <w:r w:rsidR="00966FC8">
        <w:t xml:space="preserve">(X1, X2, X3) </w:t>
      </w:r>
      <w:r>
        <w:t>influence compliance</w:t>
      </w:r>
      <w:r w:rsidR="00966FC8">
        <w:t xml:space="preserve"> (Y)</w:t>
      </w:r>
      <w:r>
        <w:t xml:space="preserve">. </w:t>
      </w:r>
      <w:r w:rsidR="008A0728">
        <w:t xml:space="preserve">The operationalization from those components is also discussed. Therefore, it is assumed that the </w:t>
      </w:r>
      <w:r w:rsidR="00ED2B71">
        <w:t xml:space="preserve">independent variables </w:t>
      </w:r>
      <w:r w:rsidR="008A0728">
        <w:t xml:space="preserve">do influence Y. </w:t>
      </w:r>
    </w:p>
    <w:p w14:paraId="1EAB2466" w14:textId="77777777" w:rsidR="00015C11" w:rsidRDefault="00015C11" w:rsidP="00015C11">
      <w:pPr>
        <w:pStyle w:val="Lijstalinea"/>
        <w:numPr>
          <w:ilvl w:val="1"/>
          <w:numId w:val="31"/>
        </w:numPr>
        <w:spacing w:line="360" w:lineRule="auto"/>
      </w:pPr>
      <w:r>
        <w:t xml:space="preserve">The form of the relationship between Y and (X1, … Xk) is linear (not nonlinear). </w:t>
      </w:r>
    </w:p>
    <w:p w14:paraId="26A01D6C" w14:textId="42155AED" w:rsidR="00B776A6" w:rsidRPr="007A13AF" w:rsidRDefault="00966FC8" w:rsidP="008A0728">
      <w:pPr>
        <w:spacing w:line="360" w:lineRule="auto"/>
        <w:rPr>
          <w:rFonts w:ascii="Times New Roman" w:eastAsiaTheme="minorHAnsi" w:hAnsi="Times New Roman" w:cs="Times New Roman"/>
          <w:sz w:val="24"/>
          <w:szCs w:val="24"/>
        </w:rPr>
      </w:pPr>
      <w:r>
        <w:t xml:space="preserve">A linear form of the relationship indicates that changes in X1, X2 and X3 lead to a constant change in Y. It is likely that </w:t>
      </w:r>
      <w:r w:rsidR="00D872C5">
        <w:t xml:space="preserve">changes </w:t>
      </w:r>
      <w:r w:rsidR="00AE32C5">
        <w:t xml:space="preserve">in the </w:t>
      </w:r>
      <w:r w:rsidR="00D872C5">
        <w:t>dependent variables</w:t>
      </w:r>
      <w:r w:rsidR="00AE32C5">
        <w:t xml:space="preserve"> will</w:t>
      </w:r>
      <w:r w:rsidR="00D872C5">
        <w:t xml:space="preserve"> lead to changes in Y, but it is uncl</w:t>
      </w:r>
      <w:r w:rsidR="00B776A6">
        <w:t xml:space="preserve">ear if this change is constant. As is shown </w:t>
      </w:r>
      <w:r w:rsidR="00921D89">
        <w:t>in the table presented in appendix 1</w:t>
      </w:r>
      <w:r w:rsidR="008A0728">
        <w:t xml:space="preserve"> (figure </w:t>
      </w:r>
      <w:r w:rsidR="00A32C6A">
        <w:t>1</w:t>
      </w:r>
      <w:r w:rsidR="008A0728">
        <w:t>)</w:t>
      </w:r>
      <w:r w:rsidR="00B776A6">
        <w:t xml:space="preserve">, the relation between the number of times a proposal is discussed and the total degree of (non-)compliance is not </w:t>
      </w:r>
      <w:r w:rsidR="00AE32C5">
        <w:lastRenderedPageBreak/>
        <w:t xml:space="preserve">completely </w:t>
      </w:r>
      <w:r w:rsidR="00B776A6">
        <w:t>linear.</w:t>
      </w:r>
      <w:r w:rsidR="00A066F2">
        <w:t xml:space="preserve"> </w:t>
      </w:r>
      <w:r w:rsidR="00B776A6">
        <w:t xml:space="preserve">A </w:t>
      </w:r>
      <w:r w:rsidR="00A066F2">
        <w:t xml:space="preserve">scatterplot is also </w:t>
      </w:r>
      <w:r w:rsidR="00B776A6">
        <w:t xml:space="preserve">drawn for </w:t>
      </w:r>
      <w:r w:rsidR="008A0728">
        <w:t xml:space="preserve">the other independent variables (appendix 1, figures </w:t>
      </w:r>
      <w:r w:rsidR="00A32C6A">
        <w:t>2</w:t>
      </w:r>
      <w:r w:rsidR="008A0728">
        <w:t>-</w:t>
      </w:r>
      <w:r w:rsidR="00A32C6A">
        <w:t>5</w:t>
      </w:r>
      <w:r w:rsidR="008A0728">
        <w:t>).</w:t>
      </w:r>
      <w:r w:rsidR="00A066F2">
        <w:t xml:space="preserve"> </w:t>
      </w:r>
      <w:r w:rsidR="00752601" w:rsidRPr="00B776A6">
        <w:t xml:space="preserve">The </w:t>
      </w:r>
      <w:r w:rsidR="00752601">
        <w:t>last</w:t>
      </w:r>
      <w:r w:rsidR="00752601" w:rsidRPr="00B776A6">
        <w:t xml:space="preserve"> independent variable is split in two</w:t>
      </w:r>
      <w:r w:rsidR="00752601">
        <w:t>, namely the number of</w:t>
      </w:r>
      <w:r w:rsidR="00752601" w:rsidRPr="00B776A6">
        <w:t xml:space="preserve"> opposing member states and the total population they represent. </w:t>
      </w:r>
      <w:r w:rsidR="00A066F2">
        <w:t>These s</w:t>
      </w:r>
      <w:r w:rsidR="0069500D">
        <w:t xml:space="preserve">catterplots show that the </w:t>
      </w:r>
      <w:r w:rsidR="00A50763">
        <w:t>relation between the different IV’s and compliance is</w:t>
      </w:r>
      <w:r w:rsidR="00AE32C5">
        <w:t xml:space="preserve"> not </w:t>
      </w:r>
      <w:r w:rsidR="009D65A7">
        <w:t>perfectly</w:t>
      </w:r>
      <w:r w:rsidR="00AE32C5">
        <w:t xml:space="preserve"> linear. A multiple regression analysis</w:t>
      </w:r>
      <w:r w:rsidR="00432D47">
        <w:t xml:space="preserve"> still suits the data best, also because m</w:t>
      </w:r>
      <w:r w:rsidR="00AE32C5">
        <w:t>ultiple independent variables can n</w:t>
      </w:r>
      <w:r w:rsidR="009D65A7">
        <w:t>amely be included in this model.</w:t>
      </w:r>
      <w:r w:rsidR="00432D47">
        <w:t xml:space="preserve"> The</w:t>
      </w:r>
      <w:r w:rsidR="00AE32C5">
        <w:t xml:space="preserve"> relation between</w:t>
      </w:r>
      <w:r w:rsidR="00752601">
        <w:t xml:space="preserve"> the independent and the dependent variable</w:t>
      </w:r>
      <w:r w:rsidR="00AE32C5">
        <w:t xml:space="preserve"> </w:t>
      </w:r>
      <w:r w:rsidR="00A066F2">
        <w:t>can</w:t>
      </w:r>
      <w:r w:rsidR="00BE06B5">
        <w:t xml:space="preserve"> also</w:t>
      </w:r>
      <w:r w:rsidR="00A066F2">
        <w:t xml:space="preserve"> be described as linear.</w:t>
      </w:r>
      <w:r w:rsidR="00B776A6" w:rsidRPr="00B776A6">
        <w:t xml:space="preserve"> </w:t>
      </w:r>
    </w:p>
    <w:p w14:paraId="67956CD5" w14:textId="77777777" w:rsidR="00C93C8E" w:rsidRDefault="00C93C8E" w:rsidP="00015C11">
      <w:pPr>
        <w:pStyle w:val="Lijstalinea"/>
        <w:numPr>
          <w:ilvl w:val="0"/>
          <w:numId w:val="31"/>
        </w:numPr>
        <w:spacing w:line="360" w:lineRule="auto"/>
      </w:pPr>
      <w:r>
        <w:t>Absence of multicollinearity.</w:t>
      </w:r>
    </w:p>
    <w:p w14:paraId="6A7D14D9" w14:textId="345CDC8A" w:rsidR="00681C17" w:rsidRDefault="00B26313" w:rsidP="00C93C8E">
      <w:pPr>
        <w:spacing w:line="360" w:lineRule="auto"/>
      </w:pPr>
      <w:r>
        <w:t>Collinearity of explanatory variables endangers decent multiple regression analysis</w:t>
      </w:r>
      <w:r w:rsidR="00CF27E2">
        <w:t xml:space="preserve"> (Graham, 2003)</w:t>
      </w:r>
      <w:r>
        <w:t>. In this dataset, some predictors may be correlated, for example when the Commission deliberately</w:t>
      </w:r>
      <w:r w:rsidR="00CF325F">
        <w:t xml:space="preserve"> </w:t>
      </w:r>
      <w:r w:rsidR="00C93C8E">
        <w:t>strive</w:t>
      </w:r>
      <w:r>
        <w:t>d</w:t>
      </w:r>
      <w:r w:rsidR="00C93C8E">
        <w:t xml:space="preserve"> for an extremely fai</w:t>
      </w:r>
      <w:r>
        <w:t>r decision-making procedure in case of a very salient issue</w:t>
      </w:r>
      <w:r w:rsidR="00E47153">
        <w:t xml:space="preserve">. For </w:t>
      </w:r>
      <w:r w:rsidR="00CF325F">
        <w:t>instance</w:t>
      </w:r>
      <w:r w:rsidR="00E47153">
        <w:t xml:space="preserve">, in that case, more input moments for the member states </w:t>
      </w:r>
      <w:r w:rsidR="00CF325F">
        <w:t xml:space="preserve">might be correlated </w:t>
      </w:r>
      <w:r w:rsidR="00E47153">
        <w:t xml:space="preserve">to more consultations. </w:t>
      </w:r>
      <w:r>
        <w:t xml:space="preserve">It is however not </w:t>
      </w:r>
      <w:r w:rsidR="00CA6197">
        <w:t xml:space="preserve">likely that </w:t>
      </w:r>
      <w:r w:rsidR="00A04283">
        <w:t xml:space="preserve">the Commission </w:t>
      </w:r>
      <w:r w:rsidR="00CF27E2">
        <w:t>uses this strategy so often that it would affect all directives in the dataset. Therefore, p</w:t>
      </w:r>
      <w:r w:rsidR="00A04283">
        <w:t xml:space="preserve">redictors are not correlated. </w:t>
      </w:r>
    </w:p>
    <w:p w14:paraId="5B95B121" w14:textId="591EF144" w:rsidR="00E25A1B" w:rsidRDefault="00E25A1B" w:rsidP="00E25A1B">
      <w:pPr>
        <w:spacing w:line="360" w:lineRule="auto"/>
      </w:pPr>
      <w:r>
        <w:t xml:space="preserve">This is supported by the following outcomes. In </w:t>
      </w:r>
      <w:r w:rsidR="000F7276">
        <w:t>table 3</w:t>
      </w:r>
      <w:r>
        <w:t xml:space="preserve"> </w:t>
      </w:r>
      <w:r w:rsidR="000F7276">
        <w:t>of</w:t>
      </w:r>
      <w:r w:rsidR="001B7053">
        <w:t xml:space="preserve"> appendix 1</w:t>
      </w:r>
      <w:r w:rsidR="00A32C6A">
        <w:t>, the</w:t>
      </w:r>
      <w:r w:rsidR="000F7276">
        <w:t xml:space="preserve"> Pearson</w:t>
      </w:r>
      <w:r w:rsidR="00A32C6A">
        <w:t xml:space="preserve"> correlations are shown</w:t>
      </w:r>
      <w:r>
        <w:t xml:space="preserve">. Correlations above 0.8 might be problematic and point to multicollinearity. In this case, the </w:t>
      </w:r>
      <w:r w:rsidR="001B7053">
        <w:t xml:space="preserve">highest correlation between independent variables is the correlation between the </w:t>
      </w:r>
      <w:r>
        <w:t>population of opposing member states and the number of opposing member states</w:t>
      </w:r>
      <w:r w:rsidR="001B7053">
        <w:t xml:space="preserve">. This </w:t>
      </w:r>
      <w:r w:rsidR="00BE5F85">
        <w:t xml:space="preserve">is </w:t>
      </w:r>
      <w:r w:rsidR="001B7053">
        <w:t>higher than 0.8, namely 0.857</w:t>
      </w:r>
      <w:r w:rsidR="00BE5F85">
        <w:t xml:space="preserve"> – something that makes </w:t>
      </w:r>
      <w:r>
        <w:t>sense,</w:t>
      </w:r>
      <w:r w:rsidR="00BE5F85">
        <w:t xml:space="preserve"> since </w:t>
      </w:r>
      <w:r>
        <w:t>the two ar</w:t>
      </w:r>
      <w:r w:rsidR="00BE5F85">
        <w:t>e</w:t>
      </w:r>
      <w:r>
        <w:t xml:space="preserve"> correlated.</w:t>
      </w:r>
      <w:r w:rsidR="00243F88">
        <w:t xml:space="preserve"> The higher the number of opposing</w:t>
      </w:r>
      <w:r w:rsidR="00243F88" w:rsidRPr="00743828">
        <w:t xml:space="preserve"> member states, the higher the population of opposing member states.</w:t>
      </w:r>
      <w:r w:rsidRPr="00743828">
        <w:t xml:space="preserve"> </w:t>
      </w:r>
      <w:r w:rsidR="001B7053" w:rsidRPr="00743828">
        <w:t xml:space="preserve">Other highly correlated variables are </w:t>
      </w:r>
      <w:r w:rsidR="00A81696" w:rsidRPr="00743828">
        <w:t xml:space="preserve">the </w:t>
      </w:r>
      <w:r w:rsidR="001B7053" w:rsidRPr="00743828">
        <w:t xml:space="preserve">control variables QGI and corruption (0.974). </w:t>
      </w:r>
      <w:r w:rsidR="00A81696" w:rsidRPr="00743828">
        <w:t>This app</w:t>
      </w:r>
      <w:r w:rsidR="007121D7" w:rsidRPr="00743828">
        <w:t>ears logical</w:t>
      </w:r>
      <w:r w:rsidR="001B7053" w:rsidRPr="00743828">
        <w:t xml:space="preserve">, because corruption affects the quality of governance. Moreover, </w:t>
      </w:r>
      <w:r w:rsidR="00A81696" w:rsidRPr="00743828">
        <w:t xml:space="preserve">these </w:t>
      </w:r>
      <w:r w:rsidR="001B7053" w:rsidRPr="00743828">
        <w:t xml:space="preserve">variables are aimed </w:t>
      </w:r>
      <w:r w:rsidR="007121D7" w:rsidRPr="00743828">
        <w:t xml:space="preserve">at controlling </w:t>
      </w:r>
      <w:r w:rsidR="001B7053" w:rsidRPr="00743828">
        <w:t>for</w:t>
      </w:r>
      <w:r w:rsidR="004F7D8C" w:rsidRPr="00743828">
        <w:t xml:space="preserve"> </w:t>
      </w:r>
      <w:r w:rsidR="001B7053" w:rsidRPr="00743828">
        <w:t>the administrative capacity of a member state</w:t>
      </w:r>
      <w:r w:rsidR="00A81696" w:rsidRPr="00743828">
        <w:t xml:space="preserve"> and are thus not central in this study.</w:t>
      </w:r>
      <w:r w:rsidR="001B7053" w:rsidRPr="00743828">
        <w:t xml:space="preserve"> </w:t>
      </w:r>
      <w:r w:rsidRPr="00743828">
        <w:t>For the o</w:t>
      </w:r>
      <w:r>
        <w:t>ther correlation</w:t>
      </w:r>
      <w:r w:rsidR="00C47177">
        <w:t>s</w:t>
      </w:r>
      <w:r>
        <w:t>, the cr</w:t>
      </w:r>
      <w:r w:rsidR="001B7053">
        <w:t xml:space="preserve">itical value of 0.8 is not met. </w:t>
      </w:r>
    </w:p>
    <w:p w14:paraId="18B93933" w14:textId="6A8B3F11" w:rsidR="00A066F2" w:rsidRDefault="00E25A1B" w:rsidP="00713EC4">
      <w:pPr>
        <w:spacing w:line="360" w:lineRule="auto"/>
      </w:pPr>
      <w:r>
        <w:t>The same conclusion is drawn when the coefficients table</w:t>
      </w:r>
      <w:r w:rsidR="003F416A">
        <w:t>s are</w:t>
      </w:r>
      <w:r>
        <w:t xml:space="preserve"> taken into account</w:t>
      </w:r>
      <w:r w:rsidR="003F416A">
        <w:t xml:space="preserve"> (table 1 and 2 in appendix 1)</w:t>
      </w:r>
      <w:r>
        <w:t xml:space="preserve">. The </w:t>
      </w:r>
      <w:r w:rsidR="00713EC4">
        <w:t>value for tolerance should b</w:t>
      </w:r>
      <w:r w:rsidR="003F416A">
        <w:t xml:space="preserve">e above 0.2, which is the case when control variables are not taken into account. Again, GCI and corruption are negative outliers with a value below 0.2. </w:t>
      </w:r>
      <w:r w:rsidR="00713EC4">
        <w:t xml:space="preserve">For the other independent variables, no problematic values are found. </w:t>
      </w:r>
      <w:r w:rsidR="00B26313">
        <w:t xml:space="preserve">The </w:t>
      </w:r>
      <w:r w:rsidR="000362A0">
        <w:t>VIF-value is also fine</w:t>
      </w:r>
      <w:r w:rsidR="003F416A">
        <w:t xml:space="preserve"> for all variables except GCI and corruption</w:t>
      </w:r>
      <w:r w:rsidR="000362A0">
        <w:t>,</w:t>
      </w:r>
      <w:r w:rsidR="003F416A">
        <w:t xml:space="preserve"> since this should be below 10. </w:t>
      </w:r>
    </w:p>
    <w:p w14:paraId="14D416D2" w14:textId="77777777" w:rsidR="00015C11" w:rsidRDefault="00015C11" w:rsidP="00015C11">
      <w:pPr>
        <w:pStyle w:val="Lijstalinea"/>
        <w:numPr>
          <w:ilvl w:val="0"/>
          <w:numId w:val="31"/>
        </w:numPr>
        <w:spacing w:line="360" w:lineRule="auto"/>
      </w:pPr>
      <w:r>
        <w:t xml:space="preserve">The error term </w:t>
      </w:r>
      <w:r w:rsidRPr="00015C11">
        <w:rPr>
          <w:rFonts w:ascii="Cambria Math" w:hAnsi="Cambria Math" w:cs="Cambria Math"/>
        </w:rPr>
        <w:t>∊</w:t>
      </w:r>
      <w:r w:rsidR="00D872C5">
        <w:t xml:space="preserve"> i</w:t>
      </w:r>
      <w:r>
        <w:t xml:space="preserve">s well-behaved. </w:t>
      </w:r>
    </w:p>
    <w:p w14:paraId="277C4018" w14:textId="7127B67C" w:rsidR="00015C11" w:rsidRDefault="00752601" w:rsidP="00015C11">
      <w:pPr>
        <w:pStyle w:val="Lijstalinea"/>
        <w:numPr>
          <w:ilvl w:val="1"/>
          <w:numId w:val="31"/>
        </w:numPr>
        <w:spacing w:line="360" w:lineRule="auto"/>
      </w:pPr>
      <w:r>
        <w:t>The error variance</w:t>
      </w:r>
      <w:r w:rsidR="00015C11">
        <w:t xml:space="preserve"> is </w:t>
      </w:r>
      <w:r w:rsidR="00D872C5">
        <w:t>homoscedastic</w:t>
      </w:r>
      <w:r w:rsidR="00EA1B70">
        <w:t xml:space="preserve">. </w:t>
      </w:r>
      <w:r w:rsidR="00015C11">
        <w:t xml:space="preserve">Error variance is constant across the values of the independent variables. </w:t>
      </w:r>
    </w:p>
    <w:p w14:paraId="64B3AF55" w14:textId="2C6B92EB" w:rsidR="00D872C5" w:rsidRPr="00D872C5" w:rsidRDefault="003F416A" w:rsidP="00D872C5">
      <w:pPr>
        <w:spacing w:line="360" w:lineRule="auto"/>
        <w:rPr>
          <w:color w:val="FF0000"/>
        </w:rPr>
      </w:pPr>
      <w:r>
        <w:t>Figure</w:t>
      </w:r>
      <w:r w:rsidR="00A32C6A">
        <w:t xml:space="preserve"> 6</w:t>
      </w:r>
      <w:r w:rsidR="00D872C5">
        <w:t xml:space="preserve"> </w:t>
      </w:r>
      <w:r w:rsidR="00A066F2">
        <w:t>in appendix 1</w:t>
      </w:r>
      <w:r w:rsidR="00D872C5">
        <w:t xml:space="preserve"> shows</w:t>
      </w:r>
      <w:r w:rsidR="002D152C">
        <w:t xml:space="preserve"> that the data is homoscedastic, since</w:t>
      </w:r>
      <w:r w:rsidR="00921D89">
        <w:t xml:space="preserve"> the dots are not funneled. </w:t>
      </w:r>
    </w:p>
    <w:p w14:paraId="5C5A4F2E" w14:textId="2D0B41E4" w:rsidR="00015C11" w:rsidRDefault="00752601" w:rsidP="00015C11">
      <w:pPr>
        <w:pStyle w:val="Lijstalinea"/>
        <w:numPr>
          <w:ilvl w:val="1"/>
          <w:numId w:val="31"/>
        </w:numPr>
        <w:spacing w:line="360" w:lineRule="auto"/>
      </w:pPr>
      <w:r>
        <w:lastRenderedPageBreak/>
        <w:t>The error terms are not</w:t>
      </w:r>
      <w:r w:rsidR="00015C11">
        <w:t xml:space="preserve"> auto</w:t>
      </w:r>
      <w:r>
        <w:t>-</w:t>
      </w:r>
      <w:r w:rsidR="00015C11">
        <w:t xml:space="preserve">correlated. </w:t>
      </w:r>
    </w:p>
    <w:p w14:paraId="0F9C88DB" w14:textId="31DD3A28" w:rsidR="00D872C5" w:rsidRDefault="00EA1B70" w:rsidP="00D872C5">
      <w:pPr>
        <w:spacing w:line="360" w:lineRule="auto"/>
      </w:pPr>
      <w:r>
        <w:t>I</w:t>
      </w:r>
      <w:r w:rsidR="00D872C5">
        <w:t xml:space="preserve">t is unlikely that </w:t>
      </w:r>
      <w:r w:rsidR="00C93C8E">
        <w:t>th</w:t>
      </w:r>
      <w:r w:rsidR="00CA6197">
        <w:t>is assumption is violated</w:t>
      </w:r>
      <w:r>
        <w:t>, because this is usually a concern for time-series data</w:t>
      </w:r>
      <w:r w:rsidR="00CA6197">
        <w:t>. Some observations might be correlated</w:t>
      </w:r>
      <w:r>
        <w:t xml:space="preserve"> though</w:t>
      </w:r>
      <w:r w:rsidR="00CA6197">
        <w:t xml:space="preserve">, because they observe the same directive. Often, multiple member states do not comply with a certain directive. This could </w:t>
      </w:r>
      <w:r w:rsidR="007121D7">
        <w:t>be related to</w:t>
      </w:r>
      <w:r w:rsidR="00CA6197">
        <w:t xml:space="preserve"> a feature of the directive. </w:t>
      </w:r>
    </w:p>
    <w:p w14:paraId="033AF7AE" w14:textId="0F0CD5C5" w:rsidR="00A32C6A" w:rsidRDefault="002900D7" w:rsidP="00FA1046">
      <w:pPr>
        <w:spacing w:line="360" w:lineRule="auto"/>
        <w:rPr>
          <w:i/>
        </w:rPr>
      </w:pPr>
      <w:r>
        <w:rPr>
          <w:noProof/>
        </w:rPr>
        <mc:AlternateContent>
          <mc:Choice Requires="wps">
            <w:drawing>
              <wp:anchor distT="0" distB="0" distL="114300" distR="114300" simplePos="0" relativeHeight="251658240" behindDoc="0" locked="0" layoutInCell="1" allowOverlap="1" wp14:anchorId="3C5AD259" wp14:editId="21209F56">
                <wp:simplePos x="0" y="0"/>
                <wp:positionH relativeFrom="margin">
                  <wp:posOffset>471805</wp:posOffset>
                </wp:positionH>
                <wp:positionV relativeFrom="paragraph">
                  <wp:posOffset>854710</wp:posOffset>
                </wp:positionV>
                <wp:extent cx="4927600" cy="1733550"/>
                <wp:effectExtent l="0" t="0" r="25400" b="19050"/>
                <wp:wrapNone/>
                <wp:docPr id="7" name="Rectangle 7"/>
                <wp:cNvGraphicFramePr/>
                <a:graphic xmlns:a="http://schemas.openxmlformats.org/drawingml/2006/main">
                  <a:graphicData uri="http://schemas.microsoft.com/office/word/2010/wordprocessingShape">
                    <wps:wsp>
                      <wps:cNvSpPr/>
                      <wps:spPr>
                        <a:xfrm>
                          <a:off x="0" y="0"/>
                          <a:ext cx="4927600" cy="17335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DF24B5" id="Rectangle 7" o:spid="_x0000_s1026" style="position:absolute;margin-left:37.15pt;margin-top:67.3pt;width:388pt;height:13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" filled="f" strokecolor="black [3213]" strokeweight="1.5pt">
                <w10:wrap anchorx="margin"/>
              </v:rect>
            </w:pict>
          </mc:Fallback>
        </mc:AlternateContent>
      </w:r>
      <w:r w:rsidR="006A08AE">
        <w:t>The Durbin-Watson test can show autocorrelation of the residuals. When this number is below 1 or above 3, this is problematic. As is</w:t>
      </w:r>
      <w:r w:rsidR="00FE3708">
        <w:t xml:space="preserve"> shown below, the value is 1.760</w:t>
      </w:r>
      <w:r w:rsidR="006A08AE">
        <w:t xml:space="preserve">, so the data has passed for this test. </w:t>
      </w:r>
      <w:r w:rsidR="00FE3708">
        <w:t xml:space="preserve">With </w:t>
      </w:r>
      <w:r w:rsidR="00FE3708" w:rsidRPr="00A32C6A">
        <w:t>control variables</w:t>
      </w:r>
      <w:r w:rsidR="00A32C6A">
        <w:t xml:space="preserve"> included</w:t>
      </w:r>
      <w:r w:rsidR="00EA1B70">
        <w:t>, this value is 1.8</w:t>
      </w:r>
      <w:r w:rsidR="00FE3708">
        <w:t xml:space="preserve">, which is also not problematic. </w:t>
      </w:r>
    </w:p>
    <w:tbl>
      <w:tblPr>
        <w:tblW w:w="73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
        <w:gridCol w:w="1030"/>
        <w:gridCol w:w="1092"/>
        <w:gridCol w:w="1476"/>
        <w:gridCol w:w="1476"/>
        <w:gridCol w:w="1476"/>
      </w:tblGrid>
      <w:tr w:rsidR="00FE3708" w:rsidRPr="00FE3708" w14:paraId="0E427891" w14:textId="77777777" w:rsidTr="002900D7">
        <w:trPr>
          <w:cantSplit/>
          <w:jc w:val="center"/>
        </w:trPr>
        <w:tc>
          <w:tcPr>
            <w:tcW w:w="7348" w:type="dxa"/>
            <w:gridSpan w:val="6"/>
            <w:tcBorders>
              <w:top w:val="nil"/>
              <w:left w:val="nil"/>
              <w:bottom w:val="nil"/>
              <w:right w:val="nil"/>
            </w:tcBorders>
            <w:shd w:val="clear" w:color="auto" w:fill="FFFFFF"/>
            <w:vAlign w:val="center"/>
          </w:tcPr>
          <w:p w14:paraId="083C7195" w14:textId="314A7989" w:rsidR="00A32C6A" w:rsidRPr="007E2885" w:rsidRDefault="000357F6" w:rsidP="007E2885">
            <w:pPr>
              <w:autoSpaceDE w:val="0"/>
              <w:autoSpaceDN w:val="0"/>
              <w:adjustRightInd w:val="0"/>
              <w:spacing w:after="0" w:line="320" w:lineRule="atLeast"/>
              <w:ind w:left="60" w:right="60"/>
              <w:rPr>
                <w:rFonts w:ascii="Sylfaen" w:hAnsi="Sylfaen"/>
                <w:i/>
                <w:sz w:val="20"/>
                <w:szCs w:val="20"/>
              </w:rPr>
            </w:pPr>
            <w:r w:rsidRPr="007E2885">
              <w:rPr>
                <w:rFonts w:ascii="Sylfaen" w:hAnsi="Sylfaen"/>
                <w:i/>
                <w:sz w:val="20"/>
                <w:szCs w:val="20"/>
              </w:rPr>
              <w:t xml:space="preserve">Table </w:t>
            </w:r>
            <w:r w:rsidR="008C0E96" w:rsidRPr="007E2885">
              <w:rPr>
                <w:rFonts w:ascii="Sylfaen" w:hAnsi="Sylfaen"/>
                <w:i/>
                <w:sz w:val="20"/>
                <w:szCs w:val="20"/>
              </w:rPr>
              <w:t>4</w:t>
            </w:r>
            <w:r w:rsidR="006A08AE" w:rsidRPr="007E2885">
              <w:rPr>
                <w:rFonts w:ascii="Sylfaen" w:hAnsi="Sylfaen"/>
                <w:i/>
                <w:sz w:val="20"/>
                <w:szCs w:val="20"/>
              </w:rPr>
              <w:t>: The Durbin-Watson test</w:t>
            </w:r>
            <w:r w:rsidR="005C560A" w:rsidRPr="007E2885">
              <w:rPr>
                <w:rFonts w:ascii="Sylfaen" w:hAnsi="Sylfaen"/>
                <w:i/>
                <w:sz w:val="20"/>
                <w:szCs w:val="20"/>
              </w:rPr>
              <w:t xml:space="preserve"> without control variables.</w:t>
            </w:r>
          </w:p>
          <w:p w14:paraId="11DE0A6B" w14:textId="5A0F42B2" w:rsidR="00FE3708" w:rsidRPr="00601251" w:rsidRDefault="00FE3708" w:rsidP="00FE3708">
            <w:pPr>
              <w:autoSpaceDE w:val="0"/>
              <w:autoSpaceDN w:val="0"/>
              <w:adjustRightInd w:val="0"/>
              <w:spacing w:after="0" w:line="320" w:lineRule="atLeast"/>
              <w:ind w:left="60" w:right="60"/>
              <w:jc w:val="center"/>
              <w:rPr>
                <w:rFonts w:ascii="Sylfaen" w:eastAsiaTheme="minorHAnsi" w:hAnsi="Sylfaen" w:cs="Arial"/>
                <w:sz w:val="20"/>
                <w:szCs w:val="20"/>
              </w:rPr>
            </w:pPr>
          </w:p>
        </w:tc>
      </w:tr>
      <w:tr w:rsidR="00FE3708" w:rsidRPr="00FE3708" w14:paraId="2514974D" w14:textId="77777777" w:rsidTr="002900D7">
        <w:trPr>
          <w:cantSplit/>
          <w:jc w:val="center"/>
        </w:trPr>
        <w:tc>
          <w:tcPr>
            <w:tcW w:w="798" w:type="dxa"/>
            <w:tcBorders>
              <w:top w:val="nil"/>
              <w:left w:val="nil"/>
              <w:bottom w:val="single" w:sz="8" w:space="0" w:color="152935"/>
              <w:right w:val="nil"/>
            </w:tcBorders>
            <w:shd w:val="clear" w:color="auto" w:fill="FFFFFF"/>
            <w:vAlign w:val="bottom"/>
          </w:tcPr>
          <w:p w14:paraId="271804C4" w14:textId="77777777" w:rsidR="00FE3708" w:rsidRPr="007E2885" w:rsidRDefault="00FE3708" w:rsidP="00FE3708">
            <w:pPr>
              <w:autoSpaceDE w:val="0"/>
              <w:autoSpaceDN w:val="0"/>
              <w:adjustRightInd w:val="0"/>
              <w:spacing w:after="0" w:line="320" w:lineRule="atLeast"/>
              <w:ind w:left="60" w:right="60"/>
              <w:rPr>
                <w:rFonts w:ascii="Sylfaen" w:eastAsiaTheme="minorHAnsi" w:hAnsi="Sylfaen" w:cs="Arial"/>
                <w:sz w:val="20"/>
                <w:szCs w:val="20"/>
                <w:lang w:val="nl-NL"/>
              </w:rPr>
            </w:pPr>
            <w:r w:rsidRPr="007E2885">
              <w:rPr>
                <w:rFonts w:ascii="Sylfaen" w:eastAsiaTheme="minorHAnsi" w:hAnsi="Sylfaen" w:cs="Arial"/>
                <w:b/>
                <w:sz w:val="20"/>
                <w:szCs w:val="20"/>
                <w:lang w:val="nl-NL"/>
              </w:rPr>
              <w:t>Model</w:t>
            </w:r>
          </w:p>
        </w:tc>
        <w:tc>
          <w:tcPr>
            <w:tcW w:w="1030" w:type="dxa"/>
            <w:tcBorders>
              <w:top w:val="nil"/>
              <w:left w:val="nil"/>
              <w:bottom w:val="single" w:sz="8" w:space="0" w:color="152935"/>
              <w:right w:val="single" w:sz="8" w:space="0" w:color="E0E0E0"/>
            </w:tcBorders>
            <w:shd w:val="clear" w:color="auto" w:fill="FFFFFF"/>
            <w:vAlign w:val="bottom"/>
          </w:tcPr>
          <w:p w14:paraId="5F7BAA3B"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R</w:t>
            </w:r>
          </w:p>
        </w:tc>
        <w:tc>
          <w:tcPr>
            <w:tcW w:w="1092" w:type="dxa"/>
            <w:tcBorders>
              <w:top w:val="nil"/>
              <w:left w:val="single" w:sz="8" w:space="0" w:color="E0E0E0"/>
              <w:bottom w:val="single" w:sz="8" w:space="0" w:color="152935"/>
              <w:right w:val="single" w:sz="8" w:space="0" w:color="E0E0E0"/>
            </w:tcBorders>
            <w:shd w:val="clear" w:color="auto" w:fill="FFFFFF"/>
            <w:vAlign w:val="bottom"/>
          </w:tcPr>
          <w:p w14:paraId="263E8585"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R Square</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479506A6" w14:textId="04BD51FF"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Adjusted R Square</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3B2CE526"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rPr>
            </w:pPr>
            <w:r w:rsidRPr="007E2885">
              <w:rPr>
                <w:rFonts w:ascii="Sylfaen" w:eastAsiaTheme="minorHAnsi" w:hAnsi="Sylfaen" w:cs="Arial"/>
                <w:b/>
                <w:sz w:val="20"/>
                <w:szCs w:val="20"/>
              </w:rPr>
              <w:t>Std. Error of the Estimate</w:t>
            </w:r>
          </w:p>
        </w:tc>
        <w:tc>
          <w:tcPr>
            <w:tcW w:w="1476" w:type="dxa"/>
            <w:tcBorders>
              <w:top w:val="nil"/>
              <w:left w:val="single" w:sz="8" w:space="0" w:color="E0E0E0"/>
              <w:bottom w:val="single" w:sz="8" w:space="0" w:color="152935"/>
              <w:right w:val="nil"/>
            </w:tcBorders>
            <w:shd w:val="clear" w:color="auto" w:fill="FFFFFF"/>
            <w:vAlign w:val="bottom"/>
          </w:tcPr>
          <w:p w14:paraId="445FAA49"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Durbin-Watson</w:t>
            </w:r>
          </w:p>
        </w:tc>
      </w:tr>
      <w:tr w:rsidR="00FE3708" w:rsidRPr="00FE3708" w14:paraId="63271D9D" w14:textId="77777777" w:rsidTr="007E2885">
        <w:trPr>
          <w:cantSplit/>
          <w:jc w:val="center"/>
        </w:trPr>
        <w:tc>
          <w:tcPr>
            <w:tcW w:w="798" w:type="dxa"/>
            <w:tcBorders>
              <w:top w:val="single" w:sz="8" w:space="0" w:color="152935"/>
              <w:left w:val="nil"/>
              <w:bottom w:val="single" w:sz="8" w:space="0" w:color="152935"/>
              <w:right w:val="nil"/>
            </w:tcBorders>
            <w:shd w:val="clear" w:color="auto" w:fill="auto"/>
          </w:tcPr>
          <w:p w14:paraId="21FD2437" w14:textId="77777777" w:rsidR="00FE3708" w:rsidRPr="007E2885" w:rsidRDefault="00FE3708" w:rsidP="00FE3708">
            <w:pPr>
              <w:autoSpaceDE w:val="0"/>
              <w:autoSpaceDN w:val="0"/>
              <w:adjustRightInd w:val="0"/>
              <w:spacing w:after="0" w:line="320" w:lineRule="atLeast"/>
              <w:ind w:left="60" w:right="60"/>
              <w:rPr>
                <w:rFonts w:ascii="Sylfaen" w:eastAsiaTheme="minorHAnsi" w:hAnsi="Sylfaen" w:cs="Arial"/>
                <w:sz w:val="20"/>
                <w:szCs w:val="20"/>
                <w:lang w:val="nl-NL"/>
              </w:rPr>
            </w:pPr>
            <w:r w:rsidRPr="007E2885">
              <w:rPr>
                <w:rFonts w:ascii="Sylfaen" w:eastAsiaTheme="minorHAnsi" w:hAnsi="Sylfaen" w:cs="Arial"/>
                <w:sz w:val="20"/>
                <w:szCs w:val="20"/>
                <w:lang w:val="nl-NL"/>
              </w:rPr>
              <w:t>1</w:t>
            </w:r>
          </w:p>
        </w:tc>
        <w:tc>
          <w:tcPr>
            <w:tcW w:w="1030" w:type="dxa"/>
            <w:tcBorders>
              <w:top w:val="single" w:sz="8" w:space="0" w:color="152935"/>
              <w:left w:val="nil"/>
              <w:bottom w:val="single" w:sz="8" w:space="0" w:color="152935"/>
              <w:right w:val="single" w:sz="8" w:space="0" w:color="E0E0E0"/>
            </w:tcBorders>
            <w:shd w:val="clear" w:color="auto" w:fill="FFFFFF"/>
          </w:tcPr>
          <w:p w14:paraId="07631126"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,322</w:t>
            </w:r>
            <w:r w:rsidRPr="007E2885">
              <w:rPr>
                <w:rFonts w:ascii="Sylfaen" w:eastAsiaTheme="minorHAnsi" w:hAnsi="Sylfaen" w:cs="Arial"/>
                <w:sz w:val="20"/>
                <w:szCs w:val="20"/>
                <w:vertAlign w:val="superscript"/>
                <w:lang w:val="nl-NL"/>
              </w:rPr>
              <w:t>a</w:t>
            </w:r>
          </w:p>
        </w:tc>
        <w:tc>
          <w:tcPr>
            <w:tcW w:w="1092" w:type="dxa"/>
            <w:tcBorders>
              <w:top w:val="single" w:sz="8" w:space="0" w:color="152935"/>
              <w:left w:val="single" w:sz="8" w:space="0" w:color="E0E0E0"/>
              <w:bottom w:val="single" w:sz="8" w:space="0" w:color="152935"/>
              <w:right w:val="single" w:sz="8" w:space="0" w:color="E0E0E0"/>
            </w:tcBorders>
            <w:shd w:val="clear" w:color="auto" w:fill="FFFFFF"/>
          </w:tcPr>
          <w:p w14:paraId="7E9596FF"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,103</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14:paraId="4BCEBDAE" w14:textId="70E57C01"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,096</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14:paraId="554F9E97"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1,279</w:t>
            </w:r>
          </w:p>
        </w:tc>
        <w:tc>
          <w:tcPr>
            <w:tcW w:w="1476" w:type="dxa"/>
            <w:tcBorders>
              <w:top w:val="single" w:sz="8" w:space="0" w:color="152935"/>
              <w:left w:val="single" w:sz="8" w:space="0" w:color="E0E0E0"/>
              <w:bottom w:val="single" w:sz="8" w:space="0" w:color="152935"/>
              <w:right w:val="nil"/>
            </w:tcBorders>
            <w:shd w:val="clear" w:color="auto" w:fill="FFFFFF"/>
          </w:tcPr>
          <w:p w14:paraId="6A83F3A6"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1,760</w:t>
            </w:r>
          </w:p>
        </w:tc>
      </w:tr>
      <w:tr w:rsidR="00FE3708" w:rsidRPr="00FE3708" w14:paraId="3F6CF261" w14:textId="77777777" w:rsidTr="002900D7">
        <w:trPr>
          <w:cantSplit/>
          <w:jc w:val="center"/>
        </w:trPr>
        <w:tc>
          <w:tcPr>
            <w:tcW w:w="7348" w:type="dxa"/>
            <w:gridSpan w:val="6"/>
            <w:tcBorders>
              <w:top w:val="nil"/>
              <w:left w:val="nil"/>
              <w:bottom w:val="nil"/>
              <w:right w:val="nil"/>
            </w:tcBorders>
            <w:shd w:val="clear" w:color="auto" w:fill="FFFFFF"/>
          </w:tcPr>
          <w:p w14:paraId="6EA808F8" w14:textId="01D0FD03" w:rsidR="00FE3708" w:rsidRPr="007E2885" w:rsidRDefault="00FE3708" w:rsidP="00FE3708">
            <w:pPr>
              <w:autoSpaceDE w:val="0"/>
              <w:autoSpaceDN w:val="0"/>
              <w:adjustRightInd w:val="0"/>
              <w:spacing w:after="0" w:line="320" w:lineRule="atLeast"/>
              <w:ind w:left="60" w:right="60"/>
              <w:rPr>
                <w:rFonts w:ascii="Sylfaen" w:eastAsiaTheme="minorHAnsi" w:hAnsi="Sylfaen" w:cs="Arial"/>
                <w:sz w:val="20"/>
                <w:szCs w:val="20"/>
              </w:rPr>
            </w:pPr>
            <w:r w:rsidRPr="007E2885">
              <w:rPr>
                <w:rFonts w:ascii="Sylfaen" w:eastAsiaTheme="minorHAnsi" w:hAnsi="Sylfaen" w:cs="Arial"/>
                <w:sz w:val="20"/>
                <w:szCs w:val="20"/>
              </w:rPr>
              <w:t>a. Predictors: (Constant), PopOpMS, Number of times discussed, Consultations, AvWOpMS, NumOpMS</w:t>
            </w:r>
          </w:p>
        </w:tc>
      </w:tr>
      <w:tr w:rsidR="00FE3708" w:rsidRPr="00FE3708" w14:paraId="4A84B0FE" w14:textId="77777777" w:rsidTr="002900D7">
        <w:trPr>
          <w:cantSplit/>
          <w:jc w:val="center"/>
        </w:trPr>
        <w:tc>
          <w:tcPr>
            <w:tcW w:w="7348" w:type="dxa"/>
            <w:gridSpan w:val="6"/>
            <w:tcBorders>
              <w:top w:val="nil"/>
              <w:left w:val="nil"/>
              <w:bottom w:val="nil"/>
              <w:right w:val="nil"/>
            </w:tcBorders>
            <w:shd w:val="clear" w:color="auto" w:fill="FFFFFF"/>
          </w:tcPr>
          <w:p w14:paraId="519B3673" w14:textId="6811121D" w:rsidR="00FE3708" w:rsidRPr="007E2885" w:rsidRDefault="00FE3708" w:rsidP="00FE3708">
            <w:pPr>
              <w:autoSpaceDE w:val="0"/>
              <w:autoSpaceDN w:val="0"/>
              <w:adjustRightInd w:val="0"/>
              <w:spacing w:after="0" w:line="320" w:lineRule="atLeast"/>
              <w:ind w:left="60" w:right="60"/>
              <w:rPr>
                <w:rFonts w:ascii="Sylfaen" w:eastAsiaTheme="minorHAnsi" w:hAnsi="Sylfaen" w:cs="Arial"/>
                <w:sz w:val="20"/>
                <w:szCs w:val="20"/>
                <w:lang w:val="nl-NL"/>
              </w:rPr>
            </w:pPr>
            <w:r w:rsidRPr="007E2885">
              <w:rPr>
                <w:rFonts w:ascii="Sylfaen" w:eastAsiaTheme="minorHAnsi" w:hAnsi="Sylfaen" w:cs="Arial"/>
                <w:sz w:val="20"/>
                <w:szCs w:val="20"/>
                <w:lang w:val="nl-NL"/>
              </w:rPr>
              <w:t>b. Dependent Variable: Compliance</w:t>
            </w:r>
          </w:p>
        </w:tc>
      </w:tr>
      <w:tr w:rsidR="005C560A" w:rsidRPr="005C560A" w14:paraId="76E33696" w14:textId="77777777" w:rsidTr="002900D7">
        <w:trPr>
          <w:cantSplit/>
          <w:jc w:val="center"/>
        </w:trPr>
        <w:tc>
          <w:tcPr>
            <w:tcW w:w="7348" w:type="dxa"/>
            <w:gridSpan w:val="6"/>
            <w:tcBorders>
              <w:top w:val="nil"/>
              <w:left w:val="nil"/>
              <w:bottom w:val="nil"/>
              <w:right w:val="nil"/>
            </w:tcBorders>
            <w:shd w:val="clear" w:color="auto" w:fill="FFFFFF"/>
          </w:tcPr>
          <w:p w14:paraId="5F86EA98" w14:textId="71C59B3B" w:rsidR="005C560A" w:rsidRPr="00A066F2" w:rsidRDefault="002900D7" w:rsidP="00FE3708">
            <w:pPr>
              <w:autoSpaceDE w:val="0"/>
              <w:autoSpaceDN w:val="0"/>
              <w:adjustRightInd w:val="0"/>
              <w:spacing w:after="0" w:line="320" w:lineRule="atLeast"/>
              <w:ind w:left="60" w:right="60"/>
              <w:rPr>
                <w:rFonts w:ascii="Arial" w:eastAsiaTheme="minorHAnsi" w:hAnsi="Arial" w:cs="Arial"/>
                <w:color w:val="010205"/>
                <w:sz w:val="18"/>
                <w:szCs w:val="18"/>
              </w:rPr>
            </w:pPr>
            <w:r>
              <w:rPr>
                <w:noProof/>
              </w:rPr>
              <mc:AlternateContent>
                <mc:Choice Requires="wps">
                  <w:drawing>
                    <wp:anchor distT="0" distB="0" distL="114300" distR="114300" simplePos="0" relativeHeight="251659776" behindDoc="0" locked="0" layoutInCell="1" allowOverlap="1" wp14:anchorId="745E0C5B" wp14:editId="7B8D6D92">
                      <wp:simplePos x="0" y="0"/>
                      <wp:positionH relativeFrom="margin">
                        <wp:posOffset>-69215</wp:posOffset>
                      </wp:positionH>
                      <wp:positionV relativeFrom="paragraph">
                        <wp:posOffset>182880</wp:posOffset>
                      </wp:positionV>
                      <wp:extent cx="4921250" cy="1778000"/>
                      <wp:effectExtent l="0" t="0" r="12700" b="12700"/>
                      <wp:wrapNone/>
                      <wp:docPr id="8" name="Rectangle 8"/>
                      <wp:cNvGraphicFramePr/>
                      <a:graphic xmlns:a="http://schemas.openxmlformats.org/drawingml/2006/main">
                        <a:graphicData uri="http://schemas.microsoft.com/office/word/2010/wordprocessingShape">
                          <wps:wsp>
                            <wps:cNvSpPr/>
                            <wps:spPr>
                              <a:xfrm>
                                <a:off x="0" y="0"/>
                                <a:ext cx="4921250" cy="17780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EB3980" id="Rectangle 8" o:spid="_x0000_s1026" style="position:absolute;margin-left:-5.45pt;margin-top:14.4pt;width:387.5pt;height:140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" filled="f" strokecolor="black [3213]" strokeweight="1.5pt">
                      <w10:wrap anchorx="margin"/>
                    </v:rect>
                  </w:pict>
                </mc:Fallback>
              </mc:AlternateContent>
            </w:r>
          </w:p>
          <w:p w14:paraId="55E2BFC1" w14:textId="3FC35CF2" w:rsidR="005C560A" w:rsidRPr="007E2885" w:rsidRDefault="000357F6" w:rsidP="007E2885">
            <w:pPr>
              <w:autoSpaceDE w:val="0"/>
              <w:autoSpaceDN w:val="0"/>
              <w:adjustRightInd w:val="0"/>
              <w:spacing w:after="0" w:line="320" w:lineRule="atLeast"/>
              <w:ind w:left="60" w:right="60"/>
              <w:rPr>
                <w:rFonts w:ascii="Sylfaen" w:eastAsiaTheme="minorHAnsi" w:hAnsi="Sylfaen" w:cs="Times New Roman"/>
                <w:i/>
                <w:color w:val="010205"/>
              </w:rPr>
            </w:pPr>
            <w:r w:rsidRPr="007E2885">
              <w:rPr>
                <w:rFonts w:ascii="Sylfaen" w:eastAsiaTheme="minorHAnsi" w:hAnsi="Sylfaen" w:cs="Times New Roman"/>
                <w:i/>
                <w:color w:val="010205"/>
                <w:sz w:val="20"/>
              </w:rPr>
              <w:t xml:space="preserve">Table </w:t>
            </w:r>
            <w:r w:rsidR="008C0E96" w:rsidRPr="007E2885">
              <w:rPr>
                <w:rFonts w:ascii="Sylfaen" w:eastAsiaTheme="minorHAnsi" w:hAnsi="Sylfaen" w:cs="Times New Roman"/>
                <w:i/>
                <w:color w:val="010205"/>
                <w:sz w:val="20"/>
              </w:rPr>
              <w:t>5</w:t>
            </w:r>
            <w:r w:rsidR="005C560A" w:rsidRPr="007E2885">
              <w:rPr>
                <w:rFonts w:ascii="Sylfaen" w:eastAsiaTheme="minorHAnsi" w:hAnsi="Sylfaen" w:cs="Times New Roman"/>
                <w:i/>
                <w:color w:val="010205"/>
                <w:sz w:val="20"/>
              </w:rPr>
              <w:t>: The Durbin-Watson test with control variables.</w:t>
            </w:r>
            <w:r w:rsidR="002900D7" w:rsidRPr="007E2885">
              <w:rPr>
                <w:rFonts w:ascii="Sylfaen" w:hAnsi="Sylfaen" w:cs="Times New Roman"/>
                <w:noProof/>
                <w:sz w:val="20"/>
                <w:lang w:eastAsia="nl-NL"/>
              </w:rPr>
              <w:t xml:space="preserve"> </w:t>
            </w:r>
          </w:p>
        </w:tc>
      </w:tr>
      <w:tr w:rsidR="005C560A" w:rsidRPr="001B7053" w14:paraId="1B87208E" w14:textId="77777777" w:rsidTr="002900D7">
        <w:trPr>
          <w:cantSplit/>
          <w:jc w:val="center"/>
        </w:trPr>
        <w:tc>
          <w:tcPr>
            <w:tcW w:w="7348" w:type="dxa"/>
            <w:gridSpan w:val="6"/>
            <w:tcBorders>
              <w:top w:val="nil"/>
              <w:left w:val="nil"/>
              <w:bottom w:val="nil"/>
              <w:right w:val="nil"/>
            </w:tcBorders>
            <w:shd w:val="clear" w:color="auto" w:fill="FFFFFF"/>
            <w:vAlign w:val="center"/>
          </w:tcPr>
          <w:p w14:paraId="05B212C7" w14:textId="2AF84A38" w:rsidR="005C560A" w:rsidRPr="00601251" w:rsidRDefault="005C560A" w:rsidP="007E2885">
            <w:pPr>
              <w:autoSpaceDE w:val="0"/>
              <w:autoSpaceDN w:val="0"/>
              <w:adjustRightInd w:val="0"/>
              <w:spacing w:after="0" w:line="320" w:lineRule="atLeast"/>
              <w:ind w:right="60"/>
              <w:rPr>
                <w:rFonts w:ascii="Sylfaen" w:eastAsiaTheme="minorHAnsi" w:hAnsi="Sylfaen" w:cs="Arial"/>
                <w:sz w:val="20"/>
                <w:szCs w:val="20"/>
              </w:rPr>
            </w:pPr>
          </w:p>
        </w:tc>
      </w:tr>
      <w:tr w:rsidR="005C560A" w:rsidRPr="001B7053" w14:paraId="6A8C0AA3" w14:textId="77777777" w:rsidTr="002900D7">
        <w:trPr>
          <w:cantSplit/>
          <w:jc w:val="center"/>
        </w:trPr>
        <w:tc>
          <w:tcPr>
            <w:tcW w:w="798" w:type="dxa"/>
            <w:tcBorders>
              <w:top w:val="nil"/>
              <w:left w:val="nil"/>
              <w:bottom w:val="single" w:sz="8" w:space="0" w:color="152935"/>
              <w:right w:val="nil"/>
            </w:tcBorders>
            <w:shd w:val="clear" w:color="auto" w:fill="FFFFFF"/>
            <w:vAlign w:val="bottom"/>
          </w:tcPr>
          <w:p w14:paraId="29F8AD45" w14:textId="77777777" w:rsidR="005C560A" w:rsidRPr="007E2885" w:rsidRDefault="005C560A" w:rsidP="004B1CD6">
            <w:pPr>
              <w:autoSpaceDE w:val="0"/>
              <w:autoSpaceDN w:val="0"/>
              <w:adjustRightInd w:val="0"/>
              <w:spacing w:after="0" w:line="320" w:lineRule="atLeast"/>
              <w:ind w:left="60" w:right="60"/>
              <w:rPr>
                <w:rFonts w:ascii="Sylfaen" w:eastAsiaTheme="minorHAnsi" w:hAnsi="Sylfaen" w:cs="Arial"/>
                <w:b/>
                <w:sz w:val="20"/>
                <w:szCs w:val="20"/>
                <w:lang w:val="nl-NL"/>
              </w:rPr>
            </w:pPr>
            <w:r w:rsidRPr="007E2885">
              <w:rPr>
                <w:rFonts w:ascii="Sylfaen" w:eastAsiaTheme="minorHAnsi" w:hAnsi="Sylfaen" w:cs="Arial"/>
                <w:b/>
                <w:sz w:val="20"/>
                <w:szCs w:val="20"/>
                <w:lang w:val="nl-NL"/>
              </w:rPr>
              <w:t>Model</w:t>
            </w:r>
          </w:p>
        </w:tc>
        <w:tc>
          <w:tcPr>
            <w:tcW w:w="1030" w:type="dxa"/>
            <w:tcBorders>
              <w:top w:val="nil"/>
              <w:left w:val="nil"/>
              <w:bottom w:val="single" w:sz="8" w:space="0" w:color="152935"/>
              <w:right w:val="single" w:sz="8" w:space="0" w:color="E0E0E0"/>
            </w:tcBorders>
            <w:shd w:val="clear" w:color="auto" w:fill="FFFFFF"/>
            <w:vAlign w:val="bottom"/>
          </w:tcPr>
          <w:p w14:paraId="441C070F" w14:textId="77777777" w:rsidR="005C560A" w:rsidRPr="007E2885" w:rsidRDefault="005C560A" w:rsidP="004B1CD6">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R</w:t>
            </w:r>
          </w:p>
        </w:tc>
        <w:tc>
          <w:tcPr>
            <w:tcW w:w="1092" w:type="dxa"/>
            <w:tcBorders>
              <w:top w:val="nil"/>
              <w:left w:val="single" w:sz="8" w:space="0" w:color="E0E0E0"/>
              <w:bottom w:val="single" w:sz="8" w:space="0" w:color="152935"/>
              <w:right w:val="single" w:sz="8" w:space="0" w:color="E0E0E0"/>
            </w:tcBorders>
            <w:shd w:val="clear" w:color="auto" w:fill="FFFFFF"/>
            <w:vAlign w:val="bottom"/>
          </w:tcPr>
          <w:p w14:paraId="02479FDF" w14:textId="77777777" w:rsidR="005C560A" w:rsidRPr="007E2885" w:rsidRDefault="005C560A" w:rsidP="004B1CD6">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R Square</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10CCE430" w14:textId="77777777" w:rsidR="005C560A" w:rsidRPr="007E2885" w:rsidRDefault="005C560A" w:rsidP="004B1CD6">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Adjusted R Square</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1F5AC56E" w14:textId="77777777" w:rsidR="005C560A" w:rsidRPr="007E2885" w:rsidRDefault="005C560A" w:rsidP="004B1CD6">
            <w:pPr>
              <w:autoSpaceDE w:val="0"/>
              <w:autoSpaceDN w:val="0"/>
              <w:adjustRightInd w:val="0"/>
              <w:spacing w:after="0" w:line="320" w:lineRule="atLeast"/>
              <w:ind w:left="60" w:right="60"/>
              <w:jc w:val="center"/>
              <w:rPr>
                <w:rFonts w:ascii="Sylfaen" w:eastAsiaTheme="minorHAnsi" w:hAnsi="Sylfaen" w:cs="Arial"/>
                <w:b/>
                <w:sz w:val="20"/>
                <w:szCs w:val="20"/>
              </w:rPr>
            </w:pPr>
            <w:r w:rsidRPr="007E2885">
              <w:rPr>
                <w:rFonts w:ascii="Sylfaen" w:eastAsiaTheme="minorHAnsi" w:hAnsi="Sylfaen" w:cs="Arial"/>
                <w:b/>
                <w:sz w:val="20"/>
                <w:szCs w:val="20"/>
              </w:rPr>
              <w:t>Std. Error of the Estimate</w:t>
            </w:r>
          </w:p>
        </w:tc>
        <w:tc>
          <w:tcPr>
            <w:tcW w:w="1476" w:type="dxa"/>
            <w:tcBorders>
              <w:top w:val="nil"/>
              <w:left w:val="single" w:sz="8" w:space="0" w:color="E0E0E0"/>
              <w:bottom w:val="single" w:sz="8" w:space="0" w:color="152935"/>
              <w:right w:val="nil"/>
            </w:tcBorders>
            <w:shd w:val="clear" w:color="auto" w:fill="FFFFFF"/>
            <w:vAlign w:val="bottom"/>
          </w:tcPr>
          <w:p w14:paraId="7854DC15" w14:textId="77777777" w:rsidR="005C560A" w:rsidRPr="007E2885" w:rsidRDefault="005C560A" w:rsidP="004B1CD6">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Durbin-Watson</w:t>
            </w:r>
          </w:p>
        </w:tc>
      </w:tr>
      <w:tr w:rsidR="005C560A" w:rsidRPr="001B7053" w14:paraId="2DA24691" w14:textId="77777777" w:rsidTr="007E2885">
        <w:trPr>
          <w:cantSplit/>
          <w:jc w:val="center"/>
        </w:trPr>
        <w:tc>
          <w:tcPr>
            <w:tcW w:w="798" w:type="dxa"/>
            <w:tcBorders>
              <w:top w:val="single" w:sz="8" w:space="0" w:color="152935"/>
              <w:left w:val="nil"/>
              <w:bottom w:val="single" w:sz="8" w:space="0" w:color="152935"/>
              <w:right w:val="nil"/>
            </w:tcBorders>
            <w:shd w:val="clear" w:color="auto" w:fill="auto"/>
          </w:tcPr>
          <w:p w14:paraId="1980F68B" w14:textId="77777777" w:rsidR="005C560A" w:rsidRPr="007E2885" w:rsidRDefault="005C560A" w:rsidP="004B1CD6">
            <w:pPr>
              <w:autoSpaceDE w:val="0"/>
              <w:autoSpaceDN w:val="0"/>
              <w:adjustRightInd w:val="0"/>
              <w:spacing w:after="0" w:line="320" w:lineRule="atLeast"/>
              <w:ind w:left="60" w:right="60"/>
              <w:rPr>
                <w:rFonts w:ascii="Sylfaen" w:eastAsiaTheme="minorHAnsi" w:hAnsi="Sylfaen" w:cs="Arial"/>
                <w:sz w:val="20"/>
                <w:szCs w:val="20"/>
                <w:lang w:val="nl-NL"/>
              </w:rPr>
            </w:pPr>
            <w:r w:rsidRPr="007E2885">
              <w:rPr>
                <w:rFonts w:ascii="Sylfaen" w:eastAsiaTheme="minorHAnsi" w:hAnsi="Sylfaen" w:cs="Arial"/>
                <w:sz w:val="20"/>
                <w:szCs w:val="20"/>
                <w:lang w:val="nl-NL"/>
              </w:rPr>
              <w:t>1</w:t>
            </w:r>
          </w:p>
        </w:tc>
        <w:tc>
          <w:tcPr>
            <w:tcW w:w="1030" w:type="dxa"/>
            <w:tcBorders>
              <w:top w:val="single" w:sz="8" w:space="0" w:color="152935"/>
              <w:left w:val="nil"/>
              <w:bottom w:val="single" w:sz="8" w:space="0" w:color="152935"/>
              <w:right w:val="single" w:sz="8" w:space="0" w:color="E0E0E0"/>
            </w:tcBorders>
            <w:shd w:val="clear" w:color="auto" w:fill="FFFFFF"/>
          </w:tcPr>
          <w:p w14:paraId="037EF87C" w14:textId="77777777" w:rsidR="005C560A" w:rsidRPr="007E2885" w:rsidRDefault="005C560A" w:rsidP="004B1CD6">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,350</w:t>
            </w:r>
            <w:r w:rsidRPr="007E2885">
              <w:rPr>
                <w:rFonts w:ascii="Sylfaen" w:eastAsiaTheme="minorHAnsi" w:hAnsi="Sylfaen" w:cs="Arial"/>
                <w:sz w:val="20"/>
                <w:szCs w:val="20"/>
                <w:vertAlign w:val="superscript"/>
                <w:lang w:val="nl-NL"/>
              </w:rPr>
              <w:t>a</w:t>
            </w:r>
          </w:p>
        </w:tc>
        <w:tc>
          <w:tcPr>
            <w:tcW w:w="1092" w:type="dxa"/>
            <w:tcBorders>
              <w:top w:val="single" w:sz="8" w:space="0" w:color="152935"/>
              <w:left w:val="single" w:sz="8" w:space="0" w:color="E0E0E0"/>
              <w:bottom w:val="single" w:sz="8" w:space="0" w:color="152935"/>
              <w:right w:val="single" w:sz="8" w:space="0" w:color="E0E0E0"/>
            </w:tcBorders>
            <w:shd w:val="clear" w:color="auto" w:fill="FFFFFF"/>
          </w:tcPr>
          <w:p w14:paraId="390F5330" w14:textId="77777777" w:rsidR="005C560A" w:rsidRPr="007E2885" w:rsidRDefault="005C560A" w:rsidP="004B1CD6">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,123</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14:paraId="1BF71D60" w14:textId="77777777" w:rsidR="005C560A" w:rsidRPr="007E2885" w:rsidRDefault="005C560A" w:rsidP="004B1CD6">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,107</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14:paraId="722EA38B" w14:textId="77777777" w:rsidR="005C560A" w:rsidRPr="007E2885" w:rsidRDefault="005C560A" w:rsidP="004B1CD6">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1,271</w:t>
            </w:r>
          </w:p>
        </w:tc>
        <w:tc>
          <w:tcPr>
            <w:tcW w:w="1476" w:type="dxa"/>
            <w:tcBorders>
              <w:top w:val="single" w:sz="8" w:space="0" w:color="152935"/>
              <w:left w:val="single" w:sz="8" w:space="0" w:color="E0E0E0"/>
              <w:bottom w:val="single" w:sz="8" w:space="0" w:color="152935"/>
              <w:right w:val="nil"/>
            </w:tcBorders>
            <w:shd w:val="clear" w:color="auto" w:fill="FFFFFF"/>
          </w:tcPr>
          <w:p w14:paraId="02450A21" w14:textId="77777777" w:rsidR="005C560A" w:rsidRPr="007E2885" w:rsidRDefault="005C560A" w:rsidP="004B1CD6">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1,800</w:t>
            </w:r>
          </w:p>
        </w:tc>
      </w:tr>
      <w:tr w:rsidR="005C560A" w:rsidRPr="001B7053" w14:paraId="727DA49F" w14:textId="77777777" w:rsidTr="002900D7">
        <w:trPr>
          <w:cantSplit/>
          <w:jc w:val="center"/>
        </w:trPr>
        <w:tc>
          <w:tcPr>
            <w:tcW w:w="7348" w:type="dxa"/>
            <w:gridSpan w:val="6"/>
            <w:tcBorders>
              <w:top w:val="nil"/>
              <w:left w:val="nil"/>
              <w:bottom w:val="nil"/>
              <w:right w:val="nil"/>
            </w:tcBorders>
            <w:shd w:val="clear" w:color="auto" w:fill="FFFFFF"/>
          </w:tcPr>
          <w:p w14:paraId="4579F375" w14:textId="77777777" w:rsidR="005C560A" w:rsidRPr="007E2885" w:rsidRDefault="005C560A" w:rsidP="004B1CD6">
            <w:pPr>
              <w:autoSpaceDE w:val="0"/>
              <w:autoSpaceDN w:val="0"/>
              <w:adjustRightInd w:val="0"/>
              <w:spacing w:after="0" w:line="320" w:lineRule="atLeast"/>
              <w:ind w:left="60" w:right="60"/>
              <w:rPr>
                <w:rFonts w:ascii="Sylfaen" w:eastAsiaTheme="minorHAnsi" w:hAnsi="Sylfaen" w:cs="Arial"/>
                <w:sz w:val="20"/>
                <w:szCs w:val="20"/>
              </w:rPr>
            </w:pPr>
            <w:r w:rsidRPr="007E2885">
              <w:rPr>
                <w:rFonts w:ascii="Sylfaen" w:eastAsiaTheme="minorHAnsi" w:hAnsi="Sylfaen" w:cs="Arial"/>
                <w:sz w:val="20"/>
                <w:szCs w:val="20"/>
              </w:rPr>
              <w:t>a. Predictors: (Constant), MS2004, AvWOpMS, Stance, Number of times discussed, Nordic, NumOpMS, Consultations, GDP, QGI, PopOpMS, Corruption</w:t>
            </w:r>
          </w:p>
        </w:tc>
      </w:tr>
      <w:tr w:rsidR="005C560A" w:rsidRPr="001B7053" w14:paraId="6DD86BEE" w14:textId="77777777" w:rsidTr="002900D7">
        <w:trPr>
          <w:cantSplit/>
          <w:jc w:val="center"/>
        </w:trPr>
        <w:tc>
          <w:tcPr>
            <w:tcW w:w="7348" w:type="dxa"/>
            <w:gridSpan w:val="6"/>
            <w:tcBorders>
              <w:top w:val="nil"/>
              <w:left w:val="nil"/>
              <w:bottom w:val="nil"/>
              <w:right w:val="nil"/>
            </w:tcBorders>
            <w:shd w:val="clear" w:color="auto" w:fill="FFFFFF"/>
          </w:tcPr>
          <w:p w14:paraId="59214EC9" w14:textId="77777777" w:rsidR="005C560A" w:rsidRPr="007E2885" w:rsidRDefault="005C560A" w:rsidP="004B1CD6">
            <w:pPr>
              <w:autoSpaceDE w:val="0"/>
              <w:autoSpaceDN w:val="0"/>
              <w:adjustRightInd w:val="0"/>
              <w:spacing w:after="0" w:line="320" w:lineRule="atLeast"/>
              <w:ind w:left="60" w:right="60"/>
              <w:rPr>
                <w:rFonts w:ascii="Sylfaen" w:eastAsiaTheme="minorHAnsi" w:hAnsi="Sylfaen" w:cs="Arial"/>
                <w:sz w:val="20"/>
                <w:szCs w:val="20"/>
                <w:lang w:val="nl-NL"/>
              </w:rPr>
            </w:pPr>
            <w:r w:rsidRPr="007E2885">
              <w:rPr>
                <w:rFonts w:ascii="Sylfaen" w:eastAsiaTheme="minorHAnsi" w:hAnsi="Sylfaen" w:cs="Arial"/>
                <w:sz w:val="20"/>
                <w:szCs w:val="20"/>
                <w:lang w:val="nl-NL"/>
              </w:rPr>
              <w:t>b. Dependent Variable: Compliance</w:t>
            </w:r>
          </w:p>
        </w:tc>
      </w:tr>
    </w:tbl>
    <w:p w14:paraId="22B16D6B" w14:textId="77777777" w:rsidR="005C560A" w:rsidRPr="006A08AE" w:rsidRDefault="005C560A" w:rsidP="006A08AE">
      <w:pPr>
        <w:autoSpaceDE w:val="0"/>
        <w:autoSpaceDN w:val="0"/>
        <w:adjustRightInd w:val="0"/>
        <w:spacing w:after="0" w:line="400" w:lineRule="atLeast"/>
        <w:rPr>
          <w:rFonts w:ascii="Times New Roman" w:eastAsiaTheme="minorHAnsi" w:hAnsi="Times New Roman" w:cs="Times New Roman"/>
          <w:sz w:val="24"/>
          <w:szCs w:val="24"/>
          <w:lang w:val="nl-NL"/>
        </w:rPr>
      </w:pPr>
    </w:p>
    <w:p w14:paraId="0BBF6157" w14:textId="36720117" w:rsidR="00015C11" w:rsidRDefault="00ED5759" w:rsidP="00015C11">
      <w:pPr>
        <w:pStyle w:val="Lijstalinea"/>
        <w:numPr>
          <w:ilvl w:val="1"/>
          <w:numId w:val="31"/>
        </w:numPr>
        <w:spacing w:line="360" w:lineRule="auto"/>
      </w:pPr>
      <w:r>
        <w:t>The error term i</w:t>
      </w:r>
      <w:r w:rsidR="00015C11">
        <w:t>s normally distributed.</w:t>
      </w:r>
    </w:p>
    <w:p w14:paraId="4805F450" w14:textId="58864728" w:rsidR="00D872C5" w:rsidRDefault="00D872C5" w:rsidP="00D872C5">
      <w:pPr>
        <w:spacing w:line="360" w:lineRule="auto"/>
      </w:pPr>
      <w:r>
        <w:t xml:space="preserve">The data is </w:t>
      </w:r>
      <w:r w:rsidR="00CA6197">
        <w:t>gathered</w:t>
      </w:r>
      <w:r>
        <w:t xml:space="preserve"> randomly, so it is likely that this assumption is met. In the </w:t>
      </w:r>
      <w:r w:rsidR="008C0E96">
        <w:t>figure</w:t>
      </w:r>
      <w:r>
        <w:t xml:space="preserve"> below, the distribution of the error term is shown.</w:t>
      </w:r>
      <w:r w:rsidR="000362A0">
        <w:t xml:space="preserve"> The closer the dots are to the line, the more normal the residuals are distributed. The </w:t>
      </w:r>
      <w:r w:rsidR="00A50763">
        <w:t>values of the residuals seem</w:t>
      </w:r>
      <w:r w:rsidR="000362A0">
        <w:t xml:space="preserve"> to be quite normally distributed.  </w:t>
      </w:r>
    </w:p>
    <w:p w14:paraId="277A7343" w14:textId="3264A9F7" w:rsidR="002D152C" w:rsidRDefault="002900D7" w:rsidP="008D43D8">
      <w:pPr>
        <w:spacing w:line="360" w:lineRule="auto"/>
        <w:jc w:val="center"/>
        <w:rPr>
          <w:i/>
        </w:rPr>
      </w:pPr>
      <w:r w:rsidRPr="007E2885">
        <w:rPr>
          <w:rFonts w:ascii="Sylfaen" w:hAnsi="Sylfaen"/>
          <w:noProof/>
          <w:sz w:val="20"/>
        </w:rPr>
        <w:lastRenderedPageBreak/>
        <mc:AlternateContent>
          <mc:Choice Requires="wps">
            <w:drawing>
              <wp:anchor distT="0" distB="0" distL="114300" distR="114300" simplePos="0" relativeHeight="251655680" behindDoc="0" locked="0" layoutInCell="1" allowOverlap="1" wp14:anchorId="4C48FA34" wp14:editId="7BB1773E">
                <wp:simplePos x="0" y="0"/>
                <wp:positionH relativeFrom="margin">
                  <wp:posOffset>1221105</wp:posOffset>
                </wp:positionH>
                <wp:positionV relativeFrom="paragraph">
                  <wp:posOffset>-61595</wp:posOffset>
                </wp:positionV>
                <wp:extent cx="3289300" cy="3371850"/>
                <wp:effectExtent l="0" t="0" r="25400" b="19050"/>
                <wp:wrapNone/>
                <wp:docPr id="5" name="Rectangle 5"/>
                <wp:cNvGraphicFramePr/>
                <a:graphic xmlns:a="http://schemas.openxmlformats.org/drawingml/2006/main">
                  <a:graphicData uri="http://schemas.microsoft.com/office/word/2010/wordprocessingShape">
                    <wps:wsp>
                      <wps:cNvSpPr/>
                      <wps:spPr>
                        <a:xfrm>
                          <a:off x="0" y="0"/>
                          <a:ext cx="3289300" cy="33718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A022E9" id="Rectangle 5" o:spid="_x0000_s1026" style="position:absolute;margin-left:96.15pt;margin-top:-4.85pt;width:259pt;height:265.5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" filled="f" strokecolor="black [3213]" strokeweight="1.5pt">
                <w10:wrap anchorx="margin"/>
              </v:rect>
            </w:pict>
          </mc:Fallback>
        </mc:AlternateContent>
      </w:r>
      <w:r w:rsidR="000357F6" w:rsidRPr="007E2885">
        <w:rPr>
          <w:rFonts w:ascii="Sylfaen" w:hAnsi="Sylfaen"/>
          <w:i/>
          <w:sz w:val="20"/>
        </w:rPr>
        <w:t xml:space="preserve">Figure </w:t>
      </w:r>
      <w:r w:rsidR="007A23F1" w:rsidRPr="007E2885">
        <w:rPr>
          <w:rFonts w:ascii="Sylfaen" w:hAnsi="Sylfaen"/>
          <w:i/>
          <w:sz w:val="20"/>
        </w:rPr>
        <w:t>2</w:t>
      </w:r>
      <w:r w:rsidR="002D152C" w:rsidRPr="007E2885">
        <w:rPr>
          <w:rFonts w:ascii="Sylfaen" w:hAnsi="Sylfaen"/>
          <w:i/>
          <w:sz w:val="20"/>
        </w:rPr>
        <w:t xml:space="preserve">: </w:t>
      </w:r>
      <w:r w:rsidR="000362A0" w:rsidRPr="007E2885">
        <w:rPr>
          <w:rFonts w:ascii="Sylfaen" w:hAnsi="Sylfaen"/>
          <w:i/>
          <w:sz w:val="20"/>
        </w:rPr>
        <w:t>Distribution of the error term</w:t>
      </w:r>
      <w:r w:rsidR="000362A0" w:rsidRPr="007E2885">
        <w:rPr>
          <w:i/>
          <w:sz w:val="20"/>
        </w:rPr>
        <w:t xml:space="preserve"> </w:t>
      </w:r>
      <w:r w:rsidR="008D43D8">
        <w:rPr>
          <w:rFonts w:ascii="Times New Roman" w:eastAsiaTheme="minorHAnsi" w:hAnsi="Times New Roman" w:cs="Times New Roman"/>
          <w:noProof/>
          <w:sz w:val="24"/>
          <w:szCs w:val="24"/>
        </w:rPr>
        <w:drawing>
          <wp:inline distT="0" distB="0" distL="0" distR="0" wp14:anchorId="7992805E" wp14:editId="62387371">
            <wp:extent cx="5114379" cy="30099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21578" cy="3014137"/>
                    </a:xfrm>
                    <a:prstGeom prst="rect">
                      <a:avLst/>
                    </a:prstGeom>
                    <a:noFill/>
                    <a:ln>
                      <a:noFill/>
                    </a:ln>
                  </pic:spPr>
                </pic:pic>
              </a:graphicData>
            </a:graphic>
          </wp:inline>
        </w:drawing>
      </w:r>
    </w:p>
    <w:p w14:paraId="1FA48EC9" w14:textId="712A4B3F" w:rsidR="00681C17" w:rsidRPr="008D43D8" w:rsidRDefault="00681C17" w:rsidP="00EA01B9">
      <w:pPr>
        <w:autoSpaceDE w:val="0"/>
        <w:autoSpaceDN w:val="0"/>
        <w:adjustRightInd w:val="0"/>
        <w:spacing w:after="0" w:line="240" w:lineRule="auto"/>
        <w:jc w:val="center"/>
        <w:rPr>
          <w:rFonts w:ascii="Times New Roman" w:eastAsiaTheme="minorHAnsi" w:hAnsi="Times New Roman" w:cs="Times New Roman"/>
          <w:sz w:val="24"/>
          <w:szCs w:val="24"/>
        </w:rPr>
      </w:pPr>
    </w:p>
    <w:p w14:paraId="60DC25E2" w14:textId="4F740426" w:rsidR="00017B44" w:rsidRDefault="00D96891" w:rsidP="00017B44">
      <w:pPr>
        <w:pStyle w:val="Kop3"/>
      </w:pPr>
      <w:bookmarkStart w:id="44" w:name="_Toc3547857"/>
      <w:r>
        <w:t>4.</w:t>
      </w:r>
      <w:r w:rsidR="006D0C15">
        <w:t>1.</w:t>
      </w:r>
      <w:r>
        <w:t xml:space="preserve">3 </w:t>
      </w:r>
      <w:r w:rsidR="00E378FA">
        <w:t>Results</w:t>
      </w:r>
      <w:bookmarkEnd w:id="44"/>
    </w:p>
    <w:p w14:paraId="1B93256F" w14:textId="5B392BF6" w:rsidR="00864CAD" w:rsidRPr="000924D6" w:rsidRDefault="00C86397" w:rsidP="00017B44">
      <w:pPr>
        <w:pStyle w:val="Kop4"/>
      </w:pPr>
      <w:r>
        <w:t>4.</w:t>
      </w:r>
      <w:r w:rsidR="006D0C15">
        <w:t>1.</w:t>
      </w:r>
      <w:r>
        <w:t>3.1</w:t>
      </w:r>
      <w:r w:rsidR="00D96891">
        <w:t xml:space="preserve"> </w:t>
      </w:r>
      <w:r w:rsidR="00BF3E5B">
        <w:t>Multiple regression analysis</w:t>
      </w:r>
      <w:r w:rsidR="004B1CD6">
        <w:t xml:space="preserve"> without control variables</w:t>
      </w:r>
    </w:p>
    <w:p w14:paraId="770FC6A6" w14:textId="52906A20" w:rsidR="00864CAD" w:rsidRDefault="00D96891" w:rsidP="000A55B1">
      <w:pPr>
        <w:spacing w:line="360" w:lineRule="auto"/>
      </w:pPr>
      <w:r>
        <w:rPr>
          <w:noProof/>
        </w:rPr>
        <mc:AlternateContent>
          <mc:Choice Requires="wps">
            <w:drawing>
              <wp:anchor distT="0" distB="0" distL="114300" distR="114300" simplePos="0" relativeHeight="251654656" behindDoc="0" locked="0" layoutInCell="1" allowOverlap="1" wp14:anchorId="3BB642CC" wp14:editId="2AB1A1E0">
                <wp:simplePos x="0" y="0"/>
                <wp:positionH relativeFrom="margin">
                  <wp:align>center</wp:align>
                </wp:positionH>
                <wp:positionV relativeFrom="paragraph">
                  <wp:posOffset>540385</wp:posOffset>
                </wp:positionV>
                <wp:extent cx="4883150" cy="1816100"/>
                <wp:effectExtent l="0" t="0" r="12700" b="12700"/>
                <wp:wrapNone/>
                <wp:docPr id="4" name="Rectangle 4"/>
                <wp:cNvGraphicFramePr/>
                <a:graphic xmlns:a="http://schemas.openxmlformats.org/drawingml/2006/main">
                  <a:graphicData uri="http://schemas.microsoft.com/office/word/2010/wordprocessingShape">
                    <wps:wsp>
                      <wps:cNvSpPr/>
                      <wps:spPr>
                        <a:xfrm>
                          <a:off x="0" y="0"/>
                          <a:ext cx="4883150" cy="18161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F4027E" id="Rectangle 4" o:spid="_x0000_s1026" style="position:absolute;margin-left:0;margin-top:42.55pt;width:384.5pt;height:143pt;z-index:2516546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" filled="f" strokecolor="black [3213]" strokeweight="1.5pt">
                <w10:wrap anchorx="margin"/>
              </v:rect>
            </w:pict>
          </mc:Fallback>
        </mc:AlternateContent>
      </w:r>
      <w:r w:rsidR="00864CAD">
        <w:t xml:space="preserve">The summary table of the model shows how well the model fits to the data. The table is shown below. </w:t>
      </w:r>
    </w:p>
    <w:tbl>
      <w:tblPr>
        <w:tblW w:w="7348" w:type="dxa"/>
        <w:jc w:val="center"/>
        <w:tblBorders>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98"/>
        <w:gridCol w:w="1030"/>
        <w:gridCol w:w="1092"/>
        <w:gridCol w:w="1476"/>
        <w:gridCol w:w="1476"/>
        <w:gridCol w:w="1476"/>
      </w:tblGrid>
      <w:tr w:rsidR="00FE3708" w:rsidRPr="00FE3708" w14:paraId="6E63290C" w14:textId="77777777" w:rsidTr="00FD29BC">
        <w:trPr>
          <w:cantSplit/>
          <w:jc w:val="center"/>
        </w:trPr>
        <w:tc>
          <w:tcPr>
            <w:tcW w:w="7348" w:type="dxa"/>
            <w:gridSpan w:val="6"/>
            <w:tcBorders>
              <w:top w:val="nil"/>
              <w:bottom w:val="nil"/>
            </w:tcBorders>
            <w:shd w:val="clear" w:color="auto" w:fill="FFFFFF"/>
            <w:vAlign w:val="center"/>
          </w:tcPr>
          <w:p w14:paraId="3344B867" w14:textId="240E4597" w:rsidR="00FE3708" w:rsidRPr="007E2885" w:rsidRDefault="00B47201" w:rsidP="007E2885">
            <w:pPr>
              <w:autoSpaceDE w:val="0"/>
              <w:autoSpaceDN w:val="0"/>
              <w:adjustRightInd w:val="0"/>
              <w:spacing w:after="0" w:line="320" w:lineRule="atLeast"/>
              <w:ind w:right="60"/>
              <w:rPr>
                <w:rFonts w:ascii="Sylfaen" w:eastAsiaTheme="minorHAnsi" w:hAnsi="Sylfaen" w:cs="Arial"/>
                <w:sz w:val="20"/>
                <w:szCs w:val="20"/>
                <w:lang w:val="nl-NL"/>
              </w:rPr>
            </w:pPr>
            <w:r w:rsidRPr="007E2885">
              <w:rPr>
                <w:rFonts w:ascii="Sylfaen" w:hAnsi="Sylfaen"/>
                <w:i/>
                <w:sz w:val="20"/>
                <w:szCs w:val="20"/>
              </w:rPr>
              <w:t xml:space="preserve">Table </w:t>
            </w:r>
            <w:r w:rsidR="008C0E96" w:rsidRPr="007E2885">
              <w:rPr>
                <w:rFonts w:ascii="Sylfaen" w:hAnsi="Sylfaen"/>
                <w:i/>
                <w:sz w:val="20"/>
                <w:szCs w:val="20"/>
              </w:rPr>
              <w:t>6</w:t>
            </w:r>
            <w:r w:rsidRPr="007E2885">
              <w:rPr>
                <w:rFonts w:ascii="Sylfaen" w:hAnsi="Sylfaen"/>
                <w:i/>
                <w:sz w:val="20"/>
                <w:szCs w:val="20"/>
              </w:rPr>
              <w:t>: Model Summary</w:t>
            </w:r>
            <w:r w:rsidR="000357F6" w:rsidRPr="007E2885">
              <w:rPr>
                <w:rFonts w:ascii="Sylfaen" w:hAnsi="Sylfaen"/>
                <w:i/>
                <w:sz w:val="20"/>
                <w:szCs w:val="20"/>
              </w:rPr>
              <w:br/>
            </w:r>
          </w:p>
        </w:tc>
      </w:tr>
      <w:tr w:rsidR="00FE3708" w:rsidRPr="00FE3708" w14:paraId="4820E301" w14:textId="77777777" w:rsidTr="00FD29BC">
        <w:trPr>
          <w:cantSplit/>
          <w:jc w:val="center"/>
        </w:trPr>
        <w:tc>
          <w:tcPr>
            <w:tcW w:w="798" w:type="dxa"/>
            <w:tcBorders>
              <w:top w:val="nil"/>
            </w:tcBorders>
            <w:shd w:val="clear" w:color="auto" w:fill="FFFFFF"/>
            <w:vAlign w:val="bottom"/>
          </w:tcPr>
          <w:p w14:paraId="6D2AA532" w14:textId="77777777" w:rsidR="00FE3708" w:rsidRPr="00E95E79" w:rsidRDefault="00FE3708" w:rsidP="00FE3708">
            <w:pPr>
              <w:autoSpaceDE w:val="0"/>
              <w:autoSpaceDN w:val="0"/>
              <w:adjustRightInd w:val="0"/>
              <w:spacing w:after="0" w:line="320" w:lineRule="atLeast"/>
              <w:ind w:left="60" w:right="60"/>
              <w:rPr>
                <w:rFonts w:ascii="Sylfaen" w:eastAsiaTheme="minorHAnsi" w:hAnsi="Sylfaen" w:cs="Arial"/>
                <w:b/>
                <w:sz w:val="20"/>
                <w:szCs w:val="20"/>
                <w:lang w:val="nl-NL"/>
              </w:rPr>
            </w:pPr>
            <w:r w:rsidRPr="00E95E79">
              <w:rPr>
                <w:rFonts w:ascii="Sylfaen" w:eastAsiaTheme="minorHAnsi" w:hAnsi="Sylfaen" w:cs="Arial"/>
                <w:b/>
                <w:sz w:val="20"/>
                <w:szCs w:val="20"/>
                <w:lang w:val="nl-NL"/>
              </w:rPr>
              <w:t>Model</w:t>
            </w:r>
          </w:p>
        </w:tc>
        <w:tc>
          <w:tcPr>
            <w:tcW w:w="1030" w:type="dxa"/>
            <w:tcBorders>
              <w:top w:val="nil"/>
            </w:tcBorders>
            <w:shd w:val="clear" w:color="auto" w:fill="FFFFFF"/>
            <w:vAlign w:val="bottom"/>
          </w:tcPr>
          <w:p w14:paraId="1810687A"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R</w:t>
            </w:r>
          </w:p>
        </w:tc>
        <w:tc>
          <w:tcPr>
            <w:tcW w:w="1092" w:type="dxa"/>
            <w:tcBorders>
              <w:top w:val="nil"/>
            </w:tcBorders>
            <w:shd w:val="clear" w:color="auto" w:fill="FFFFFF"/>
            <w:vAlign w:val="bottom"/>
          </w:tcPr>
          <w:p w14:paraId="4884C6CB"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R Square</w:t>
            </w:r>
          </w:p>
        </w:tc>
        <w:tc>
          <w:tcPr>
            <w:tcW w:w="1476" w:type="dxa"/>
            <w:tcBorders>
              <w:top w:val="nil"/>
            </w:tcBorders>
            <w:shd w:val="clear" w:color="auto" w:fill="FFFFFF"/>
            <w:vAlign w:val="bottom"/>
          </w:tcPr>
          <w:p w14:paraId="28CB359C"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Adjusted R Square</w:t>
            </w:r>
          </w:p>
        </w:tc>
        <w:tc>
          <w:tcPr>
            <w:tcW w:w="1476" w:type="dxa"/>
            <w:tcBorders>
              <w:top w:val="nil"/>
            </w:tcBorders>
            <w:shd w:val="clear" w:color="auto" w:fill="FFFFFF"/>
            <w:vAlign w:val="bottom"/>
          </w:tcPr>
          <w:p w14:paraId="16D46FAD"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rPr>
            </w:pPr>
            <w:r w:rsidRPr="007E2885">
              <w:rPr>
                <w:rFonts w:ascii="Sylfaen" w:eastAsiaTheme="minorHAnsi" w:hAnsi="Sylfaen" w:cs="Arial"/>
                <w:b/>
                <w:sz w:val="20"/>
                <w:szCs w:val="20"/>
              </w:rPr>
              <w:t>Std. Error of the Estimate</w:t>
            </w:r>
          </w:p>
        </w:tc>
        <w:tc>
          <w:tcPr>
            <w:tcW w:w="1476" w:type="dxa"/>
            <w:tcBorders>
              <w:top w:val="nil"/>
            </w:tcBorders>
            <w:shd w:val="clear" w:color="auto" w:fill="FFFFFF"/>
            <w:vAlign w:val="bottom"/>
          </w:tcPr>
          <w:p w14:paraId="6ECCF6B1" w14:textId="77777777" w:rsidR="00FE3708" w:rsidRPr="007E2885" w:rsidRDefault="00FE3708" w:rsidP="00FE3708">
            <w:pPr>
              <w:autoSpaceDE w:val="0"/>
              <w:autoSpaceDN w:val="0"/>
              <w:adjustRightInd w:val="0"/>
              <w:spacing w:after="0" w:line="320" w:lineRule="atLeast"/>
              <w:ind w:left="60" w:right="60"/>
              <w:jc w:val="center"/>
              <w:rPr>
                <w:rFonts w:ascii="Sylfaen" w:eastAsiaTheme="minorHAnsi" w:hAnsi="Sylfaen" w:cs="Arial"/>
                <w:b/>
                <w:sz w:val="20"/>
                <w:szCs w:val="20"/>
                <w:lang w:val="nl-NL"/>
              </w:rPr>
            </w:pPr>
            <w:r w:rsidRPr="007E2885">
              <w:rPr>
                <w:rFonts w:ascii="Sylfaen" w:eastAsiaTheme="minorHAnsi" w:hAnsi="Sylfaen" w:cs="Arial"/>
                <w:b/>
                <w:sz w:val="20"/>
                <w:szCs w:val="20"/>
                <w:lang w:val="nl-NL"/>
              </w:rPr>
              <w:t>Durbin-Watson</w:t>
            </w:r>
          </w:p>
        </w:tc>
      </w:tr>
      <w:tr w:rsidR="00FE3708" w:rsidRPr="00FE3708" w14:paraId="7281F8AD" w14:textId="77777777" w:rsidTr="007E2885">
        <w:trPr>
          <w:cantSplit/>
          <w:jc w:val="center"/>
        </w:trPr>
        <w:tc>
          <w:tcPr>
            <w:tcW w:w="798" w:type="dxa"/>
            <w:shd w:val="clear" w:color="auto" w:fill="auto"/>
          </w:tcPr>
          <w:p w14:paraId="30B17D33" w14:textId="77777777" w:rsidR="00FE3708" w:rsidRPr="007E2885" w:rsidRDefault="00FE3708" w:rsidP="00FE3708">
            <w:pPr>
              <w:autoSpaceDE w:val="0"/>
              <w:autoSpaceDN w:val="0"/>
              <w:adjustRightInd w:val="0"/>
              <w:spacing w:after="0" w:line="320" w:lineRule="atLeast"/>
              <w:ind w:left="60" w:right="60"/>
              <w:rPr>
                <w:rFonts w:ascii="Sylfaen" w:eastAsiaTheme="minorHAnsi" w:hAnsi="Sylfaen" w:cs="Arial"/>
                <w:sz w:val="20"/>
                <w:szCs w:val="20"/>
                <w:lang w:val="nl-NL"/>
              </w:rPr>
            </w:pPr>
            <w:r w:rsidRPr="007E2885">
              <w:rPr>
                <w:rFonts w:ascii="Sylfaen" w:eastAsiaTheme="minorHAnsi" w:hAnsi="Sylfaen" w:cs="Arial"/>
                <w:sz w:val="20"/>
                <w:szCs w:val="20"/>
                <w:lang w:val="nl-NL"/>
              </w:rPr>
              <w:t>1</w:t>
            </w:r>
          </w:p>
        </w:tc>
        <w:tc>
          <w:tcPr>
            <w:tcW w:w="1030" w:type="dxa"/>
            <w:shd w:val="clear" w:color="auto" w:fill="FFFFFF"/>
          </w:tcPr>
          <w:p w14:paraId="241CCD38"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,322</w:t>
            </w:r>
            <w:r w:rsidRPr="007E2885">
              <w:rPr>
                <w:rFonts w:ascii="Sylfaen" w:eastAsiaTheme="minorHAnsi" w:hAnsi="Sylfaen" w:cs="Arial"/>
                <w:sz w:val="20"/>
                <w:szCs w:val="20"/>
                <w:vertAlign w:val="superscript"/>
                <w:lang w:val="nl-NL"/>
              </w:rPr>
              <w:t>a</w:t>
            </w:r>
          </w:p>
        </w:tc>
        <w:tc>
          <w:tcPr>
            <w:tcW w:w="1092" w:type="dxa"/>
            <w:shd w:val="clear" w:color="auto" w:fill="FFFFFF"/>
          </w:tcPr>
          <w:p w14:paraId="7FF99FF4"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,103</w:t>
            </w:r>
          </w:p>
        </w:tc>
        <w:tc>
          <w:tcPr>
            <w:tcW w:w="1476" w:type="dxa"/>
            <w:shd w:val="clear" w:color="auto" w:fill="FFFFFF"/>
          </w:tcPr>
          <w:p w14:paraId="267A3FD7"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,096</w:t>
            </w:r>
          </w:p>
        </w:tc>
        <w:tc>
          <w:tcPr>
            <w:tcW w:w="1476" w:type="dxa"/>
            <w:shd w:val="clear" w:color="auto" w:fill="FFFFFF"/>
          </w:tcPr>
          <w:p w14:paraId="3AEFD9AC"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1,279</w:t>
            </w:r>
          </w:p>
        </w:tc>
        <w:tc>
          <w:tcPr>
            <w:tcW w:w="1476" w:type="dxa"/>
            <w:shd w:val="clear" w:color="auto" w:fill="FFFFFF"/>
          </w:tcPr>
          <w:p w14:paraId="1E7E68AA" w14:textId="77777777" w:rsidR="00FE3708" w:rsidRPr="007E2885"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7E2885">
              <w:rPr>
                <w:rFonts w:ascii="Sylfaen" w:eastAsiaTheme="minorHAnsi" w:hAnsi="Sylfaen" w:cs="Arial"/>
                <w:sz w:val="20"/>
                <w:szCs w:val="20"/>
                <w:lang w:val="nl-NL"/>
              </w:rPr>
              <w:t>1,760</w:t>
            </w:r>
          </w:p>
        </w:tc>
      </w:tr>
      <w:tr w:rsidR="00FE3708" w:rsidRPr="00FE3708" w14:paraId="24566BF5" w14:textId="77777777" w:rsidTr="00FD29BC">
        <w:trPr>
          <w:cantSplit/>
          <w:jc w:val="center"/>
        </w:trPr>
        <w:tc>
          <w:tcPr>
            <w:tcW w:w="7348" w:type="dxa"/>
            <w:gridSpan w:val="6"/>
            <w:tcBorders>
              <w:bottom w:val="nil"/>
            </w:tcBorders>
            <w:shd w:val="clear" w:color="auto" w:fill="FFFFFF"/>
          </w:tcPr>
          <w:p w14:paraId="7F2E0A84" w14:textId="77777777" w:rsidR="00FE3708" w:rsidRPr="007E2885" w:rsidRDefault="00FE3708" w:rsidP="00FE3708">
            <w:pPr>
              <w:autoSpaceDE w:val="0"/>
              <w:autoSpaceDN w:val="0"/>
              <w:adjustRightInd w:val="0"/>
              <w:spacing w:after="0" w:line="320" w:lineRule="atLeast"/>
              <w:ind w:left="60" w:right="60"/>
              <w:rPr>
                <w:rFonts w:ascii="Sylfaen" w:eastAsiaTheme="minorHAnsi" w:hAnsi="Sylfaen" w:cs="Arial"/>
                <w:sz w:val="20"/>
                <w:szCs w:val="20"/>
              </w:rPr>
            </w:pPr>
            <w:r w:rsidRPr="007E2885">
              <w:rPr>
                <w:rFonts w:ascii="Sylfaen" w:eastAsiaTheme="minorHAnsi" w:hAnsi="Sylfaen" w:cs="Arial"/>
                <w:sz w:val="20"/>
                <w:szCs w:val="20"/>
              </w:rPr>
              <w:t>a. Predictors: (Constant), PopOpMS, Number of times discussed, Consultations, AvWOpMS, NumOpMS</w:t>
            </w:r>
          </w:p>
        </w:tc>
      </w:tr>
      <w:tr w:rsidR="00FE3708" w:rsidRPr="00FE3708" w14:paraId="7C823B86" w14:textId="77777777" w:rsidTr="00FD29BC">
        <w:trPr>
          <w:cantSplit/>
          <w:trHeight w:val="70"/>
          <w:jc w:val="center"/>
        </w:trPr>
        <w:tc>
          <w:tcPr>
            <w:tcW w:w="7348" w:type="dxa"/>
            <w:gridSpan w:val="6"/>
            <w:tcBorders>
              <w:top w:val="nil"/>
              <w:bottom w:val="nil"/>
            </w:tcBorders>
            <w:shd w:val="clear" w:color="auto" w:fill="FFFFFF"/>
          </w:tcPr>
          <w:p w14:paraId="22784F2D" w14:textId="27A6C696" w:rsidR="00FE3708" w:rsidRPr="007E2885" w:rsidRDefault="007E2885" w:rsidP="007E2885">
            <w:pPr>
              <w:autoSpaceDE w:val="0"/>
              <w:autoSpaceDN w:val="0"/>
              <w:adjustRightInd w:val="0"/>
              <w:spacing w:after="0" w:line="320" w:lineRule="atLeast"/>
              <w:ind w:right="60"/>
              <w:rPr>
                <w:rFonts w:ascii="Sylfaen" w:eastAsiaTheme="minorHAnsi" w:hAnsi="Sylfaen" w:cs="Arial"/>
                <w:sz w:val="20"/>
                <w:szCs w:val="20"/>
                <w:lang w:val="nl-NL"/>
              </w:rPr>
            </w:pPr>
            <w:r w:rsidRPr="00FD29BC">
              <w:rPr>
                <w:rFonts w:ascii="Sylfaen" w:eastAsiaTheme="minorHAnsi" w:hAnsi="Sylfaen" w:cs="Arial"/>
                <w:sz w:val="20"/>
                <w:szCs w:val="20"/>
              </w:rPr>
              <w:t xml:space="preserve"> </w:t>
            </w:r>
            <w:r w:rsidR="00FE3708" w:rsidRPr="007E2885">
              <w:rPr>
                <w:rFonts w:ascii="Sylfaen" w:eastAsiaTheme="minorHAnsi" w:hAnsi="Sylfaen" w:cs="Arial"/>
                <w:sz w:val="20"/>
                <w:szCs w:val="20"/>
                <w:lang w:val="nl-NL"/>
              </w:rPr>
              <w:t>b. Dependent Variable: Compliance</w:t>
            </w:r>
          </w:p>
        </w:tc>
      </w:tr>
    </w:tbl>
    <w:p w14:paraId="2B327D24" w14:textId="77777777" w:rsidR="00FE3708" w:rsidRPr="00FE3708" w:rsidRDefault="00FE3708" w:rsidP="00FE3708">
      <w:pPr>
        <w:autoSpaceDE w:val="0"/>
        <w:autoSpaceDN w:val="0"/>
        <w:adjustRightInd w:val="0"/>
        <w:spacing w:after="0" w:line="400" w:lineRule="atLeast"/>
        <w:rPr>
          <w:rFonts w:ascii="Times New Roman" w:eastAsiaTheme="minorHAnsi" w:hAnsi="Times New Roman" w:cs="Times New Roman"/>
          <w:sz w:val="24"/>
          <w:szCs w:val="24"/>
          <w:lang w:val="nl-NL"/>
        </w:rPr>
      </w:pPr>
    </w:p>
    <w:p w14:paraId="4AF7927D" w14:textId="665BD366" w:rsidR="00B47201" w:rsidRDefault="00B47201" w:rsidP="000A55B1">
      <w:pPr>
        <w:spacing w:line="360" w:lineRule="auto"/>
      </w:pPr>
      <w:r>
        <w:t xml:space="preserve">This table shows </w:t>
      </w:r>
      <w:r w:rsidR="006B1DE2">
        <w:t>the quality of the prediction of the depe</w:t>
      </w:r>
      <w:r w:rsidR="0000601D">
        <w:t>ndent variable</w:t>
      </w:r>
      <w:r w:rsidR="00585A16">
        <w:t>s</w:t>
      </w:r>
      <w:r w:rsidR="0000601D">
        <w:t>. The value of 0.</w:t>
      </w:r>
      <w:r w:rsidR="004D6FDD">
        <w:t>1</w:t>
      </w:r>
      <w:r w:rsidR="00FE3708">
        <w:t>0</w:t>
      </w:r>
      <w:r w:rsidR="004D6FDD">
        <w:t>3</w:t>
      </w:r>
      <w:r w:rsidR="006B1DE2">
        <w:t xml:space="preserve"> </w:t>
      </w:r>
      <w:r w:rsidR="00FE3708">
        <w:t>for the R square shows that 10</w:t>
      </w:r>
      <w:r w:rsidR="004D6FDD">
        <w:t>,3</w:t>
      </w:r>
      <w:r w:rsidR="006B1DE2">
        <w:t xml:space="preserve">% of the variability in the dependent variable is explained by the independent variables. </w:t>
      </w:r>
      <w:r w:rsidR="004D6FDD">
        <w:t xml:space="preserve">This result </w:t>
      </w:r>
      <w:r w:rsidR="00EA1B70">
        <w:t>indicates</w:t>
      </w:r>
      <w:r w:rsidR="004D6FDD">
        <w:t xml:space="preserve"> that compliance is not well explained by the variables in the model. </w:t>
      </w:r>
    </w:p>
    <w:p w14:paraId="16BB9908" w14:textId="2D76076D" w:rsidR="00B47201" w:rsidRDefault="00B47201" w:rsidP="000A55B1">
      <w:pPr>
        <w:spacing w:line="360" w:lineRule="auto"/>
      </w:pPr>
      <w:r>
        <w:t>The statistical significance of the model can also be tested. Data about the statistical significance is shown in the ANOVA table.</w:t>
      </w:r>
    </w:p>
    <w:p w14:paraId="2407A875" w14:textId="77777777" w:rsidR="00180567" w:rsidRDefault="00180567" w:rsidP="000A55B1">
      <w:pPr>
        <w:spacing w:line="360" w:lineRule="auto"/>
      </w:pPr>
    </w:p>
    <w:p w14:paraId="7D4ECC4B" w14:textId="77777777" w:rsidR="002900D7" w:rsidRDefault="002900D7" w:rsidP="000A55B1">
      <w:pPr>
        <w:spacing w:line="360" w:lineRule="auto"/>
      </w:pPr>
    </w:p>
    <w:tbl>
      <w:tblPr>
        <w:tblW w:w="800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292"/>
        <w:gridCol w:w="1476"/>
        <w:gridCol w:w="1030"/>
        <w:gridCol w:w="1415"/>
        <w:gridCol w:w="1030"/>
        <w:gridCol w:w="1030"/>
      </w:tblGrid>
      <w:tr w:rsidR="00FE3708" w:rsidRPr="00FE3708" w14:paraId="03A28134" w14:textId="77777777" w:rsidTr="002900D7">
        <w:trPr>
          <w:cantSplit/>
          <w:jc w:val="center"/>
        </w:trPr>
        <w:tc>
          <w:tcPr>
            <w:tcW w:w="8009" w:type="dxa"/>
            <w:gridSpan w:val="7"/>
            <w:tcBorders>
              <w:top w:val="nil"/>
              <w:left w:val="nil"/>
              <w:bottom w:val="nil"/>
              <w:right w:val="nil"/>
            </w:tcBorders>
            <w:shd w:val="clear" w:color="auto" w:fill="FFFFFF"/>
            <w:vAlign w:val="center"/>
          </w:tcPr>
          <w:p w14:paraId="35EA96A8" w14:textId="598EF12C" w:rsidR="00FE3708" w:rsidRPr="003725B1" w:rsidRDefault="000357F6" w:rsidP="003725B1">
            <w:pPr>
              <w:autoSpaceDE w:val="0"/>
              <w:autoSpaceDN w:val="0"/>
              <w:adjustRightInd w:val="0"/>
              <w:spacing w:after="0" w:line="320" w:lineRule="atLeast"/>
              <w:ind w:right="60"/>
              <w:rPr>
                <w:rFonts w:ascii="Sylfaen" w:eastAsiaTheme="minorHAnsi" w:hAnsi="Sylfaen" w:cs="Arial"/>
                <w:sz w:val="20"/>
                <w:szCs w:val="20"/>
                <w:lang w:val="nl-NL"/>
              </w:rPr>
            </w:pPr>
            <w:r w:rsidRPr="003725B1">
              <w:rPr>
                <w:rFonts w:ascii="Sylfaen" w:hAnsi="Sylfaen"/>
                <w:i/>
                <w:sz w:val="20"/>
                <w:szCs w:val="20"/>
              </w:rPr>
              <w:lastRenderedPageBreak/>
              <w:t xml:space="preserve">Table </w:t>
            </w:r>
            <w:r w:rsidR="008C0E96" w:rsidRPr="003725B1">
              <w:rPr>
                <w:rFonts w:ascii="Sylfaen" w:hAnsi="Sylfaen"/>
                <w:i/>
                <w:sz w:val="20"/>
                <w:szCs w:val="20"/>
              </w:rPr>
              <w:t>7</w:t>
            </w:r>
            <w:r w:rsidR="00B47201" w:rsidRPr="003725B1">
              <w:rPr>
                <w:rFonts w:ascii="Sylfaen" w:hAnsi="Sylfaen"/>
                <w:i/>
                <w:sz w:val="20"/>
                <w:szCs w:val="20"/>
              </w:rPr>
              <w:t>: ANOVA table</w:t>
            </w:r>
          </w:p>
        </w:tc>
      </w:tr>
      <w:tr w:rsidR="00FE3708" w:rsidRPr="00FE3708" w14:paraId="15C5CB78" w14:textId="77777777" w:rsidTr="002900D7">
        <w:trPr>
          <w:cantSplit/>
          <w:jc w:val="center"/>
        </w:trPr>
        <w:tc>
          <w:tcPr>
            <w:tcW w:w="2028" w:type="dxa"/>
            <w:gridSpan w:val="2"/>
            <w:tcBorders>
              <w:top w:val="nil"/>
              <w:left w:val="nil"/>
              <w:bottom w:val="single" w:sz="8" w:space="0" w:color="152935"/>
              <w:right w:val="nil"/>
            </w:tcBorders>
            <w:shd w:val="clear" w:color="auto" w:fill="FFFFFF"/>
            <w:vAlign w:val="bottom"/>
          </w:tcPr>
          <w:p w14:paraId="0C435706" w14:textId="77777777" w:rsidR="00FE3708" w:rsidRPr="00E95E79" w:rsidRDefault="00FE3708" w:rsidP="00FE3708">
            <w:pPr>
              <w:autoSpaceDE w:val="0"/>
              <w:autoSpaceDN w:val="0"/>
              <w:adjustRightInd w:val="0"/>
              <w:spacing w:after="0" w:line="320" w:lineRule="atLeast"/>
              <w:ind w:left="60" w:right="60"/>
              <w:rPr>
                <w:rFonts w:ascii="Sylfaen" w:eastAsiaTheme="minorHAnsi" w:hAnsi="Sylfaen" w:cs="Arial"/>
                <w:b/>
                <w:sz w:val="20"/>
                <w:szCs w:val="20"/>
                <w:lang w:val="nl-NL"/>
              </w:rPr>
            </w:pPr>
            <w:r w:rsidRPr="00E95E79">
              <w:rPr>
                <w:rFonts w:ascii="Sylfaen" w:eastAsiaTheme="minorHAnsi" w:hAnsi="Sylfaen" w:cs="Arial"/>
                <w:b/>
                <w:sz w:val="20"/>
                <w:szCs w:val="20"/>
                <w:lang w:val="nl-NL"/>
              </w:rPr>
              <w:t>Model</w:t>
            </w:r>
          </w:p>
        </w:tc>
        <w:tc>
          <w:tcPr>
            <w:tcW w:w="1476" w:type="dxa"/>
            <w:tcBorders>
              <w:top w:val="nil"/>
              <w:left w:val="nil"/>
              <w:bottom w:val="single" w:sz="8" w:space="0" w:color="152935"/>
              <w:right w:val="single" w:sz="8" w:space="0" w:color="E0E0E0"/>
            </w:tcBorders>
            <w:shd w:val="clear" w:color="auto" w:fill="FFFFFF"/>
            <w:vAlign w:val="bottom"/>
          </w:tcPr>
          <w:p w14:paraId="0E6E3E53" w14:textId="77777777" w:rsidR="00FE3708" w:rsidRPr="003725B1" w:rsidRDefault="00FE3708" w:rsidP="00FE3708">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3725B1">
              <w:rPr>
                <w:rFonts w:ascii="Sylfaen" w:eastAsiaTheme="minorHAnsi" w:hAnsi="Sylfaen" w:cs="Arial"/>
                <w:sz w:val="20"/>
                <w:szCs w:val="20"/>
                <w:lang w:val="nl-NL"/>
              </w:rPr>
              <w:t>Sum of Squares</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3659B205" w14:textId="4FE5E0A7" w:rsidR="00FE3708" w:rsidRPr="003725B1" w:rsidRDefault="00F729FA" w:rsidP="00FE3708">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3725B1">
              <w:rPr>
                <w:rFonts w:ascii="Sylfaen" w:eastAsiaTheme="minorHAnsi" w:hAnsi="Sylfaen" w:cs="Arial"/>
                <w:sz w:val="20"/>
                <w:szCs w:val="20"/>
                <w:lang w:val="nl-NL"/>
              </w:rPr>
              <w:t>D</w:t>
            </w:r>
            <w:r w:rsidR="00FE3708" w:rsidRPr="003725B1">
              <w:rPr>
                <w:rFonts w:ascii="Sylfaen" w:eastAsiaTheme="minorHAnsi" w:hAnsi="Sylfaen" w:cs="Arial"/>
                <w:sz w:val="20"/>
                <w:szCs w:val="20"/>
                <w:lang w:val="nl-NL"/>
              </w:rPr>
              <w:t>f</w:t>
            </w:r>
          </w:p>
        </w:tc>
        <w:tc>
          <w:tcPr>
            <w:tcW w:w="1415" w:type="dxa"/>
            <w:tcBorders>
              <w:top w:val="nil"/>
              <w:left w:val="single" w:sz="8" w:space="0" w:color="E0E0E0"/>
              <w:bottom w:val="single" w:sz="8" w:space="0" w:color="152935"/>
              <w:right w:val="single" w:sz="8" w:space="0" w:color="E0E0E0"/>
            </w:tcBorders>
            <w:shd w:val="clear" w:color="auto" w:fill="FFFFFF"/>
            <w:vAlign w:val="bottom"/>
          </w:tcPr>
          <w:p w14:paraId="2A0F48AD" w14:textId="77777777" w:rsidR="00FE3708" w:rsidRPr="003725B1" w:rsidRDefault="00FE3708" w:rsidP="00FE3708">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3725B1">
              <w:rPr>
                <w:rFonts w:ascii="Sylfaen" w:eastAsiaTheme="minorHAnsi" w:hAnsi="Sylfaen" w:cs="Arial"/>
                <w:sz w:val="20"/>
                <w:szCs w:val="20"/>
                <w:lang w:val="nl-NL"/>
              </w:rPr>
              <w:t>Mean Square</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2763ED0A" w14:textId="77777777" w:rsidR="00FE3708" w:rsidRPr="003725B1" w:rsidRDefault="00FE3708" w:rsidP="00FE3708">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3725B1">
              <w:rPr>
                <w:rFonts w:ascii="Sylfaen" w:eastAsiaTheme="minorHAnsi" w:hAnsi="Sylfaen" w:cs="Arial"/>
                <w:sz w:val="20"/>
                <w:szCs w:val="20"/>
                <w:lang w:val="nl-NL"/>
              </w:rPr>
              <w:t>F</w:t>
            </w:r>
          </w:p>
        </w:tc>
        <w:tc>
          <w:tcPr>
            <w:tcW w:w="1030" w:type="dxa"/>
            <w:tcBorders>
              <w:top w:val="nil"/>
              <w:left w:val="single" w:sz="8" w:space="0" w:color="E0E0E0"/>
              <w:bottom w:val="single" w:sz="8" w:space="0" w:color="152935"/>
              <w:right w:val="nil"/>
            </w:tcBorders>
            <w:shd w:val="clear" w:color="auto" w:fill="FFFFFF"/>
            <w:vAlign w:val="bottom"/>
          </w:tcPr>
          <w:p w14:paraId="3F896A74" w14:textId="77777777" w:rsidR="00FE3708" w:rsidRPr="003725B1" w:rsidRDefault="00FE3708" w:rsidP="00FE3708">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3725B1">
              <w:rPr>
                <w:rFonts w:ascii="Sylfaen" w:eastAsiaTheme="minorHAnsi" w:hAnsi="Sylfaen" w:cs="Arial"/>
                <w:sz w:val="20"/>
                <w:szCs w:val="20"/>
                <w:lang w:val="nl-NL"/>
              </w:rPr>
              <w:t>Sig.</w:t>
            </w:r>
          </w:p>
        </w:tc>
      </w:tr>
      <w:tr w:rsidR="00FE3708" w:rsidRPr="00FE3708" w14:paraId="0D93F68F" w14:textId="77777777" w:rsidTr="003725B1">
        <w:trPr>
          <w:cantSplit/>
          <w:jc w:val="center"/>
        </w:trPr>
        <w:tc>
          <w:tcPr>
            <w:tcW w:w="736" w:type="dxa"/>
            <w:vMerge w:val="restart"/>
            <w:tcBorders>
              <w:top w:val="single" w:sz="8" w:space="0" w:color="152935"/>
              <w:left w:val="nil"/>
              <w:bottom w:val="single" w:sz="8" w:space="0" w:color="152935"/>
              <w:right w:val="nil"/>
            </w:tcBorders>
            <w:shd w:val="clear" w:color="auto" w:fill="auto"/>
          </w:tcPr>
          <w:p w14:paraId="601B8093" w14:textId="77777777" w:rsidR="00FE3708" w:rsidRPr="003725B1" w:rsidRDefault="00FE3708" w:rsidP="00FE3708">
            <w:pPr>
              <w:autoSpaceDE w:val="0"/>
              <w:autoSpaceDN w:val="0"/>
              <w:adjustRightInd w:val="0"/>
              <w:spacing w:after="0" w:line="320" w:lineRule="atLeast"/>
              <w:ind w:left="60" w:right="60"/>
              <w:rPr>
                <w:rFonts w:ascii="Sylfaen" w:eastAsiaTheme="minorHAnsi" w:hAnsi="Sylfaen" w:cs="Arial"/>
                <w:sz w:val="20"/>
                <w:szCs w:val="20"/>
                <w:lang w:val="nl-NL"/>
              </w:rPr>
            </w:pPr>
            <w:r w:rsidRPr="003725B1">
              <w:rPr>
                <w:rFonts w:ascii="Sylfaen" w:eastAsiaTheme="minorHAnsi" w:hAnsi="Sylfaen" w:cs="Arial"/>
                <w:sz w:val="20"/>
                <w:szCs w:val="20"/>
                <w:lang w:val="nl-NL"/>
              </w:rPr>
              <w:t>1</w:t>
            </w:r>
          </w:p>
        </w:tc>
        <w:tc>
          <w:tcPr>
            <w:tcW w:w="1292" w:type="dxa"/>
            <w:tcBorders>
              <w:top w:val="single" w:sz="8" w:space="0" w:color="152935"/>
              <w:left w:val="nil"/>
              <w:bottom w:val="single" w:sz="8" w:space="0" w:color="AEAEAE"/>
              <w:right w:val="nil"/>
            </w:tcBorders>
            <w:shd w:val="clear" w:color="auto" w:fill="auto"/>
          </w:tcPr>
          <w:p w14:paraId="1A207A45" w14:textId="77777777" w:rsidR="00FE3708" w:rsidRPr="003725B1" w:rsidRDefault="00FE3708" w:rsidP="00FE3708">
            <w:pPr>
              <w:autoSpaceDE w:val="0"/>
              <w:autoSpaceDN w:val="0"/>
              <w:adjustRightInd w:val="0"/>
              <w:spacing w:after="0" w:line="320" w:lineRule="atLeast"/>
              <w:ind w:left="60" w:right="60"/>
              <w:rPr>
                <w:rFonts w:ascii="Sylfaen" w:eastAsiaTheme="minorHAnsi" w:hAnsi="Sylfaen" w:cs="Arial"/>
                <w:b/>
                <w:sz w:val="20"/>
                <w:szCs w:val="20"/>
                <w:lang w:val="nl-NL"/>
              </w:rPr>
            </w:pPr>
            <w:r w:rsidRPr="003725B1">
              <w:rPr>
                <w:rFonts w:ascii="Sylfaen" w:eastAsiaTheme="minorHAnsi" w:hAnsi="Sylfaen" w:cs="Arial"/>
                <w:b/>
                <w:sz w:val="20"/>
                <w:szCs w:val="20"/>
                <w:lang w:val="nl-NL"/>
              </w:rPr>
              <w:t>Regression</w:t>
            </w:r>
          </w:p>
        </w:tc>
        <w:tc>
          <w:tcPr>
            <w:tcW w:w="1476" w:type="dxa"/>
            <w:tcBorders>
              <w:top w:val="single" w:sz="8" w:space="0" w:color="152935"/>
              <w:left w:val="nil"/>
              <w:bottom w:val="single" w:sz="8" w:space="0" w:color="AEAEAE"/>
              <w:right w:val="single" w:sz="8" w:space="0" w:color="E0E0E0"/>
            </w:tcBorders>
            <w:shd w:val="clear" w:color="auto" w:fill="FFFFFF"/>
          </w:tcPr>
          <w:p w14:paraId="6AFF6E00"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114,887</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642BD408"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5</w:t>
            </w:r>
          </w:p>
        </w:tc>
        <w:tc>
          <w:tcPr>
            <w:tcW w:w="1415" w:type="dxa"/>
            <w:tcBorders>
              <w:top w:val="single" w:sz="8" w:space="0" w:color="152935"/>
              <w:left w:val="single" w:sz="8" w:space="0" w:color="E0E0E0"/>
              <w:bottom w:val="single" w:sz="8" w:space="0" w:color="AEAEAE"/>
              <w:right w:val="single" w:sz="8" w:space="0" w:color="E0E0E0"/>
            </w:tcBorders>
            <w:shd w:val="clear" w:color="auto" w:fill="FFFFFF"/>
          </w:tcPr>
          <w:p w14:paraId="0072359D"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22,977</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387F816E"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14,051</w:t>
            </w:r>
          </w:p>
        </w:tc>
        <w:tc>
          <w:tcPr>
            <w:tcW w:w="1030" w:type="dxa"/>
            <w:tcBorders>
              <w:top w:val="single" w:sz="8" w:space="0" w:color="152935"/>
              <w:left w:val="single" w:sz="8" w:space="0" w:color="E0E0E0"/>
              <w:bottom w:val="single" w:sz="8" w:space="0" w:color="AEAEAE"/>
              <w:right w:val="nil"/>
            </w:tcBorders>
            <w:shd w:val="clear" w:color="auto" w:fill="FFFFFF"/>
          </w:tcPr>
          <w:p w14:paraId="0E95380D"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,000</w:t>
            </w:r>
            <w:r w:rsidRPr="003725B1">
              <w:rPr>
                <w:rFonts w:ascii="Sylfaen" w:eastAsiaTheme="minorHAnsi" w:hAnsi="Sylfaen" w:cs="Arial"/>
                <w:sz w:val="20"/>
                <w:szCs w:val="20"/>
                <w:vertAlign w:val="superscript"/>
                <w:lang w:val="nl-NL"/>
              </w:rPr>
              <w:t>b</w:t>
            </w:r>
          </w:p>
        </w:tc>
      </w:tr>
      <w:tr w:rsidR="00FE3708" w:rsidRPr="00FE3708" w14:paraId="26F1AD78" w14:textId="77777777" w:rsidTr="003725B1">
        <w:trPr>
          <w:cantSplit/>
          <w:jc w:val="center"/>
        </w:trPr>
        <w:tc>
          <w:tcPr>
            <w:tcW w:w="736" w:type="dxa"/>
            <w:vMerge/>
            <w:tcBorders>
              <w:top w:val="single" w:sz="8" w:space="0" w:color="152935"/>
              <w:left w:val="nil"/>
              <w:bottom w:val="single" w:sz="8" w:space="0" w:color="152935"/>
              <w:right w:val="nil"/>
            </w:tcBorders>
            <w:shd w:val="clear" w:color="auto" w:fill="auto"/>
          </w:tcPr>
          <w:p w14:paraId="00668965" w14:textId="77777777" w:rsidR="00FE3708" w:rsidRPr="003725B1" w:rsidRDefault="00FE3708" w:rsidP="00FE3708">
            <w:pPr>
              <w:autoSpaceDE w:val="0"/>
              <w:autoSpaceDN w:val="0"/>
              <w:adjustRightInd w:val="0"/>
              <w:spacing w:after="0" w:line="240" w:lineRule="auto"/>
              <w:rPr>
                <w:rFonts w:ascii="Sylfaen" w:eastAsiaTheme="minorHAnsi" w:hAnsi="Sylfaen" w:cs="Arial"/>
                <w:sz w:val="20"/>
                <w:szCs w:val="20"/>
                <w:lang w:val="nl-NL"/>
              </w:rPr>
            </w:pPr>
          </w:p>
        </w:tc>
        <w:tc>
          <w:tcPr>
            <w:tcW w:w="1292" w:type="dxa"/>
            <w:tcBorders>
              <w:top w:val="single" w:sz="8" w:space="0" w:color="AEAEAE"/>
              <w:left w:val="nil"/>
              <w:bottom w:val="single" w:sz="8" w:space="0" w:color="AEAEAE"/>
              <w:right w:val="nil"/>
            </w:tcBorders>
            <w:shd w:val="clear" w:color="auto" w:fill="auto"/>
          </w:tcPr>
          <w:p w14:paraId="78B19911" w14:textId="77777777" w:rsidR="00FE3708" w:rsidRPr="003725B1" w:rsidRDefault="00FE3708" w:rsidP="00FE3708">
            <w:pPr>
              <w:autoSpaceDE w:val="0"/>
              <w:autoSpaceDN w:val="0"/>
              <w:adjustRightInd w:val="0"/>
              <w:spacing w:after="0" w:line="320" w:lineRule="atLeast"/>
              <w:ind w:left="60" w:right="60"/>
              <w:rPr>
                <w:rFonts w:ascii="Sylfaen" w:eastAsiaTheme="minorHAnsi" w:hAnsi="Sylfaen" w:cs="Arial"/>
                <w:b/>
                <w:sz w:val="20"/>
                <w:szCs w:val="20"/>
                <w:lang w:val="nl-NL"/>
              </w:rPr>
            </w:pPr>
            <w:r w:rsidRPr="003725B1">
              <w:rPr>
                <w:rFonts w:ascii="Sylfaen" w:eastAsiaTheme="minorHAnsi" w:hAnsi="Sylfaen" w:cs="Arial"/>
                <w:b/>
                <w:sz w:val="20"/>
                <w:szCs w:val="20"/>
                <w:lang w:val="nl-NL"/>
              </w:rPr>
              <w:t>Residual</w:t>
            </w:r>
          </w:p>
        </w:tc>
        <w:tc>
          <w:tcPr>
            <w:tcW w:w="1476" w:type="dxa"/>
            <w:tcBorders>
              <w:top w:val="single" w:sz="8" w:space="0" w:color="AEAEAE"/>
              <w:left w:val="nil"/>
              <w:bottom w:val="single" w:sz="8" w:space="0" w:color="AEAEAE"/>
              <w:right w:val="single" w:sz="8" w:space="0" w:color="E0E0E0"/>
            </w:tcBorders>
            <w:shd w:val="clear" w:color="auto" w:fill="FFFFFF"/>
          </w:tcPr>
          <w:p w14:paraId="504A15EA"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995,887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5379A15" w14:textId="62C727FC"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609</w:t>
            </w:r>
          </w:p>
        </w:tc>
        <w:tc>
          <w:tcPr>
            <w:tcW w:w="1415" w:type="dxa"/>
            <w:tcBorders>
              <w:top w:val="single" w:sz="8" w:space="0" w:color="AEAEAE"/>
              <w:left w:val="single" w:sz="8" w:space="0" w:color="E0E0E0"/>
              <w:bottom w:val="single" w:sz="8" w:space="0" w:color="AEAEAE"/>
              <w:right w:val="single" w:sz="8" w:space="0" w:color="E0E0E0"/>
            </w:tcBorders>
            <w:shd w:val="clear" w:color="auto" w:fill="FFFFFF"/>
          </w:tcPr>
          <w:p w14:paraId="011EFCF0"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1,635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CDA267B" w14:textId="77777777" w:rsidR="00FE3708" w:rsidRPr="003725B1" w:rsidRDefault="00FE3708" w:rsidP="00FE3708">
            <w:pPr>
              <w:autoSpaceDE w:val="0"/>
              <w:autoSpaceDN w:val="0"/>
              <w:adjustRightInd w:val="0"/>
              <w:spacing w:after="0" w:line="240" w:lineRule="auto"/>
              <w:rPr>
                <w:rFonts w:ascii="Sylfaen" w:eastAsiaTheme="minorHAnsi" w:hAnsi="Sylfaen" w:cs="Times New Roman"/>
                <w:sz w:val="20"/>
                <w:szCs w:val="20"/>
                <w:lang w:val="nl-NL"/>
              </w:rPr>
            </w:pPr>
          </w:p>
        </w:tc>
        <w:tc>
          <w:tcPr>
            <w:tcW w:w="1030" w:type="dxa"/>
            <w:tcBorders>
              <w:top w:val="single" w:sz="8" w:space="0" w:color="AEAEAE"/>
              <w:left w:val="single" w:sz="8" w:space="0" w:color="E0E0E0"/>
              <w:bottom w:val="single" w:sz="8" w:space="0" w:color="AEAEAE"/>
              <w:right w:val="nil"/>
            </w:tcBorders>
            <w:shd w:val="clear" w:color="auto" w:fill="FFFFFF"/>
            <w:vAlign w:val="center"/>
          </w:tcPr>
          <w:p w14:paraId="7803055D" w14:textId="77777777" w:rsidR="00FE3708" w:rsidRPr="003725B1" w:rsidRDefault="00FE3708" w:rsidP="00FE3708">
            <w:pPr>
              <w:autoSpaceDE w:val="0"/>
              <w:autoSpaceDN w:val="0"/>
              <w:adjustRightInd w:val="0"/>
              <w:spacing w:after="0" w:line="240" w:lineRule="auto"/>
              <w:rPr>
                <w:rFonts w:ascii="Sylfaen" w:eastAsiaTheme="minorHAnsi" w:hAnsi="Sylfaen" w:cs="Times New Roman"/>
                <w:sz w:val="20"/>
                <w:szCs w:val="20"/>
                <w:lang w:val="nl-NL"/>
              </w:rPr>
            </w:pPr>
          </w:p>
        </w:tc>
      </w:tr>
      <w:tr w:rsidR="00FE3708" w:rsidRPr="00FE3708" w14:paraId="0E87E912" w14:textId="77777777" w:rsidTr="003725B1">
        <w:trPr>
          <w:cantSplit/>
          <w:jc w:val="center"/>
        </w:trPr>
        <w:tc>
          <w:tcPr>
            <w:tcW w:w="736" w:type="dxa"/>
            <w:vMerge/>
            <w:tcBorders>
              <w:top w:val="single" w:sz="8" w:space="0" w:color="152935"/>
              <w:left w:val="nil"/>
              <w:bottom w:val="single" w:sz="8" w:space="0" w:color="152935"/>
              <w:right w:val="nil"/>
            </w:tcBorders>
            <w:shd w:val="clear" w:color="auto" w:fill="auto"/>
          </w:tcPr>
          <w:p w14:paraId="2098AD63" w14:textId="77777777" w:rsidR="00FE3708" w:rsidRPr="003725B1" w:rsidRDefault="00FE3708" w:rsidP="00FE3708">
            <w:pPr>
              <w:autoSpaceDE w:val="0"/>
              <w:autoSpaceDN w:val="0"/>
              <w:adjustRightInd w:val="0"/>
              <w:spacing w:after="0" w:line="240" w:lineRule="auto"/>
              <w:rPr>
                <w:rFonts w:ascii="Sylfaen" w:eastAsiaTheme="minorHAnsi" w:hAnsi="Sylfaen" w:cs="Times New Roman"/>
                <w:sz w:val="20"/>
                <w:szCs w:val="20"/>
                <w:lang w:val="nl-NL"/>
              </w:rPr>
            </w:pPr>
          </w:p>
        </w:tc>
        <w:tc>
          <w:tcPr>
            <w:tcW w:w="1292" w:type="dxa"/>
            <w:tcBorders>
              <w:top w:val="single" w:sz="8" w:space="0" w:color="AEAEAE"/>
              <w:left w:val="nil"/>
              <w:bottom w:val="single" w:sz="8" w:space="0" w:color="152935"/>
              <w:right w:val="nil"/>
            </w:tcBorders>
            <w:shd w:val="clear" w:color="auto" w:fill="auto"/>
          </w:tcPr>
          <w:p w14:paraId="1C406BCF" w14:textId="77777777" w:rsidR="00FE3708" w:rsidRPr="003725B1" w:rsidRDefault="00FE3708" w:rsidP="00FE3708">
            <w:pPr>
              <w:autoSpaceDE w:val="0"/>
              <w:autoSpaceDN w:val="0"/>
              <w:adjustRightInd w:val="0"/>
              <w:spacing w:after="0" w:line="320" w:lineRule="atLeast"/>
              <w:ind w:left="60" w:right="60"/>
              <w:rPr>
                <w:rFonts w:ascii="Sylfaen" w:eastAsiaTheme="minorHAnsi" w:hAnsi="Sylfaen" w:cs="Arial"/>
                <w:b/>
                <w:sz w:val="20"/>
                <w:szCs w:val="20"/>
                <w:lang w:val="nl-NL"/>
              </w:rPr>
            </w:pPr>
            <w:r w:rsidRPr="003725B1">
              <w:rPr>
                <w:rFonts w:ascii="Sylfaen" w:eastAsiaTheme="minorHAnsi" w:hAnsi="Sylfaen" w:cs="Arial"/>
                <w:b/>
                <w:sz w:val="20"/>
                <w:szCs w:val="20"/>
                <w:lang w:val="nl-NL"/>
              </w:rPr>
              <w:t>Total</w:t>
            </w:r>
          </w:p>
        </w:tc>
        <w:tc>
          <w:tcPr>
            <w:tcW w:w="1476" w:type="dxa"/>
            <w:tcBorders>
              <w:top w:val="single" w:sz="8" w:space="0" w:color="AEAEAE"/>
              <w:left w:val="nil"/>
              <w:bottom w:val="single" w:sz="8" w:space="0" w:color="152935"/>
              <w:right w:val="single" w:sz="8" w:space="0" w:color="E0E0E0"/>
            </w:tcBorders>
            <w:shd w:val="clear" w:color="auto" w:fill="FFFFFF"/>
          </w:tcPr>
          <w:p w14:paraId="6E74AA8E"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1110,774</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0CBFF8EF" w14:textId="77777777" w:rsidR="00FE3708" w:rsidRPr="003725B1" w:rsidRDefault="00FE3708" w:rsidP="00FE3708">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3725B1">
              <w:rPr>
                <w:rFonts w:ascii="Sylfaen" w:eastAsiaTheme="minorHAnsi" w:hAnsi="Sylfaen" w:cs="Arial"/>
                <w:sz w:val="20"/>
                <w:szCs w:val="20"/>
                <w:lang w:val="nl-NL"/>
              </w:rPr>
              <w:t>614</w:t>
            </w:r>
          </w:p>
        </w:tc>
        <w:tc>
          <w:tcPr>
            <w:tcW w:w="141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BBD994E" w14:textId="77777777" w:rsidR="00FE3708" w:rsidRPr="003725B1" w:rsidRDefault="00FE3708" w:rsidP="00FE3708">
            <w:pPr>
              <w:autoSpaceDE w:val="0"/>
              <w:autoSpaceDN w:val="0"/>
              <w:adjustRightInd w:val="0"/>
              <w:spacing w:after="0" w:line="240" w:lineRule="auto"/>
              <w:rPr>
                <w:rFonts w:ascii="Sylfaen" w:eastAsiaTheme="minorHAnsi" w:hAnsi="Sylfaen" w:cs="Times New Roman"/>
                <w:sz w:val="20"/>
                <w:szCs w:val="20"/>
                <w:lang w:val="nl-NL"/>
              </w:rPr>
            </w:pPr>
          </w:p>
        </w:tc>
        <w:tc>
          <w:tcPr>
            <w:tcW w:w="103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3AF0CD1" w14:textId="77777777" w:rsidR="00FE3708" w:rsidRPr="003725B1" w:rsidRDefault="00FE3708" w:rsidP="00FE3708">
            <w:pPr>
              <w:autoSpaceDE w:val="0"/>
              <w:autoSpaceDN w:val="0"/>
              <w:adjustRightInd w:val="0"/>
              <w:spacing w:after="0" w:line="240" w:lineRule="auto"/>
              <w:rPr>
                <w:rFonts w:ascii="Sylfaen" w:eastAsiaTheme="minorHAnsi" w:hAnsi="Sylfaen" w:cs="Times New Roman"/>
                <w:sz w:val="20"/>
                <w:szCs w:val="20"/>
                <w:lang w:val="nl-NL"/>
              </w:rPr>
            </w:pPr>
          </w:p>
        </w:tc>
        <w:tc>
          <w:tcPr>
            <w:tcW w:w="1030" w:type="dxa"/>
            <w:tcBorders>
              <w:top w:val="single" w:sz="8" w:space="0" w:color="AEAEAE"/>
              <w:left w:val="single" w:sz="8" w:space="0" w:color="E0E0E0"/>
              <w:bottom w:val="single" w:sz="8" w:space="0" w:color="152935"/>
              <w:right w:val="nil"/>
            </w:tcBorders>
            <w:shd w:val="clear" w:color="auto" w:fill="FFFFFF"/>
            <w:vAlign w:val="center"/>
          </w:tcPr>
          <w:p w14:paraId="1D8B92B5" w14:textId="77777777" w:rsidR="00FE3708" w:rsidRPr="003725B1" w:rsidRDefault="00FE3708" w:rsidP="00FE3708">
            <w:pPr>
              <w:autoSpaceDE w:val="0"/>
              <w:autoSpaceDN w:val="0"/>
              <w:adjustRightInd w:val="0"/>
              <w:spacing w:after="0" w:line="240" w:lineRule="auto"/>
              <w:rPr>
                <w:rFonts w:ascii="Sylfaen" w:eastAsiaTheme="minorHAnsi" w:hAnsi="Sylfaen" w:cs="Times New Roman"/>
                <w:sz w:val="20"/>
                <w:szCs w:val="20"/>
                <w:lang w:val="nl-NL"/>
              </w:rPr>
            </w:pPr>
          </w:p>
        </w:tc>
      </w:tr>
      <w:tr w:rsidR="00FE3708" w:rsidRPr="00FE3708" w14:paraId="525029EC" w14:textId="77777777" w:rsidTr="002900D7">
        <w:trPr>
          <w:cantSplit/>
          <w:jc w:val="center"/>
        </w:trPr>
        <w:tc>
          <w:tcPr>
            <w:tcW w:w="8009" w:type="dxa"/>
            <w:gridSpan w:val="7"/>
            <w:tcBorders>
              <w:top w:val="nil"/>
              <w:left w:val="nil"/>
              <w:bottom w:val="nil"/>
              <w:right w:val="nil"/>
            </w:tcBorders>
            <w:shd w:val="clear" w:color="auto" w:fill="FFFFFF"/>
          </w:tcPr>
          <w:p w14:paraId="0F051DAD" w14:textId="7AFB80B3" w:rsidR="00FE3708" w:rsidRPr="003725B1" w:rsidRDefault="00FE3708" w:rsidP="00FE3708">
            <w:pPr>
              <w:autoSpaceDE w:val="0"/>
              <w:autoSpaceDN w:val="0"/>
              <w:adjustRightInd w:val="0"/>
              <w:spacing w:after="0" w:line="320" w:lineRule="atLeast"/>
              <w:ind w:left="60" w:right="60"/>
              <w:rPr>
                <w:rFonts w:ascii="Sylfaen" w:eastAsiaTheme="minorHAnsi" w:hAnsi="Sylfaen" w:cs="Arial"/>
                <w:sz w:val="20"/>
                <w:szCs w:val="20"/>
                <w:lang w:val="nl-NL"/>
              </w:rPr>
            </w:pPr>
            <w:r w:rsidRPr="003725B1">
              <w:rPr>
                <w:rFonts w:ascii="Sylfaen" w:eastAsiaTheme="minorHAnsi" w:hAnsi="Sylfaen" w:cs="Arial"/>
                <w:sz w:val="20"/>
                <w:szCs w:val="20"/>
                <w:lang w:val="nl-NL"/>
              </w:rPr>
              <w:t>a. Dependent Variable: Compliance</w:t>
            </w:r>
          </w:p>
        </w:tc>
      </w:tr>
      <w:tr w:rsidR="00FE3708" w:rsidRPr="00FE3708" w14:paraId="0B67952C" w14:textId="77777777" w:rsidTr="002900D7">
        <w:trPr>
          <w:cantSplit/>
          <w:jc w:val="center"/>
        </w:trPr>
        <w:tc>
          <w:tcPr>
            <w:tcW w:w="8009" w:type="dxa"/>
            <w:gridSpan w:val="7"/>
            <w:tcBorders>
              <w:top w:val="nil"/>
              <w:left w:val="nil"/>
              <w:bottom w:val="nil"/>
              <w:right w:val="nil"/>
            </w:tcBorders>
            <w:shd w:val="clear" w:color="auto" w:fill="FFFFFF"/>
          </w:tcPr>
          <w:p w14:paraId="686525CA" w14:textId="71232E04" w:rsidR="00FE3708" w:rsidRPr="003725B1" w:rsidRDefault="00FE3708" w:rsidP="00FE3708">
            <w:pPr>
              <w:autoSpaceDE w:val="0"/>
              <w:autoSpaceDN w:val="0"/>
              <w:adjustRightInd w:val="0"/>
              <w:spacing w:after="0" w:line="320" w:lineRule="atLeast"/>
              <w:ind w:left="60" w:right="60"/>
              <w:rPr>
                <w:rFonts w:ascii="Sylfaen" w:eastAsiaTheme="minorHAnsi" w:hAnsi="Sylfaen" w:cs="Arial"/>
                <w:sz w:val="20"/>
                <w:szCs w:val="20"/>
              </w:rPr>
            </w:pPr>
            <w:r w:rsidRPr="003725B1">
              <w:rPr>
                <w:rFonts w:ascii="Sylfaen" w:eastAsiaTheme="minorHAnsi" w:hAnsi="Sylfaen" w:cs="Arial"/>
                <w:sz w:val="20"/>
                <w:szCs w:val="20"/>
              </w:rPr>
              <w:t>b. Predictors: (Constant), PopOpMS, Number of times discussed, Consultations, AvWOpMS, NumOpMS</w:t>
            </w:r>
          </w:p>
        </w:tc>
      </w:tr>
    </w:tbl>
    <w:p w14:paraId="1FD263D8" w14:textId="5F37DEA8" w:rsidR="00FE3708" w:rsidRPr="00FE3708" w:rsidRDefault="002900D7" w:rsidP="00FE3708">
      <w:pPr>
        <w:autoSpaceDE w:val="0"/>
        <w:autoSpaceDN w:val="0"/>
        <w:adjustRightInd w:val="0"/>
        <w:spacing w:after="0" w:line="400" w:lineRule="atLeast"/>
        <w:rPr>
          <w:rFonts w:ascii="Times New Roman" w:eastAsiaTheme="minorHAnsi" w:hAnsi="Times New Roman" w:cs="Times New Roman"/>
          <w:sz w:val="24"/>
          <w:szCs w:val="24"/>
        </w:rPr>
      </w:pPr>
      <w:r>
        <w:rPr>
          <w:noProof/>
        </w:rPr>
        <mc:AlternateContent>
          <mc:Choice Requires="wps">
            <w:drawing>
              <wp:anchor distT="0" distB="0" distL="114300" distR="114300" simplePos="0" relativeHeight="251661824" behindDoc="0" locked="0" layoutInCell="1" allowOverlap="1" wp14:anchorId="370588EE" wp14:editId="7B9BD075">
                <wp:simplePos x="0" y="0"/>
                <wp:positionH relativeFrom="margin">
                  <wp:posOffset>141605</wp:posOffset>
                </wp:positionH>
                <wp:positionV relativeFrom="paragraph">
                  <wp:posOffset>-1788795</wp:posOffset>
                </wp:positionV>
                <wp:extent cx="5600700" cy="190500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5600700" cy="19050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F05CF" id="Rectangle 9" o:spid="_x0000_s1026" style="position:absolute;margin-left:11.15pt;margin-top:-140.85pt;width:441pt;height:150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" filled="f" strokecolor="black [3213]" strokeweight="1.5pt">
                <w10:wrap anchorx="margin"/>
              </v:rect>
            </w:pict>
          </mc:Fallback>
        </mc:AlternateContent>
      </w:r>
    </w:p>
    <w:p w14:paraId="654D2B69" w14:textId="0CEF9BC7" w:rsidR="00B47201" w:rsidRDefault="00C57876" w:rsidP="000A55B1">
      <w:pPr>
        <w:spacing w:line="360" w:lineRule="auto"/>
      </w:pPr>
      <w:r>
        <w:t>With p &lt;</w:t>
      </w:r>
      <w:r w:rsidR="00B47201">
        <w:t xml:space="preserve"> 0.05, the overall regression model is a good fit for the data,</w:t>
      </w:r>
      <w:r w:rsidR="004D6FDD">
        <w:t xml:space="preserve"> because the significance (0.000</w:t>
      </w:r>
      <w:r w:rsidR="00B47201">
        <w:t xml:space="preserve">) is </w:t>
      </w:r>
      <w:r w:rsidR="004D6FDD">
        <w:t>lower</w:t>
      </w:r>
      <w:r w:rsidR="00B47201">
        <w:t xml:space="preserve"> than 0.05. </w:t>
      </w:r>
    </w:p>
    <w:p w14:paraId="5C874218" w14:textId="639A62FB" w:rsidR="00B47201" w:rsidRDefault="00B47201" w:rsidP="000A55B1">
      <w:pPr>
        <w:spacing w:line="360" w:lineRule="auto"/>
      </w:pPr>
      <w:r>
        <w:t xml:space="preserve">The coefficients are shown </w:t>
      </w:r>
      <w:r w:rsidR="00767FB7">
        <w:t xml:space="preserve">in the table </w:t>
      </w:r>
      <w:r>
        <w:t xml:space="preserve">below. </w:t>
      </w:r>
      <w:r w:rsidR="00EA1B70">
        <w:t xml:space="preserve">Interferences about the relation between X and Y can be made based on these coefficients. </w:t>
      </w:r>
    </w:p>
    <w:tbl>
      <w:tblPr>
        <w:tblW w:w="131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08"/>
        <w:gridCol w:w="3717"/>
      </w:tblGrid>
      <w:tr w:rsidR="00F558D7" w:rsidRPr="000F7276" w14:paraId="504F7220" w14:textId="77777777" w:rsidTr="00F558D7">
        <w:trPr>
          <w:gridAfter w:val="1"/>
          <w:wAfter w:w="3717" w:type="dxa"/>
          <w:cantSplit/>
        </w:trPr>
        <w:tc>
          <w:tcPr>
            <w:tcW w:w="9408" w:type="dxa"/>
            <w:tcBorders>
              <w:top w:val="nil"/>
              <w:left w:val="nil"/>
              <w:bottom w:val="nil"/>
              <w:right w:val="nil"/>
            </w:tcBorders>
            <w:shd w:val="clear" w:color="auto" w:fill="FFFFFF"/>
            <w:vAlign w:val="center"/>
          </w:tcPr>
          <w:p w14:paraId="54BF7745" w14:textId="57E0CA52" w:rsidR="00F558D7" w:rsidRPr="003725B1" w:rsidRDefault="00F558D7" w:rsidP="003725B1">
            <w:pPr>
              <w:autoSpaceDE w:val="0"/>
              <w:autoSpaceDN w:val="0"/>
              <w:adjustRightInd w:val="0"/>
              <w:spacing w:after="0" w:line="320" w:lineRule="atLeast"/>
              <w:ind w:right="60"/>
              <w:rPr>
                <w:rFonts w:ascii="Sylfaen" w:eastAsiaTheme="minorHAnsi" w:hAnsi="Sylfaen" w:cs="Arial"/>
                <w:color w:val="010205"/>
              </w:rPr>
            </w:pPr>
            <w:r w:rsidRPr="003725B1">
              <w:rPr>
                <w:rFonts w:ascii="Sylfaen" w:hAnsi="Sylfaen"/>
                <w:i/>
                <w:sz w:val="20"/>
              </w:rPr>
              <w:t>Table 8: Coefficients</w:t>
            </w:r>
          </w:p>
        </w:tc>
      </w:tr>
      <w:tr w:rsidR="004D6FDD" w:rsidRPr="004D6FDD" w14:paraId="0F7ABF64" w14:textId="77777777" w:rsidTr="00F558D7">
        <w:trPr>
          <w:cantSplit/>
          <w:trHeight w:val="2486"/>
        </w:trPr>
        <w:tc>
          <w:tcPr>
            <w:tcW w:w="13125" w:type="dxa"/>
            <w:gridSpan w:val="2"/>
            <w:tcBorders>
              <w:top w:val="nil"/>
              <w:left w:val="nil"/>
              <w:bottom w:val="nil"/>
              <w:right w:val="nil"/>
            </w:tcBorders>
            <w:shd w:val="clear" w:color="auto" w:fill="FFFFFF"/>
          </w:tcPr>
          <w:tbl>
            <w:tblPr>
              <w:tblW w:w="9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1"/>
              <w:gridCol w:w="2445"/>
              <w:gridCol w:w="1329"/>
              <w:gridCol w:w="1330"/>
              <w:gridCol w:w="1466"/>
              <w:gridCol w:w="1023"/>
              <w:gridCol w:w="1026"/>
            </w:tblGrid>
            <w:tr w:rsidR="00A81205" w:rsidRPr="000F7276" w14:paraId="6506496B" w14:textId="77777777" w:rsidTr="00F558D7">
              <w:trPr>
                <w:cantSplit/>
                <w:trHeight w:val="391"/>
              </w:trPr>
              <w:tc>
                <w:tcPr>
                  <w:tcW w:w="3176" w:type="dxa"/>
                  <w:gridSpan w:val="2"/>
                  <w:vMerge w:val="restart"/>
                  <w:tcBorders>
                    <w:top w:val="nil"/>
                    <w:left w:val="nil"/>
                    <w:bottom w:val="nil"/>
                    <w:right w:val="nil"/>
                  </w:tcBorders>
                  <w:shd w:val="clear" w:color="auto" w:fill="FFFFFF"/>
                  <w:vAlign w:val="bottom"/>
                </w:tcPr>
                <w:p w14:paraId="194A32C4" w14:textId="77777777" w:rsidR="00A81205" w:rsidRPr="00E95E79" w:rsidRDefault="00A81205" w:rsidP="00A81205">
                  <w:pPr>
                    <w:autoSpaceDE w:val="0"/>
                    <w:autoSpaceDN w:val="0"/>
                    <w:adjustRightInd w:val="0"/>
                    <w:spacing w:after="0" w:line="320" w:lineRule="atLeast"/>
                    <w:ind w:left="60" w:right="60"/>
                    <w:rPr>
                      <w:rFonts w:ascii="Sylfaen" w:eastAsiaTheme="minorHAnsi" w:hAnsi="Sylfaen" w:cs="Arial"/>
                      <w:b/>
                      <w:sz w:val="20"/>
                      <w:szCs w:val="20"/>
                    </w:rPr>
                  </w:pPr>
                  <w:r w:rsidRPr="00E95E79">
                    <w:rPr>
                      <w:rFonts w:ascii="Sylfaen" w:eastAsiaTheme="minorHAnsi" w:hAnsi="Sylfaen" w:cs="Arial"/>
                      <w:b/>
                      <w:sz w:val="20"/>
                      <w:szCs w:val="20"/>
                    </w:rPr>
                    <w:t>Model</w:t>
                  </w:r>
                </w:p>
              </w:tc>
              <w:tc>
                <w:tcPr>
                  <w:tcW w:w="2659" w:type="dxa"/>
                  <w:gridSpan w:val="2"/>
                  <w:tcBorders>
                    <w:top w:val="nil"/>
                    <w:left w:val="nil"/>
                    <w:bottom w:val="nil"/>
                    <w:right w:val="single" w:sz="8" w:space="0" w:color="E0E0E0"/>
                  </w:tcBorders>
                  <w:shd w:val="clear" w:color="auto" w:fill="FFFFFF"/>
                  <w:vAlign w:val="bottom"/>
                </w:tcPr>
                <w:p w14:paraId="4E8A4EE3" w14:textId="77777777" w:rsidR="00A81205" w:rsidRPr="003725B1" w:rsidRDefault="00A81205" w:rsidP="00A81205">
                  <w:pPr>
                    <w:autoSpaceDE w:val="0"/>
                    <w:autoSpaceDN w:val="0"/>
                    <w:adjustRightInd w:val="0"/>
                    <w:spacing w:after="0" w:line="320" w:lineRule="atLeast"/>
                    <w:ind w:left="60" w:right="60"/>
                    <w:jc w:val="center"/>
                    <w:rPr>
                      <w:rFonts w:ascii="Sylfaen" w:eastAsiaTheme="minorHAnsi" w:hAnsi="Sylfaen" w:cs="Arial"/>
                      <w:sz w:val="20"/>
                      <w:szCs w:val="20"/>
                    </w:rPr>
                  </w:pPr>
                  <w:r w:rsidRPr="003725B1">
                    <w:rPr>
                      <w:rFonts w:ascii="Sylfaen" w:eastAsiaTheme="minorHAnsi" w:hAnsi="Sylfaen" w:cs="Arial"/>
                      <w:sz w:val="20"/>
                      <w:szCs w:val="20"/>
                    </w:rPr>
                    <w:t>Unstandardized Coefficients</w:t>
                  </w:r>
                </w:p>
              </w:tc>
              <w:tc>
                <w:tcPr>
                  <w:tcW w:w="1466" w:type="dxa"/>
                  <w:tcBorders>
                    <w:top w:val="nil"/>
                    <w:left w:val="single" w:sz="8" w:space="0" w:color="E0E0E0"/>
                    <w:bottom w:val="nil"/>
                    <w:right w:val="single" w:sz="8" w:space="0" w:color="E0E0E0"/>
                  </w:tcBorders>
                  <w:shd w:val="clear" w:color="auto" w:fill="FFFFFF"/>
                  <w:vAlign w:val="bottom"/>
                </w:tcPr>
                <w:p w14:paraId="2B013175" w14:textId="77777777" w:rsidR="00A81205" w:rsidRPr="003725B1" w:rsidRDefault="00A81205" w:rsidP="00A81205">
                  <w:pPr>
                    <w:autoSpaceDE w:val="0"/>
                    <w:autoSpaceDN w:val="0"/>
                    <w:adjustRightInd w:val="0"/>
                    <w:spacing w:after="0" w:line="320" w:lineRule="atLeast"/>
                    <w:ind w:left="60" w:right="60"/>
                    <w:jc w:val="center"/>
                    <w:rPr>
                      <w:rFonts w:ascii="Sylfaen" w:eastAsiaTheme="minorHAnsi" w:hAnsi="Sylfaen" w:cs="Arial"/>
                      <w:sz w:val="20"/>
                      <w:szCs w:val="20"/>
                    </w:rPr>
                  </w:pPr>
                  <w:r w:rsidRPr="003725B1">
                    <w:rPr>
                      <w:rFonts w:ascii="Sylfaen" w:eastAsiaTheme="minorHAnsi" w:hAnsi="Sylfaen" w:cs="Arial"/>
                      <w:sz w:val="20"/>
                      <w:szCs w:val="20"/>
                    </w:rPr>
                    <w:t>Standardized Coefficients</w:t>
                  </w:r>
                </w:p>
              </w:tc>
              <w:tc>
                <w:tcPr>
                  <w:tcW w:w="1023" w:type="dxa"/>
                  <w:vMerge w:val="restart"/>
                  <w:tcBorders>
                    <w:top w:val="nil"/>
                    <w:left w:val="single" w:sz="8" w:space="0" w:color="E0E0E0"/>
                    <w:bottom w:val="nil"/>
                    <w:right w:val="single" w:sz="8" w:space="0" w:color="E0E0E0"/>
                  </w:tcBorders>
                  <w:shd w:val="clear" w:color="auto" w:fill="FFFFFF"/>
                  <w:vAlign w:val="bottom"/>
                </w:tcPr>
                <w:p w14:paraId="67D32AEC" w14:textId="44ED43C2" w:rsidR="00A81205" w:rsidRPr="003725B1" w:rsidRDefault="00FD29BC" w:rsidP="00A81205">
                  <w:pPr>
                    <w:autoSpaceDE w:val="0"/>
                    <w:autoSpaceDN w:val="0"/>
                    <w:adjustRightInd w:val="0"/>
                    <w:spacing w:after="0" w:line="320" w:lineRule="atLeast"/>
                    <w:ind w:left="60" w:right="60"/>
                    <w:jc w:val="center"/>
                    <w:rPr>
                      <w:rFonts w:ascii="Sylfaen" w:eastAsiaTheme="minorHAnsi" w:hAnsi="Sylfaen" w:cs="Arial"/>
                      <w:sz w:val="20"/>
                      <w:szCs w:val="20"/>
                    </w:rPr>
                  </w:pPr>
                  <w:r w:rsidRPr="003725B1">
                    <w:rPr>
                      <w:rFonts w:ascii="Sylfaen" w:eastAsiaTheme="minorHAnsi" w:hAnsi="Sylfaen" w:cs="Arial"/>
                      <w:sz w:val="20"/>
                      <w:szCs w:val="20"/>
                    </w:rPr>
                    <w:t>T</w:t>
                  </w:r>
                </w:p>
              </w:tc>
              <w:tc>
                <w:tcPr>
                  <w:tcW w:w="1024" w:type="dxa"/>
                  <w:vMerge w:val="restart"/>
                  <w:tcBorders>
                    <w:top w:val="nil"/>
                    <w:left w:val="single" w:sz="8" w:space="0" w:color="E0E0E0"/>
                    <w:bottom w:val="nil"/>
                    <w:right w:val="nil"/>
                  </w:tcBorders>
                  <w:shd w:val="clear" w:color="auto" w:fill="FFFFFF"/>
                  <w:vAlign w:val="bottom"/>
                </w:tcPr>
                <w:p w14:paraId="2B227C46" w14:textId="77777777" w:rsidR="00A81205" w:rsidRPr="003725B1" w:rsidRDefault="00A81205" w:rsidP="00A81205">
                  <w:pPr>
                    <w:autoSpaceDE w:val="0"/>
                    <w:autoSpaceDN w:val="0"/>
                    <w:adjustRightInd w:val="0"/>
                    <w:spacing w:after="0" w:line="320" w:lineRule="atLeast"/>
                    <w:ind w:left="60" w:right="60"/>
                    <w:jc w:val="center"/>
                    <w:rPr>
                      <w:rFonts w:ascii="Sylfaen" w:eastAsiaTheme="minorHAnsi" w:hAnsi="Sylfaen" w:cs="Arial"/>
                      <w:sz w:val="20"/>
                      <w:szCs w:val="20"/>
                    </w:rPr>
                  </w:pPr>
                  <w:r w:rsidRPr="003725B1">
                    <w:rPr>
                      <w:rFonts w:ascii="Sylfaen" w:eastAsiaTheme="minorHAnsi" w:hAnsi="Sylfaen" w:cs="Arial"/>
                      <w:sz w:val="20"/>
                      <w:szCs w:val="20"/>
                    </w:rPr>
                    <w:t>Sig.</w:t>
                  </w:r>
                </w:p>
              </w:tc>
            </w:tr>
            <w:tr w:rsidR="00A81205" w:rsidRPr="000F7276" w14:paraId="23789299" w14:textId="77777777" w:rsidTr="00F558D7">
              <w:trPr>
                <w:cantSplit/>
                <w:trHeight w:val="195"/>
              </w:trPr>
              <w:tc>
                <w:tcPr>
                  <w:tcW w:w="3176" w:type="dxa"/>
                  <w:gridSpan w:val="2"/>
                  <w:vMerge/>
                  <w:tcBorders>
                    <w:top w:val="nil"/>
                    <w:left w:val="nil"/>
                    <w:bottom w:val="nil"/>
                    <w:right w:val="nil"/>
                  </w:tcBorders>
                  <w:shd w:val="clear" w:color="auto" w:fill="FFFFFF"/>
                  <w:vAlign w:val="bottom"/>
                </w:tcPr>
                <w:p w14:paraId="3D3B6C5B"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c>
                <w:tcPr>
                  <w:tcW w:w="1329" w:type="dxa"/>
                  <w:tcBorders>
                    <w:top w:val="nil"/>
                    <w:left w:val="nil"/>
                    <w:bottom w:val="single" w:sz="8" w:space="0" w:color="152935"/>
                    <w:right w:val="single" w:sz="8" w:space="0" w:color="E0E0E0"/>
                  </w:tcBorders>
                  <w:shd w:val="clear" w:color="auto" w:fill="FFFFFF"/>
                  <w:vAlign w:val="bottom"/>
                </w:tcPr>
                <w:p w14:paraId="2BB8BAC6" w14:textId="77777777" w:rsidR="00A81205" w:rsidRPr="003725B1" w:rsidRDefault="00A81205" w:rsidP="00A81205">
                  <w:pPr>
                    <w:autoSpaceDE w:val="0"/>
                    <w:autoSpaceDN w:val="0"/>
                    <w:adjustRightInd w:val="0"/>
                    <w:spacing w:after="0" w:line="320" w:lineRule="atLeast"/>
                    <w:ind w:left="60" w:right="60"/>
                    <w:jc w:val="center"/>
                    <w:rPr>
                      <w:rFonts w:ascii="Sylfaen" w:eastAsiaTheme="minorHAnsi" w:hAnsi="Sylfaen" w:cs="Arial"/>
                      <w:sz w:val="20"/>
                      <w:szCs w:val="20"/>
                    </w:rPr>
                  </w:pPr>
                  <w:r w:rsidRPr="003725B1">
                    <w:rPr>
                      <w:rFonts w:ascii="Sylfaen" w:eastAsiaTheme="minorHAnsi" w:hAnsi="Sylfaen" w:cs="Arial"/>
                      <w:sz w:val="20"/>
                      <w:szCs w:val="20"/>
                    </w:rPr>
                    <w:t>B</w:t>
                  </w:r>
                </w:p>
              </w:tc>
              <w:tc>
                <w:tcPr>
                  <w:tcW w:w="1330" w:type="dxa"/>
                  <w:tcBorders>
                    <w:top w:val="nil"/>
                    <w:left w:val="single" w:sz="8" w:space="0" w:color="E0E0E0"/>
                    <w:bottom w:val="single" w:sz="8" w:space="0" w:color="152935"/>
                    <w:right w:val="single" w:sz="8" w:space="0" w:color="E0E0E0"/>
                  </w:tcBorders>
                  <w:shd w:val="clear" w:color="auto" w:fill="FFFFFF"/>
                  <w:vAlign w:val="bottom"/>
                </w:tcPr>
                <w:p w14:paraId="68E1FDFE" w14:textId="77777777" w:rsidR="00A81205" w:rsidRPr="003725B1" w:rsidRDefault="00A81205" w:rsidP="00A81205">
                  <w:pPr>
                    <w:autoSpaceDE w:val="0"/>
                    <w:autoSpaceDN w:val="0"/>
                    <w:adjustRightInd w:val="0"/>
                    <w:spacing w:after="0" w:line="320" w:lineRule="atLeast"/>
                    <w:ind w:left="60" w:right="60"/>
                    <w:jc w:val="center"/>
                    <w:rPr>
                      <w:rFonts w:ascii="Sylfaen" w:eastAsiaTheme="minorHAnsi" w:hAnsi="Sylfaen" w:cs="Arial"/>
                      <w:sz w:val="20"/>
                      <w:szCs w:val="20"/>
                    </w:rPr>
                  </w:pPr>
                  <w:r w:rsidRPr="003725B1">
                    <w:rPr>
                      <w:rFonts w:ascii="Sylfaen" w:eastAsiaTheme="minorHAnsi" w:hAnsi="Sylfaen" w:cs="Arial"/>
                      <w:sz w:val="20"/>
                      <w:szCs w:val="20"/>
                    </w:rPr>
                    <w:t>Std. Error</w:t>
                  </w:r>
                </w:p>
              </w:tc>
              <w:tc>
                <w:tcPr>
                  <w:tcW w:w="1466" w:type="dxa"/>
                  <w:tcBorders>
                    <w:top w:val="nil"/>
                    <w:left w:val="single" w:sz="8" w:space="0" w:color="E0E0E0"/>
                    <w:bottom w:val="single" w:sz="8" w:space="0" w:color="152935"/>
                    <w:right w:val="single" w:sz="8" w:space="0" w:color="E0E0E0"/>
                  </w:tcBorders>
                  <w:shd w:val="clear" w:color="auto" w:fill="FFFFFF"/>
                  <w:vAlign w:val="bottom"/>
                </w:tcPr>
                <w:p w14:paraId="40D9DEBA" w14:textId="77777777" w:rsidR="00A81205" w:rsidRPr="003725B1" w:rsidRDefault="00A81205" w:rsidP="00A81205">
                  <w:pPr>
                    <w:autoSpaceDE w:val="0"/>
                    <w:autoSpaceDN w:val="0"/>
                    <w:adjustRightInd w:val="0"/>
                    <w:spacing w:after="0" w:line="320" w:lineRule="atLeast"/>
                    <w:ind w:left="60" w:right="60"/>
                    <w:jc w:val="center"/>
                    <w:rPr>
                      <w:rFonts w:ascii="Sylfaen" w:eastAsiaTheme="minorHAnsi" w:hAnsi="Sylfaen" w:cs="Arial"/>
                      <w:sz w:val="20"/>
                      <w:szCs w:val="20"/>
                    </w:rPr>
                  </w:pPr>
                  <w:r w:rsidRPr="003725B1">
                    <w:rPr>
                      <w:rFonts w:ascii="Sylfaen" w:eastAsiaTheme="minorHAnsi" w:hAnsi="Sylfaen" w:cs="Arial"/>
                      <w:sz w:val="20"/>
                      <w:szCs w:val="20"/>
                    </w:rPr>
                    <w:t>Beta</w:t>
                  </w:r>
                </w:p>
              </w:tc>
              <w:tc>
                <w:tcPr>
                  <w:tcW w:w="1023" w:type="dxa"/>
                  <w:vMerge/>
                  <w:tcBorders>
                    <w:top w:val="nil"/>
                    <w:left w:val="single" w:sz="8" w:space="0" w:color="E0E0E0"/>
                    <w:bottom w:val="nil"/>
                    <w:right w:val="single" w:sz="8" w:space="0" w:color="E0E0E0"/>
                  </w:tcBorders>
                  <w:shd w:val="clear" w:color="auto" w:fill="FFFFFF"/>
                  <w:vAlign w:val="bottom"/>
                </w:tcPr>
                <w:p w14:paraId="01425D2A"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c>
                <w:tcPr>
                  <w:tcW w:w="1024" w:type="dxa"/>
                  <w:vMerge/>
                  <w:tcBorders>
                    <w:top w:val="nil"/>
                    <w:left w:val="single" w:sz="8" w:space="0" w:color="E0E0E0"/>
                    <w:bottom w:val="nil"/>
                    <w:right w:val="nil"/>
                  </w:tcBorders>
                  <w:shd w:val="clear" w:color="auto" w:fill="FFFFFF"/>
                  <w:vAlign w:val="bottom"/>
                </w:tcPr>
                <w:p w14:paraId="69FCD4B2"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r>
            <w:tr w:rsidR="00A81205" w:rsidRPr="000F7276" w14:paraId="5E917B40" w14:textId="77777777" w:rsidTr="003725B1">
              <w:trPr>
                <w:cantSplit/>
                <w:trHeight w:val="195"/>
              </w:trPr>
              <w:tc>
                <w:tcPr>
                  <w:tcW w:w="731" w:type="dxa"/>
                  <w:vMerge w:val="restart"/>
                  <w:tcBorders>
                    <w:top w:val="single" w:sz="8" w:space="0" w:color="152935"/>
                    <w:left w:val="nil"/>
                    <w:bottom w:val="single" w:sz="8" w:space="0" w:color="152935"/>
                    <w:right w:val="nil"/>
                  </w:tcBorders>
                  <w:shd w:val="clear" w:color="auto" w:fill="auto"/>
                </w:tcPr>
                <w:p w14:paraId="639CC608"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sz w:val="20"/>
                      <w:szCs w:val="20"/>
                    </w:rPr>
                  </w:pPr>
                  <w:r w:rsidRPr="003725B1">
                    <w:rPr>
                      <w:rFonts w:ascii="Sylfaen" w:eastAsiaTheme="minorHAnsi" w:hAnsi="Sylfaen" w:cs="Arial"/>
                      <w:sz w:val="20"/>
                      <w:szCs w:val="20"/>
                    </w:rPr>
                    <w:t>1</w:t>
                  </w:r>
                </w:p>
              </w:tc>
              <w:tc>
                <w:tcPr>
                  <w:tcW w:w="2445" w:type="dxa"/>
                  <w:tcBorders>
                    <w:top w:val="single" w:sz="8" w:space="0" w:color="152935"/>
                    <w:left w:val="nil"/>
                    <w:bottom w:val="single" w:sz="8" w:space="0" w:color="AEAEAE"/>
                    <w:right w:val="nil"/>
                  </w:tcBorders>
                  <w:shd w:val="clear" w:color="auto" w:fill="auto"/>
                </w:tcPr>
                <w:p w14:paraId="10660191"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b/>
                      <w:sz w:val="20"/>
                      <w:szCs w:val="20"/>
                    </w:rPr>
                  </w:pPr>
                  <w:r w:rsidRPr="003725B1">
                    <w:rPr>
                      <w:rFonts w:ascii="Sylfaen" w:eastAsiaTheme="minorHAnsi" w:hAnsi="Sylfaen" w:cs="Arial"/>
                      <w:b/>
                      <w:sz w:val="20"/>
                      <w:szCs w:val="20"/>
                    </w:rPr>
                    <w:t>(Constant)</w:t>
                  </w:r>
                </w:p>
              </w:tc>
              <w:tc>
                <w:tcPr>
                  <w:tcW w:w="1329" w:type="dxa"/>
                  <w:tcBorders>
                    <w:top w:val="single" w:sz="8" w:space="0" w:color="152935"/>
                    <w:left w:val="nil"/>
                    <w:bottom w:val="single" w:sz="8" w:space="0" w:color="AEAEAE"/>
                    <w:right w:val="single" w:sz="8" w:space="0" w:color="E0E0E0"/>
                  </w:tcBorders>
                  <w:shd w:val="clear" w:color="auto" w:fill="FFFFFF"/>
                </w:tcPr>
                <w:p w14:paraId="3456D74A"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,372</w:t>
                  </w:r>
                </w:p>
              </w:tc>
              <w:tc>
                <w:tcPr>
                  <w:tcW w:w="1330" w:type="dxa"/>
                  <w:tcBorders>
                    <w:top w:val="single" w:sz="8" w:space="0" w:color="152935"/>
                    <w:left w:val="single" w:sz="8" w:space="0" w:color="E0E0E0"/>
                    <w:bottom w:val="single" w:sz="8" w:space="0" w:color="AEAEAE"/>
                    <w:right w:val="single" w:sz="8" w:space="0" w:color="E0E0E0"/>
                  </w:tcBorders>
                  <w:shd w:val="clear" w:color="auto" w:fill="FFFFFF"/>
                </w:tcPr>
                <w:p w14:paraId="028E13E5"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,122</w:t>
                  </w:r>
                </w:p>
              </w:tc>
              <w:tc>
                <w:tcPr>
                  <w:tcW w:w="1466"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F9DDBC9" w14:textId="77777777" w:rsidR="00A81205" w:rsidRPr="003725B1" w:rsidRDefault="00A81205" w:rsidP="00A81205">
                  <w:pPr>
                    <w:autoSpaceDE w:val="0"/>
                    <w:autoSpaceDN w:val="0"/>
                    <w:adjustRightInd w:val="0"/>
                    <w:spacing w:after="0" w:line="240" w:lineRule="auto"/>
                    <w:rPr>
                      <w:rFonts w:ascii="Sylfaen" w:eastAsiaTheme="minorHAnsi" w:hAnsi="Sylfaen" w:cs="Times New Roman"/>
                      <w:sz w:val="20"/>
                      <w:szCs w:val="20"/>
                    </w:rPr>
                  </w:pPr>
                </w:p>
              </w:tc>
              <w:tc>
                <w:tcPr>
                  <w:tcW w:w="1023" w:type="dxa"/>
                  <w:tcBorders>
                    <w:top w:val="single" w:sz="8" w:space="0" w:color="152935"/>
                    <w:left w:val="single" w:sz="8" w:space="0" w:color="E0E0E0"/>
                    <w:bottom w:val="single" w:sz="8" w:space="0" w:color="AEAEAE"/>
                    <w:right w:val="single" w:sz="8" w:space="0" w:color="E0E0E0"/>
                  </w:tcBorders>
                  <w:shd w:val="clear" w:color="auto" w:fill="FFFFFF"/>
                </w:tcPr>
                <w:p w14:paraId="06056C37"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3,044</w:t>
                  </w:r>
                </w:p>
              </w:tc>
              <w:tc>
                <w:tcPr>
                  <w:tcW w:w="1024" w:type="dxa"/>
                  <w:tcBorders>
                    <w:top w:val="single" w:sz="8" w:space="0" w:color="152935"/>
                    <w:left w:val="single" w:sz="8" w:space="0" w:color="E0E0E0"/>
                    <w:bottom w:val="single" w:sz="8" w:space="0" w:color="AEAEAE"/>
                    <w:right w:val="nil"/>
                  </w:tcBorders>
                  <w:shd w:val="clear" w:color="auto" w:fill="FFFFFF"/>
                </w:tcPr>
                <w:p w14:paraId="19153B52"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,002</w:t>
                  </w:r>
                </w:p>
              </w:tc>
            </w:tr>
            <w:tr w:rsidR="00A81205" w:rsidRPr="000F7276" w14:paraId="0310C2C2" w14:textId="77777777" w:rsidTr="003725B1">
              <w:trPr>
                <w:cantSplit/>
                <w:trHeight w:val="207"/>
              </w:trPr>
              <w:tc>
                <w:tcPr>
                  <w:tcW w:w="731" w:type="dxa"/>
                  <w:vMerge/>
                  <w:tcBorders>
                    <w:top w:val="single" w:sz="8" w:space="0" w:color="152935"/>
                    <w:left w:val="nil"/>
                    <w:bottom w:val="single" w:sz="8" w:space="0" w:color="152935"/>
                    <w:right w:val="nil"/>
                  </w:tcBorders>
                  <w:shd w:val="clear" w:color="auto" w:fill="auto"/>
                </w:tcPr>
                <w:p w14:paraId="0E322483"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c>
                <w:tcPr>
                  <w:tcW w:w="2445" w:type="dxa"/>
                  <w:tcBorders>
                    <w:top w:val="single" w:sz="8" w:space="0" w:color="AEAEAE"/>
                    <w:left w:val="nil"/>
                    <w:bottom w:val="single" w:sz="8" w:space="0" w:color="AEAEAE"/>
                    <w:right w:val="nil"/>
                  </w:tcBorders>
                  <w:shd w:val="clear" w:color="auto" w:fill="auto"/>
                </w:tcPr>
                <w:p w14:paraId="34AF7C66"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b/>
                      <w:sz w:val="20"/>
                      <w:szCs w:val="20"/>
                    </w:rPr>
                  </w:pPr>
                  <w:r w:rsidRPr="003725B1">
                    <w:rPr>
                      <w:rFonts w:ascii="Sylfaen" w:eastAsiaTheme="minorHAnsi" w:hAnsi="Sylfaen" w:cs="Arial"/>
                      <w:b/>
                      <w:sz w:val="20"/>
                      <w:szCs w:val="20"/>
                    </w:rPr>
                    <w:t>Number of times discussed</w:t>
                  </w:r>
                </w:p>
              </w:tc>
              <w:tc>
                <w:tcPr>
                  <w:tcW w:w="1329" w:type="dxa"/>
                  <w:tcBorders>
                    <w:top w:val="single" w:sz="8" w:space="0" w:color="AEAEAE"/>
                    <w:left w:val="nil"/>
                    <w:bottom w:val="single" w:sz="8" w:space="0" w:color="AEAEAE"/>
                    <w:right w:val="single" w:sz="8" w:space="0" w:color="E0E0E0"/>
                  </w:tcBorders>
                  <w:shd w:val="clear" w:color="auto" w:fill="FFFFFF"/>
                </w:tcPr>
                <w:p w14:paraId="4B44217B"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,015</w:t>
                  </w:r>
                </w:p>
              </w:tc>
              <w:tc>
                <w:tcPr>
                  <w:tcW w:w="1330" w:type="dxa"/>
                  <w:tcBorders>
                    <w:top w:val="single" w:sz="8" w:space="0" w:color="AEAEAE"/>
                    <w:left w:val="single" w:sz="8" w:space="0" w:color="E0E0E0"/>
                    <w:bottom w:val="single" w:sz="8" w:space="0" w:color="AEAEAE"/>
                    <w:right w:val="single" w:sz="8" w:space="0" w:color="E0E0E0"/>
                  </w:tcBorders>
                  <w:shd w:val="clear" w:color="auto" w:fill="FFFFFF"/>
                </w:tcPr>
                <w:p w14:paraId="0FC55004"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,018</w:t>
                  </w:r>
                </w:p>
              </w:tc>
              <w:tc>
                <w:tcPr>
                  <w:tcW w:w="1466" w:type="dxa"/>
                  <w:tcBorders>
                    <w:top w:val="single" w:sz="8" w:space="0" w:color="AEAEAE"/>
                    <w:left w:val="single" w:sz="8" w:space="0" w:color="E0E0E0"/>
                    <w:bottom w:val="single" w:sz="8" w:space="0" w:color="AEAEAE"/>
                    <w:right w:val="single" w:sz="8" w:space="0" w:color="E0E0E0"/>
                  </w:tcBorders>
                  <w:shd w:val="clear" w:color="auto" w:fill="FFFFFF"/>
                </w:tcPr>
                <w:p w14:paraId="1F9B6540"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,031</w:t>
                  </w:r>
                </w:p>
              </w:tc>
              <w:tc>
                <w:tcPr>
                  <w:tcW w:w="1023" w:type="dxa"/>
                  <w:tcBorders>
                    <w:top w:val="single" w:sz="8" w:space="0" w:color="AEAEAE"/>
                    <w:left w:val="single" w:sz="8" w:space="0" w:color="E0E0E0"/>
                    <w:bottom w:val="single" w:sz="8" w:space="0" w:color="AEAEAE"/>
                    <w:right w:val="single" w:sz="8" w:space="0" w:color="E0E0E0"/>
                  </w:tcBorders>
                  <w:shd w:val="clear" w:color="auto" w:fill="FFFFFF"/>
                </w:tcPr>
                <w:p w14:paraId="2787F9C8"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,788</w:t>
                  </w:r>
                </w:p>
              </w:tc>
              <w:tc>
                <w:tcPr>
                  <w:tcW w:w="1024" w:type="dxa"/>
                  <w:tcBorders>
                    <w:top w:val="single" w:sz="8" w:space="0" w:color="AEAEAE"/>
                    <w:left w:val="single" w:sz="8" w:space="0" w:color="E0E0E0"/>
                    <w:bottom w:val="single" w:sz="8" w:space="0" w:color="AEAEAE"/>
                    <w:right w:val="nil"/>
                  </w:tcBorders>
                  <w:shd w:val="clear" w:color="auto" w:fill="FFFFFF"/>
                </w:tcPr>
                <w:p w14:paraId="2686239B"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,431</w:t>
                  </w:r>
                </w:p>
              </w:tc>
            </w:tr>
            <w:tr w:rsidR="00A81205" w:rsidRPr="000F7276" w14:paraId="6B364A3E" w14:textId="77777777" w:rsidTr="003725B1">
              <w:trPr>
                <w:cantSplit/>
                <w:trHeight w:val="207"/>
              </w:trPr>
              <w:tc>
                <w:tcPr>
                  <w:tcW w:w="731" w:type="dxa"/>
                  <w:vMerge/>
                  <w:tcBorders>
                    <w:top w:val="single" w:sz="8" w:space="0" w:color="152935"/>
                    <w:left w:val="nil"/>
                    <w:bottom w:val="single" w:sz="8" w:space="0" w:color="152935"/>
                    <w:right w:val="nil"/>
                  </w:tcBorders>
                  <w:shd w:val="clear" w:color="auto" w:fill="auto"/>
                </w:tcPr>
                <w:p w14:paraId="350C50F6"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c>
                <w:tcPr>
                  <w:tcW w:w="2445" w:type="dxa"/>
                  <w:tcBorders>
                    <w:top w:val="single" w:sz="8" w:space="0" w:color="AEAEAE"/>
                    <w:left w:val="nil"/>
                    <w:bottom w:val="single" w:sz="8" w:space="0" w:color="AEAEAE"/>
                    <w:right w:val="nil"/>
                  </w:tcBorders>
                  <w:shd w:val="clear" w:color="auto" w:fill="auto"/>
                </w:tcPr>
                <w:p w14:paraId="348AC7F5"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b/>
                      <w:sz w:val="20"/>
                      <w:szCs w:val="20"/>
                    </w:rPr>
                  </w:pPr>
                  <w:r w:rsidRPr="003725B1">
                    <w:rPr>
                      <w:rFonts w:ascii="Sylfaen" w:eastAsiaTheme="minorHAnsi" w:hAnsi="Sylfaen" w:cs="Arial"/>
                      <w:b/>
                      <w:sz w:val="20"/>
                      <w:szCs w:val="20"/>
                    </w:rPr>
                    <w:t>Consultations</w:t>
                  </w:r>
                </w:p>
              </w:tc>
              <w:tc>
                <w:tcPr>
                  <w:tcW w:w="1329" w:type="dxa"/>
                  <w:tcBorders>
                    <w:top w:val="single" w:sz="8" w:space="0" w:color="AEAEAE"/>
                    <w:left w:val="nil"/>
                    <w:bottom w:val="single" w:sz="8" w:space="0" w:color="AEAEAE"/>
                    <w:right w:val="single" w:sz="8" w:space="0" w:color="E0E0E0"/>
                  </w:tcBorders>
                  <w:shd w:val="clear" w:color="auto" w:fill="FFFFFF"/>
                </w:tcPr>
                <w:p w14:paraId="4B25E3A3"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,204</w:t>
                  </w:r>
                </w:p>
              </w:tc>
              <w:tc>
                <w:tcPr>
                  <w:tcW w:w="1330" w:type="dxa"/>
                  <w:tcBorders>
                    <w:top w:val="single" w:sz="8" w:space="0" w:color="AEAEAE"/>
                    <w:left w:val="single" w:sz="8" w:space="0" w:color="E0E0E0"/>
                    <w:bottom w:val="single" w:sz="8" w:space="0" w:color="AEAEAE"/>
                    <w:right w:val="single" w:sz="8" w:space="0" w:color="E0E0E0"/>
                  </w:tcBorders>
                  <w:shd w:val="clear" w:color="auto" w:fill="FFFFFF"/>
                </w:tcPr>
                <w:p w14:paraId="079AB1B2"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,073</w:t>
                  </w:r>
                </w:p>
              </w:tc>
              <w:tc>
                <w:tcPr>
                  <w:tcW w:w="1466" w:type="dxa"/>
                  <w:tcBorders>
                    <w:top w:val="single" w:sz="8" w:space="0" w:color="AEAEAE"/>
                    <w:left w:val="single" w:sz="8" w:space="0" w:color="E0E0E0"/>
                    <w:bottom w:val="single" w:sz="8" w:space="0" w:color="AEAEAE"/>
                    <w:right w:val="single" w:sz="8" w:space="0" w:color="E0E0E0"/>
                  </w:tcBorders>
                  <w:shd w:val="clear" w:color="auto" w:fill="FFFFFF"/>
                </w:tcPr>
                <w:p w14:paraId="549FA618"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,127</w:t>
                  </w:r>
                </w:p>
              </w:tc>
              <w:tc>
                <w:tcPr>
                  <w:tcW w:w="1023" w:type="dxa"/>
                  <w:tcBorders>
                    <w:top w:val="single" w:sz="8" w:space="0" w:color="AEAEAE"/>
                    <w:left w:val="single" w:sz="8" w:space="0" w:color="E0E0E0"/>
                    <w:bottom w:val="single" w:sz="8" w:space="0" w:color="AEAEAE"/>
                    <w:right w:val="single" w:sz="8" w:space="0" w:color="E0E0E0"/>
                  </w:tcBorders>
                  <w:shd w:val="clear" w:color="auto" w:fill="FFFFFF"/>
                </w:tcPr>
                <w:p w14:paraId="0BB3DBE9"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2,808</w:t>
                  </w:r>
                </w:p>
              </w:tc>
              <w:tc>
                <w:tcPr>
                  <w:tcW w:w="1024" w:type="dxa"/>
                  <w:tcBorders>
                    <w:top w:val="single" w:sz="8" w:space="0" w:color="AEAEAE"/>
                    <w:left w:val="single" w:sz="8" w:space="0" w:color="E0E0E0"/>
                    <w:bottom w:val="single" w:sz="8" w:space="0" w:color="AEAEAE"/>
                    <w:right w:val="nil"/>
                  </w:tcBorders>
                  <w:shd w:val="clear" w:color="auto" w:fill="FFFFFF"/>
                </w:tcPr>
                <w:p w14:paraId="0E08306C"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,005</w:t>
                  </w:r>
                </w:p>
              </w:tc>
            </w:tr>
            <w:tr w:rsidR="00A81205" w:rsidRPr="000F7276" w14:paraId="365A89D5" w14:textId="77777777" w:rsidTr="003725B1">
              <w:trPr>
                <w:cantSplit/>
                <w:trHeight w:val="207"/>
              </w:trPr>
              <w:tc>
                <w:tcPr>
                  <w:tcW w:w="731" w:type="dxa"/>
                  <w:vMerge/>
                  <w:tcBorders>
                    <w:top w:val="single" w:sz="8" w:space="0" w:color="152935"/>
                    <w:left w:val="nil"/>
                    <w:bottom w:val="single" w:sz="8" w:space="0" w:color="152935"/>
                    <w:right w:val="nil"/>
                  </w:tcBorders>
                  <w:shd w:val="clear" w:color="auto" w:fill="auto"/>
                </w:tcPr>
                <w:p w14:paraId="1CCB1068"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c>
                <w:tcPr>
                  <w:tcW w:w="2445" w:type="dxa"/>
                  <w:tcBorders>
                    <w:top w:val="single" w:sz="8" w:space="0" w:color="AEAEAE"/>
                    <w:left w:val="nil"/>
                    <w:bottom w:val="single" w:sz="8" w:space="0" w:color="AEAEAE"/>
                    <w:right w:val="nil"/>
                  </w:tcBorders>
                  <w:shd w:val="clear" w:color="auto" w:fill="auto"/>
                </w:tcPr>
                <w:p w14:paraId="35411E34"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b/>
                      <w:sz w:val="20"/>
                      <w:szCs w:val="20"/>
                    </w:rPr>
                  </w:pPr>
                  <w:r w:rsidRPr="003725B1">
                    <w:rPr>
                      <w:rFonts w:ascii="Sylfaen" w:eastAsiaTheme="minorHAnsi" w:hAnsi="Sylfaen" w:cs="Arial"/>
                      <w:b/>
                      <w:sz w:val="20"/>
                      <w:szCs w:val="20"/>
                    </w:rPr>
                    <w:t>AvWOpMS</w:t>
                  </w:r>
                </w:p>
              </w:tc>
              <w:tc>
                <w:tcPr>
                  <w:tcW w:w="1329" w:type="dxa"/>
                  <w:tcBorders>
                    <w:top w:val="single" w:sz="8" w:space="0" w:color="AEAEAE"/>
                    <w:left w:val="nil"/>
                    <w:bottom w:val="single" w:sz="8" w:space="0" w:color="AEAEAE"/>
                    <w:right w:val="single" w:sz="8" w:space="0" w:color="E0E0E0"/>
                  </w:tcBorders>
                  <w:shd w:val="clear" w:color="auto" w:fill="FFFFFF"/>
                </w:tcPr>
                <w:p w14:paraId="1E30821E"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,147</w:t>
                  </w:r>
                </w:p>
              </w:tc>
              <w:tc>
                <w:tcPr>
                  <w:tcW w:w="1330" w:type="dxa"/>
                  <w:tcBorders>
                    <w:top w:val="single" w:sz="8" w:space="0" w:color="AEAEAE"/>
                    <w:left w:val="single" w:sz="8" w:space="0" w:color="E0E0E0"/>
                    <w:bottom w:val="single" w:sz="8" w:space="0" w:color="AEAEAE"/>
                    <w:right w:val="single" w:sz="8" w:space="0" w:color="E0E0E0"/>
                  </w:tcBorders>
                  <w:shd w:val="clear" w:color="auto" w:fill="FFFFFF"/>
                </w:tcPr>
                <w:p w14:paraId="45FC687A"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,026</w:t>
                  </w:r>
                </w:p>
              </w:tc>
              <w:tc>
                <w:tcPr>
                  <w:tcW w:w="1466" w:type="dxa"/>
                  <w:tcBorders>
                    <w:top w:val="single" w:sz="8" w:space="0" w:color="AEAEAE"/>
                    <w:left w:val="single" w:sz="8" w:space="0" w:color="E0E0E0"/>
                    <w:bottom w:val="single" w:sz="8" w:space="0" w:color="AEAEAE"/>
                    <w:right w:val="single" w:sz="8" w:space="0" w:color="E0E0E0"/>
                  </w:tcBorders>
                  <w:shd w:val="clear" w:color="auto" w:fill="FFFFFF"/>
                </w:tcPr>
                <w:p w14:paraId="7F40F745"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,264</w:t>
                  </w:r>
                </w:p>
              </w:tc>
              <w:tc>
                <w:tcPr>
                  <w:tcW w:w="1023" w:type="dxa"/>
                  <w:tcBorders>
                    <w:top w:val="single" w:sz="8" w:space="0" w:color="AEAEAE"/>
                    <w:left w:val="single" w:sz="8" w:space="0" w:color="E0E0E0"/>
                    <w:bottom w:val="single" w:sz="8" w:space="0" w:color="AEAEAE"/>
                    <w:right w:val="single" w:sz="8" w:space="0" w:color="E0E0E0"/>
                  </w:tcBorders>
                  <w:shd w:val="clear" w:color="auto" w:fill="FFFFFF"/>
                </w:tcPr>
                <w:p w14:paraId="7A5B01EE"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5,580</w:t>
                  </w:r>
                </w:p>
              </w:tc>
              <w:tc>
                <w:tcPr>
                  <w:tcW w:w="1024" w:type="dxa"/>
                  <w:tcBorders>
                    <w:top w:val="single" w:sz="8" w:space="0" w:color="AEAEAE"/>
                    <w:left w:val="single" w:sz="8" w:space="0" w:color="E0E0E0"/>
                    <w:bottom w:val="single" w:sz="8" w:space="0" w:color="AEAEAE"/>
                    <w:right w:val="nil"/>
                  </w:tcBorders>
                  <w:shd w:val="clear" w:color="auto" w:fill="FFFFFF"/>
                </w:tcPr>
                <w:p w14:paraId="10660F02"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,000</w:t>
                  </w:r>
                </w:p>
              </w:tc>
            </w:tr>
            <w:tr w:rsidR="00A81205" w:rsidRPr="000F7276" w14:paraId="04CC2F3A" w14:textId="77777777" w:rsidTr="003725B1">
              <w:trPr>
                <w:cantSplit/>
                <w:trHeight w:val="207"/>
              </w:trPr>
              <w:tc>
                <w:tcPr>
                  <w:tcW w:w="731" w:type="dxa"/>
                  <w:vMerge/>
                  <w:tcBorders>
                    <w:top w:val="single" w:sz="8" w:space="0" w:color="152935"/>
                    <w:left w:val="nil"/>
                    <w:bottom w:val="single" w:sz="8" w:space="0" w:color="152935"/>
                    <w:right w:val="nil"/>
                  </w:tcBorders>
                  <w:shd w:val="clear" w:color="auto" w:fill="auto"/>
                </w:tcPr>
                <w:p w14:paraId="4A667C81"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c>
                <w:tcPr>
                  <w:tcW w:w="2445" w:type="dxa"/>
                  <w:tcBorders>
                    <w:top w:val="single" w:sz="8" w:space="0" w:color="AEAEAE"/>
                    <w:left w:val="nil"/>
                    <w:bottom w:val="single" w:sz="8" w:space="0" w:color="AEAEAE"/>
                    <w:right w:val="nil"/>
                  </w:tcBorders>
                  <w:shd w:val="clear" w:color="auto" w:fill="auto"/>
                </w:tcPr>
                <w:p w14:paraId="58C34FAE"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b/>
                      <w:sz w:val="20"/>
                      <w:szCs w:val="20"/>
                    </w:rPr>
                  </w:pPr>
                  <w:r w:rsidRPr="003725B1">
                    <w:rPr>
                      <w:rFonts w:ascii="Sylfaen" w:eastAsiaTheme="minorHAnsi" w:hAnsi="Sylfaen" w:cs="Arial"/>
                      <w:b/>
                      <w:sz w:val="20"/>
                      <w:szCs w:val="20"/>
                    </w:rPr>
                    <w:t>NumOpMS</w:t>
                  </w:r>
                </w:p>
              </w:tc>
              <w:tc>
                <w:tcPr>
                  <w:tcW w:w="1329" w:type="dxa"/>
                  <w:tcBorders>
                    <w:top w:val="single" w:sz="8" w:space="0" w:color="AEAEAE"/>
                    <w:left w:val="nil"/>
                    <w:bottom w:val="single" w:sz="8" w:space="0" w:color="AEAEAE"/>
                    <w:right w:val="single" w:sz="8" w:space="0" w:color="E0E0E0"/>
                  </w:tcBorders>
                  <w:shd w:val="clear" w:color="auto" w:fill="FFFFFF"/>
                </w:tcPr>
                <w:p w14:paraId="57D4B8DA"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,135</w:t>
                  </w:r>
                </w:p>
              </w:tc>
              <w:tc>
                <w:tcPr>
                  <w:tcW w:w="1330" w:type="dxa"/>
                  <w:tcBorders>
                    <w:top w:val="single" w:sz="8" w:space="0" w:color="AEAEAE"/>
                    <w:left w:val="single" w:sz="8" w:space="0" w:color="E0E0E0"/>
                    <w:bottom w:val="single" w:sz="8" w:space="0" w:color="AEAEAE"/>
                    <w:right w:val="single" w:sz="8" w:space="0" w:color="E0E0E0"/>
                  </w:tcBorders>
                  <w:shd w:val="clear" w:color="auto" w:fill="FFFFFF"/>
                </w:tcPr>
                <w:p w14:paraId="16C45997"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,098</w:t>
                  </w:r>
                </w:p>
              </w:tc>
              <w:tc>
                <w:tcPr>
                  <w:tcW w:w="1466" w:type="dxa"/>
                  <w:tcBorders>
                    <w:top w:val="single" w:sz="8" w:space="0" w:color="AEAEAE"/>
                    <w:left w:val="single" w:sz="8" w:space="0" w:color="E0E0E0"/>
                    <w:bottom w:val="single" w:sz="8" w:space="0" w:color="AEAEAE"/>
                    <w:right w:val="single" w:sz="8" w:space="0" w:color="E0E0E0"/>
                  </w:tcBorders>
                  <w:shd w:val="clear" w:color="auto" w:fill="FFFFFF"/>
                </w:tcPr>
                <w:p w14:paraId="05ADB9E5"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,104</w:t>
                  </w:r>
                </w:p>
              </w:tc>
              <w:tc>
                <w:tcPr>
                  <w:tcW w:w="1023" w:type="dxa"/>
                  <w:tcBorders>
                    <w:top w:val="single" w:sz="8" w:space="0" w:color="AEAEAE"/>
                    <w:left w:val="single" w:sz="8" w:space="0" w:color="E0E0E0"/>
                    <w:bottom w:val="single" w:sz="8" w:space="0" w:color="AEAEAE"/>
                    <w:right w:val="single" w:sz="8" w:space="0" w:color="E0E0E0"/>
                  </w:tcBorders>
                  <w:shd w:val="clear" w:color="auto" w:fill="FFFFFF"/>
                </w:tcPr>
                <w:p w14:paraId="74C136F8"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1,371</w:t>
                  </w:r>
                </w:p>
              </w:tc>
              <w:tc>
                <w:tcPr>
                  <w:tcW w:w="1024" w:type="dxa"/>
                  <w:tcBorders>
                    <w:top w:val="single" w:sz="8" w:space="0" w:color="AEAEAE"/>
                    <w:left w:val="single" w:sz="8" w:space="0" w:color="E0E0E0"/>
                    <w:bottom w:val="single" w:sz="8" w:space="0" w:color="AEAEAE"/>
                    <w:right w:val="nil"/>
                  </w:tcBorders>
                  <w:shd w:val="clear" w:color="auto" w:fill="FFFFFF"/>
                </w:tcPr>
                <w:p w14:paraId="3366AB73"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,171</w:t>
                  </w:r>
                </w:p>
              </w:tc>
            </w:tr>
            <w:tr w:rsidR="00A81205" w:rsidRPr="000F7276" w14:paraId="51AA8A59" w14:textId="77777777" w:rsidTr="003725B1">
              <w:trPr>
                <w:cantSplit/>
                <w:trHeight w:val="207"/>
              </w:trPr>
              <w:tc>
                <w:tcPr>
                  <w:tcW w:w="731" w:type="dxa"/>
                  <w:vMerge/>
                  <w:tcBorders>
                    <w:top w:val="single" w:sz="8" w:space="0" w:color="152935"/>
                    <w:left w:val="nil"/>
                    <w:bottom w:val="single" w:sz="8" w:space="0" w:color="152935"/>
                    <w:right w:val="nil"/>
                  </w:tcBorders>
                  <w:shd w:val="clear" w:color="auto" w:fill="auto"/>
                </w:tcPr>
                <w:p w14:paraId="283C6C62" w14:textId="77777777" w:rsidR="00A81205" w:rsidRPr="003725B1" w:rsidRDefault="00A81205" w:rsidP="00A81205">
                  <w:pPr>
                    <w:autoSpaceDE w:val="0"/>
                    <w:autoSpaceDN w:val="0"/>
                    <w:adjustRightInd w:val="0"/>
                    <w:spacing w:after="0" w:line="240" w:lineRule="auto"/>
                    <w:rPr>
                      <w:rFonts w:ascii="Sylfaen" w:eastAsiaTheme="minorHAnsi" w:hAnsi="Sylfaen" w:cs="Arial"/>
                      <w:sz w:val="20"/>
                      <w:szCs w:val="20"/>
                    </w:rPr>
                  </w:pPr>
                </w:p>
              </w:tc>
              <w:tc>
                <w:tcPr>
                  <w:tcW w:w="2445" w:type="dxa"/>
                  <w:tcBorders>
                    <w:top w:val="single" w:sz="8" w:space="0" w:color="AEAEAE"/>
                    <w:left w:val="nil"/>
                    <w:bottom w:val="single" w:sz="8" w:space="0" w:color="152935"/>
                    <w:right w:val="nil"/>
                  </w:tcBorders>
                  <w:shd w:val="clear" w:color="auto" w:fill="auto"/>
                </w:tcPr>
                <w:p w14:paraId="3116BACD"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b/>
                      <w:sz w:val="20"/>
                      <w:szCs w:val="20"/>
                    </w:rPr>
                  </w:pPr>
                  <w:r w:rsidRPr="003725B1">
                    <w:rPr>
                      <w:rFonts w:ascii="Sylfaen" w:eastAsiaTheme="minorHAnsi" w:hAnsi="Sylfaen" w:cs="Arial"/>
                      <w:b/>
                      <w:sz w:val="20"/>
                      <w:szCs w:val="20"/>
                    </w:rPr>
                    <w:t>PopOpMS</w:t>
                  </w:r>
                </w:p>
              </w:tc>
              <w:tc>
                <w:tcPr>
                  <w:tcW w:w="1329" w:type="dxa"/>
                  <w:tcBorders>
                    <w:top w:val="single" w:sz="8" w:space="0" w:color="AEAEAE"/>
                    <w:left w:val="nil"/>
                    <w:bottom w:val="single" w:sz="8" w:space="0" w:color="152935"/>
                    <w:right w:val="single" w:sz="8" w:space="0" w:color="E0E0E0"/>
                  </w:tcBorders>
                  <w:shd w:val="clear" w:color="auto" w:fill="FFFFFF"/>
                </w:tcPr>
                <w:p w14:paraId="50092416"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-,026</w:t>
                  </w:r>
                </w:p>
              </w:tc>
              <w:tc>
                <w:tcPr>
                  <w:tcW w:w="1330" w:type="dxa"/>
                  <w:tcBorders>
                    <w:top w:val="single" w:sz="8" w:space="0" w:color="AEAEAE"/>
                    <w:left w:val="single" w:sz="8" w:space="0" w:color="E0E0E0"/>
                    <w:bottom w:val="single" w:sz="8" w:space="0" w:color="152935"/>
                    <w:right w:val="single" w:sz="8" w:space="0" w:color="E0E0E0"/>
                  </w:tcBorders>
                  <w:shd w:val="clear" w:color="auto" w:fill="FFFFFF"/>
                </w:tcPr>
                <w:p w14:paraId="09BA4320"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,016</w:t>
                  </w:r>
                </w:p>
              </w:tc>
              <w:tc>
                <w:tcPr>
                  <w:tcW w:w="1466" w:type="dxa"/>
                  <w:tcBorders>
                    <w:top w:val="single" w:sz="8" w:space="0" w:color="AEAEAE"/>
                    <w:left w:val="single" w:sz="8" w:space="0" w:color="E0E0E0"/>
                    <w:bottom w:val="single" w:sz="8" w:space="0" w:color="152935"/>
                    <w:right w:val="single" w:sz="8" w:space="0" w:color="E0E0E0"/>
                  </w:tcBorders>
                  <w:shd w:val="clear" w:color="auto" w:fill="FFFFFF"/>
                </w:tcPr>
                <w:p w14:paraId="49ADE204"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-,128</w:t>
                  </w:r>
                </w:p>
              </w:tc>
              <w:tc>
                <w:tcPr>
                  <w:tcW w:w="1023" w:type="dxa"/>
                  <w:tcBorders>
                    <w:top w:val="single" w:sz="8" w:space="0" w:color="AEAEAE"/>
                    <w:left w:val="single" w:sz="8" w:space="0" w:color="E0E0E0"/>
                    <w:bottom w:val="single" w:sz="8" w:space="0" w:color="152935"/>
                    <w:right w:val="single" w:sz="8" w:space="0" w:color="E0E0E0"/>
                  </w:tcBorders>
                  <w:shd w:val="clear" w:color="auto" w:fill="FFFFFF"/>
                </w:tcPr>
                <w:p w14:paraId="2EC4808E"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-1,608</w:t>
                  </w:r>
                </w:p>
              </w:tc>
              <w:tc>
                <w:tcPr>
                  <w:tcW w:w="1024" w:type="dxa"/>
                  <w:tcBorders>
                    <w:top w:val="single" w:sz="8" w:space="0" w:color="AEAEAE"/>
                    <w:left w:val="single" w:sz="8" w:space="0" w:color="E0E0E0"/>
                    <w:bottom w:val="single" w:sz="8" w:space="0" w:color="152935"/>
                    <w:right w:val="nil"/>
                  </w:tcBorders>
                  <w:shd w:val="clear" w:color="auto" w:fill="FFFFFF"/>
                </w:tcPr>
                <w:p w14:paraId="43849DE7" w14:textId="77777777" w:rsidR="00A81205" w:rsidRPr="003725B1" w:rsidRDefault="00A81205" w:rsidP="00A81205">
                  <w:pPr>
                    <w:autoSpaceDE w:val="0"/>
                    <w:autoSpaceDN w:val="0"/>
                    <w:adjustRightInd w:val="0"/>
                    <w:spacing w:after="0" w:line="320" w:lineRule="atLeast"/>
                    <w:ind w:left="60" w:right="60"/>
                    <w:jc w:val="right"/>
                    <w:rPr>
                      <w:rFonts w:ascii="Sylfaen" w:eastAsiaTheme="minorHAnsi" w:hAnsi="Sylfaen" w:cs="Arial"/>
                      <w:sz w:val="20"/>
                      <w:szCs w:val="20"/>
                    </w:rPr>
                  </w:pPr>
                  <w:r w:rsidRPr="003725B1">
                    <w:rPr>
                      <w:rFonts w:ascii="Sylfaen" w:eastAsiaTheme="minorHAnsi" w:hAnsi="Sylfaen" w:cs="Arial"/>
                      <w:sz w:val="20"/>
                      <w:szCs w:val="20"/>
                    </w:rPr>
                    <w:t>,108</w:t>
                  </w:r>
                </w:p>
              </w:tc>
            </w:tr>
            <w:tr w:rsidR="00A81205" w:rsidRPr="000F7276" w14:paraId="53B5D133" w14:textId="77777777" w:rsidTr="00F558D7">
              <w:trPr>
                <w:cantSplit/>
                <w:trHeight w:val="195"/>
              </w:trPr>
              <w:tc>
                <w:tcPr>
                  <w:tcW w:w="9350" w:type="dxa"/>
                  <w:gridSpan w:val="7"/>
                  <w:tcBorders>
                    <w:top w:val="nil"/>
                    <w:left w:val="nil"/>
                    <w:bottom w:val="nil"/>
                    <w:right w:val="nil"/>
                  </w:tcBorders>
                  <w:shd w:val="clear" w:color="auto" w:fill="FFFFFF"/>
                </w:tcPr>
                <w:p w14:paraId="168A5399" w14:textId="77777777" w:rsidR="00A81205" w:rsidRPr="003725B1" w:rsidRDefault="00A81205" w:rsidP="00A81205">
                  <w:pPr>
                    <w:autoSpaceDE w:val="0"/>
                    <w:autoSpaceDN w:val="0"/>
                    <w:adjustRightInd w:val="0"/>
                    <w:spacing w:after="0" w:line="320" w:lineRule="atLeast"/>
                    <w:ind w:left="60" w:right="60"/>
                    <w:rPr>
                      <w:rFonts w:ascii="Sylfaen" w:eastAsiaTheme="minorHAnsi" w:hAnsi="Sylfaen" w:cs="Arial"/>
                      <w:sz w:val="20"/>
                      <w:szCs w:val="20"/>
                    </w:rPr>
                  </w:pPr>
                  <w:r w:rsidRPr="003725B1">
                    <w:rPr>
                      <w:rFonts w:ascii="Sylfaen" w:eastAsiaTheme="minorHAnsi" w:hAnsi="Sylfaen" w:cs="Arial"/>
                      <w:sz w:val="20"/>
                      <w:szCs w:val="20"/>
                    </w:rPr>
                    <w:t>a. Dependent Variable: Compliance</w:t>
                  </w:r>
                </w:p>
              </w:tc>
            </w:tr>
          </w:tbl>
          <w:p w14:paraId="75E5E478" w14:textId="5817A5CB" w:rsidR="00FE3708" w:rsidRPr="000357F6" w:rsidRDefault="00F558D7" w:rsidP="00FE3708">
            <w:pPr>
              <w:autoSpaceDE w:val="0"/>
              <w:autoSpaceDN w:val="0"/>
              <w:adjustRightInd w:val="0"/>
              <w:spacing w:after="0" w:line="320" w:lineRule="atLeast"/>
              <w:ind w:right="60"/>
              <w:rPr>
                <w:rFonts w:ascii="Arial" w:eastAsiaTheme="minorHAnsi" w:hAnsi="Arial" w:cs="Arial"/>
                <w:color w:val="010205"/>
                <w:sz w:val="18"/>
                <w:szCs w:val="18"/>
              </w:rPr>
            </w:pPr>
            <w:r>
              <w:rPr>
                <w:noProof/>
              </w:rPr>
              <mc:AlternateContent>
                <mc:Choice Requires="wps">
                  <w:drawing>
                    <wp:anchor distT="0" distB="0" distL="114300" distR="114300" simplePos="0" relativeHeight="251656704" behindDoc="0" locked="0" layoutInCell="1" allowOverlap="1" wp14:anchorId="293BF1D7" wp14:editId="4636E328">
                      <wp:simplePos x="0" y="0"/>
                      <wp:positionH relativeFrom="margin">
                        <wp:posOffset>-80645</wp:posOffset>
                      </wp:positionH>
                      <wp:positionV relativeFrom="paragraph">
                        <wp:posOffset>-2379980</wp:posOffset>
                      </wp:positionV>
                      <wp:extent cx="6134100" cy="24955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6134100" cy="24955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5FAFBF" id="Rectangle 10" o:spid="_x0000_s1026" style="position:absolute;margin-left:-6.35pt;margin-top:-187.4pt;width:483pt;height:196.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" filled="f" strokecolor="black [3213]" strokeweight="1.5pt">
                      <w10:wrap anchorx="margin"/>
                    </v:rect>
                  </w:pict>
                </mc:Fallback>
              </mc:AlternateContent>
            </w:r>
          </w:p>
        </w:tc>
      </w:tr>
      <w:tr w:rsidR="00F558D7" w:rsidRPr="004D6FDD" w14:paraId="0E6E5687" w14:textId="77777777" w:rsidTr="00F558D7">
        <w:trPr>
          <w:cantSplit/>
          <w:trHeight w:val="36"/>
        </w:trPr>
        <w:tc>
          <w:tcPr>
            <w:tcW w:w="13125" w:type="dxa"/>
            <w:gridSpan w:val="2"/>
            <w:tcBorders>
              <w:top w:val="nil"/>
              <w:left w:val="nil"/>
              <w:bottom w:val="nil"/>
              <w:right w:val="nil"/>
            </w:tcBorders>
            <w:shd w:val="clear" w:color="auto" w:fill="FFFFFF"/>
          </w:tcPr>
          <w:p w14:paraId="1E3FBE25" w14:textId="77777777" w:rsidR="00F558D7" w:rsidRPr="008C0E96" w:rsidRDefault="00F558D7" w:rsidP="00F558D7">
            <w:pPr>
              <w:autoSpaceDE w:val="0"/>
              <w:autoSpaceDN w:val="0"/>
              <w:adjustRightInd w:val="0"/>
              <w:spacing w:after="0" w:line="320" w:lineRule="atLeast"/>
              <w:ind w:right="60"/>
              <w:rPr>
                <w:rFonts w:ascii="Arial" w:eastAsiaTheme="minorHAnsi" w:hAnsi="Arial" w:cs="Arial"/>
                <w:color w:val="264A60"/>
                <w:sz w:val="18"/>
                <w:szCs w:val="18"/>
              </w:rPr>
            </w:pPr>
          </w:p>
        </w:tc>
      </w:tr>
    </w:tbl>
    <w:p w14:paraId="0CEC7B48" w14:textId="22576051" w:rsidR="00F558D7" w:rsidRDefault="00B47201" w:rsidP="000924D6">
      <w:pPr>
        <w:spacing w:line="360" w:lineRule="auto"/>
      </w:pPr>
      <w:r>
        <w:t xml:space="preserve">The </w:t>
      </w:r>
      <w:r w:rsidR="00797ECB">
        <w:t>results</w:t>
      </w:r>
      <w:r>
        <w:t xml:space="preserve"> sh</w:t>
      </w:r>
      <w:r w:rsidR="00797ECB">
        <w:t>ow</w:t>
      </w:r>
      <w:r w:rsidR="00C57876">
        <w:t xml:space="preserve"> that in this model, </w:t>
      </w:r>
      <w:r w:rsidR="00EA1B70">
        <w:t>with</w:t>
      </w:r>
      <w:r w:rsidR="00C57876">
        <w:t xml:space="preserve"> p &lt;</w:t>
      </w:r>
      <w:r>
        <w:t xml:space="preserve"> 0.05, </w:t>
      </w:r>
      <w:r w:rsidR="004D6FDD">
        <w:t xml:space="preserve">the average weight of opposing member states </w:t>
      </w:r>
      <w:r>
        <w:t>is sta</w:t>
      </w:r>
      <w:r w:rsidR="00C57876">
        <w:t xml:space="preserve">tistically significant. </w:t>
      </w:r>
      <w:r w:rsidR="00797ECB">
        <w:t xml:space="preserve">The chance that this variable – an indication of the </w:t>
      </w:r>
      <w:r w:rsidR="00EA1B70">
        <w:t>consistency</w:t>
      </w:r>
      <w:r w:rsidR="00797ECB">
        <w:t xml:space="preserve"> of the decision-making process – correlates coincident</w:t>
      </w:r>
      <w:r w:rsidR="007121D7">
        <w:t>al</w:t>
      </w:r>
      <w:r w:rsidR="00797ECB">
        <w:t>ly with complian</w:t>
      </w:r>
      <w:r w:rsidR="00797ECB" w:rsidRPr="00743828">
        <w:t>ce is very low.</w:t>
      </w:r>
      <w:r w:rsidR="00F558D7" w:rsidRPr="00743828">
        <w:t xml:space="preserve"> </w:t>
      </w:r>
      <w:r w:rsidR="00EA1B70" w:rsidRPr="00743828">
        <w:t>Furthermore, w</w:t>
      </w:r>
      <w:r w:rsidR="00F558D7" w:rsidRPr="00743828">
        <w:t>hen the average weight of opposing member states goes up with one, the level of non-compliance rises with 0.031</w:t>
      </w:r>
      <w:r w:rsidR="005D51EF" w:rsidRPr="00743828">
        <w:t xml:space="preserve"> standard deviation</w:t>
      </w:r>
      <w:r w:rsidR="00F558D7" w:rsidRPr="00743828">
        <w:t xml:space="preserve">. The average weight of opposing member states thus has a negative effect of compliance. This is in line with expectations, because the higher the average weight of opposing member states, </w:t>
      </w:r>
      <w:r w:rsidR="007121D7" w:rsidRPr="00743828">
        <w:t xml:space="preserve">the lower the </w:t>
      </w:r>
      <w:r w:rsidR="00585A16">
        <w:t>consistency</w:t>
      </w:r>
      <w:r w:rsidR="00F558D7" w:rsidRPr="00743828">
        <w:t>, since the bias increases.</w:t>
      </w:r>
      <w:r w:rsidR="00797ECB" w:rsidRPr="00743828">
        <w:t xml:space="preserve"> Whether or not consultations took place, and which types of consultations, has a significance of 0.005. </w:t>
      </w:r>
      <w:r w:rsidR="00F558D7" w:rsidRPr="00743828">
        <w:t xml:space="preserve">The chance that this variable coincidently correlates with compliance is </w:t>
      </w:r>
      <w:r w:rsidR="00EA1B70" w:rsidRPr="00743828">
        <w:t xml:space="preserve">also </w:t>
      </w:r>
      <w:r w:rsidR="00F558D7" w:rsidRPr="00743828">
        <w:t xml:space="preserve">very low. This effect of the type of public consultation on non-compliance is positive, when the value of public consultation </w:t>
      </w:r>
      <w:r w:rsidR="003970D0" w:rsidRPr="00743828">
        <w:t>increases with one, the value for non-compliance rises with 0.127</w:t>
      </w:r>
      <w:r w:rsidR="005D51EF" w:rsidRPr="00743828">
        <w:t xml:space="preserve"> standard deviation</w:t>
      </w:r>
      <w:r w:rsidR="003970D0" w:rsidRPr="00743828">
        <w:t xml:space="preserve">. This is not in line with </w:t>
      </w:r>
      <w:r w:rsidR="003970D0" w:rsidRPr="00743828">
        <w:lastRenderedPageBreak/>
        <w:t xml:space="preserve">expectations, because </w:t>
      </w:r>
      <w:r w:rsidR="007121D7" w:rsidRPr="00743828">
        <w:t>the</w:t>
      </w:r>
      <w:r w:rsidR="003970D0" w:rsidRPr="00743828">
        <w:t xml:space="preserve"> higher </w:t>
      </w:r>
      <w:r w:rsidR="007121D7" w:rsidRPr="00743828">
        <w:t xml:space="preserve">the </w:t>
      </w:r>
      <w:r w:rsidR="003970D0" w:rsidRPr="00743828">
        <w:t>level of public consu</w:t>
      </w:r>
      <w:r w:rsidR="003970D0">
        <w:t>ltations</w:t>
      </w:r>
      <w:r w:rsidR="007121D7">
        <w:t xml:space="preserve"> is</w:t>
      </w:r>
      <w:r w:rsidR="003970D0">
        <w:t xml:space="preserve">, the fairer the process is, since the dignity increases. </w:t>
      </w:r>
    </w:p>
    <w:p w14:paraId="0D16C85D" w14:textId="7C04CC51" w:rsidR="00585A16" w:rsidRDefault="00585A16" w:rsidP="000924D6">
      <w:pPr>
        <w:spacing w:line="360" w:lineRule="auto"/>
      </w:pPr>
      <w:r>
        <w:t xml:space="preserve">No significant relationship was found between the number of times a proposal was discussed (‘voice’) and compliance. </w:t>
      </w:r>
    </w:p>
    <w:p w14:paraId="730D131A" w14:textId="38CB5E85" w:rsidR="00FA1046" w:rsidRDefault="00797ECB" w:rsidP="000924D6">
      <w:pPr>
        <w:spacing w:line="360" w:lineRule="auto"/>
        <w:rPr>
          <w:rFonts w:asciiTheme="majorHAnsi" w:eastAsiaTheme="majorEastAsia" w:hAnsiTheme="majorHAnsi" w:cstheme="majorBidi"/>
          <w:i/>
          <w:iCs/>
          <w:color w:val="2E74B5" w:themeColor="accent1" w:themeShade="BF"/>
        </w:rPr>
      </w:pPr>
      <w:r>
        <w:t>The significance</w:t>
      </w:r>
      <w:r w:rsidR="00F558D7">
        <w:t xml:space="preserve"> of both variables </w:t>
      </w:r>
      <w:r>
        <w:t xml:space="preserve">could </w:t>
      </w:r>
      <w:r w:rsidR="00F558D7">
        <w:t xml:space="preserve">however </w:t>
      </w:r>
      <w:r>
        <w:t xml:space="preserve">change when control variables are taken into account. </w:t>
      </w:r>
    </w:p>
    <w:p w14:paraId="57A2B9FD" w14:textId="48627C6A" w:rsidR="005C560A" w:rsidRPr="00D96328" w:rsidRDefault="00AF40F8" w:rsidP="005C560A">
      <w:pPr>
        <w:pStyle w:val="Kop4"/>
      </w:pPr>
      <w:r w:rsidRPr="00D96328">
        <w:t>4.</w:t>
      </w:r>
      <w:r w:rsidR="006D0C15">
        <w:t>1.</w:t>
      </w:r>
      <w:r w:rsidRPr="00D96328">
        <w:t>3</w:t>
      </w:r>
      <w:r w:rsidR="00C86397" w:rsidRPr="00D96328">
        <w:t>.2</w:t>
      </w:r>
      <w:r w:rsidRPr="00D96328">
        <w:t xml:space="preserve"> Multiple regression with control variables</w:t>
      </w:r>
    </w:p>
    <w:p w14:paraId="01208A2E" w14:textId="24FCA694" w:rsidR="005C560A" w:rsidRDefault="003970D0" w:rsidP="00A60364">
      <w:pPr>
        <w:spacing w:line="360" w:lineRule="auto"/>
      </w:pPr>
      <w:r>
        <w:rPr>
          <w:noProof/>
        </w:rPr>
        <mc:AlternateContent>
          <mc:Choice Requires="wps">
            <w:drawing>
              <wp:anchor distT="0" distB="0" distL="114300" distR="114300" simplePos="0" relativeHeight="251651584" behindDoc="0" locked="0" layoutInCell="1" allowOverlap="1" wp14:anchorId="6FB7EAC1" wp14:editId="5E63BE6B">
                <wp:simplePos x="0" y="0"/>
                <wp:positionH relativeFrom="margin">
                  <wp:posOffset>403860</wp:posOffset>
                </wp:positionH>
                <wp:positionV relativeFrom="paragraph">
                  <wp:posOffset>538480</wp:posOffset>
                </wp:positionV>
                <wp:extent cx="4908550" cy="1663700"/>
                <wp:effectExtent l="0" t="0" r="25400" b="12700"/>
                <wp:wrapNone/>
                <wp:docPr id="3" name="Rectangle 3"/>
                <wp:cNvGraphicFramePr/>
                <a:graphic xmlns:a="http://schemas.openxmlformats.org/drawingml/2006/main">
                  <a:graphicData uri="http://schemas.microsoft.com/office/word/2010/wordprocessingShape">
                    <wps:wsp>
                      <wps:cNvSpPr/>
                      <wps:spPr>
                        <a:xfrm>
                          <a:off x="0" y="0"/>
                          <a:ext cx="4908550" cy="16637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AF78C" id="Rectangle 3" o:spid="_x0000_s1026" style="position:absolute;margin-left:31.8pt;margin-top:42.4pt;width:386.5pt;height:131pt;z-index:2516515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" filled="f" strokecolor="black [3213]" strokeweight="1.5pt">
                <w10:wrap anchorx="margin"/>
              </v:rect>
            </w:pict>
          </mc:Fallback>
        </mc:AlternateContent>
      </w:r>
      <w:r w:rsidR="005C560A">
        <w:t xml:space="preserve">Regarding assumptions, it has already been discussed that QGI and corruption correlate heavily, </w:t>
      </w:r>
      <w:r w:rsidR="00585A16">
        <w:t xml:space="preserve">but </w:t>
      </w:r>
      <w:r w:rsidR="005C560A">
        <w:t>that the data still</w:t>
      </w:r>
      <w:r w:rsidR="006C2C27">
        <w:t xml:space="preserve"> passes the Durbin-Watson test, as proved below. </w:t>
      </w:r>
    </w:p>
    <w:tbl>
      <w:tblPr>
        <w:tblW w:w="73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8"/>
        <w:gridCol w:w="1030"/>
        <w:gridCol w:w="1092"/>
        <w:gridCol w:w="1476"/>
        <w:gridCol w:w="1476"/>
        <w:gridCol w:w="1476"/>
      </w:tblGrid>
      <w:tr w:rsidR="004B1CD6" w:rsidRPr="001B7053" w14:paraId="387B51C0" w14:textId="77777777" w:rsidTr="003970D0">
        <w:trPr>
          <w:cantSplit/>
          <w:jc w:val="center"/>
        </w:trPr>
        <w:tc>
          <w:tcPr>
            <w:tcW w:w="7348" w:type="dxa"/>
            <w:gridSpan w:val="6"/>
            <w:tcBorders>
              <w:top w:val="nil"/>
              <w:left w:val="nil"/>
              <w:bottom w:val="nil"/>
              <w:right w:val="nil"/>
            </w:tcBorders>
            <w:shd w:val="clear" w:color="auto" w:fill="FFFFFF"/>
            <w:vAlign w:val="center"/>
          </w:tcPr>
          <w:p w14:paraId="5861BC22" w14:textId="57E5A9DD" w:rsidR="004B1CD6" w:rsidRPr="007A1703" w:rsidRDefault="000357F6" w:rsidP="007A1703">
            <w:pPr>
              <w:autoSpaceDE w:val="0"/>
              <w:autoSpaceDN w:val="0"/>
              <w:adjustRightInd w:val="0"/>
              <w:spacing w:after="0" w:line="320" w:lineRule="atLeast"/>
              <w:ind w:right="60"/>
              <w:rPr>
                <w:rFonts w:ascii="Sylfaen" w:eastAsiaTheme="minorHAnsi" w:hAnsi="Sylfaen" w:cs="Arial"/>
                <w:color w:val="010205"/>
                <w:lang w:val="nl-NL"/>
              </w:rPr>
            </w:pPr>
            <w:r w:rsidRPr="007A1703">
              <w:rPr>
                <w:rFonts w:ascii="Sylfaen" w:hAnsi="Sylfaen"/>
                <w:i/>
                <w:sz w:val="20"/>
              </w:rPr>
              <w:t xml:space="preserve">Table </w:t>
            </w:r>
            <w:r w:rsidR="008C0E96" w:rsidRPr="007A1703">
              <w:rPr>
                <w:rFonts w:ascii="Sylfaen" w:hAnsi="Sylfaen"/>
                <w:i/>
                <w:sz w:val="20"/>
              </w:rPr>
              <w:t>9</w:t>
            </w:r>
            <w:r w:rsidR="004B1CD6" w:rsidRPr="007A1703">
              <w:rPr>
                <w:rFonts w:ascii="Sylfaen" w:hAnsi="Sylfaen"/>
                <w:i/>
                <w:sz w:val="20"/>
              </w:rPr>
              <w:t>: Model Summary</w:t>
            </w:r>
          </w:p>
        </w:tc>
      </w:tr>
      <w:tr w:rsidR="004B1CD6" w:rsidRPr="001B7053" w14:paraId="160CB290" w14:textId="77777777" w:rsidTr="003970D0">
        <w:trPr>
          <w:cantSplit/>
          <w:jc w:val="center"/>
        </w:trPr>
        <w:tc>
          <w:tcPr>
            <w:tcW w:w="798" w:type="dxa"/>
            <w:tcBorders>
              <w:top w:val="nil"/>
              <w:left w:val="nil"/>
              <w:bottom w:val="single" w:sz="8" w:space="0" w:color="152935"/>
              <w:right w:val="nil"/>
            </w:tcBorders>
            <w:shd w:val="clear" w:color="auto" w:fill="FFFFFF"/>
            <w:vAlign w:val="bottom"/>
          </w:tcPr>
          <w:p w14:paraId="6DFBF92E" w14:textId="77777777" w:rsidR="004B1CD6" w:rsidRPr="002C2A76" w:rsidRDefault="004B1CD6" w:rsidP="004B1CD6">
            <w:pPr>
              <w:autoSpaceDE w:val="0"/>
              <w:autoSpaceDN w:val="0"/>
              <w:adjustRightInd w:val="0"/>
              <w:spacing w:after="0" w:line="320" w:lineRule="atLeast"/>
              <w:ind w:left="60" w:right="60"/>
              <w:rPr>
                <w:rFonts w:ascii="Sylfaen" w:eastAsiaTheme="minorHAnsi" w:hAnsi="Sylfaen" w:cs="Arial"/>
                <w:b/>
                <w:sz w:val="20"/>
                <w:szCs w:val="18"/>
                <w:lang w:val="nl-NL"/>
              </w:rPr>
            </w:pPr>
            <w:r w:rsidRPr="002C2A76">
              <w:rPr>
                <w:rFonts w:ascii="Sylfaen" w:eastAsiaTheme="minorHAnsi" w:hAnsi="Sylfaen" w:cs="Arial"/>
                <w:b/>
                <w:sz w:val="20"/>
                <w:szCs w:val="18"/>
                <w:lang w:val="nl-NL"/>
              </w:rPr>
              <w:t>Model</w:t>
            </w:r>
          </w:p>
        </w:tc>
        <w:tc>
          <w:tcPr>
            <w:tcW w:w="1030" w:type="dxa"/>
            <w:tcBorders>
              <w:top w:val="nil"/>
              <w:left w:val="nil"/>
              <w:bottom w:val="single" w:sz="8" w:space="0" w:color="152935"/>
              <w:right w:val="single" w:sz="8" w:space="0" w:color="E0E0E0"/>
            </w:tcBorders>
            <w:shd w:val="clear" w:color="auto" w:fill="FFFFFF"/>
            <w:vAlign w:val="bottom"/>
          </w:tcPr>
          <w:p w14:paraId="76935005" w14:textId="77777777" w:rsidR="004B1CD6" w:rsidRPr="002C2A76" w:rsidRDefault="004B1CD6" w:rsidP="004B1CD6">
            <w:pPr>
              <w:autoSpaceDE w:val="0"/>
              <w:autoSpaceDN w:val="0"/>
              <w:adjustRightInd w:val="0"/>
              <w:spacing w:after="0" w:line="320" w:lineRule="atLeast"/>
              <w:ind w:left="60" w:right="60"/>
              <w:jc w:val="center"/>
              <w:rPr>
                <w:rFonts w:ascii="Sylfaen" w:eastAsiaTheme="minorHAnsi" w:hAnsi="Sylfaen" w:cs="Arial"/>
                <w:b/>
                <w:sz w:val="20"/>
                <w:szCs w:val="18"/>
                <w:lang w:val="nl-NL"/>
              </w:rPr>
            </w:pPr>
            <w:r w:rsidRPr="002C2A76">
              <w:rPr>
                <w:rFonts w:ascii="Sylfaen" w:eastAsiaTheme="minorHAnsi" w:hAnsi="Sylfaen" w:cs="Arial"/>
                <w:b/>
                <w:sz w:val="20"/>
                <w:szCs w:val="18"/>
                <w:lang w:val="nl-NL"/>
              </w:rPr>
              <w:t>R</w:t>
            </w:r>
          </w:p>
        </w:tc>
        <w:tc>
          <w:tcPr>
            <w:tcW w:w="1092" w:type="dxa"/>
            <w:tcBorders>
              <w:top w:val="nil"/>
              <w:left w:val="single" w:sz="8" w:space="0" w:color="E0E0E0"/>
              <w:bottom w:val="single" w:sz="8" w:space="0" w:color="152935"/>
              <w:right w:val="single" w:sz="8" w:space="0" w:color="E0E0E0"/>
            </w:tcBorders>
            <w:shd w:val="clear" w:color="auto" w:fill="FFFFFF"/>
            <w:vAlign w:val="bottom"/>
          </w:tcPr>
          <w:p w14:paraId="0C71C8D4" w14:textId="77777777" w:rsidR="004B1CD6" w:rsidRPr="002C2A76" w:rsidRDefault="004B1CD6" w:rsidP="004B1CD6">
            <w:pPr>
              <w:autoSpaceDE w:val="0"/>
              <w:autoSpaceDN w:val="0"/>
              <w:adjustRightInd w:val="0"/>
              <w:spacing w:after="0" w:line="320" w:lineRule="atLeast"/>
              <w:ind w:left="60" w:right="60"/>
              <w:jc w:val="center"/>
              <w:rPr>
                <w:rFonts w:ascii="Sylfaen" w:eastAsiaTheme="minorHAnsi" w:hAnsi="Sylfaen" w:cs="Arial"/>
                <w:b/>
                <w:sz w:val="20"/>
                <w:szCs w:val="18"/>
                <w:lang w:val="nl-NL"/>
              </w:rPr>
            </w:pPr>
            <w:r w:rsidRPr="002C2A76">
              <w:rPr>
                <w:rFonts w:ascii="Sylfaen" w:eastAsiaTheme="minorHAnsi" w:hAnsi="Sylfaen" w:cs="Arial"/>
                <w:b/>
                <w:sz w:val="20"/>
                <w:szCs w:val="18"/>
                <w:lang w:val="nl-NL"/>
              </w:rPr>
              <w:t>R Square</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04322DFC" w14:textId="77777777" w:rsidR="004B1CD6" w:rsidRPr="002C2A76" w:rsidRDefault="004B1CD6" w:rsidP="004B1CD6">
            <w:pPr>
              <w:autoSpaceDE w:val="0"/>
              <w:autoSpaceDN w:val="0"/>
              <w:adjustRightInd w:val="0"/>
              <w:spacing w:after="0" w:line="320" w:lineRule="atLeast"/>
              <w:ind w:left="60" w:right="60"/>
              <w:jc w:val="center"/>
              <w:rPr>
                <w:rFonts w:ascii="Sylfaen" w:eastAsiaTheme="minorHAnsi" w:hAnsi="Sylfaen" w:cs="Arial"/>
                <w:b/>
                <w:sz w:val="20"/>
                <w:szCs w:val="18"/>
                <w:lang w:val="nl-NL"/>
              </w:rPr>
            </w:pPr>
            <w:r w:rsidRPr="002C2A76">
              <w:rPr>
                <w:rFonts w:ascii="Sylfaen" w:eastAsiaTheme="minorHAnsi" w:hAnsi="Sylfaen" w:cs="Arial"/>
                <w:b/>
                <w:sz w:val="20"/>
                <w:szCs w:val="18"/>
                <w:lang w:val="nl-NL"/>
              </w:rPr>
              <w:t>Adjusted R Square</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141ABC2B" w14:textId="77777777" w:rsidR="004B1CD6" w:rsidRPr="002C2A76" w:rsidRDefault="004B1CD6" w:rsidP="004B1CD6">
            <w:pPr>
              <w:autoSpaceDE w:val="0"/>
              <w:autoSpaceDN w:val="0"/>
              <w:adjustRightInd w:val="0"/>
              <w:spacing w:after="0" w:line="320" w:lineRule="atLeast"/>
              <w:ind w:left="60" w:right="60"/>
              <w:jc w:val="center"/>
              <w:rPr>
                <w:rFonts w:ascii="Sylfaen" w:eastAsiaTheme="minorHAnsi" w:hAnsi="Sylfaen" w:cs="Arial"/>
                <w:b/>
                <w:sz w:val="20"/>
                <w:szCs w:val="18"/>
              </w:rPr>
            </w:pPr>
            <w:r w:rsidRPr="002C2A76">
              <w:rPr>
                <w:rFonts w:ascii="Sylfaen" w:eastAsiaTheme="minorHAnsi" w:hAnsi="Sylfaen" w:cs="Arial"/>
                <w:b/>
                <w:sz w:val="20"/>
                <w:szCs w:val="18"/>
              </w:rPr>
              <w:t xml:space="preserve">Std. Error of the </w:t>
            </w:r>
            <w:r w:rsidRPr="00743828">
              <w:rPr>
                <w:rFonts w:ascii="Sylfaen" w:eastAsiaTheme="minorHAnsi" w:hAnsi="Sylfaen" w:cs="Arial"/>
                <w:b/>
                <w:sz w:val="20"/>
                <w:szCs w:val="18"/>
              </w:rPr>
              <w:t>Estimate</w:t>
            </w:r>
          </w:p>
        </w:tc>
        <w:tc>
          <w:tcPr>
            <w:tcW w:w="1476" w:type="dxa"/>
            <w:tcBorders>
              <w:top w:val="nil"/>
              <w:left w:val="single" w:sz="8" w:space="0" w:color="E0E0E0"/>
              <w:bottom w:val="single" w:sz="8" w:space="0" w:color="152935"/>
              <w:right w:val="nil"/>
            </w:tcBorders>
            <w:shd w:val="clear" w:color="auto" w:fill="FFFFFF"/>
            <w:vAlign w:val="bottom"/>
          </w:tcPr>
          <w:p w14:paraId="60B18A1F" w14:textId="77777777" w:rsidR="004B1CD6" w:rsidRPr="002C2A76" w:rsidRDefault="004B1CD6" w:rsidP="004B1CD6">
            <w:pPr>
              <w:autoSpaceDE w:val="0"/>
              <w:autoSpaceDN w:val="0"/>
              <w:adjustRightInd w:val="0"/>
              <w:spacing w:after="0" w:line="320" w:lineRule="atLeast"/>
              <w:ind w:left="60" w:right="60"/>
              <w:jc w:val="center"/>
              <w:rPr>
                <w:rFonts w:ascii="Sylfaen" w:eastAsiaTheme="minorHAnsi" w:hAnsi="Sylfaen" w:cs="Arial"/>
                <w:b/>
                <w:sz w:val="20"/>
                <w:szCs w:val="18"/>
                <w:lang w:val="nl-NL"/>
              </w:rPr>
            </w:pPr>
            <w:r w:rsidRPr="002C2A76">
              <w:rPr>
                <w:rFonts w:ascii="Sylfaen" w:eastAsiaTheme="minorHAnsi" w:hAnsi="Sylfaen" w:cs="Arial"/>
                <w:b/>
                <w:sz w:val="20"/>
                <w:szCs w:val="18"/>
                <w:lang w:val="nl-NL"/>
              </w:rPr>
              <w:t>Durbin-Watson</w:t>
            </w:r>
          </w:p>
        </w:tc>
      </w:tr>
      <w:tr w:rsidR="004B1CD6" w:rsidRPr="001B7053" w14:paraId="4D8EC7D4" w14:textId="77777777" w:rsidTr="007A1703">
        <w:trPr>
          <w:cantSplit/>
          <w:jc w:val="center"/>
        </w:trPr>
        <w:tc>
          <w:tcPr>
            <w:tcW w:w="798" w:type="dxa"/>
            <w:tcBorders>
              <w:top w:val="single" w:sz="8" w:space="0" w:color="152935"/>
              <w:left w:val="nil"/>
              <w:bottom w:val="single" w:sz="8" w:space="0" w:color="152935"/>
              <w:right w:val="nil"/>
            </w:tcBorders>
            <w:shd w:val="clear" w:color="auto" w:fill="auto"/>
          </w:tcPr>
          <w:p w14:paraId="002AF5FD" w14:textId="77777777" w:rsidR="004B1CD6" w:rsidRPr="007A1703" w:rsidRDefault="004B1CD6" w:rsidP="004B1CD6">
            <w:pPr>
              <w:autoSpaceDE w:val="0"/>
              <w:autoSpaceDN w:val="0"/>
              <w:adjustRightInd w:val="0"/>
              <w:spacing w:after="0" w:line="320" w:lineRule="atLeast"/>
              <w:ind w:left="60" w:right="60"/>
              <w:rPr>
                <w:rFonts w:ascii="Sylfaen" w:eastAsiaTheme="minorHAnsi" w:hAnsi="Sylfaen" w:cs="Arial"/>
                <w:sz w:val="20"/>
                <w:szCs w:val="18"/>
                <w:lang w:val="nl-NL"/>
              </w:rPr>
            </w:pPr>
            <w:r w:rsidRPr="007A1703">
              <w:rPr>
                <w:rFonts w:ascii="Sylfaen" w:eastAsiaTheme="minorHAnsi" w:hAnsi="Sylfaen" w:cs="Arial"/>
                <w:sz w:val="20"/>
                <w:szCs w:val="18"/>
                <w:lang w:val="nl-NL"/>
              </w:rPr>
              <w:t>1</w:t>
            </w:r>
          </w:p>
        </w:tc>
        <w:tc>
          <w:tcPr>
            <w:tcW w:w="1030" w:type="dxa"/>
            <w:tcBorders>
              <w:top w:val="single" w:sz="8" w:space="0" w:color="152935"/>
              <w:left w:val="nil"/>
              <w:bottom w:val="single" w:sz="8" w:space="0" w:color="152935"/>
              <w:right w:val="single" w:sz="8" w:space="0" w:color="E0E0E0"/>
            </w:tcBorders>
            <w:shd w:val="clear" w:color="auto" w:fill="FFFFFF"/>
          </w:tcPr>
          <w:p w14:paraId="0B2B9CD1" w14:textId="77777777" w:rsidR="004B1CD6" w:rsidRPr="007A1703" w:rsidRDefault="004B1CD6" w:rsidP="004B1CD6">
            <w:pPr>
              <w:autoSpaceDE w:val="0"/>
              <w:autoSpaceDN w:val="0"/>
              <w:adjustRightInd w:val="0"/>
              <w:spacing w:after="0" w:line="320" w:lineRule="atLeast"/>
              <w:ind w:left="60" w:right="60"/>
              <w:jc w:val="right"/>
              <w:rPr>
                <w:rFonts w:ascii="Sylfaen" w:eastAsiaTheme="minorHAnsi" w:hAnsi="Sylfaen" w:cs="Arial"/>
                <w:sz w:val="20"/>
                <w:szCs w:val="18"/>
                <w:lang w:val="nl-NL"/>
              </w:rPr>
            </w:pPr>
            <w:r w:rsidRPr="007A1703">
              <w:rPr>
                <w:rFonts w:ascii="Sylfaen" w:eastAsiaTheme="minorHAnsi" w:hAnsi="Sylfaen" w:cs="Arial"/>
                <w:sz w:val="20"/>
                <w:szCs w:val="18"/>
                <w:lang w:val="nl-NL"/>
              </w:rPr>
              <w:t>,350</w:t>
            </w:r>
            <w:r w:rsidRPr="007A1703">
              <w:rPr>
                <w:rFonts w:ascii="Sylfaen" w:eastAsiaTheme="minorHAnsi" w:hAnsi="Sylfaen" w:cs="Arial"/>
                <w:sz w:val="20"/>
                <w:szCs w:val="18"/>
                <w:vertAlign w:val="superscript"/>
                <w:lang w:val="nl-NL"/>
              </w:rPr>
              <w:t>a</w:t>
            </w:r>
          </w:p>
        </w:tc>
        <w:tc>
          <w:tcPr>
            <w:tcW w:w="1092" w:type="dxa"/>
            <w:tcBorders>
              <w:top w:val="single" w:sz="8" w:space="0" w:color="152935"/>
              <w:left w:val="single" w:sz="8" w:space="0" w:color="E0E0E0"/>
              <w:bottom w:val="single" w:sz="8" w:space="0" w:color="152935"/>
              <w:right w:val="single" w:sz="8" w:space="0" w:color="E0E0E0"/>
            </w:tcBorders>
            <w:shd w:val="clear" w:color="auto" w:fill="FFFFFF"/>
          </w:tcPr>
          <w:p w14:paraId="232BB05B" w14:textId="77777777" w:rsidR="004B1CD6" w:rsidRPr="007A1703" w:rsidRDefault="004B1CD6" w:rsidP="004B1CD6">
            <w:pPr>
              <w:autoSpaceDE w:val="0"/>
              <w:autoSpaceDN w:val="0"/>
              <w:adjustRightInd w:val="0"/>
              <w:spacing w:after="0" w:line="320" w:lineRule="atLeast"/>
              <w:ind w:left="60" w:right="60"/>
              <w:jc w:val="right"/>
              <w:rPr>
                <w:rFonts w:ascii="Sylfaen" w:eastAsiaTheme="minorHAnsi" w:hAnsi="Sylfaen" w:cs="Arial"/>
                <w:sz w:val="20"/>
                <w:szCs w:val="18"/>
                <w:lang w:val="nl-NL"/>
              </w:rPr>
            </w:pPr>
            <w:r w:rsidRPr="007A1703">
              <w:rPr>
                <w:rFonts w:ascii="Sylfaen" w:eastAsiaTheme="minorHAnsi" w:hAnsi="Sylfaen" w:cs="Arial"/>
                <w:sz w:val="20"/>
                <w:szCs w:val="18"/>
                <w:lang w:val="nl-NL"/>
              </w:rPr>
              <w:t>,123</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14:paraId="5E195E47" w14:textId="77777777" w:rsidR="004B1CD6" w:rsidRPr="007A1703" w:rsidRDefault="004B1CD6" w:rsidP="004B1CD6">
            <w:pPr>
              <w:autoSpaceDE w:val="0"/>
              <w:autoSpaceDN w:val="0"/>
              <w:adjustRightInd w:val="0"/>
              <w:spacing w:after="0" w:line="320" w:lineRule="atLeast"/>
              <w:ind w:left="60" w:right="60"/>
              <w:jc w:val="right"/>
              <w:rPr>
                <w:rFonts w:ascii="Sylfaen" w:eastAsiaTheme="minorHAnsi" w:hAnsi="Sylfaen" w:cs="Arial"/>
                <w:sz w:val="20"/>
                <w:szCs w:val="18"/>
                <w:lang w:val="nl-NL"/>
              </w:rPr>
            </w:pPr>
            <w:r w:rsidRPr="007A1703">
              <w:rPr>
                <w:rFonts w:ascii="Sylfaen" w:eastAsiaTheme="minorHAnsi" w:hAnsi="Sylfaen" w:cs="Arial"/>
                <w:sz w:val="20"/>
                <w:szCs w:val="18"/>
                <w:lang w:val="nl-NL"/>
              </w:rPr>
              <w:t>,107</w:t>
            </w:r>
          </w:p>
        </w:tc>
        <w:tc>
          <w:tcPr>
            <w:tcW w:w="1476" w:type="dxa"/>
            <w:tcBorders>
              <w:top w:val="single" w:sz="8" w:space="0" w:color="152935"/>
              <w:left w:val="single" w:sz="8" w:space="0" w:color="E0E0E0"/>
              <w:bottom w:val="single" w:sz="8" w:space="0" w:color="152935"/>
              <w:right w:val="single" w:sz="8" w:space="0" w:color="E0E0E0"/>
            </w:tcBorders>
            <w:shd w:val="clear" w:color="auto" w:fill="FFFFFF"/>
          </w:tcPr>
          <w:p w14:paraId="0E42A279" w14:textId="77777777" w:rsidR="004B1CD6" w:rsidRPr="007A1703" w:rsidRDefault="004B1CD6" w:rsidP="004B1CD6">
            <w:pPr>
              <w:autoSpaceDE w:val="0"/>
              <w:autoSpaceDN w:val="0"/>
              <w:adjustRightInd w:val="0"/>
              <w:spacing w:after="0" w:line="320" w:lineRule="atLeast"/>
              <w:ind w:left="60" w:right="60"/>
              <w:jc w:val="right"/>
              <w:rPr>
                <w:rFonts w:ascii="Sylfaen" w:eastAsiaTheme="minorHAnsi" w:hAnsi="Sylfaen" w:cs="Arial"/>
                <w:sz w:val="20"/>
                <w:szCs w:val="18"/>
                <w:lang w:val="nl-NL"/>
              </w:rPr>
            </w:pPr>
            <w:r w:rsidRPr="007A1703">
              <w:rPr>
                <w:rFonts w:ascii="Sylfaen" w:eastAsiaTheme="minorHAnsi" w:hAnsi="Sylfaen" w:cs="Arial"/>
                <w:sz w:val="20"/>
                <w:szCs w:val="18"/>
                <w:lang w:val="nl-NL"/>
              </w:rPr>
              <w:t>1,271</w:t>
            </w:r>
          </w:p>
        </w:tc>
        <w:tc>
          <w:tcPr>
            <w:tcW w:w="1476" w:type="dxa"/>
            <w:tcBorders>
              <w:top w:val="single" w:sz="8" w:space="0" w:color="152935"/>
              <w:left w:val="single" w:sz="8" w:space="0" w:color="E0E0E0"/>
              <w:bottom w:val="single" w:sz="8" w:space="0" w:color="152935"/>
              <w:right w:val="nil"/>
            </w:tcBorders>
            <w:shd w:val="clear" w:color="auto" w:fill="FFFFFF"/>
          </w:tcPr>
          <w:p w14:paraId="2D5FC17E" w14:textId="77777777" w:rsidR="004B1CD6" w:rsidRPr="007A1703" w:rsidRDefault="004B1CD6" w:rsidP="004B1CD6">
            <w:pPr>
              <w:autoSpaceDE w:val="0"/>
              <w:autoSpaceDN w:val="0"/>
              <w:adjustRightInd w:val="0"/>
              <w:spacing w:after="0" w:line="320" w:lineRule="atLeast"/>
              <w:ind w:left="60" w:right="60"/>
              <w:jc w:val="right"/>
              <w:rPr>
                <w:rFonts w:ascii="Sylfaen" w:eastAsiaTheme="minorHAnsi" w:hAnsi="Sylfaen" w:cs="Arial"/>
                <w:sz w:val="20"/>
                <w:szCs w:val="18"/>
                <w:lang w:val="nl-NL"/>
              </w:rPr>
            </w:pPr>
            <w:r w:rsidRPr="007A1703">
              <w:rPr>
                <w:rFonts w:ascii="Sylfaen" w:eastAsiaTheme="minorHAnsi" w:hAnsi="Sylfaen" w:cs="Arial"/>
                <w:sz w:val="20"/>
                <w:szCs w:val="18"/>
                <w:lang w:val="nl-NL"/>
              </w:rPr>
              <w:t>1,800</w:t>
            </w:r>
          </w:p>
        </w:tc>
      </w:tr>
      <w:tr w:rsidR="004B1CD6" w:rsidRPr="001B7053" w14:paraId="616EE1A2" w14:textId="77777777" w:rsidTr="003970D0">
        <w:trPr>
          <w:cantSplit/>
          <w:jc w:val="center"/>
        </w:trPr>
        <w:tc>
          <w:tcPr>
            <w:tcW w:w="7348" w:type="dxa"/>
            <w:gridSpan w:val="6"/>
            <w:tcBorders>
              <w:top w:val="nil"/>
              <w:left w:val="nil"/>
              <w:bottom w:val="nil"/>
              <w:right w:val="nil"/>
            </w:tcBorders>
            <w:shd w:val="clear" w:color="auto" w:fill="FFFFFF"/>
          </w:tcPr>
          <w:p w14:paraId="7994EDAC" w14:textId="77777777" w:rsidR="004B1CD6" w:rsidRPr="007A1703" w:rsidRDefault="004B1CD6" w:rsidP="004B1CD6">
            <w:pPr>
              <w:autoSpaceDE w:val="0"/>
              <w:autoSpaceDN w:val="0"/>
              <w:adjustRightInd w:val="0"/>
              <w:spacing w:after="0" w:line="320" w:lineRule="atLeast"/>
              <w:ind w:left="60" w:right="60"/>
              <w:rPr>
                <w:rFonts w:ascii="Sylfaen" w:eastAsiaTheme="minorHAnsi" w:hAnsi="Sylfaen" w:cs="Arial"/>
                <w:sz w:val="20"/>
                <w:szCs w:val="18"/>
              </w:rPr>
            </w:pPr>
            <w:r w:rsidRPr="007A1703">
              <w:rPr>
                <w:rFonts w:ascii="Sylfaen" w:eastAsiaTheme="minorHAnsi" w:hAnsi="Sylfaen" w:cs="Arial"/>
                <w:sz w:val="20"/>
                <w:szCs w:val="18"/>
              </w:rPr>
              <w:t>a. Predictors: (Constant), MS2004, AvWOpMS, Stance, Number of times discussed, Nordic, NumOpMS, Consultations, GDP, QGI, PopOpMS, Corruption</w:t>
            </w:r>
          </w:p>
        </w:tc>
      </w:tr>
      <w:tr w:rsidR="004B1CD6" w:rsidRPr="001B7053" w14:paraId="3880BF17" w14:textId="77777777" w:rsidTr="003970D0">
        <w:trPr>
          <w:cantSplit/>
          <w:jc w:val="center"/>
        </w:trPr>
        <w:tc>
          <w:tcPr>
            <w:tcW w:w="7348" w:type="dxa"/>
            <w:gridSpan w:val="6"/>
            <w:tcBorders>
              <w:top w:val="nil"/>
              <w:left w:val="nil"/>
              <w:bottom w:val="nil"/>
              <w:right w:val="nil"/>
            </w:tcBorders>
            <w:shd w:val="clear" w:color="auto" w:fill="FFFFFF"/>
          </w:tcPr>
          <w:p w14:paraId="75D2F152" w14:textId="77777777" w:rsidR="004B1CD6" w:rsidRPr="007A1703" w:rsidRDefault="004B1CD6" w:rsidP="004B1CD6">
            <w:pPr>
              <w:autoSpaceDE w:val="0"/>
              <w:autoSpaceDN w:val="0"/>
              <w:adjustRightInd w:val="0"/>
              <w:spacing w:after="0" w:line="320" w:lineRule="atLeast"/>
              <w:ind w:left="60" w:right="60"/>
              <w:rPr>
                <w:rFonts w:ascii="Sylfaen" w:eastAsiaTheme="minorHAnsi" w:hAnsi="Sylfaen" w:cs="Arial"/>
                <w:sz w:val="20"/>
                <w:szCs w:val="18"/>
                <w:lang w:val="nl-NL"/>
              </w:rPr>
            </w:pPr>
            <w:r w:rsidRPr="007A1703">
              <w:rPr>
                <w:rFonts w:ascii="Sylfaen" w:eastAsiaTheme="minorHAnsi" w:hAnsi="Sylfaen" w:cs="Arial"/>
                <w:sz w:val="20"/>
                <w:szCs w:val="18"/>
                <w:lang w:val="nl-NL"/>
              </w:rPr>
              <w:t>b. Dependent Variable: Compliance</w:t>
            </w:r>
          </w:p>
        </w:tc>
      </w:tr>
    </w:tbl>
    <w:p w14:paraId="3E2FA933" w14:textId="14368CF8" w:rsidR="004B1CD6" w:rsidRDefault="00921D89" w:rsidP="00A60364">
      <w:pPr>
        <w:spacing w:line="360" w:lineRule="auto"/>
      </w:pPr>
      <w:r>
        <w:br/>
      </w:r>
      <w:r w:rsidR="00532CC7">
        <w:t xml:space="preserve">The table also aims to show the explanatory power of the model, which </w:t>
      </w:r>
      <w:r w:rsidR="005D51EF">
        <w:t>is</w:t>
      </w:r>
      <w:r w:rsidR="00532CC7">
        <w:t xml:space="preserve"> 12,3%, given t</w:t>
      </w:r>
      <w:r w:rsidR="004B1CD6">
        <w:t>he value of 0.123 for the R square</w:t>
      </w:r>
      <w:r w:rsidR="00532CC7">
        <w:t xml:space="preserve">. </w:t>
      </w:r>
      <w:r w:rsidR="007A43CC">
        <w:t xml:space="preserve">This </w:t>
      </w:r>
      <w:r w:rsidR="006C2C27">
        <w:t>is in line with expectations,</w:t>
      </w:r>
      <w:r w:rsidR="007A43CC">
        <w:t xml:space="preserve"> since more explanatory variables are added to the model.</w:t>
      </w:r>
    </w:p>
    <w:tbl>
      <w:tblPr>
        <w:tblW w:w="734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76"/>
        <w:gridCol w:w="1184"/>
        <w:gridCol w:w="1353"/>
        <w:gridCol w:w="946"/>
        <w:gridCol w:w="1298"/>
        <w:gridCol w:w="946"/>
        <w:gridCol w:w="945"/>
      </w:tblGrid>
      <w:tr w:rsidR="004B1CD6" w:rsidRPr="00D773E0" w14:paraId="17E9EDE2" w14:textId="77777777" w:rsidTr="003970D0">
        <w:trPr>
          <w:cantSplit/>
          <w:jc w:val="center"/>
        </w:trPr>
        <w:tc>
          <w:tcPr>
            <w:tcW w:w="8009" w:type="dxa"/>
            <w:gridSpan w:val="7"/>
            <w:tcBorders>
              <w:top w:val="nil"/>
              <w:left w:val="nil"/>
              <w:bottom w:val="nil"/>
              <w:right w:val="nil"/>
            </w:tcBorders>
            <w:shd w:val="clear" w:color="auto" w:fill="FFFFFF"/>
            <w:vAlign w:val="center"/>
          </w:tcPr>
          <w:p w14:paraId="457AED2F" w14:textId="6C1BEF86" w:rsidR="004B1CD6" w:rsidRPr="003D139F" w:rsidRDefault="003970D0" w:rsidP="003D139F">
            <w:pPr>
              <w:autoSpaceDE w:val="0"/>
              <w:autoSpaceDN w:val="0"/>
              <w:adjustRightInd w:val="0"/>
              <w:spacing w:after="0" w:line="320" w:lineRule="atLeast"/>
              <w:ind w:right="60"/>
              <w:rPr>
                <w:rFonts w:ascii="Sylfaen" w:hAnsi="Sylfaen" w:cs="Arial"/>
                <w:color w:val="010205"/>
              </w:rPr>
            </w:pPr>
            <w:r w:rsidRPr="003D139F">
              <w:rPr>
                <w:rFonts w:ascii="Sylfaen" w:hAnsi="Sylfaen"/>
                <w:noProof/>
                <w:sz w:val="20"/>
              </w:rPr>
              <mc:AlternateContent>
                <mc:Choice Requires="wps">
                  <w:drawing>
                    <wp:anchor distT="0" distB="0" distL="114300" distR="114300" simplePos="0" relativeHeight="251660800" behindDoc="0" locked="0" layoutInCell="1" allowOverlap="1" wp14:anchorId="355D88F1" wp14:editId="717C4C44">
                      <wp:simplePos x="0" y="0"/>
                      <wp:positionH relativeFrom="margin">
                        <wp:posOffset>-76200</wp:posOffset>
                      </wp:positionH>
                      <wp:positionV relativeFrom="paragraph">
                        <wp:posOffset>-39370</wp:posOffset>
                      </wp:positionV>
                      <wp:extent cx="4864100" cy="2006600"/>
                      <wp:effectExtent l="0" t="0" r="12700" b="12700"/>
                      <wp:wrapNone/>
                      <wp:docPr id="13" name="Rectangle 13"/>
                      <wp:cNvGraphicFramePr/>
                      <a:graphic xmlns:a="http://schemas.openxmlformats.org/drawingml/2006/main">
                        <a:graphicData uri="http://schemas.microsoft.com/office/word/2010/wordprocessingShape">
                          <wps:wsp>
                            <wps:cNvSpPr/>
                            <wps:spPr>
                              <a:xfrm>
                                <a:off x="0" y="0"/>
                                <a:ext cx="4864100" cy="20066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D8B5F5" id="Rectangle 13" o:spid="_x0000_s1026" style="position:absolute;margin-left:-6pt;margin-top:-3.1pt;width:383pt;height:158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" filled="f" strokecolor="black [3213]" strokeweight="1.5pt">
                      <w10:wrap anchorx="margin"/>
                    </v:rect>
                  </w:pict>
                </mc:Fallback>
              </mc:AlternateContent>
            </w:r>
            <w:r w:rsidR="002900D7" w:rsidRPr="003D139F">
              <w:rPr>
                <w:rFonts w:ascii="Sylfaen" w:hAnsi="Sylfaen"/>
                <w:i/>
                <w:sz w:val="20"/>
              </w:rPr>
              <w:t>Table 10: ANOVA table</w:t>
            </w:r>
          </w:p>
        </w:tc>
      </w:tr>
      <w:tr w:rsidR="004B1CD6" w:rsidRPr="00D773E0" w14:paraId="3562AA0F" w14:textId="77777777" w:rsidTr="003970D0">
        <w:trPr>
          <w:cantSplit/>
          <w:jc w:val="center"/>
        </w:trPr>
        <w:tc>
          <w:tcPr>
            <w:tcW w:w="2028" w:type="dxa"/>
            <w:gridSpan w:val="2"/>
            <w:tcBorders>
              <w:top w:val="nil"/>
              <w:left w:val="nil"/>
              <w:bottom w:val="single" w:sz="8" w:space="0" w:color="152935"/>
              <w:right w:val="nil"/>
            </w:tcBorders>
            <w:shd w:val="clear" w:color="auto" w:fill="FFFFFF"/>
            <w:vAlign w:val="bottom"/>
          </w:tcPr>
          <w:p w14:paraId="0457A75C" w14:textId="3E280595" w:rsidR="004B1CD6" w:rsidRPr="002C2A76" w:rsidRDefault="004B1CD6" w:rsidP="004B1CD6">
            <w:pPr>
              <w:autoSpaceDE w:val="0"/>
              <w:autoSpaceDN w:val="0"/>
              <w:adjustRightInd w:val="0"/>
              <w:spacing w:after="0" w:line="320" w:lineRule="atLeast"/>
              <w:ind w:left="60" w:right="60"/>
              <w:rPr>
                <w:rFonts w:ascii="Sylfaen" w:hAnsi="Sylfaen" w:cs="Arial"/>
                <w:b/>
                <w:sz w:val="20"/>
                <w:szCs w:val="20"/>
              </w:rPr>
            </w:pPr>
            <w:r w:rsidRPr="002C2A76">
              <w:rPr>
                <w:rFonts w:ascii="Sylfaen" w:hAnsi="Sylfaen" w:cs="Arial"/>
                <w:b/>
                <w:sz w:val="20"/>
                <w:szCs w:val="20"/>
              </w:rPr>
              <w:t>Model</w:t>
            </w:r>
          </w:p>
        </w:tc>
        <w:tc>
          <w:tcPr>
            <w:tcW w:w="1476" w:type="dxa"/>
            <w:tcBorders>
              <w:top w:val="nil"/>
              <w:left w:val="nil"/>
              <w:bottom w:val="single" w:sz="8" w:space="0" w:color="152935"/>
              <w:right w:val="single" w:sz="8" w:space="0" w:color="E0E0E0"/>
            </w:tcBorders>
            <w:shd w:val="clear" w:color="auto" w:fill="FFFFFF"/>
            <w:vAlign w:val="bottom"/>
          </w:tcPr>
          <w:p w14:paraId="31BC2700" w14:textId="04FA239A" w:rsidR="004B1CD6" w:rsidRPr="002C2A76" w:rsidRDefault="004B1CD6" w:rsidP="004B1CD6">
            <w:pPr>
              <w:autoSpaceDE w:val="0"/>
              <w:autoSpaceDN w:val="0"/>
              <w:adjustRightInd w:val="0"/>
              <w:spacing w:after="0" w:line="320" w:lineRule="atLeast"/>
              <w:ind w:left="60" w:right="60"/>
              <w:jc w:val="center"/>
              <w:rPr>
                <w:rFonts w:ascii="Sylfaen" w:hAnsi="Sylfaen" w:cs="Arial"/>
                <w:sz w:val="20"/>
                <w:szCs w:val="20"/>
              </w:rPr>
            </w:pPr>
            <w:r w:rsidRPr="002C2A76">
              <w:rPr>
                <w:rFonts w:ascii="Sylfaen" w:hAnsi="Sylfaen" w:cs="Arial"/>
                <w:sz w:val="20"/>
                <w:szCs w:val="20"/>
              </w:rPr>
              <w:t>Sum of Squares</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1A30F5C8" w14:textId="3C21469B" w:rsidR="004B1CD6" w:rsidRPr="002C2A76" w:rsidRDefault="00F729FA" w:rsidP="004B1CD6">
            <w:pPr>
              <w:autoSpaceDE w:val="0"/>
              <w:autoSpaceDN w:val="0"/>
              <w:adjustRightInd w:val="0"/>
              <w:spacing w:after="0" w:line="320" w:lineRule="atLeast"/>
              <w:ind w:left="60" w:right="60"/>
              <w:jc w:val="center"/>
              <w:rPr>
                <w:rFonts w:ascii="Sylfaen" w:hAnsi="Sylfaen" w:cs="Arial"/>
                <w:sz w:val="20"/>
                <w:szCs w:val="20"/>
              </w:rPr>
            </w:pPr>
            <w:r w:rsidRPr="002C2A76">
              <w:rPr>
                <w:rFonts w:ascii="Sylfaen" w:hAnsi="Sylfaen" w:cs="Arial"/>
                <w:sz w:val="20"/>
                <w:szCs w:val="20"/>
              </w:rPr>
              <w:t>D</w:t>
            </w:r>
            <w:r w:rsidR="004B1CD6" w:rsidRPr="002C2A76">
              <w:rPr>
                <w:rFonts w:ascii="Sylfaen" w:hAnsi="Sylfaen" w:cs="Arial"/>
                <w:sz w:val="20"/>
                <w:szCs w:val="20"/>
              </w:rPr>
              <w:t>f</w:t>
            </w:r>
          </w:p>
        </w:tc>
        <w:tc>
          <w:tcPr>
            <w:tcW w:w="1415" w:type="dxa"/>
            <w:tcBorders>
              <w:top w:val="nil"/>
              <w:left w:val="single" w:sz="8" w:space="0" w:color="E0E0E0"/>
              <w:bottom w:val="single" w:sz="8" w:space="0" w:color="152935"/>
              <w:right w:val="single" w:sz="8" w:space="0" w:color="E0E0E0"/>
            </w:tcBorders>
            <w:shd w:val="clear" w:color="auto" w:fill="FFFFFF"/>
            <w:vAlign w:val="bottom"/>
          </w:tcPr>
          <w:p w14:paraId="6351B7C5" w14:textId="77777777" w:rsidR="004B1CD6" w:rsidRPr="002C2A76" w:rsidRDefault="004B1CD6" w:rsidP="004B1CD6">
            <w:pPr>
              <w:autoSpaceDE w:val="0"/>
              <w:autoSpaceDN w:val="0"/>
              <w:adjustRightInd w:val="0"/>
              <w:spacing w:after="0" w:line="320" w:lineRule="atLeast"/>
              <w:ind w:left="60" w:right="60"/>
              <w:jc w:val="center"/>
              <w:rPr>
                <w:rFonts w:ascii="Sylfaen" w:hAnsi="Sylfaen" w:cs="Arial"/>
                <w:sz w:val="20"/>
                <w:szCs w:val="20"/>
              </w:rPr>
            </w:pPr>
            <w:r w:rsidRPr="002C2A76">
              <w:rPr>
                <w:rFonts w:ascii="Sylfaen" w:hAnsi="Sylfaen" w:cs="Arial"/>
                <w:sz w:val="20"/>
                <w:szCs w:val="20"/>
              </w:rPr>
              <w:t>Mean Square</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5103F0A9" w14:textId="77777777" w:rsidR="004B1CD6" w:rsidRPr="002C2A76" w:rsidRDefault="004B1CD6" w:rsidP="004B1CD6">
            <w:pPr>
              <w:autoSpaceDE w:val="0"/>
              <w:autoSpaceDN w:val="0"/>
              <w:adjustRightInd w:val="0"/>
              <w:spacing w:after="0" w:line="320" w:lineRule="atLeast"/>
              <w:ind w:left="60" w:right="60"/>
              <w:jc w:val="center"/>
              <w:rPr>
                <w:rFonts w:ascii="Sylfaen" w:hAnsi="Sylfaen" w:cs="Arial"/>
                <w:sz w:val="20"/>
                <w:szCs w:val="20"/>
              </w:rPr>
            </w:pPr>
            <w:r w:rsidRPr="002C2A76">
              <w:rPr>
                <w:rFonts w:ascii="Sylfaen" w:hAnsi="Sylfaen" w:cs="Arial"/>
                <w:sz w:val="20"/>
                <w:szCs w:val="20"/>
              </w:rPr>
              <w:t>F</w:t>
            </w:r>
          </w:p>
        </w:tc>
        <w:tc>
          <w:tcPr>
            <w:tcW w:w="1030" w:type="dxa"/>
            <w:tcBorders>
              <w:top w:val="nil"/>
              <w:left w:val="single" w:sz="8" w:space="0" w:color="E0E0E0"/>
              <w:bottom w:val="single" w:sz="8" w:space="0" w:color="152935"/>
              <w:right w:val="nil"/>
            </w:tcBorders>
            <w:shd w:val="clear" w:color="auto" w:fill="FFFFFF"/>
            <w:vAlign w:val="bottom"/>
          </w:tcPr>
          <w:p w14:paraId="1F34530C" w14:textId="77777777" w:rsidR="004B1CD6" w:rsidRPr="002C2A76" w:rsidRDefault="004B1CD6" w:rsidP="004B1CD6">
            <w:pPr>
              <w:autoSpaceDE w:val="0"/>
              <w:autoSpaceDN w:val="0"/>
              <w:adjustRightInd w:val="0"/>
              <w:spacing w:after="0" w:line="320" w:lineRule="atLeast"/>
              <w:ind w:left="60" w:right="60"/>
              <w:jc w:val="center"/>
              <w:rPr>
                <w:rFonts w:ascii="Sylfaen" w:hAnsi="Sylfaen" w:cs="Arial"/>
                <w:sz w:val="20"/>
                <w:szCs w:val="20"/>
              </w:rPr>
            </w:pPr>
            <w:r w:rsidRPr="002C2A76">
              <w:rPr>
                <w:rFonts w:ascii="Sylfaen" w:hAnsi="Sylfaen" w:cs="Arial"/>
                <w:sz w:val="20"/>
                <w:szCs w:val="20"/>
              </w:rPr>
              <w:t>Sig.</w:t>
            </w:r>
          </w:p>
        </w:tc>
      </w:tr>
      <w:tr w:rsidR="004B1CD6" w:rsidRPr="00D773E0" w14:paraId="3FDADA64" w14:textId="77777777" w:rsidTr="003D139F">
        <w:trPr>
          <w:cantSplit/>
          <w:jc w:val="center"/>
        </w:trPr>
        <w:tc>
          <w:tcPr>
            <w:tcW w:w="736" w:type="dxa"/>
            <w:vMerge w:val="restart"/>
            <w:tcBorders>
              <w:top w:val="single" w:sz="8" w:space="0" w:color="152935"/>
              <w:left w:val="nil"/>
              <w:bottom w:val="single" w:sz="8" w:space="0" w:color="152935"/>
              <w:right w:val="nil"/>
            </w:tcBorders>
            <w:shd w:val="clear" w:color="auto" w:fill="auto"/>
          </w:tcPr>
          <w:p w14:paraId="2522CBDB" w14:textId="77777777" w:rsidR="004B1CD6" w:rsidRPr="003D139F" w:rsidRDefault="004B1CD6" w:rsidP="004B1CD6">
            <w:pPr>
              <w:autoSpaceDE w:val="0"/>
              <w:autoSpaceDN w:val="0"/>
              <w:adjustRightInd w:val="0"/>
              <w:spacing w:after="0" w:line="320" w:lineRule="atLeast"/>
              <w:ind w:left="60" w:right="60"/>
              <w:rPr>
                <w:rFonts w:ascii="Sylfaen" w:hAnsi="Sylfaen" w:cs="Arial"/>
                <w:sz w:val="20"/>
                <w:szCs w:val="20"/>
              </w:rPr>
            </w:pPr>
            <w:r w:rsidRPr="003D139F">
              <w:rPr>
                <w:rFonts w:ascii="Sylfaen" w:hAnsi="Sylfaen" w:cs="Arial"/>
                <w:sz w:val="20"/>
                <w:szCs w:val="20"/>
              </w:rPr>
              <w:t>1</w:t>
            </w:r>
          </w:p>
        </w:tc>
        <w:tc>
          <w:tcPr>
            <w:tcW w:w="1292" w:type="dxa"/>
            <w:tcBorders>
              <w:top w:val="single" w:sz="8" w:space="0" w:color="152935"/>
              <w:left w:val="nil"/>
              <w:bottom w:val="single" w:sz="8" w:space="0" w:color="AEAEAE"/>
              <w:right w:val="nil"/>
            </w:tcBorders>
            <w:shd w:val="clear" w:color="auto" w:fill="auto"/>
          </w:tcPr>
          <w:p w14:paraId="42F35232" w14:textId="77777777" w:rsidR="004B1CD6" w:rsidRPr="003D139F" w:rsidRDefault="004B1CD6" w:rsidP="004B1CD6">
            <w:pPr>
              <w:autoSpaceDE w:val="0"/>
              <w:autoSpaceDN w:val="0"/>
              <w:adjustRightInd w:val="0"/>
              <w:spacing w:after="0" w:line="320" w:lineRule="atLeast"/>
              <w:ind w:left="60" w:right="60"/>
              <w:rPr>
                <w:rFonts w:ascii="Sylfaen" w:hAnsi="Sylfaen" w:cs="Arial"/>
                <w:b/>
                <w:sz w:val="20"/>
                <w:szCs w:val="20"/>
              </w:rPr>
            </w:pPr>
            <w:r w:rsidRPr="003D139F">
              <w:rPr>
                <w:rFonts w:ascii="Sylfaen" w:hAnsi="Sylfaen" w:cs="Arial"/>
                <w:b/>
                <w:sz w:val="20"/>
                <w:szCs w:val="20"/>
              </w:rPr>
              <w:t>Regression</w:t>
            </w:r>
          </w:p>
        </w:tc>
        <w:tc>
          <w:tcPr>
            <w:tcW w:w="1476" w:type="dxa"/>
            <w:tcBorders>
              <w:top w:val="single" w:sz="8" w:space="0" w:color="152935"/>
              <w:left w:val="nil"/>
              <w:bottom w:val="single" w:sz="8" w:space="0" w:color="AEAEAE"/>
              <w:right w:val="single" w:sz="8" w:space="0" w:color="E0E0E0"/>
            </w:tcBorders>
            <w:shd w:val="clear" w:color="auto" w:fill="FFFFFF"/>
          </w:tcPr>
          <w:p w14:paraId="0BA52681"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136,258</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59C2CA46"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11</w:t>
            </w:r>
          </w:p>
        </w:tc>
        <w:tc>
          <w:tcPr>
            <w:tcW w:w="1415" w:type="dxa"/>
            <w:tcBorders>
              <w:top w:val="single" w:sz="8" w:space="0" w:color="152935"/>
              <w:left w:val="single" w:sz="8" w:space="0" w:color="E0E0E0"/>
              <w:bottom w:val="single" w:sz="8" w:space="0" w:color="AEAEAE"/>
              <w:right w:val="single" w:sz="8" w:space="0" w:color="E0E0E0"/>
            </w:tcBorders>
            <w:shd w:val="clear" w:color="auto" w:fill="FFFFFF"/>
          </w:tcPr>
          <w:p w14:paraId="20D6CE1A"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12,387</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6BAD79C9"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7,665</w:t>
            </w:r>
          </w:p>
        </w:tc>
        <w:tc>
          <w:tcPr>
            <w:tcW w:w="1030" w:type="dxa"/>
            <w:tcBorders>
              <w:top w:val="single" w:sz="8" w:space="0" w:color="152935"/>
              <w:left w:val="single" w:sz="8" w:space="0" w:color="E0E0E0"/>
              <w:bottom w:val="single" w:sz="8" w:space="0" w:color="AEAEAE"/>
              <w:right w:val="nil"/>
            </w:tcBorders>
            <w:shd w:val="clear" w:color="auto" w:fill="FFFFFF"/>
          </w:tcPr>
          <w:p w14:paraId="7925F2A7"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,000</w:t>
            </w:r>
            <w:r w:rsidRPr="003D139F">
              <w:rPr>
                <w:rFonts w:ascii="Sylfaen" w:hAnsi="Sylfaen" w:cs="Arial"/>
                <w:sz w:val="20"/>
                <w:szCs w:val="20"/>
                <w:vertAlign w:val="superscript"/>
              </w:rPr>
              <w:t>b</w:t>
            </w:r>
          </w:p>
        </w:tc>
      </w:tr>
      <w:tr w:rsidR="004B1CD6" w:rsidRPr="00D773E0" w14:paraId="5552A19D" w14:textId="77777777" w:rsidTr="003D139F">
        <w:trPr>
          <w:cantSplit/>
          <w:jc w:val="center"/>
        </w:trPr>
        <w:tc>
          <w:tcPr>
            <w:tcW w:w="736" w:type="dxa"/>
            <w:vMerge/>
            <w:tcBorders>
              <w:top w:val="single" w:sz="8" w:space="0" w:color="152935"/>
              <w:left w:val="nil"/>
              <w:bottom w:val="single" w:sz="8" w:space="0" w:color="152935"/>
              <w:right w:val="nil"/>
            </w:tcBorders>
            <w:shd w:val="clear" w:color="auto" w:fill="auto"/>
          </w:tcPr>
          <w:p w14:paraId="49F9138E" w14:textId="77777777" w:rsidR="004B1CD6" w:rsidRPr="003D139F" w:rsidRDefault="004B1CD6" w:rsidP="004B1CD6">
            <w:pPr>
              <w:autoSpaceDE w:val="0"/>
              <w:autoSpaceDN w:val="0"/>
              <w:adjustRightInd w:val="0"/>
              <w:spacing w:after="0" w:line="240" w:lineRule="auto"/>
              <w:rPr>
                <w:rFonts w:ascii="Sylfaen" w:hAnsi="Sylfaen" w:cs="Arial"/>
                <w:sz w:val="20"/>
                <w:szCs w:val="20"/>
              </w:rPr>
            </w:pPr>
          </w:p>
        </w:tc>
        <w:tc>
          <w:tcPr>
            <w:tcW w:w="1292" w:type="dxa"/>
            <w:tcBorders>
              <w:top w:val="single" w:sz="8" w:space="0" w:color="AEAEAE"/>
              <w:left w:val="nil"/>
              <w:bottom w:val="single" w:sz="8" w:space="0" w:color="AEAEAE"/>
              <w:right w:val="nil"/>
            </w:tcBorders>
            <w:shd w:val="clear" w:color="auto" w:fill="auto"/>
          </w:tcPr>
          <w:p w14:paraId="737017A2" w14:textId="77777777" w:rsidR="004B1CD6" w:rsidRPr="003D139F" w:rsidRDefault="004B1CD6" w:rsidP="004B1CD6">
            <w:pPr>
              <w:autoSpaceDE w:val="0"/>
              <w:autoSpaceDN w:val="0"/>
              <w:adjustRightInd w:val="0"/>
              <w:spacing w:after="0" w:line="320" w:lineRule="atLeast"/>
              <w:ind w:left="60" w:right="60"/>
              <w:rPr>
                <w:rFonts w:ascii="Sylfaen" w:hAnsi="Sylfaen" w:cs="Arial"/>
                <w:b/>
                <w:sz w:val="20"/>
                <w:szCs w:val="20"/>
              </w:rPr>
            </w:pPr>
            <w:r w:rsidRPr="003D139F">
              <w:rPr>
                <w:rFonts w:ascii="Sylfaen" w:hAnsi="Sylfaen" w:cs="Arial"/>
                <w:b/>
                <w:sz w:val="20"/>
                <w:szCs w:val="20"/>
              </w:rPr>
              <w:t>Residual</w:t>
            </w:r>
          </w:p>
        </w:tc>
        <w:tc>
          <w:tcPr>
            <w:tcW w:w="1476" w:type="dxa"/>
            <w:tcBorders>
              <w:top w:val="single" w:sz="8" w:space="0" w:color="AEAEAE"/>
              <w:left w:val="nil"/>
              <w:bottom w:val="single" w:sz="8" w:space="0" w:color="AEAEAE"/>
              <w:right w:val="single" w:sz="8" w:space="0" w:color="E0E0E0"/>
            </w:tcBorders>
            <w:shd w:val="clear" w:color="auto" w:fill="FFFFFF"/>
          </w:tcPr>
          <w:p w14:paraId="2E479505"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974,516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B2C9B57"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603</w:t>
            </w:r>
          </w:p>
        </w:tc>
        <w:tc>
          <w:tcPr>
            <w:tcW w:w="1415" w:type="dxa"/>
            <w:tcBorders>
              <w:top w:val="single" w:sz="8" w:space="0" w:color="AEAEAE"/>
              <w:left w:val="single" w:sz="8" w:space="0" w:color="E0E0E0"/>
              <w:bottom w:val="single" w:sz="8" w:space="0" w:color="AEAEAE"/>
              <w:right w:val="single" w:sz="8" w:space="0" w:color="E0E0E0"/>
            </w:tcBorders>
            <w:shd w:val="clear" w:color="auto" w:fill="FFFFFF"/>
          </w:tcPr>
          <w:p w14:paraId="495006C3"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1,616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E203C7C" w14:textId="77777777" w:rsidR="004B1CD6" w:rsidRPr="003D139F" w:rsidRDefault="004B1CD6" w:rsidP="004B1CD6">
            <w:pPr>
              <w:autoSpaceDE w:val="0"/>
              <w:autoSpaceDN w:val="0"/>
              <w:adjustRightInd w:val="0"/>
              <w:spacing w:after="0" w:line="240" w:lineRule="auto"/>
              <w:rPr>
                <w:rFonts w:ascii="Sylfaen" w:hAnsi="Sylfaen" w:cs="Times New Roman"/>
                <w:sz w:val="20"/>
                <w:szCs w:val="20"/>
              </w:rPr>
            </w:pPr>
          </w:p>
        </w:tc>
        <w:tc>
          <w:tcPr>
            <w:tcW w:w="1030" w:type="dxa"/>
            <w:tcBorders>
              <w:top w:val="single" w:sz="8" w:space="0" w:color="AEAEAE"/>
              <w:left w:val="single" w:sz="8" w:space="0" w:color="E0E0E0"/>
              <w:bottom w:val="single" w:sz="8" w:space="0" w:color="AEAEAE"/>
              <w:right w:val="nil"/>
            </w:tcBorders>
            <w:shd w:val="clear" w:color="auto" w:fill="FFFFFF"/>
            <w:vAlign w:val="center"/>
          </w:tcPr>
          <w:p w14:paraId="55BD2C20" w14:textId="77777777" w:rsidR="004B1CD6" w:rsidRPr="003D139F" w:rsidRDefault="004B1CD6" w:rsidP="004B1CD6">
            <w:pPr>
              <w:autoSpaceDE w:val="0"/>
              <w:autoSpaceDN w:val="0"/>
              <w:adjustRightInd w:val="0"/>
              <w:spacing w:after="0" w:line="240" w:lineRule="auto"/>
              <w:rPr>
                <w:rFonts w:ascii="Sylfaen" w:hAnsi="Sylfaen" w:cs="Times New Roman"/>
                <w:sz w:val="20"/>
                <w:szCs w:val="20"/>
              </w:rPr>
            </w:pPr>
          </w:p>
        </w:tc>
      </w:tr>
      <w:tr w:rsidR="004B1CD6" w:rsidRPr="00D773E0" w14:paraId="1899329A" w14:textId="77777777" w:rsidTr="003D139F">
        <w:trPr>
          <w:cantSplit/>
          <w:jc w:val="center"/>
        </w:trPr>
        <w:tc>
          <w:tcPr>
            <w:tcW w:w="736" w:type="dxa"/>
            <w:vMerge/>
            <w:tcBorders>
              <w:top w:val="single" w:sz="8" w:space="0" w:color="152935"/>
              <w:left w:val="nil"/>
              <w:bottom w:val="single" w:sz="8" w:space="0" w:color="152935"/>
              <w:right w:val="nil"/>
            </w:tcBorders>
            <w:shd w:val="clear" w:color="auto" w:fill="auto"/>
          </w:tcPr>
          <w:p w14:paraId="5E0EE3A4" w14:textId="77777777" w:rsidR="004B1CD6" w:rsidRPr="003D139F" w:rsidRDefault="004B1CD6" w:rsidP="004B1CD6">
            <w:pPr>
              <w:autoSpaceDE w:val="0"/>
              <w:autoSpaceDN w:val="0"/>
              <w:adjustRightInd w:val="0"/>
              <w:spacing w:after="0" w:line="240" w:lineRule="auto"/>
              <w:rPr>
                <w:rFonts w:ascii="Sylfaen" w:hAnsi="Sylfaen" w:cs="Times New Roman"/>
                <w:sz w:val="20"/>
                <w:szCs w:val="20"/>
              </w:rPr>
            </w:pPr>
          </w:p>
        </w:tc>
        <w:tc>
          <w:tcPr>
            <w:tcW w:w="1292" w:type="dxa"/>
            <w:tcBorders>
              <w:top w:val="single" w:sz="8" w:space="0" w:color="AEAEAE"/>
              <w:left w:val="nil"/>
              <w:bottom w:val="single" w:sz="8" w:space="0" w:color="152935"/>
              <w:right w:val="nil"/>
            </w:tcBorders>
            <w:shd w:val="clear" w:color="auto" w:fill="auto"/>
          </w:tcPr>
          <w:p w14:paraId="7C400216" w14:textId="77777777" w:rsidR="004B1CD6" w:rsidRPr="003D139F" w:rsidRDefault="004B1CD6" w:rsidP="004B1CD6">
            <w:pPr>
              <w:autoSpaceDE w:val="0"/>
              <w:autoSpaceDN w:val="0"/>
              <w:adjustRightInd w:val="0"/>
              <w:spacing w:after="0" w:line="320" w:lineRule="atLeast"/>
              <w:ind w:left="60" w:right="60"/>
              <w:rPr>
                <w:rFonts w:ascii="Sylfaen" w:hAnsi="Sylfaen" w:cs="Arial"/>
                <w:b/>
                <w:sz w:val="20"/>
                <w:szCs w:val="20"/>
              </w:rPr>
            </w:pPr>
            <w:r w:rsidRPr="003D139F">
              <w:rPr>
                <w:rFonts w:ascii="Sylfaen" w:hAnsi="Sylfaen" w:cs="Arial"/>
                <w:b/>
                <w:sz w:val="20"/>
                <w:szCs w:val="20"/>
              </w:rPr>
              <w:t>Total</w:t>
            </w:r>
          </w:p>
        </w:tc>
        <w:tc>
          <w:tcPr>
            <w:tcW w:w="1476" w:type="dxa"/>
            <w:tcBorders>
              <w:top w:val="single" w:sz="8" w:space="0" w:color="AEAEAE"/>
              <w:left w:val="nil"/>
              <w:bottom w:val="single" w:sz="8" w:space="0" w:color="152935"/>
              <w:right w:val="single" w:sz="8" w:space="0" w:color="E0E0E0"/>
            </w:tcBorders>
            <w:shd w:val="clear" w:color="auto" w:fill="FFFFFF"/>
          </w:tcPr>
          <w:p w14:paraId="3E9CFB55"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1110,774</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2762B0BD" w14:textId="77777777" w:rsidR="004B1CD6" w:rsidRPr="003D139F" w:rsidRDefault="004B1CD6" w:rsidP="004B1CD6">
            <w:pPr>
              <w:autoSpaceDE w:val="0"/>
              <w:autoSpaceDN w:val="0"/>
              <w:adjustRightInd w:val="0"/>
              <w:spacing w:after="0" w:line="320" w:lineRule="atLeast"/>
              <w:ind w:left="60" w:right="60"/>
              <w:jc w:val="right"/>
              <w:rPr>
                <w:rFonts w:ascii="Sylfaen" w:hAnsi="Sylfaen" w:cs="Arial"/>
                <w:sz w:val="20"/>
                <w:szCs w:val="20"/>
              </w:rPr>
            </w:pPr>
            <w:r w:rsidRPr="003D139F">
              <w:rPr>
                <w:rFonts w:ascii="Sylfaen" w:hAnsi="Sylfaen" w:cs="Arial"/>
                <w:sz w:val="20"/>
                <w:szCs w:val="20"/>
              </w:rPr>
              <w:t>614</w:t>
            </w:r>
          </w:p>
        </w:tc>
        <w:tc>
          <w:tcPr>
            <w:tcW w:w="141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02319BB" w14:textId="77777777" w:rsidR="004B1CD6" w:rsidRPr="003D139F" w:rsidRDefault="004B1CD6" w:rsidP="004B1CD6">
            <w:pPr>
              <w:autoSpaceDE w:val="0"/>
              <w:autoSpaceDN w:val="0"/>
              <w:adjustRightInd w:val="0"/>
              <w:spacing w:after="0" w:line="240" w:lineRule="auto"/>
              <w:rPr>
                <w:rFonts w:ascii="Sylfaen" w:hAnsi="Sylfaen" w:cs="Times New Roman"/>
                <w:sz w:val="20"/>
                <w:szCs w:val="20"/>
              </w:rPr>
            </w:pPr>
          </w:p>
        </w:tc>
        <w:tc>
          <w:tcPr>
            <w:tcW w:w="103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D9ED0F5" w14:textId="77777777" w:rsidR="004B1CD6" w:rsidRPr="003D139F" w:rsidRDefault="004B1CD6" w:rsidP="004B1CD6">
            <w:pPr>
              <w:autoSpaceDE w:val="0"/>
              <w:autoSpaceDN w:val="0"/>
              <w:adjustRightInd w:val="0"/>
              <w:spacing w:after="0" w:line="240" w:lineRule="auto"/>
              <w:rPr>
                <w:rFonts w:ascii="Sylfaen" w:hAnsi="Sylfaen" w:cs="Times New Roman"/>
                <w:sz w:val="20"/>
                <w:szCs w:val="20"/>
              </w:rPr>
            </w:pPr>
          </w:p>
        </w:tc>
        <w:tc>
          <w:tcPr>
            <w:tcW w:w="1030" w:type="dxa"/>
            <w:tcBorders>
              <w:top w:val="single" w:sz="8" w:space="0" w:color="AEAEAE"/>
              <w:left w:val="single" w:sz="8" w:space="0" w:color="E0E0E0"/>
              <w:bottom w:val="single" w:sz="8" w:space="0" w:color="152935"/>
              <w:right w:val="nil"/>
            </w:tcBorders>
            <w:shd w:val="clear" w:color="auto" w:fill="FFFFFF"/>
            <w:vAlign w:val="center"/>
          </w:tcPr>
          <w:p w14:paraId="40C31F6B" w14:textId="77777777" w:rsidR="004B1CD6" w:rsidRPr="003D139F" w:rsidRDefault="004B1CD6" w:rsidP="004B1CD6">
            <w:pPr>
              <w:autoSpaceDE w:val="0"/>
              <w:autoSpaceDN w:val="0"/>
              <w:adjustRightInd w:val="0"/>
              <w:spacing w:after="0" w:line="240" w:lineRule="auto"/>
              <w:rPr>
                <w:rFonts w:ascii="Sylfaen" w:hAnsi="Sylfaen" w:cs="Times New Roman"/>
                <w:sz w:val="20"/>
                <w:szCs w:val="20"/>
              </w:rPr>
            </w:pPr>
          </w:p>
        </w:tc>
      </w:tr>
      <w:tr w:rsidR="004B1CD6" w:rsidRPr="00D773E0" w14:paraId="7F03ABF6" w14:textId="77777777" w:rsidTr="003970D0">
        <w:trPr>
          <w:cantSplit/>
          <w:jc w:val="center"/>
        </w:trPr>
        <w:tc>
          <w:tcPr>
            <w:tcW w:w="8009" w:type="dxa"/>
            <w:gridSpan w:val="7"/>
            <w:tcBorders>
              <w:top w:val="nil"/>
              <w:left w:val="nil"/>
              <w:bottom w:val="nil"/>
              <w:right w:val="nil"/>
            </w:tcBorders>
            <w:shd w:val="clear" w:color="auto" w:fill="FFFFFF"/>
          </w:tcPr>
          <w:p w14:paraId="4836F28B" w14:textId="77777777" w:rsidR="004B1CD6" w:rsidRPr="003D139F" w:rsidRDefault="004B1CD6" w:rsidP="004B1CD6">
            <w:pPr>
              <w:autoSpaceDE w:val="0"/>
              <w:autoSpaceDN w:val="0"/>
              <w:adjustRightInd w:val="0"/>
              <w:spacing w:after="0" w:line="320" w:lineRule="atLeast"/>
              <w:ind w:left="60" w:right="60"/>
              <w:rPr>
                <w:rFonts w:ascii="Sylfaen" w:hAnsi="Sylfaen" w:cs="Arial"/>
                <w:sz w:val="20"/>
                <w:szCs w:val="20"/>
              </w:rPr>
            </w:pPr>
            <w:r w:rsidRPr="003D139F">
              <w:rPr>
                <w:rFonts w:ascii="Sylfaen" w:hAnsi="Sylfaen" w:cs="Arial"/>
                <w:sz w:val="20"/>
                <w:szCs w:val="20"/>
              </w:rPr>
              <w:t>a. Dependent Variable: Compliance</w:t>
            </w:r>
          </w:p>
        </w:tc>
      </w:tr>
      <w:tr w:rsidR="004B1CD6" w:rsidRPr="00D773E0" w14:paraId="695905C0" w14:textId="77777777" w:rsidTr="003970D0">
        <w:trPr>
          <w:cantSplit/>
          <w:jc w:val="center"/>
        </w:trPr>
        <w:tc>
          <w:tcPr>
            <w:tcW w:w="8009" w:type="dxa"/>
            <w:gridSpan w:val="7"/>
            <w:tcBorders>
              <w:top w:val="nil"/>
              <w:left w:val="nil"/>
              <w:bottom w:val="nil"/>
              <w:right w:val="nil"/>
            </w:tcBorders>
            <w:shd w:val="clear" w:color="auto" w:fill="FFFFFF"/>
          </w:tcPr>
          <w:p w14:paraId="4AE90B08" w14:textId="77777777" w:rsidR="004B1CD6" w:rsidRPr="003D139F" w:rsidRDefault="004B1CD6" w:rsidP="004B1CD6">
            <w:pPr>
              <w:autoSpaceDE w:val="0"/>
              <w:autoSpaceDN w:val="0"/>
              <w:adjustRightInd w:val="0"/>
              <w:spacing w:after="0" w:line="320" w:lineRule="atLeast"/>
              <w:ind w:left="60" w:right="60"/>
              <w:rPr>
                <w:rFonts w:ascii="Sylfaen" w:hAnsi="Sylfaen" w:cs="Arial"/>
                <w:color w:val="010205"/>
                <w:sz w:val="20"/>
                <w:szCs w:val="18"/>
              </w:rPr>
            </w:pPr>
            <w:r w:rsidRPr="003D139F">
              <w:rPr>
                <w:rFonts w:ascii="Sylfaen" w:hAnsi="Sylfaen" w:cs="Arial"/>
                <w:color w:val="010205"/>
                <w:sz w:val="20"/>
                <w:szCs w:val="18"/>
              </w:rPr>
              <w:t>b. Predictors: (Constant), MS2004, AvWOpMS, Stance, Number of times discussed, Nordic, NumOpMS, Consultations, GDP, QGI, PopOpMS, Corruption</w:t>
            </w:r>
          </w:p>
        </w:tc>
      </w:tr>
    </w:tbl>
    <w:p w14:paraId="173E7A68" w14:textId="77777777" w:rsidR="004B1CD6" w:rsidRDefault="004B1CD6" w:rsidP="00A60364">
      <w:pPr>
        <w:spacing w:line="360" w:lineRule="auto"/>
      </w:pPr>
    </w:p>
    <w:p w14:paraId="52EAB196" w14:textId="77777777" w:rsidR="004B1CD6" w:rsidRPr="00DA19C8" w:rsidRDefault="004B1CD6" w:rsidP="004B1CD6">
      <w:pPr>
        <w:spacing w:line="360" w:lineRule="auto"/>
      </w:pPr>
      <w:r w:rsidRPr="00DA19C8">
        <w:t xml:space="preserve">With p &lt; 0.05, the overall regression model is a good fit for the data, because the significance (0.000) is lower than 0.05. </w:t>
      </w:r>
    </w:p>
    <w:p w14:paraId="10AB9E1D" w14:textId="77777777" w:rsidR="004B1CD6" w:rsidRPr="00DA19C8" w:rsidRDefault="004B1CD6" w:rsidP="004B1CD6">
      <w:pPr>
        <w:spacing w:line="360" w:lineRule="auto"/>
      </w:pPr>
      <w:r w:rsidRPr="00DA19C8">
        <w:t xml:space="preserve">The coefficients are shown in the table below. </w:t>
      </w:r>
    </w:p>
    <w:p w14:paraId="22DD711D" w14:textId="77777777" w:rsidR="000924D6" w:rsidRDefault="000924D6">
      <w:r>
        <w:br w:type="page"/>
      </w:r>
    </w:p>
    <w:tbl>
      <w:tblPr>
        <w:tblW w:w="94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2460"/>
        <w:gridCol w:w="1338"/>
        <w:gridCol w:w="1338"/>
        <w:gridCol w:w="1476"/>
        <w:gridCol w:w="1030"/>
        <w:gridCol w:w="831"/>
        <w:gridCol w:w="199"/>
      </w:tblGrid>
      <w:tr w:rsidR="004B1CD6" w:rsidRPr="00DA19C8" w14:paraId="26CF518B" w14:textId="77777777" w:rsidTr="003F416A">
        <w:trPr>
          <w:gridAfter w:val="1"/>
          <w:wAfter w:w="199" w:type="dxa"/>
          <w:cantSplit/>
          <w:trHeight w:val="339"/>
        </w:trPr>
        <w:tc>
          <w:tcPr>
            <w:tcW w:w="9209" w:type="dxa"/>
            <w:gridSpan w:val="7"/>
            <w:tcBorders>
              <w:top w:val="nil"/>
              <w:left w:val="nil"/>
              <w:bottom w:val="nil"/>
              <w:right w:val="nil"/>
            </w:tcBorders>
            <w:shd w:val="clear" w:color="auto" w:fill="FFFFFF"/>
            <w:vAlign w:val="center"/>
          </w:tcPr>
          <w:p w14:paraId="24493051" w14:textId="2911179C" w:rsidR="00A32C6A" w:rsidRPr="004D4E76" w:rsidRDefault="003970D0" w:rsidP="004D4E76">
            <w:pPr>
              <w:autoSpaceDE w:val="0"/>
              <w:autoSpaceDN w:val="0"/>
              <w:adjustRightInd w:val="0"/>
              <w:spacing w:after="0" w:line="320" w:lineRule="atLeast"/>
              <w:ind w:right="60"/>
              <w:rPr>
                <w:rFonts w:ascii="Sylfaen" w:hAnsi="Sylfaen"/>
                <w:i/>
                <w:sz w:val="20"/>
              </w:rPr>
            </w:pPr>
            <w:r w:rsidRPr="004D4E76">
              <w:rPr>
                <w:rFonts w:ascii="Sylfaen" w:hAnsi="Sylfaen"/>
                <w:i/>
                <w:sz w:val="20"/>
              </w:rPr>
              <w:lastRenderedPageBreak/>
              <w:t xml:space="preserve"> </w:t>
            </w:r>
            <w:r w:rsidR="00A32C6A" w:rsidRPr="004D4E76">
              <w:rPr>
                <w:rFonts w:ascii="Sylfaen" w:hAnsi="Sylfaen"/>
                <w:i/>
                <w:sz w:val="20"/>
              </w:rPr>
              <w:br/>
            </w:r>
            <w:r w:rsidRPr="004D4E76">
              <w:rPr>
                <w:rFonts w:ascii="Sylfaen" w:hAnsi="Sylfaen"/>
                <w:i/>
                <w:sz w:val="20"/>
              </w:rPr>
              <w:t>Table 11: Coefficients</w:t>
            </w:r>
          </w:p>
        </w:tc>
      </w:tr>
      <w:tr w:rsidR="003F416A" w14:paraId="127E8AF1" w14:textId="77777777" w:rsidTr="003F416A">
        <w:trPr>
          <w:cantSplit/>
        </w:trPr>
        <w:tc>
          <w:tcPr>
            <w:tcW w:w="3196" w:type="dxa"/>
            <w:gridSpan w:val="2"/>
            <w:vMerge w:val="restart"/>
            <w:tcBorders>
              <w:top w:val="nil"/>
              <w:left w:val="nil"/>
              <w:bottom w:val="nil"/>
              <w:right w:val="nil"/>
            </w:tcBorders>
            <w:shd w:val="clear" w:color="auto" w:fill="FFFFFF"/>
            <w:vAlign w:val="bottom"/>
          </w:tcPr>
          <w:p w14:paraId="7A780B39" w14:textId="77777777" w:rsidR="003F416A" w:rsidRPr="002C2A76" w:rsidRDefault="003F416A">
            <w:pPr>
              <w:spacing w:line="320" w:lineRule="atLeast"/>
              <w:ind w:left="60" w:right="60"/>
              <w:rPr>
                <w:rFonts w:ascii="Sylfaen" w:hAnsi="Sylfaen" w:cs="Arial"/>
                <w:b/>
                <w:sz w:val="20"/>
                <w:szCs w:val="20"/>
              </w:rPr>
            </w:pPr>
            <w:r w:rsidRPr="002C2A76">
              <w:rPr>
                <w:rFonts w:ascii="Sylfaen" w:hAnsi="Sylfaen" w:cs="Arial"/>
                <w:b/>
                <w:sz w:val="20"/>
                <w:szCs w:val="20"/>
              </w:rPr>
              <w:t>Model</w:t>
            </w:r>
          </w:p>
        </w:tc>
        <w:tc>
          <w:tcPr>
            <w:tcW w:w="2676" w:type="dxa"/>
            <w:gridSpan w:val="2"/>
            <w:tcBorders>
              <w:top w:val="nil"/>
              <w:left w:val="nil"/>
              <w:bottom w:val="nil"/>
              <w:right w:val="single" w:sz="8" w:space="0" w:color="E0E0E0"/>
            </w:tcBorders>
            <w:shd w:val="clear" w:color="auto" w:fill="FFFFFF"/>
            <w:vAlign w:val="bottom"/>
          </w:tcPr>
          <w:p w14:paraId="6A537FB8" w14:textId="77777777" w:rsidR="003F416A" w:rsidRPr="002C2A76" w:rsidRDefault="003F416A">
            <w:pPr>
              <w:spacing w:line="320" w:lineRule="atLeast"/>
              <w:ind w:left="60" w:right="60"/>
              <w:jc w:val="center"/>
              <w:rPr>
                <w:rFonts w:ascii="Sylfaen" w:hAnsi="Sylfaen" w:cs="Arial"/>
                <w:sz w:val="20"/>
                <w:szCs w:val="20"/>
              </w:rPr>
            </w:pPr>
            <w:r w:rsidRPr="002C2A76">
              <w:rPr>
                <w:rFonts w:ascii="Sylfaen" w:hAnsi="Sylfaen" w:cs="Arial"/>
                <w:sz w:val="20"/>
                <w:szCs w:val="20"/>
              </w:rPr>
              <w:t>Unstandardized Coefficients</w:t>
            </w:r>
          </w:p>
        </w:tc>
        <w:tc>
          <w:tcPr>
            <w:tcW w:w="1476" w:type="dxa"/>
            <w:tcBorders>
              <w:top w:val="nil"/>
              <w:left w:val="single" w:sz="8" w:space="0" w:color="E0E0E0"/>
              <w:bottom w:val="nil"/>
              <w:right w:val="single" w:sz="8" w:space="0" w:color="E0E0E0"/>
            </w:tcBorders>
            <w:shd w:val="clear" w:color="auto" w:fill="FFFFFF"/>
            <w:vAlign w:val="bottom"/>
          </w:tcPr>
          <w:p w14:paraId="205792FB" w14:textId="77777777" w:rsidR="003F416A" w:rsidRPr="002C2A76" w:rsidRDefault="003F416A">
            <w:pPr>
              <w:spacing w:line="320" w:lineRule="atLeast"/>
              <w:ind w:left="60" w:right="60"/>
              <w:jc w:val="center"/>
              <w:rPr>
                <w:rFonts w:ascii="Sylfaen" w:hAnsi="Sylfaen" w:cs="Arial"/>
                <w:sz w:val="20"/>
                <w:szCs w:val="20"/>
              </w:rPr>
            </w:pPr>
            <w:r w:rsidRPr="002C2A76">
              <w:rPr>
                <w:rFonts w:ascii="Sylfaen" w:hAnsi="Sylfaen" w:cs="Arial"/>
                <w:sz w:val="20"/>
                <w:szCs w:val="20"/>
              </w:rPr>
              <w:t>Standardized Coefficients</w:t>
            </w:r>
          </w:p>
        </w:tc>
        <w:tc>
          <w:tcPr>
            <w:tcW w:w="1030" w:type="dxa"/>
            <w:vMerge w:val="restart"/>
            <w:tcBorders>
              <w:top w:val="nil"/>
              <w:left w:val="single" w:sz="8" w:space="0" w:color="E0E0E0"/>
              <w:bottom w:val="nil"/>
              <w:right w:val="single" w:sz="8" w:space="0" w:color="E0E0E0"/>
            </w:tcBorders>
            <w:shd w:val="clear" w:color="auto" w:fill="FFFFFF"/>
            <w:vAlign w:val="bottom"/>
          </w:tcPr>
          <w:p w14:paraId="5AAE788E" w14:textId="786FA858" w:rsidR="003F416A" w:rsidRPr="002C2A76" w:rsidRDefault="00FD29BC">
            <w:pPr>
              <w:spacing w:line="320" w:lineRule="atLeast"/>
              <w:ind w:left="60" w:right="60"/>
              <w:jc w:val="center"/>
              <w:rPr>
                <w:rFonts w:ascii="Sylfaen" w:hAnsi="Sylfaen" w:cs="Arial"/>
                <w:sz w:val="20"/>
                <w:szCs w:val="20"/>
              </w:rPr>
            </w:pPr>
            <w:r w:rsidRPr="002C2A76">
              <w:rPr>
                <w:rFonts w:ascii="Sylfaen" w:hAnsi="Sylfaen" w:cs="Arial"/>
                <w:sz w:val="20"/>
                <w:szCs w:val="20"/>
              </w:rPr>
              <w:t>T</w:t>
            </w:r>
          </w:p>
        </w:tc>
        <w:tc>
          <w:tcPr>
            <w:tcW w:w="1030" w:type="dxa"/>
            <w:gridSpan w:val="2"/>
            <w:vMerge w:val="restart"/>
            <w:tcBorders>
              <w:top w:val="nil"/>
              <w:left w:val="single" w:sz="8" w:space="0" w:color="E0E0E0"/>
              <w:bottom w:val="nil"/>
              <w:right w:val="nil"/>
            </w:tcBorders>
            <w:shd w:val="clear" w:color="auto" w:fill="FFFFFF"/>
            <w:vAlign w:val="bottom"/>
          </w:tcPr>
          <w:p w14:paraId="7253C376" w14:textId="77777777" w:rsidR="003F416A" w:rsidRPr="002C2A76" w:rsidRDefault="003F416A">
            <w:pPr>
              <w:spacing w:line="320" w:lineRule="atLeast"/>
              <w:ind w:left="60" w:right="60"/>
              <w:jc w:val="center"/>
              <w:rPr>
                <w:rFonts w:ascii="Sylfaen" w:hAnsi="Sylfaen" w:cs="Arial"/>
                <w:sz w:val="20"/>
                <w:szCs w:val="20"/>
              </w:rPr>
            </w:pPr>
            <w:r w:rsidRPr="002C2A76">
              <w:rPr>
                <w:rFonts w:ascii="Sylfaen" w:hAnsi="Sylfaen" w:cs="Arial"/>
                <w:sz w:val="20"/>
                <w:szCs w:val="20"/>
              </w:rPr>
              <w:t>Sig.</w:t>
            </w:r>
          </w:p>
        </w:tc>
      </w:tr>
      <w:tr w:rsidR="003F416A" w14:paraId="63ABA308" w14:textId="77777777" w:rsidTr="003F416A">
        <w:trPr>
          <w:cantSplit/>
        </w:trPr>
        <w:tc>
          <w:tcPr>
            <w:tcW w:w="3196" w:type="dxa"/>
            <w:gridSpan w:val="2"/>
            <w:vMerge/>
            <w:tcBorders>
              <w:top w:val="nil"/>
              <w:left w:val="nil"/>
              <w:bottom w:val="nil"/>
              <w:right w:val="nil"/>
            </w:tcBorders>
            <w:shd w:val="clear" w:color="auto" w:fill="FFFFFF"/>
            <w:vAlign w:val="bottom"/>
          </w:tcPr>
          <w:p w14:paraId="1BA509CF" w14:textId="77777777" w:rsidR="003F416A" w:rsidRPr="002C2A76" w:rsidRDefault="003F416A">
            <w:pPr>
              <w:rPr>
                <w:rFonts w:ascii="Sylfaen" w:hAnsi="Sylfaen" w:cs="Arial"/>
                <w:sz w:val="20"/>
                <w:szCs w:val="20"/>
              </w:rPr>
            </w:pPr>
          </w:p>
        </w:tc>
        <w:tc>
          <w:tcPr>
            <w:tcW w:w="1338" w:type="dxa"/>
            <w:tcBorders>
              <w:top w:val="nil"/>
              <w:left w:val="nil"/>
              <w:bottom w:val="single" w:sz="8" w:space="0" w:color="152935"/>
              <w:right w:val="single" w:sz="8" w:space="0" w:color="E0E0E0"/>
            </w:tcBorders>
            <w:shd w:val="clear" w:color="auto" w:fill="FFFFFF"/>
            <w:vAlign w:val="bottom"/>
          </w:tcPr>
          <w:p w14:paraId="2575FDE7" w14:textId="77777777" w:rsidR="003F416A" w:rsidRPr="002C2A76" w:rsidRDefault="003F416A">
            <w:pPr>
              <w:spacing w:line="320" w:lineRule="atLeast"/>
              <w:ind w:left="60" w:right="60"/>
              <w:jc w:val="center"/>
              <w:rPr>
                <w:rFonts w:ascii="Sylfaen" w:hAnsi="Sylfaen" w:cs="Arial"/>
                <w:sz w:val="20"/>
                <w:szCs w:val="20"/>
              </w:rPr>
            </w:pPr>
            <w:r w:rsidRPr="002C2A76">
              <w:rPr>
                <w:rFonts w:ascii="Sylfaen" w:hAnsi="Sylfaen" w:cs="Arial"/>
                <w:sz w:val="20"/>
                <w:szCs w:val="20"/>
              </w:rPr>
              <w:t>B</w:t>
            </w:r>
          </w:p>
        </w:tc>
        <w:tc>
          <w:tcPr>
            <w:tcW w:w="1338" w:type="dxa"/>
            <w:tcBorders>
              <w:top w:val="nil"/>
              <w:left w:val="single" w:sz="8" w:space="0" w:color="E0E0E0"/>
              <w:bottom w:val="single" w:sz="8" w:space="0" w:color="152935"/>
              <w:right w:val="single" w:sz="8" w:space="0" w:color="E0E0E0"/>
            </w:tcBorders>
            <w:shd w:val="clear" w:color="auto" w:fill="FFFFFF"/>
            <w:vAlign w:val="bottom"/>
          </w:tcPr>
          <w:p w14:paraId="3A9A4722" w14:textId="77777777" w:rsidR="003F416A" w:rsidRPr="002C2A76" w:rsidRDefault="003F416A">
            <w:pPr>
              <w:spacing w:line="320" w:lineRule="atLeast"/>
              <w:ind w:left="60" w:right="60"/>
              <w:jc w:val="center"/>
              <w:rPr>
                <w:rFonts w:ascii="Sylfaen" w:hAnsi="Sylfaen" w:cs="Arial"/>
                <w:sz w:val="20"/>
                <w:szCs w:val="20"/>
              </w:rPr>
            </w:pPr>
            <w:r w:rsidRPr="002C2A76">
              <w:rPr>
                <w:rFonts w:ascii="Sylfaen" w:hAnsi="Sylfaen" w:cs="Arial"/>
                <w:sz w:val="20"/>
                <w:szCs w:val="20"/>
              </w:rPr>
              <w:t>Std. Error</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4BA7B061" w14:textId="77777777" w:rsidR="003F416A" w:rsidRPr="002C2A76" w:rsidRDefault="003F416A">
            <w:pPr>
              <w:spacing w:line="320" w:lineRule="atLeast"/>
              <w:ind w:left="60" w:right="60"/>
              <w:jc w:val="center"/>
              <w:rPr>
                <w:rFonts w:ascii="Sylfaen" w:hAnsi="Sylfaen" w:cs="Arial"/>
                <w:sz w:val="20"/>
                <w:szCs w:val="20"/>
              </w:rPr>
            </w:pPr>
            <w:r w:rsidRPr="002C2A76">
              <w:rPr>
                <w:rFonts w:ascii="Sylfaen" w:hAnsi="Sylfaen" w:cs="Arial"/>
                <w:sz w:val="20"/>
                <w:szCs w:val="20"/>
              </w:rPr>
              <w:t>Beta</w:t>
            </w:r>
          </w:p>
        </w:tc>
        <w:tc>
          <w:tcPr>
            <w:tcW w:w="1030" w:type="dxa"/>
            <w:vMerge/>
            <w:tcBorders>
              <w:top w:val="nil"/>
              <w:left w:val="single" w:sz="8" w:space="0" w:color="E0E0E0"/>
              <w:bottom w:val="nil"/>
              <w:right w:val="single" w:sz="8" w:space="0" w:color="E0E0E0"/>
            </w:tcBorders>
            <w:shd w:val="clear" w:color="auto" w:fill="FFFFFF"/>
            <w:vAlign w:val="bottom"/>
          </w:tcPr>
          <w:p w14:paraId="7B264896" w14:textId="77777777" w:rsidR="003F416A" w:rsidRPr="002C2A76" w:rsidRDefault="003F416A">
            <w:pPr>
              <w:rPr>
                <w:rFonts w:ascii="Sylfaen" w:hAnsi="Sylfaen" w:cs="Arial"/>
                <w:sz w:val="20"/>
                <w:szCs w:val="20"/>
              </w:rPr>
            </w:pPr>
          </w:p>
        </w:tc>
        <w:tc>
          <w:tcPr>
            <w:tcW w:w="1030" w:type="dxa"/>
            <w:gridSpan w:val="2"/>
            <w:vMerge/>
            <w:tcBorders>
              <w:top w:val="nil"/>
              <w:left w:val="single" w:sz="8" w:space="0" w:color="E0E0E0"/>
              <w:bottom w:val="nil"/>
              <w:right w:val="nil"/>
            </w:tcBorders>
            <w:shd w:val="clear" w:color="auto" w:fill="FFFFFF"/>
            <w:vAlign w:val="bottom"/>
          </w:tcPr>
          <w:p w14:paraId="06BB8A0C" w14:textId="77777777" w:rsidR="003F416A" w:rsidRPr="002C2A76" w:rsidRDefault="003F416A">
            <w:pPr>
              <w:rPr>
                <w:rFonts w:ascii="Sylfaen" w:hAnsi="Sylfaen" w:cs="Arial"/>
                <w:sz w:val="20"/>
                <w:szCs w:val="20"/>
              </w:rPr>
            </w:pPr>
          </w:p>
        </w:tc>
      </w:tr>
      <w:tr w:rsidR="003F416A" w14:paraId="2408C8FB" w14:textId="77777777" w:rsidTr="004D4E76">
        <w:trPr>
          <w:cantSplit/>
        </w:trPr>
        <w:tc>
          <w:tcPr>
            <w:tcW w:w="736" w:type="dxa"/>
            <w:vMerge w:val="restart"/>
            <w:tcBorders>
              <w:top w:val="single" w:sz="8" w:space="0" w:color="152935"/>
              <w:left w:val="nil"/>
              <w:bottom w:val="single" w:sz="8" w:space="0" w:color="152935"/>
              <w:right w:val="nil"/>
            </w:tcBorders>
            <w:shd w:val="clear" w:color="auto" w:fill="auto"/>
          </w:tcPr>
          <w:p w14:paraId="4A9A5E58" w14:textId="77777777" w:rsidR="003F416A" w:rsidRPr="003D139F" w:rsidRDefault="003F416A">
            <w:pPr>
              <w:spacing w:line="320" w:lineRule="atLeast"/>
              <w:ind w:left="60" w:right="60"/>
              <w:rPr>
                <w:rFonts w:ascii="Sylfaen" w:hAnsi="Sylfaen" w:cs="Arial"/>
                <w:sz w:val="20"/>
                <w:szCs w:val="20"/>
              </w:rPr>
            </w:pPr>
            <w:r w:rsidRPr="003D139F">
              <w:rPr>
                <w:rFonts w:ascii="Sylfaen" w:hAnsi="Sylfaen" w:cs="Arial"/>
                <w:sz w:val="20"/>
                <w:szCs w:val="20"/>
              </w:rPr>
              <w:t>1</w:t>
            </w:r>
          </w:p>
        </w:tc>
        <w:tc>
          <w:tcPr>
            <w:tcW w:w="2460" w:type="dxa"/>
            <w:tcBorders>
              <w:top w:val="single" w:sz="8" w:space="0" w:color="152935"/>
              <w:left w:val="nil"/>
              <w:bottom w:val="single" w:sz="8" w:space="0" w:color="AEAEAE"/>
              <w:right w:val="nil"/>
            </w:tcBorders>
            <w:shd w:val="clear" w:color="auto" w:fill="auto"/>
          </w:tcPr>
          <w:p w14:paraId="1F223A26"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(Constant)</w:t>
            </w:r>
          </w:p>
        </w:tc>
        <w:tc>
          <w:tcPr>
            <w:tcW w:w="1338" w:type="dxa"/>
            <w:tcBorders>
              <w:top w:val="single" w:sz="8" w:space="0" w:color="152935"/>
              <w:left w:val="nil"/>
              <w:bottom w:val="single" w:sz="8" w:space="0" w:color="AEAEAE"/>
              <w:right w:val="single" w:sz="8" w:space="0" w:color="E0E0E0"/>
            </w:tcBorders>
            <w:shd w:val="clear" w:color="auto" w:fill="FFFFFF"/>
          </w:tcPr>
          <w:p w14:paraId="7F1D9805"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1,458</w:t>
            </w:r>
          </w:p>
        </w:tc>
        <w:tc>
          <w:tcPr>
            <w:tcW w:w="1338" w:type="dxa"/>
            <w:tcBorders>
              <w:top w:val="single" w:sz="8" w:space="0" w:color="152935"/>
              <w:left w:val="single" w:sz="8" w:space="0" w:color="E0E0E0"/>
              <w:bottom w:val="single" w:sz="8" w:space="0" w:color="AEAEAE"/>
              <w:right w:val="single" w:sz="8" w:space="0" w:color="E0E0E0"/>
            </w:tcBorders>
            <w:shd w:val="clear" w:color="auto" w:fill="FFFFFF"/>
          </w:tcPr>
          <w:p w14:paraId="2D5DFE50"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,710</w:t>
            </w:r>
          </w:p>
        </w:tc>
        <w:tc>
          <w:tcPr>
            <w:tcW w:w="1476"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09F21EB4" w14:textId="77777777" w:rsidR="003F416A" w:rsidRPr="003D139F" w:rsidRDefault="003F416A">
            <w:pPr>
              <w:rPr>
                <w:rFonts w:ascii="Sylfaen" w:hAnsi="Sylfaen" w:cs="Times New Roman"/>
                <w:sz w:val="20"/>
                <w:szCs w:val="20"/>
              </w:rPr>
            </w:pP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2890987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2,055</w:t>
            </w:r>
          </w:p>
        </w:tc>
        <w:tc>
          <w:tcPr>
            <w:tcW w:w="1030" w:type="dxa"/>
            <w:gridSpan w:val="2"/>
            <w:tcBorders>
              <w:top w:val="single" w:sz="8" w:space="0" w:color="152935"/>
              <w:left w:val="single" w:sz="8" w:space="0" w:color="E0E0E0"/>
              <w:bottom w:val="single" w:sz="8" w:space="0" w:color="AEAEAE"/>
              <w:right w:val="nil"/>
            </w:tcBorders>
            <w:shd w:val="clear" w:color="auto" w:fill="FFFFFF"/>
          </w:tcPr>
          <w:p w14:paraId="4E36B69F"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,040</w:t>
            </w:r>
          </w:p>
        </w:tc>
      </w:tr>
      <w:tr w:rsidR="003F416A" w14:paraId="5D799A14"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00130926"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7552A09D"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Number of times discussed</w:t>
            </w:r>
          </w:p>
        </w:tc>
        <w:tc>
          <w:tcPr>
            <w:tcW w:w="1338" w:type="dxa"/>
            <w:tcBorders>
              <w:top w:val="single" w:sz="8" w:space="0" w:color="AEAEAE"/>
              <w:left w:val="nil"/>
              <w:bottom w:val="single" w:sz="8" w:space="0" w:color="AEAEAE"/>
              <w:right w:val="single" w:sz="8" w:space="0" w:color="E0E0E0"/>
            </w:tcBorders>
            <w:shd w:val="clear" w:color="auto" w:fill="FFFFFF"/>
          </w:tcPr>
          <w:p w14:paraId="7DE88E82"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,013</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5DB01938"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,018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47C46D42"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,027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55A056B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,686</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032C81BB"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,493</w:t>
            </w:r>
          </w:p>
        </w:tc>
      </w:tr>
      <w:tr w:rsidR="003F416A" w14:paraId="13965FF9"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1D18E57C"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5F2885F6"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Consultations</w:t>
            </w:r>
          </w:p>
        </w:tc>
        <w:tc>
          <w:tcPr>
            <w:tcW w:w="1338" w:type="dxa"/>
            <w:tcBorders>
              <w:top w:val="single" w:sz="8" w:space="0" w:color="AEAEAE"/>
              <w:left w:val="nil"/>
              <w:bottom w:val="single" w:sz="8" w:space="0" w:color="AEAEAE"/>
              <w:right w:val="single" w:sz="8" w:space="0" w:color="E0E0E0"/>
            </w:tcBorders>
            <w:shd w:val="clear" w:color="auto" w:fill="FFFFFF"/>
          </w:tcPr>
          <w:p w14:paraId="30A805E2"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,206</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38F68EF0"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,072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5D64CE0"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,128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69501659"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2,841</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40764087"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,005</w:t>
            </w:r>
          </w:p>
        </w:tc>
      </w:tr>
      <w:tr w:rsidR="003F416A" w14:paraId="0D7BB0A4"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0AECA0A3"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32DB4423"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AvWOpMS</w:t>
            </w:r>
          </w:p>
        </w:tc>
        <w:tc>
          <w:tcPr>
            <w:tcW w:w="1338" w:type="dxa"/>
            <w:tcBorders>
              <w:top w:val="single" w:sz="8" w:space="0" w:color="AEAEAE"/>
              <w:left w:val="nil"/>
              <w:bottom w:val="single" w:sz="8" w:space="0" w:color="AEAEAE"/>
              <w:right w:val="single" w:sz="8" w:space="0" w:color="E0E0E0"/>
            </w:tcBorders>
            <w:shd w:val="clear" w:color="auto" w:fill="FFFFFF"/>
          </w:tcPr>
          <w:p w14:paraId="20D1D207"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,147</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2C730BD2"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,026</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54993062"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,263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3E2092E"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5,595</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6186DA90"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,000</w:t>
            </w:r>
          </w:p>
        </w:tc>
      </w:tr>
      <w:tr w:rsidR="003F416A" w14:paraId="0E4FE07A"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5D342D63"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35BE1671"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NumOpMS</w:t>
            </w:r>
          </w:p>
        </w:tc>
        <w:tc>
          <w:tcPr>
            <w:tcW w:w="1338" w:type="dxa"/>
            <w:tcBorders>
              <w:top w:val="single" w:sz="8" w:space="0" w:color="AEAEAE"/>
              <w:left w:val="nil"/>
              <w:bottom w:val="single" w:sz="8" w:space="0" w:color="AEAEAE"/>
              <w:right w:val="single" w:sz="8" w:space="0" w:color="E0E0E0"/>
            </w:tcBorders>
            <w:shd w:val="clear" w:color="auto" w:fill="FFFFFF"/>
          </w:tcPr>
          <w:p w14:paraId="586FC0F8"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,133</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524AD4B7"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,098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BCF5C88"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,103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D1D7E08"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1,349</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6F78F4AF"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,178</w:t>
            </w:r>
          </w:p>
        </w:tc>
      </w:tr>
      <w:tr w:rsidR="003F416A" w14:paraId="3CB42439"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29636863"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65A85D0D"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PopOpMS</w:t>
            </w:r>
          </w:p>
        </w:tc>
        <w:tc>
          <w:tcPr>
            <w:tcW w:w="1338" w:type="dxa"/>
            <w:tcBorders>
              <w:top w:val="single" w:sz="8" w:space="0" w:color="AEAEAE"/>
              <w:left w:val="nil"/>
              <w:bottom w:val="single" w:sz="8" w:space="0" w:color="AEAEAE"/>
              <w:right w:val="single" w:sz="8" w:space="0" w:color="E0E0E0"/>
            </w:tcBorders>
            <w:shd w:val="clear" w:color="auto" w:fill="FFFFFF"/>
          </w:tcPr>
          <w:p w14:paraId="0706B9AE"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-,027</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280E08A7"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,016</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3D6EAA3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-,129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5985A925"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-1,627</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77B6D91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,104</w:t>
            </w:r>
          </w:p>
        </w:tc>
      </w:tr>
      <w:tr w:rsidR="003F416A" w14:paraId="5591FFF6"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65DE6DC1"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21257728"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Stance</w:t>
            </w:r>
          </w:p>
        </w:tc>
        <w:tc>
          <w:tcPr>
            <w:tcW w:w="1338" w:type="dxa"/>
            <w:tcBorders>
              <w:top w:val="single" w:sz="8" w:space="0" w:color="AEAEAE"/>
              <w:left w:val="nil"/>
              <w:bottom w:val="single" w:sz="8" w:space="0" w:color="AEAEAE"/>
              <w:right w:val="single" w:sz="8" w:space="0" w:color="E0E0E0"/>
            </w:tcBorders>
            <w:shd w:val="clear" w:color="auto" w:fill="FFFFFF"/>
          </w:tcPr>
          <w:p w14:paraId="3558FE8B"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,072</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3229D923"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,323</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0A7BE7D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,009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E7ABC16"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,224</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558E77A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,823</w:t>
            </w:r>
          </w:p>
        </w:tc>
      </w:tr>
      <w:tr w:rsidR="003F416A" w14:paraId="2621AEC3"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5D157195"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1AB34C94"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GDP</w:t>
            </w:r>
          </w:p>
        </w:tc>
        <w:tc>
          <w:tcPr>
            <w:tcW w:w="1338" w:type="dxa"/>
            <w:tcBorders>
              <w:top w:val="single" w:sz="8" w:space="0" w:color="AEAEAE"/>
              <w:left w:val="nil"/>
              <w:bottom w:val="single" w:sz="8" w:space="0" w:color="AEAEAE"/>
              <w:right w:val="single" w:sz="8" w:space="0" w:color="E0E0E0"/>
            </w:tcBorders>
            <w:shd w:val="clear" w:color="auto" w:fill="FFFFFF"/>
          </w:tcPr>
          <w:p w14:paraId="6B8D8F5F"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-2,518E-6</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30C225E6"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,000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334C219"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-,033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3A06EEE2"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-,574</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3707179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,566</w:t>
            </w:r>
          </w:p>
        </w:tc>
      </w:tr>
      <w:tr w:rsidR="003F416A" w14:paraId="39F25B7E"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753A48AD"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58030CE2"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Corruption</w:t>
            </w:r>
          </w:p>
        </w:tc>
        <w:tc>
          <w:tcPr>
            <w:tcW w:w="1338" w:type="dxa"/>
            <w:tcBorders>
              <w:top w:val="single" w:sz="8" w:space="0" w:color="AEAEAE"/>
              <w:left w:val="nil"/>
              <w:bottom w:val="single" w:sz="8" w:space="0" w:color="AEAEAE"/>
              <w:right w:val="single" w:sz="8" w:space="0" w:color="E0E0E0"/>
            </w:tcBorders>
            <w:shd w:val="clear" w:color="auto" w:fill="FFFFFF"/>
          </w:tcPr>
          <w:p w14:paraId="081213A5"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-,019</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388856BE"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,018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1747A88"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-,190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C8DA67F"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-1,035</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71392FF9"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,301</w:t>
            </w:r>
          </w:p>
        </w:tc>
      </w:tr>
      <w:tr w:rsidR="003F416A" w14:paraId="3D8562F6"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21ACCA51"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7CDA3B39"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QGI</w:t>
            </w:r>
          </w:p>
        </w:tc>
        <w:tc>
          <w:tcPr>
            <w:tcW w:w="1338" w:type="dxa"/>
            <w:tcBorders>
              <w:top w:val="single" w:sz="8" w:space="0" w:color="AEAEAE"/>
              <w:left w:val="nil"/>
              <w:bottom w:val="single" w:sz="8" w:space="0" w:color="AEAEAE"/>
              <w:right w:val="single" w:sz="8" w:space="0" w:color="E0E0E0"/>
            </w:tcBorders>
            <w:shd w:val="clear" w:color="auto" w:fill="FFFFFF"/>
          </w:tcPr>
          <w:p w14:paraId="5B1EE394"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,009</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4B0D97EE"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38A6644"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,141</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F82329E"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,781</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50DCB129"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,435</w:t>
            </w:r>
          </w:p>
        </w:tc>
      </w:tr>
      <w:tr w:rsidR="003F416A" w14:paraId="2FA04AFD"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413254E1"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AEAEAE"/>
              <w:right w:val="nil"/>
            </w:tcBorders>
            <w:shd w:val="clear" w:color="auto" w:fill="auto"/>
          </w:tcPr>
          <w:p w14:paraId="42EF0997"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Nordic</w:t>
            </w:r>
          </w:p>
        </w:tc>
        <w:tc>
          <w:tcPr>
            <w:tcW w:w="1338" w:type="dxa"/>
            <w:tcBorders>
              <w:top w:val="single" w:sz="8" w:space="0" w:color="AEAEAE"/>
              <w:left w:val="nil"/>
              <w:bottom w:val="single" w:sz="8" w:space="0" w:color="AEAEAE"/>
              <w:right w:val="single" w:sz="8" w:space="0" w:color="E0E0E0"/>
            </w:tcBorders>
            <w:shd w:val="clear" w:color="auto" w:fill="FFFFFF"/>
          </w:tcPr>
          <w:p w14:paraId="674FB521"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-,462</w:t>
            </w:r>
          </w:p>
        </w:tc>
        <w:tc>
          <w:tcPr>
            <w:tcW w:w="1338" w:type="dxa"/>
            <w:tcBorders>
              <w:top w:val="single" w:sz="8" w:space="0" w:color="AEAEAE"/>
              <w:left w:val="single" w:sz="8" w:space="0" w:color="E0E0E0"/>
              <w:bottom w:val="single" w:sz="8" w:space="0" w:color="AEAEAE"/>
              <w:right w:val="single" w:sz="8" w:space="0" w:color="E0E0E0"/>
            </w:tcBorders>
            <w:shd w:val="clear" w:color="auto" w:fill="FFFFFF"/>
          </w:tcPr>
          <w:p w14:paraId="77E49391"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,207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6FE270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-,106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F2CDD7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-2,233</w:t>
            </w:r>
          </w:p>
        </w:tc>
        <w:tc>
          <w:tcPr>
            <w:tcW w:w="1030" w:type="dxa"/>
            <w:gridSpan w:val="2"/>
            <w:tcBorders>
              <w:top w:val="single" w:sz="8" w:space="0" w:color="AEAEAE"/>
              <w:left w:val="single" w:sz="8" w:space="0" w:color="E0E0E0"/>
              <w:bottom w:val="single" w:sz="8" w:space="0" w:color="AEAEAE"/>
              <w:right w:val="nil"/>
            </w:tcBorders>
            <w:shd w:val="clear" w:color="auto" w:fill="FFFFFF"/>
          </w:tcPr>
          <w:p w14:paraId="6739CDFD"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,026</w:t>
            </w:r>
          </w:p>
        </w:tc>
      </w:tr>
      <w:tr w:rsidR="003F416A" w14:paraId="195385B5" w14:textId="77777777" w:rsidTr="004D4E76">
        <w:trPr>
          <w:cantSplit/>
        </w:trPr>
        <w:tc>
          <w:tcPr>
            <w:tcW w:w="736" w:type="dxa"/>
            <w:vMerge/>
            <w:tcBorders>
              <w:top w:val="single" w:sz="8" w:space="0" w:color="152935"/>
              <w:left w:val="nil"/>
              <w:bottom w:val="single" w:sz="8" w:space="0" w:color="152935"/>
              <w:right w:val="nil"/>
            </w:tcBorders>
            <w:shd w:val="clear" w:color="auto" w:fill="auto"/>
          </w:tcPr>
          <w:p w14:paraId="33698ADA" w14:textId="77777777" w:rsidR="003F416A" w:rsidRPr="003D139F" w:rsidRDefault="003F416A">
            <w:pPr>
              <w:rPr>
                <w:rFonts w:ascii="Sylfaen" w:hAnsi="Sylfaen" w:cs="Arial"/>
                <w:sz w:val="20"/>
                <w:szCs w:val="20"/>
              </w:rPr>
            </w:pPr>
          </w:p>
        </w:tc>
        <w:tc>
          <w:tcPr>
            <w:tcW w:w="2460" w:type="dxa"/>
            <w:tcBorders>
              <w:top w:val="single" w:sz="8" w:space="0" w:color="AEAEAE"/>
              <w:left w:val="nil"/>
              <w:bottom w:val="single" w:sz="8" w:space="0" w:color="152935"/>
              <w:right w:val="nil"/>
            </w:tcBorders>
            <w:shd w:val="clear" w:color="auto" w:fill="auto"/>
          </w:tcPr>
          <w:p w14:paraId="730096D9" w14:textId="77777777" w:rsidR="003F416A" w:rsidRPr="003D139F" w:rsidRDefault="003F416A">
            <w:pPr>
              <w:spacing w:line="320" w:lineRule="atLeast"/>
              <w:ind w:left="60" w:right="60"/>
              <w:rPr>
                <w:rFonts w:ascii="Sylfaen" w:hAnsi="Sylfaen" w:cs="Arial"/>
                <w:b/>
                <w:sz w:val="20"/>
                <w:szCs w:val="20"/>
              </w:rPr>
            </w:pPr>
            <w:r w:rsidRPr="003D139F">
              <w:rPr>
                <w:rFonts w:ascii="Sylfaen" w:hAnsi="Sylfaen" w:cs="Arial"/>
                <w:b/>
                <w:sz w:val="20"/>
                <w:szCs w:val="20"/>
              </w:rPr>
              <w:t>MS2004</w:t>
            </w:r>
          </w:p>
        </w:tc>
        <w:tc>
          <w:tcPr>
            <w:tcW w:w="1338" w:type="dxa"/>
            <w:tcBorders>
              <w:top w:val="single" w:sz="8" w:space="0" w:color="AEAEAE"/>
              <w:left w:val="nil"/>
              <w:bottom w:val="single" w:sz="8" w:space="0" w:color="152935"/>
              <w:right w:val="single" w:sz="8" w:space="0" w:color="E0E0E0"/>
            </w:tcBorders>
            <w:shd w:val="clear" w:color="auto" w:fill="FFFFFF"/>
          </w:tcPr>
          <w:p w14:paraId="78A7F1DF"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-,361</w:t>
            </w:r>
          </w:p>
        </w:tc>
        <w:tc>
          <w:tcPr>
            <w:tcW w:w="1338" w:type="dxa"/>
            <w:tcBorders>
              <w:top w:val="single" w:sz="8" w:space="0" w:color="AEAEAE"/>
              <w:left w:val="single" w:sz="8" w:space="0" w:color="E0E0E0"/>
              <w:bottom w:val="single" w:sz="8" w:space="0" w:color="152935"/>
              <w:right w:val="single" w:sz="8" w:space="0" w:color="E0E0E0"/>
            </w:tcBorders>
            <w:shd w:val="clear" w:color="auto" w:fill="FFFFFF"/>
          </w:tcPr>
          <w:p w14:paraId="5DF6FFB5"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,142</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14:paraId="67BC9ACB"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-,134</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498B47FF"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-2,540</w:t>
            </w:r>
          </w:p>
        </w:tc>
        <w:tc>
          <w:tcPr>
            <w:tcW w:w="1030" w:type="dxa"/>
            <w:gridSpan w:val="2"/>
            <w:tcBorders>
              <w:top w:val="single" w:sz="8" w:space="0" w:color="AEAEAE"/>
              <w:left w:val="single" w:sz="8" w:space="0" w:color="E0E0E0"/>
              <w:bottom w:val="single" w:sz="8" w:space="0" w:color="152935"/>
              <w:right w:val="nil"/>
            </w:tcBorders>
            <w:shd w:val="clear" w:color="auto" w:fill="FFFFFF"/>
          </w:tcPr>
          <w:p w14:paraId="7F55CAD7" w14:textId="77777777" w:rsidR="003F416A" w:rsidRPr="003D139F" w:rsidRDefault="003F416A">
            <w:pPr>
              <w:spacing w:line="320" w:lineRule="atLeast"/>
              <w:ind w:left="60" w:right="60"/>
              <w:jc w:val="right"/>
              <w:rPr>
                <w:rFonts w:ascii="Sylfaen" w:hAnsi="Sylfaen" w:cs="Arial"/>
                <w:sz w:val="20"/>
                <w:szCs w:val="20"/>
              </w:rPr>
            </w:pPr>
            <w:r w:rsidRPr="003D139F">
              <w:rPr>
                <w:rFonts w:ascii="Sylfaen" w:hAnsi="Sylfaen" w:cs="Arial"/>
                <w:sz w:val="20"/>
                <w:szCs w:val="20"/>
              </w:rPr>
              <w:t>,011</w:t>
            </w:r>
          </w:p>
        </w:tc>
      </w:tr>
      <w:tr w:rsidR="003F416A" w14:paraId="27B247F8" w14:textId="77777777" w:rsidTr="003F416A">
        <w:trPr>
          <w:cantSplit/>
        </w:trPr>
        <w:tc>
          <w:tcPr>
            <w:tcW w:w="9408" w:type="dxa"/>
            <w:gridSpan w:val="8"/>
            <w:tcBorders>
              <w:top w:val="nil"/>
              <w:left w:val="nil"/>
              <w:bottom w:val="nil"/>
              <w:right w:val="nil"/>
            </w:tcBorders>
            <w:shd w:val="clear" w:color="auto" w:fill="FFFFFF"/>
          </w:tcPr>
          <w:p w14:paraId="343D1DF0" w14:textId="0FC371C6" w:rsidR="003F416A" w:rsidRPr="003D139F" w:rsidRDefault="003970D0">
            <w:pPr>
              <w:spacing w:line="320" w:lineRule="atLeast"/>
              <w:ind w:left="60" w:right="60"/>
              <w:rPr>
                <w:rFonts w:ascii="Sylfaen" w:hAnsi="Sylfaen" w:cs="Arial"/>
                <w:sz w:val="20"/>
                <w:szCs w:val="18"/>
              </w:rPr>
            </w:pPr>
            <w:r w:rsidRPr="003D139F">
              <w:rPr>
                <w:rFonts w:ascii="Sylfaen" w:hAnsi="Sylfaen"/>
                <w:noProof/>
                <w:sz w:val="20"/>
              </w:rPr>
              <mc:AlternateContent>
                <mc:Choice Requires="wps">
                  <w:drawing>
                    <wp:anchor distT="0" distB="0" distL="114300" distR="114300" simplePos="0" relativeHeight="251662848" behindDoc="0" locked="0" layoutInCell="1" allowOverlap="1" wp14:anchorId="283778FB" wp14:editId="4886BE85">
                      <wp:simplePos x="0" y="0"/>
                      <wp:positionH relativeFrom="margin">
                        <wp:posOffset>-125095</wp:posOffset>
                      </wp:positionH>
                      <wp:positionV relativeFrom="paragraph">
                        <wp:posOffset>-4887595</wp:posOffset>
                      </wp:positionV>
                      <wp:extent cx="6216650" cy="5137150"/>
                      <wp:effectExtent l="0" t="0" r="12700" b="25400"/>
                      <wp:wrapNone/>
                      <wp:docPr id="6" name="Rectangle 6"/>
                      <wp:cNvGraphicFramePr/>
                      <a:graphic xmlns:a="http://schemas.openxmlformats.org/drawingml/2006/main">
                        <a:graphicData uri="http://schemas.microsoft.com/office/word/2010/wordprocessingShape">
                          <wps:wsp>
                            <wps:cNvSpPr/>
                            <wps:spPr>
                              <a:xfrm>
                                <a:off x="0" y="0"/>
                                <a:ext cx="6216650" cy="51371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01F633" id="Rectangle 6" o:spid="_x0000_s1026" style="position:absolute;margin-left:-9.85pt;margin-top:-384.85pt;width:489.5pt;height:404.5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" filled="f" strokecolor="black [3213]" strokeweight="1.5pt">
                      <w10:wrap anchorx="margin"/>
                    </v:rect>
                  </w:pict>
                </mc:Fallback>
              </mc:AlternateContent>
            </w:r>
            <w:r w:rsidR="003F416A" w:rsidRPr="003D139F">
              <w:rPr>
                <w:rFonts w:ascii="Sylfaen" w:hAnsi="Sylfaen" w:cs="Arial"/>
                <w:sz w:val="20"/>
                <w:szCs w:val="18"/>
              </w:rPr>
              <w:t>a. Dependent Variable: Compliance</w:t>
            </w:r>
          </w:p>
        </w:tc>
      </w:tr>
    </w:tbl>
    <w:p w14:paraId="2E6F4D19" w14:textId="6AF3021F" w:rsidR="00235107" w:rsidRPr="00743828" w:rsidRDefault="006C2C27" w:rsidP="003F416A">
      <w:pPr>
        <w:spacing w:line="360" w:lineRule="auto"/>
      </w:pPr>
      <w:r>
        <w:br/>
      </w:r>
      <w:r w:rsidR="004B1CD6" w:rsidRPr="00DA19C8">
        <w:t>The data shows that in this model, when p &lt; 0.05, the average weight of opposing member states is sta</w:t>
      </w:r>
      <w:r w:rsidR="004B1CD6">
        <w:t>tistically significant,</w:t>
      </w:r>
      <w:r>
        <w:t xml:space="preserve"> just like consultations. This is </w:t>
      </w:r>
      <w:r w:rsidR="004B1CD6">
        <w:t>similar to the model</w:t>
      </w:r>
      <w:r>
        <w:t xml:space="preserve"> without control variables</w:t>
      </w:r>
      <w:r w:rsidR="004B1CD6">
        <w:t>.</w:t>
      </w:r>
      <w:r>
        <w:t xml:space="preserve"> </w:t>
      </w:r>
      <w:r w:rsidR="00AD2F1D">
        <w:t>The Beta values for both variables change minimally and remain positive</w:t>
      </w:r>
      <w:r w:rsidR="00532CC7">
        <w:t>, like the previous analysis</w:t>
      </w:r>
      <w:r w:rsidR="00AD2F1D">
        <w:t xml:space="preserve">. So, with control variables included, the conclusions do not change. </w:t>
      </w:r>
      <w:r w:rsidR="00AD2F1D" w:rsidRPr="00743828">
        <w:t xml:space="preserve">The average weight of opposing member states influences compliance </w:t>
      </w:r>
      <w:r w:rsidR="005D51EF" w:rsidRPr="00743828">
        <w:t>negatively</w:t>
      </w:r>
      <w:r w:rsidR="00AD2F1D" w:rsidRPr="00743828">
        <w:t>, and</w:t>
      </w:r>
      <w:r w:rsidR="00585A16">
        <w:t xml:space="preserve"> more</w:t>
      </w:r>
      <w:r w:rsidR="00AD2F1D" w:rsidRPr="00743828">
        <w:t xml:space="preserve"> public consultations also do. For the former</w:t>
      </w:r>
      <w:r w:rsidR="00532CC7" w:rsidRPr="00743828">
        <w:t xml:space="preserve"> variable</w:t>
      </w:r>
      <w:r w:rsidR="00AD2F1D" w:rsidRPr="00743828">
        <w:t xml:space="preserve">, this is in line with expectations, </w:t>
      </w:r>
      <w:r w:rsidR="00D309F2" w:rsidRPr="00743828">
        <w:t xml:space="preserve">while </w:t>
      </w:r>
      <w:r w:rsidR="00AD2F1D" w:rsidRPr="00743828">
        <w:t xml:space="preserve">for the latter it is not. It should be noted that the significance of the other independent variables </w:t>
      </w:r>
      <w:r w:rsidR="00D309F2" w:rsidRPr="00743828">
        <w:t>remain</w:t>
      </w:r>
      <w:r w:rsidR="00585A16">
        <w:t>s</w:t>
      </w:r>
      <w:r w:rsidR="00D309F2" w:rsidRPr="00743828">
        <w:t xml:space="preserve"> unchanged</w:t>
      </w:r>
      <w:r w:rsidR="00AD2F1D" w:rsidRPr="00743828">
        <w:t xml:space="preserve"> as well. </w:t>
      </w:r>
    </w:p>
    <w:p w14:paraId="35184618" w14:textId="6A723642" w:rsidR="00235107" w:rsidRPr="00743828" w:rsidRDefault="00031498" w:rsidP="003F416A">
      <w:pPr>
        <w:spacing w:line="360" w:lineRule="auto"/>
      </w:pPr>
      <w:r w:rsidRPr="00743828">
        <w:t xml:space="preserve">For the conclusions of this research, the results of testing hypothesis 1a – 1c only </w:t>
      </w:r>
      <w:r w:rsidR="00A8163B" w:rsidRPr="00743828">
        <w:t>confirm</w:t>
      </w:r>
      <w:r w:rsidRPr="00743828">
        <w:t xml:space="preserve"> the expectation of a positive relationship between consistency – the absence of a bias in decision-making procedures – and compliance. The results</w:t>
      </w:r>
      <w:r w:rsidR="00585A16">
        <w:t>,</w:t>
      </w:r>
      <w:r w:rsidRPr="00743828">
        <w:t xml:space="preserve"> surprisingly</w:t>
      </w:r>
      <w:r w:rsidR="00585A16">
        <w:t>,</w:t>
      </w:r>
      <w:r w:rsidRPr="00743828">
        <w:t xml:space="preserve"> show a negative relation between dignity and compliance. Explanations for this result will be provided in the conclusion. No relationship was found between voice and compliance. </w:t>
      </w:r>
    </w:p>
    <w:p w14:paraId="2B43B7B9" w14:textId="4B21F69E" w:rsidR="00A32C6A" w:rsidRPr="000F2164" w:rsidRDefault="00884558" w:rsidP="000924D6">
      <w:pPr>
        <w:spacing w:line="360" w:lineRule="auto"/>
      </w:pPr>
      <w:r>
        <w:lastRenderedPageBreak/>
        <w:t xml:space="preserve">The </w:t>
      </w:r>
      <w:r w:rsidR="00AD2F1D">
        <w:t>results for the control v</w:t>
      </w:r>
      <w:r>
        <w:t xml:space="preserve">ariables ‘Nordic’ and ‘MS2004’ are remarkable. </w:t>
      </w:r>
      <w:r w:rsidR="00AD2F1D">
        <w:t>These variables</w:t>
      </w:r>
      <w:r w:rsidR="00532CC7">
        <w:t xml:space="preserve"> served as control variables</w:t>
      </w:r>
      <w:r w:rsidR="00AD2F1D">
        <w:t>, but th</w:t>
      </w:r>
      <w:r w:rsidR="00AD2F1D" w:rsidRPr="00743828">
        <w:t>ey seem to explain compliance quite well, given their significance of 0.026 and 0.011. On top of that, the Beta is negative</w:t>
      </w:r>
      <w:r w:rsidR="00585A16">
        <w:t xml:space="preserve"> and rather strong (-,462 for ‘Nordic’ and -,361 for ‘MS2004)</w:t>
      </w:r>
      <w:r w:rsidR="00AD2F1D" w:rsidRPr="00743828">
        <w:t>, which indicates that both variables influence compliance positivel</w:t>
      </w:r>
      <w:r w:rsidR="00A81696" w:rsidRPr="00743828">
        <w:t>y in th</w:t>
      </w:r>
      <w:r w:rsidR="000F2164">
        <w:t>is</w:t>
      </w:r>
      <w:r w:rsidR="00A81696" w:rsidRPr="00743828">
        <w:t xml:space="preserve"> regression model</w:t>
      </w:r>
      <w:r w:rsidR="000F2164">
        <w:t xml:space="preserve">. So, this model proves that </w:t>
      </w:r>
      <w:r w:rsidR="00585A16">
        <w:t>the relationship between being a Nordic member state or a member state that acceded the EU after 2004 and compliance is quite strong.</w:t>
      </w:r>
      <w:r w:rsidR="000F2164">
        <w:t xml:space="preserve"> Both variables explain compliance from a legitimacy perspective. This outcome thus proves that legitimacy matters for explaining compliance. </w:t>
      </w:r>
      <w:r w:rsidR="00A32C6A">
        <w:br w:type="page"/>
      </w:r>
    </w:p>
    <w:p w14:paraId="5FEBF4DE" w14:textId="204B0DB5" w:rsidR="00A32C6A" w:rsidRDefault="006D0C15" w:rsidP="00D96891">
      <w:pPr>
        <w:pStyle w:val="Kop2"/>
      </w:pPr>
      <w:bookmarkStart w:id="45" w:name="_Toc3547858"/>
      <w:r>
        <w:lastRenderedPageBreak/>
        <w:t xml:space="preserve">4.2 </w:t>
      </w:r>
      <w:r w:rsidR="00A32C6A">
        <w:t>Hypothesis 2</w:t>
      </w:r>
      <w:bookmarkEnd w:id="45"/>
    </w:p>
    <w:p w14:paraId="7A1DDF7B" w14:textId="77777777" w:rsidR="00A32C6A" w:rsidRDefault="00A32C6A" w:rsidP="007A43CC">
      <w:pPr>
        <w:pStyle w:val="Kop4"/>
      </w:pPr>
    </w:p>
    <w:p w14:paraId="67137508" w14:textId="3C04B46A" w:rsidR="007A43CC" w:rsidRDefault="002C4352" w:rsidP="00A32C6A">
      <w:pPr>
        <w:spacing w:line="360" w:lineRule="auto"/>
      </w:pPr>
      <w:r>
        <w:t>In the section</w:t>
      </w:r>
      <w:r w:rsidR="00D309F2">
        <w:t xml:space="preserve"> that follows</w:t>
      </w:r>
      <w:r w:rsidR="00071B12">
        <w:t>,</w:t>
      </w:r>
      <w:r>
        <w:t xml:space="preserve"> the</w:t>
      </w:r>
      <w:r w:rsidR="007A43CC">
        <w:t xml:space="preserve"> second hypothesis </w:t>
      </w:r>
      <w:r w:rsidR="00377AE9">
        <w:t xml:space="preserve">will </w:t>
      </w:r>
      <w:r w:rsidR="007A43CC">
        <w:t>be tested</w:t>
      </w:r>
      <w:r w:rsidR="00377AE9">
        <w:t xml:space="preserve">. This hypothesis originates </w:t>
      </w:r>
      <w:r w:rsidR="000F2164">
        <w:t xml:space="preserve">from </w:t>
      </w:r>
      <w:r w:rsidR="00377AE9">
        <w:t xml:space="preserve">the question </w:t>
      </w:r>
      <w:r w:rsidR="007A43CC">
        <w:t xml:space="preserve">if member states tend to comply better when the procedure was fair, </w:t>
      </w:r>
      <w:r w:rsidR="00D309F2">
        <w:t>in the case that they</w:t>
      </w:r>
      <w:r w:rsidR="007A43CC">
        <w:t xml:space="preserve"> voted against the proposal. For this, a separate data set </w:t>
      </w:r>
      <w:r w:rsidR="00FA77F5">
        <w:t>was</w:t>
      </w:r>
      <w:r w:rsidR="007A43CC">
        <w:t xml:space="preserve"> created, </w:t>
      </w:r>
      <w:r w:rsidR="00377AE9">
        <w:t>including</w:t>
      </w:r>
      <w:r w:rsidR="007A43CC">
        <w:t xml:space="preserve"> only the cases where member states vote</w:t>
      </w:r>
      <w:r w:rsidR="00377AE9">
        <w:t>d</w:t>
      </w:r>
      <w:r w:rsidR="007A43CC">
        <w:t xml:space="preserve"> against a policy proposal</w:t>
      </w:r>
      <w:r w:rsidR="00532CC7">
        <w:t xml:space="preserve"> in the Council</w:t>
      </w:r>
      <w:r w:rsidR="007A43CC">
        <w:t>. It should be noted that in only 1</w:t>
      </w:r>
      <w:r w:rsidR="004F28D3">
        <w:t>7</w:t>
      </w:r>
      <w:r w:rsidR="007A43CC">
        <w:t xml:space="preserve"> of the 615 cases </w:t>
      </w:r>
      <w:r w:rsidR="00D309F2">
        <w:t xml:space="preserve">did a </w:t>
      </w:r>
      <w:r w:rsidR="007A43CC">
        <w:t xml:space="preserve">member state vote against the directive. </w:t>
      </w:r>
      <w:r w:rsidR="00377AE9">
        <w:t xml:space="preserve">Due to this small N, </w:t>
      </w:r>
      <w:r w:rsidR="00FA77F5">
        <w:t>this analysis uses the Mann-</w:t>
      </w:r>
      <w:r w:rsidR="00ED5759">
        <w:t>Whitney</w:t>
      </w:r>
      <w:r w:rsidR="00FA77F5">
        <w:t xml:space="preserve"> test. </w:t>
      </w:r>
      <w:r w:rsidR="00CF0561">
        <w:t xml:space="preserve"> </w:t>
      </w:r>
    </w:p>
    <w:p w14:paraId="707D9DC7" w14:textId="31CC7291" w:rsidR="004F28D3" w:rsidRDefault="006D0C15" w:rsidP="004F28D3">
      <w:pPr>
        <w:pStyle w:val="Kop3"/>
      </w:pPr>
      <w:bookmarkStart w:id="46" w:name="_Toc3547859"/>
      <w:r>
        <w:t xml:space="preserve">4.2.1 </w:t>
      </w:r>
      <w:r w:rsidR="00EB6603">
        <w:t>Descriptive statistics</w:t>
      </w:r>
      <w:bookmarkEnd w:id="46"/>
    </w:p>
    <w:p w14:paraId="04B0E99A" w14:textId="22DF7B56" w:rsidR="004F28D3" w:rsidRDefault="008568D1" w:rsidP="002B7414">
      <w:pPr>
        <w:autoSpaceDE w:val="0"/>
        <w:autoSpaceDN w:val="0"/>
        <w:adjustRightInd w:val="0"/>
        <w:spacing w:after="0" w:line="360" w:lineRule="auto"/>
      </w:pPr>
      <w:r>
        <w:t xml:space="preserve">Below, descriptive statistics about this dataset are shown. </w:t>
      </w:r>
      <w:r w:rsidR="00180567">
        <w:t xml:space="preserve">As said, N = 17. </w:t>
      </w:r>
      <w:r>
        <w:t xml:space="preserve">The value for ‘stance’ is 1, because </w:t>
      </w:r>
      <w:r w:rsidR="00180567">
        <w:t>‘stance’</w:t>
      </w:r>
      <w:r>
        <w:t xml:space="preserve"> indicates that a member sta</w:t>
      </w:r>
      <w:r w:rsidR="00180567">
        <w:t>te voted against the directive, which are the only cas</w:t>
      </w:r>
      <w:r w:rsidR="008034FF">
        <w:t>es included in the dataset. T</w:t>
      </w:r>
      <w:r w:rsidR="00180567">
        <w:t>he level</w:t>
      </w:r>
      <w:r w:rsidR="008034FF">
        <w:t xml:space="preserve"> of non-compliance on average is</w:t>
      </w:r>
      <w:r w:rsidR="00180567">
        <w:t xml:space="preserve"> 1.29, for all </w:t>
      </w:r>
      <w:r w:rsidR="00DB051A">
        <w:t xml:space="preserve">615 </w:t>
      </w:r>
      <w:r w:rsidR="00180567">
        <w:t>cases</w:t>
      </w:r>
      <w:r w:rsidR="008034FF">
        <w:t xml:space="preserve"> this value is </w:t>
      </w:r>
      <w:r w:rsidR="00180567">
        <w:t>0.94. A large difference between those values is expected</w:t>
      </w:r>
      <w:r w:rsidR="00DB051A">
        <w:t xml:space="preserve"> from a willingness-perspective. </w:t>
      </w:r>
      <w:r w:rsidR="00180567">
        <w:t>Nordic states lack in this dataset,</w:t>
      </w:r>
      <w:r w:rsidR="00550FC9">
        <w:t xml:space="preserve"> since</w:t>
      </w:r>
      <w:r w:rsidR="00180567">
        <w:t xml:space="preserve"> they never vote</w:t>
      </w:r>
      <w:r w:rsidR="00ED5759">
        <w:t>d</w:t>
      </w:r>
      <w:r w:rsidR="00180567">
        <w:t xml:space="preserve"> against the 22 directives in the </w:t>
      </w:r>
      <w:r w:rsidR="00540EDF">
        <w:t xml:space="preserve">original </w:t>
      </w:r>
      <w:r w:rsidR="00180567">
        <w:t xml:space="preserve">database. </w:t>
      </w:r>
    </w:p>
    <w:p w14:paraId="066F0BAF" w14:textId="2948F1C9" w:rsidR="008568D1" w:rsidRPr="00346817" w:rsidRDefault="008568D1" w:rsidP="004F28D3">
      <w:pPr>
        <w:autoSpaceDE w:val="0"/>
        <w:autoSpaceDN w:val="0"/>
        <w:adjustRightInd w:val="0"/>
        <w:spacing w:after="0" w:line="240" w:lineRule="auto"/>
        <w:rPr>
          <w:rFonts w:ascii="Times New Roman" w:eastAsiaTheme="minorHAnsi" w:hAnsi="Times New Roman" w:cs="Times New Roman"/>
          <w:sz w:val="24"/>
          <w:szCs w:val="24"/>
        </w:rPr>
      </w:pPr>
      <w:r>
        <w:rPr>
          <w:noProof/>
        </w:rPr>
        <mc:AlternateContent>
          <mc:Choice Requires="wps">
            <w:drawing>
              <wp:anchor distT="0" distB="0" distL="114300" distR="114300" simplePos="0" relativeHeight="251652608" behindDoc="0" locked="0" layoutInCell="1" allowOverlap="1" wp14:anchorId="3E4F5876" wp14:editId="7447CADB">
                <wp:simplePos x="0" y="0"/>
                <wp:positionH relativeFrom="margin">
                  <wp:posOffset>929005</wp:posOffset>
                </wp:positionH>
                <wp:positionV relativeFrom="paragraph">
                  <wp:posOffset>83820</wp:posOffset>
                </wp:positionV>
                <wp:extent cx="3898900" cy="3232150"/>
                <wp:effectExtent l="0" t="0" r="25400" b="25400"/>
                <wp:wrapNone/>
                <wp:docPr id="11" name="Rectangle 11"/>
                <wp:cNvGraphicFramePr/>
                <a:graphic xmlns:a="http://schemas.openxmlformats.org/drawingml/2006/main">
                  <a:graphicData uri="http://schemas.microsoft.com/office/word/2010/wordprocessingShape">
                    <wps:wsp>
                      <wps:cNvSpPr/>
                      <wps:spPr>
                        <a:xfrm>
                          <a:off x="0" y="0"/>
                          <a:ext cx="3898900" cy="32321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21EA4A" id="Rectangle 11" o:spid="_x0000_s1026" style="position:absolute;margin-left:73.15pt;margin-top:6.6pt;width:307pt;height:254.5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" filled="f" strokecolor="black [3213]" strokeweight="1.5pt">
                <w10:wrap anchorx="margin"/>
              </v:rect>
            </w:pict>
          </mc:Fallback>
        </mc:AlternateContent>
      </w:r>
    </w:p>
    <w:tbl>
      <w:tblPr>
        <w:tblW w:w="6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1091"/>
        <w:gridCol w:w="1445"/>
        <w:gridCol w:w="1029"/>
      </w:tblGrid>
      <w:tr w:rsidR="004F28D3" w:rsidRPr="004F28D3" w14:paraId="66D4B0F3" w14:textId="77777777" w:rsidTr="00346817">
        <w:trPr>
          <w:cantSplit/>
          <w:jc w:val="center"/>
        </w:trPr>
        <w:tc>
          <w:tcPr>
            <w:tcW w:w="6024" w:type="dxa"/>
            <w:gridSpan w:val="4"/>
            <w:tcBorders>
              <w:top w:val="nil"/>
              <w:left w:val="nil"/>
              <w:bottom w:val="nil"/>
              <w:right w:val="nil"/>
            </w:tcBorders>
            <w:shd w:val="clear" w:color="auto" w:fill="FFFFFF"/>
            <w:vAlign w:val="center"/>
          </w:tcPr>
          <w:p w14:paraId="11FE60CF" w14:textId="4970CC4A" w:rsidR="004F28D3" w:rsidRPr="00427360" w:rsidRDefault="0057115E" w:rsidP="00427360">
            <w:pPr>
              <w:autoSpaceDE w:val="0"/>
              <w:autoSpaceDN w:val="0"/>
              <w:adjustRightInd w:val="0"/>
              <w:spacing w:after="0" w:line="320" w:lineRule="atLeast"/>
              <w:ind w:left="60" w:right="60"/>
              <w:rPr>
                <w:rFonts w:ascii="Sylfaen" w:eastAsiaTheme="minorHAnsi" w:hAnsi="Sylfaen" w:cs="Arial"/>
                <w:sz w:val="20"/>
                <w:szCs w:val="20"/>
              </w:rPr>
            </w:pPr>
            <w:r w:rsidRPr="00427360">
              <w:rPr>
                <w:rFonts w:ascii="Sylfaen" w:hAnsi="Sylfaen"/>
                <w:i/>
                <w:sz w:val="20"/>
                <w:szCs w:val="20"/>
              </w:rPr>
              <w:t>Table 12</w:t>
            </w:r>
            <w:r w:rsidR="008568D1" w:rsidRPr="00427360">
              <w:rPr>
                <w:rFonts w:ascii="Sylfaen" w:hAnsi="Sylfaen"/>
                <w:i/>
                <w:sz w:val="20"/>
                <w:szCs w:val="20"/>
              </w:rPr>
              <w:t>: Descriptive statistics</w:t>
            </w:r>
          </w:p>
        </w:tc>
      </w:tr>
      <w:tr w:rsidR="004F28D3" w:rsidRPr="004F28D3" w14:paraId="044F06DB" w14:textId="77777777" w:rsidTr="00346817">
        <w:trPr>
          <w:cantSplit/>
          <w:jc w:val="center"/>
        </w:trPr>
        <w:tc>
          <w:tcPr>
            <w:tcW w:w="2459" w:type="dxa"/>
            <w:tcBorders>
              <w:top w:val="nil"/>
              <w:left w:val="nil"/>
              <w:bottom w:val="single" w:sz="8" w:space="0" w:color="152935"/>
              <w:right w:val="nil"/>
            </w:tcBorders>
            <w:shd w:val="clear" w:color="auto" w:fill="FFFFFF"/>
            <w:vAlign w:val="bottom"/>
          </w:tcPr>
          <w:p w14:paraId="08954C9F" w14:textId="77777777" w:rsidR="004F28D3" w:rsidRPr="00427360" w:rsidRDefault="004F28D3" w:rsidP="004F28D3">
            <w:pPr>
              <w:autoSpaceDE w:val="0"/>
              <w:autoSpaceDN w:val="0"/>
              <w:adjustRightInd w:val="0"/>
              <w:spacing w:after="0" w:line="240" w:lineRule="auto"/>
              <w:rPr>
                <w:rFonts w:ascii="Sylfaen" w:eastAsiaTheme="minorHAnsi" w:hAnsi="Sylfaen" w:cs="Times New Roman"/>
                <w:sz w:val="20"/>
                <w:szCs w:val="20"/>
              </w:rPr>
            </w:pPr>
          </w:p>
        </w:tc>
        <w:tc>
          <w:tcPr>
            <w:tcW w:w="1091" w:type="dxa"/>
            <w:tcBorders>
              <w:top w:val="nil"/>
              <w:left w:val="nil"/>
              <w:bottom w:val="single" w:sz="8" w:space="0" w:color="152935"/>
              <w:right w:val="single" w:sz="8" w:space="0" w:color="E0E0E0"/>
            </w:tcBorders>
            <w:shd w:val="clear" w:color="auto" w:fill="FFFFFF"/>
            <w:vAlign w:val="bottom"/>
          </w:tcPr>
          <w:p w14:paraId="62A92A47" w14:textId="77777777" w:rsidR="004F28D3" w:rsidRPr="002C2A76" w:rsidRDefault="004F28D3" w:rsidP="004F28D3">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2C2A76">
              <w:rPr>
                <w:rFonts w:ascii="Sylfaen" w:eastAsiaTheme="minorHAnsi" w:hAnsi="Sylfaen" w:cs="Arial"/>
                <w:sz w:val="20"/>
                <w:szCs w:val="20"/>
                <w:lang w:val="nl-NL"/>
              </w:rPr>
              <w:t>Mean</w:t>
            </w:r>
          </w:p>
        </w:tc>
        <w:tc>
          <w:tcPr>
            <w:tcW w:w="1445" w:type="dxa"/>
            <w:tcBorders>
              <w:top w:val="nil"/>
              <w:left w:val="single" w:sz="8" w:space="0" w:color="E0E0E0"/>
              <w:bottom w:val="single" w:sz="8" w:space="0" w:color="152935"/>
              <w:right w:val="single" w:sz="8" w:space="0" w:color="E0E0E0"/>
            </w:tcBorders>
            <w:shd w:val="clear" w:color="auto" w:fill="FFFFFF"/>
            <w:vAlign w:val="bottom"/>
          </w:tcPr>
          <w:p w14:paraId="0EC7E0AE" w14:textId="77777777" w:rsidR="004F28D3" w:rsidRPr="002C2A76" w:rsidRDefault="004F28D3" w:rsidP="004F28D3">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2C2A76">
              <w:rPr>
                <w:rFonts w:ascii="Sylfaen" w:eastAsiaTheme="minorHAnsi" w:hAnsi="Sylfaen" w:cs="Arial"/>
                <w:sz w:val="20"/>
                <w:szCs w:val="20"/>
                <w:lang w:val="nl-NL"/>
              </w:rPr>
              <w:t>Std. Deviation</w:t>
            </w:r>
          </w:p>
        </w:tc>
        <w:tc>
          <w:tcPr>
            <w:tcW w:w="1029" w:type="dxa"/>
            <w:tcBorders>
              <w:top w:val="nil"/>
              <w:left w:val="single" w:sz="8" w:space="0" w:color="E0E0E0"/>
              <w:bottom w:val="single" w:sz="8" w:space="0" w:color="152935"/>
              <w:right w:val="nil"/>
            </w:tcBorders>
            <w:shd w:val="clear" w:color="auto" w:fill="FFFFFF"/>
            <w:vAlign w:val="bottom"/>
          </w:tcPr>
          <w:p w14:paraId="2503227E" w14:textId="77777777" w:rsidR="004F28D3" w:rsidRPr="002C2A76" w:rsidRDefault="004F28D3" w:rsidP="004F28D3">
            <w:pPr>
              <w:autoSpaceDE w:val="0"/>
              <w:autoSpaceDN w:val="0"/>
              <w:adjustRightInd w:val="0"/>
              <w:spacing w:after="0" w:line="320" w:lineRule="atLeast"/>
              <w:ind w:left="60" w:right="60"/>
              <w:jc w:val="center"/>
              <w:rPr>
                <w:rFonts w:ascii="Sylfaen" w:eastAsiaTheme="minorHAnsi" w:hAnsi="Sylfaen" w:cs="Arial"/>
                <w:sz w:val="20"/>
                <w:szCs w:val="20"/>
                <w:lang w:val="nl-NL"/>
              </w:rPr>
            </w:pPr>
            <w:r w:rsidRPr="002C2A76">
              <w:rPr>
                <w:rFonts w:ascii="Sylfaen" w:eastAsiaTheme="minorHAnsi" w:hAnsi="Sylfaen" w:cs="Arial"/>
                <w:sz w:val="20"/>
                <w:szCs w:val="20"/>
                <w:lang w:val="nl-NL"/>
              </w:rPr>
              <w:t>N</w:t>
            </w:r>
          </w:p>
        </w:tc>
      </w:tr>
      <w:tr w:rsidR="004F28D3" w:rsidRPr="004F28D3" w14:paraId="4579A6A7" w14:textId="77777777" w:rsidTr="00427360">
        <w:trPr>
          <w:cantSplit/>
          <w:jc w:val="center"/>
        </w:trPr>
        <w:tc>
          <w:tcPr>
            <w:tcW w:w="2459" w:type="dxa"/>
            <w:tcBorders>
              <w:top w:val="single" w:sz="8" w:space="0" w:color="152935"/>
              <w:left w:val="nil"/>
              <w:bottom w:val="single" w:sz="8" w:space="0" w:color="AEAEAE"/>
              <w:right w:val="nil"/>
            </w:tcBorders>
            <w:shd w:val="clear" w:color="auto" w:fill="auto"/>
          </w:tcPr>
          <w:p w14:paraId="66C6B32F"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Compliance</w:t>
            </w:r>
          </w:p>
        </w:tc>
        <w:tc>
          <w:tcPr>
            <w:tcW w:w="1091" w:type="dxa"/>
            <w:tcBorders>
              <w:top w:val="single" w:sz="8" w:space="0" w:color="152935"/>
              <w:left w:val="nil"/>
              <w:bottom w:val="single" w:sz="8" w:space="0" w:color="AEAEAE"/>
              <w:right w:val="single" w:sz="8" w:space="0" w:color="E0E0E0"/>
            </w:tcBorders>
            <w:shd w:val="clear" w:color="auto" w:fill="FFFFFF"/>
          </w:tcPr>
          <w:p w14:paraId="6FD4F1AE"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1,29</w:t>
            </w:r>
          </w:p>
        </w:tc>
        <w:tc>
          <w:tcPr>
            <w:tcW w:w="1445" w:type="dxa"/>
            <w:tcBorders>
              <w:top w:val="single" w:sz="8" w:space="0" w:color="152935"/>
              <w:left w:val="single" w:sz="8" w:space="0" w:color="E0E0E0"/>
              <w:bottom w:val="single" w:sz="8" w:space="0" w:color="AEAEAE"/>
              <w:right w:val="single" w:sz="8" w:space="0" w:color="E0E0E0"/>
            </w:tcBorders>
            <w:shd w:val="clear" w:color="auto" w:fill="FFFFFF"/>
          </w:tcPr>
          <w:p w14:paraId="574897B8"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1,312</w:t>
            </w:r>
          </w:p>
        </w:tc>
        <w:tc>
          <w:tcPr>
            <w:tcW w:w="1029" w:type="dxa"/>
            <w:tcBorders>
              <w:top w:val="single" w:sz="8" w:space="0" w:color="152935"/>
              <w:left w:val="single" w:sz="8" w:space="0" w:color="E0E0E0"/>
              <w:bottom w:val="single" w:sz="8" w:space="0" w:color="AEAEAE"/>
              <w:right w:val="nil"/>
            </w:tcBorders>
            <w:shd w:val="clear" w:color="auto" w:fill="FFFFFF"/>
          </w:tcPr>
          <w:p w14:paraId="16F16342"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1360712E"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66FB400A"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Number of times discussed</w:t>
            </w:r>
          </w:p>
        </w:tc>
        <w:tc>
          <w:tcPr>
            <w:tcW w:w="1091" w:type="dxa"/>
            <w:tcBorders>
              <w:top w:val="single" w:sz="8" w:space="0" w:color="AEAEAE"/>
              <w:left w:val="nil"/>
              <w:bottom w:val="single" w:sz="8" w:space="0" w:color="AEAEAE"/>
              <w:right w:val="single" w:sz="8" w:space="0" w:color="E0E0E0"/>
            </w:tcBorders>
            <w:shd w:val="clear" w:color="auto" w:fill="FFFFFF"/>
          </w:tcPr>
          <w:p w14:paraId="4FD4A4A3"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4,00</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2BBCD55C"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1,414</w:t>
            </w:r>
          </w:p>
        </w:tc>
        <w:tc>
          <w:tcPr>
            <w:tcW w:w="1029" w:type="dxa"/>
            <w:tcBorders>
              <w:top w:val="single" w:sz="8" w:space="0" w:color="AEAEAE"/>
              <w:left w:val="single" w:sz="8" w:space="0" w:color="E0E0E0"/>
              <w:bottom w:val="single" w:sz="8" w:space="0" w:color="AEAEAE"/>
              <w:right w:val="nil"/>
            </w:tcBorders>
            <w:shd w:val="clear" w:color="auto" w:fill="FFFFFF"/>
          </w:tcPr>
          <w:p w14:paraId="06520397"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22A68B71"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75E2A376"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Consultations</w:t>
            </w:r>
          </w:p>
        </w:tc>
        <w:tc>
          <w:tcPr>
            <w:tcW w:w="1091" w:type="dxa"/>
            <w:tcBorders>
              <w:top w:val="single" w:sz="8" w:space="0" w:color="AEAEAE"/>
              <w:left w:val="nil"/>
              <w:bottom w:val="single" w:sz="8" w:space="0" w:color="AEAEAE"/>
              <w:right w:val="single" w:sz="8" w:space="0" w:color="E0E0E0"/>
            </w:tcBorders>
            <w:shd w:val="clear" w:color="auto" w:fill="FFFFFF"/>
          </w:tcPr>
          <w:p w14:paraId="12A5D716"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1,88</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7F392C26"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,485</w:t>
            </w:r>
          </w:p>
        </w:tc>
        <w:tc>
          <w:tcPr>
            <w:tcW w:w="1029" w:type="dxa"/>
            <w:tcBorders>
              <w:top w:val="single" w:sz="8" w:space="0" w:color="AEAEAE"/>
              <w:left w:val="single" w:sz="8" w:space="0" w:color="E0E0E0"/>
              <w:bottom w:val="single" w:sz="8" w:space="0" w:color="AEAEAE"/>
              <w:right w:val="nil"/>
            </w:tcBorders>
            <w:shd w:val="clear" w:color="auto" w:fill="auto"/>
          </w:tcPr>
          <w:p w14:paraId="4F5FA0BE"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200A50EB"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6A402F89"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AvWOpMS</w:t>
            </w:r>
          </w:p>
        </w:tc>
        <w:tc>
          <w:tcPr>
            <w:tcW w:w="1091" w:type="dxa"/>
            <w:tcBorders>
              <w:top w:val="single" w:sz="8" w:space="0" w:color="AEAEAE"/>
              <w:left w:val="nil"/>
              <w:bottom w:val="single" w:sz="8" w:space="0" w:color="AEAEAE"/>
              <w:right w:val="single" w:sz="8" w:space="0" w:color="E0E0E0"/>
            </w:tcBorders>
            <w:shd w:val="clear" w:color="auto" w:fill="FFFFFF"/>
          </w:tcPr>
          <w:p w14:paraId="3B6C9188"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2,7194</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4F17E46C"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2,26903</w:t>
            </w:r>
          </w:p>
        </w:tc>
        <w:tc>
          <w:tcPr>
            <w:tcW w:w="1029" w:type="dxa"/>
            <w:tcBorders>
              <w:top w:val="single" w:sz="8" w:space="0" w:color="AEAEAE"/>
              <w:left w:val="single" w:sz="8" w:space="0" w:color="E0E0E0"/>
              <w:bottom w:val="single" w:sz="8" w:space="0" w:color="AEAEAE"/>
              <w:right w:val="nil"/>
            </w:tcBorders>
            <w:shd w:val="clear" w:color="auto" w:fill="FFFFFF"/>
          </w:tcPr>
          <w:p w14:paraId="62A2F127"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79F2387E"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46CF027D"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NumOpMS</w:t>
            </w:r>
          </w:p>
        </w:tc>
        <w:tc>
          <w:tcPr>
            <w:tcW w:w="1091" w:type="dxa"/>
            <w:tcBorders>
              <w:top w:val="single" w:sz="8" w:space="0" w:color="AEAEAE"/>
              <w:left w:val="nil"/>
              <w:bottom w:val="single" w:sz="8" w:space="0" w:color="AEAEAE"/>
              <w:right w:val="single" w:sz="8" w:space="0" w:color="E0E0E0"/>
            </w:tcBorders>
            <w:shd w:val="clear" w:color="auto" w:fill="FFFFFF"/>
          </w:tcPr>
          <w:p w14:paraId="0E9F5B51"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2,18</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127EE71A"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,951</w:t>
            </w:r>
          </w:p>
        </w:tc>
        <w:tc>
          <w:tcPr>
            <w:tcW w:w="1029" w:type="dxa"/>
            <w:tcBorders>
              <w:top w:val="single" w:sz="8" w:space="0" w:color="AEAEAE"/>
              <w:left w:val="single" w:sz="8" w:space="0" w:color="E0E0E0"/>
              <w:bottom w:val="single" w:sz="8" w:space="0" w:color="AEAEAE"/>
              <w:right w:val="nil"/>
            </w:tcBorders>
            <w:shd w:val="clear" w:color="auto" w:fill="FFFFFF"/>
          </w:tcPr>
          <w:p w14:paraId="29749E86"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2AC62120"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5C6E345B"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PopOpMS</w:t>
            </w:r>
          </w:p>
        </w:tc>
        <w:tc>
          <w:tcPr>
            <w:tcW w:w="1091" w:type="dxa"/>
            <w:tcBorders>
              <w:top w:val="single" w:sz="8" w:space="0" w:color="AEAEAE"/>
              <w:left w:val="nil"/>
              <w:bottom w:val="single" w:sz="8" w:space="0" w:color="AEAEAE"/>
              <w:right w:val="single" w:sz="8" w:space="0" w:color="E0E0E0"/>
            </w:tcBorders>
            <w:shd w:val="clear" w:color="auto" w:fill="FFFFFF"/>
          </w:tcPr>
          <w:p w14:paraId="0ADB6732"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11,4400</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1E129E5E"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8,51917</w:t>
            </w:r>
          </w:p>
        </w:tc>
        <w:tc>
          <w:tcPr>
            <w:tcW w:w="1029" w:type="dxa"/>
            <w:tcBorders>
              <w:top w:val="single" w:sz="8" w:space="0" w:color="AEAEAE"/>
              <w:left w:val="single" w:sz="8" w:space="0" w:color="E0E0E0"/>
              <w:bottom w:val="single" w:sz="8" w:space="0" w:color="AEAEAE"/>
              <w:right w:val="nil"/>
            </w:tcBorders>
            <w:shd w:val="clear" w:color="auto" w:fill="FFFFFF"/>
          </w:tcPr>
          <w:p w14:paraId="4B522E46"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64362C17"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0DF19F78"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Stance</w:t>
            </w:r>
          </w:p>
        </w:tc>
        <w:tc>
          <w:tcPr>
            <w:tcW w:w="1091" w:type="dxa"/>
            <w:tcBorders>
              <w:top w:val="single" w:sz="8" w:space="0" w:color="AEAEAE"/>
              <w:left w:val="nil"/>
              <w:bottom w:val="single" w:sz="8" w:space="0" w:color="AEAEAE"/>
              <w:right w:val="single" w:sz="8" w:space="0" w:color="E0E0E0"/>
            </w:tcBorders>
            <w:shd w:val="clear" w:color="auto" w:fill="FFFFFF"/>
          </w:tcPr>
          <w:p w14:paraId="097F8614"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1,00</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7C476BAD"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,000</w:t>
            </w:r>
          </w:p>
        </w:tc>
        <w:tc>
          <w:tcPr>
            <w:tcW w:w="1029" w:type="dxa"/>
            <w:tcBorders>
              <w:top w:val="single" w:sz="8" w:space="0" w:color="AEAEAE"/>
              <w:left w:val="single" w:sz="8" w:space="0" w:color="E0E0E0"/>
              <w:bottom w:val="single" w:sz="8" w:space="0" w:color="AEAEAE"/>
              <w:right w:val="nil"/>
            </w:tcBorders>
            <w:shd w:val="clear" w:color="auto" w:fill="FFFFFF"/>
          </w:tcPr>
          <w:p w14:paraId="5AFAD7D0"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2E965DC4"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0D464CEB"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GDP</w:t>
            </w:r>
          </w:p>
        </w:tc>
        <w:tc>
          <w:tcPr>
            <w:tcW w:w="1091" w:type="dxa"/>
            <w:tcBorders>
              <w:top w:val="single" w:sz="8" w:space="0" w:color="AEAEAE"/>
              <w:left w:val="nil"/>
              <w:bottom w:val="single" w:sz="8" w:space="0" w:color="AEAEAE"/>
              <w:right w:val="single" w:sz="8" w:space="0" w:color="E0E0E0"/>
            </w:tcBorders>
            <w:shd w:val="clear" w:color="auto" w:fill="FFFFFF"/>
          </w:tcPr>
          <w:p w14:paraId="5D018FB0"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40616,76</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1FF2353F"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14431,308</w:t>
            </w:r>
          </w:p>
        </w:tc>
        <w:tc>
          <w:tcPr>
            <w:tcW w:w="1029" w:type="dxa"/>
            <w:tcBorders>
              <w:top w:val="single" w:sz="8" w:space="0" w:color="AEAEAE"/>
              <w:left w:val="single" w:sz="8" w:space="0" w:color="E0E0E0"/>
              <w:bottom w:val="single" w:sz="8" w:space="0" w:color="AEAEAE"/>
              <w:right w:val="nil"/>
            </w:tcBorders>
            <w:shd w:val="clear" w:color="auto" w:fill="FFFFFF"/>
          </w:tcPr>
          <w:p w14:paraId="29F1715A"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190A970B"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5997FA66"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Corruption</w:t>
            </w:r>
          </w:p>
        </w:tc>
        <w:tc>
          <w:tcPr>
            <w:tcW w:w="1091" w:type="dxa"/>
            <w:tcBorders>
              <w:top w:val="single" w:sz="8" w:space="0" w:color="AEAEAE"/>
              <w:left w:val="nil"/>
              <w:bottom w:val="single" w:sz="8" w:space="0" w:color="AEAEAE"/>
              <w:right w:val="single" w:sz="8" w:space="0" w:color="E0E0E0"/>
            </w:tcBorders>
            <w:shd w:val="clear" w:color="auto" w:fill="FFFFFF"/>
          </w:tcPr>
          <w:p w14:paraId="366DFEDC"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63,94</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34D715AA"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15,462</w:t>
            </w:r>
          </w:p>
        </w:tc>
        <w:tc>
          <w:tcPr>
            <w:tcW w:w="1029" w:type="dxa"/>
            <w:tcBorders>
              <w:top w:val="single" w:sz="8" w:space="0" w:color="AEAEAE"/>
              <w:left w:val="single" w:sz="8" w:space="0" w:color="E0E0E0"/>
              <w:bottom w:val="single" w:sz="8" w:space="0" w:color="AEAEAE"/>
              <w:right w:val="nil"/>
            </w:tcBorders>
            <w:shd w:val="clear" w:color="auto" w:fill="FFFFFF"/>
          </w:tcPr>
          <w:p w14:paraId="3A66E922"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76B363A0"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465144BB"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QGI</w:t>
            </w:r>
          </w:p>
        </w:tc>
        <w:tc>
          <w:tcPr>
            <w:tcW w:w="1091" w:type="dxa"/>
            <w:tcBorders>
              <w:top w:val="single" w:sz="8" w:space="0" w:color="AEAEAE"/>
              <w:left w:val="nil"/>
              <w:bottom w:val="single" w:sz="8" w:space="0" w:color="AEAEAE"/>
              <w:right w:val="single" w:sz="8" w:space="0" w:color="E0E0E0"/>
            </w:tcBorders>
            <w:shd w:val="clear" w:color="auto" w:fill="FFFFFF"/>
          </w:tcPr>
          <w:p w14:paraId="36C69B91"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46,8500</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7C4AD726"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23,32089</w:t>
            </w:r>
          </w:p>
        </w:tc>
        <w:tc>
          <w:tcPr>
            <w:tcW w:w="1029" w:type="dxa"/>
            <w:tcBorders>
              <w:top w:val="single" w:sz="8" w:space="0" w:color="AEAEAE"/>
              <w:left w:val="single" w:sz="8" w:space="0" w:color="E0E0E0"/>
              <w:bottom w:val="single" w:sz="8" w:space="0" w:color="AEAEAE"/>
              <w:right w:val="nil"/>
            </w:tcBorders>
            <w:shd w:val="clear" w:color="auto" w:fill="FFFFFF"/>
          </w:tcPr>
          <w:p w14:paraId="5E2CC5F6"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759C21A4" w14:textId="77777777" w:rsidTr="00427360">
        <w:trPr>
          <w:cantSplit/>
          <w:jc w:val="center"/>
        </w:trPr>
        <w:tc>
          <w:tcPr>
            <w:tcW w:w="2459" w:type="dxa"/>
            <w:tcBorders>
              <w:top w:val="single" w:sz="8" w:space="0" w:color="AEAEAE"/>
              <w:left w:val="nil"/>
              <w:bottom w:val="single" w:sz="8" w:space="0" w:color="AEAEAE"/>
              <w:right w:val="nil"/>
            </w:tcBorders>
            <w:shd w:val="clear" w:color="auto" w:fill="auto"/>
          </w:tcPr>
          <w:p w14:paraId="5B01FB97"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Nordic</w:t>
            </w:r>
          </w:p>
        </w:tc>
        <w:tc>
          <w:tcPr>
            <w:tcW w:w="1091" w:type="dxa"/>
            <w:tcBorders>
              <w:top w:val="single" w:sz="8" w:space="0" w:color="AEAEAE"/>
              <w:left w:val="nil"/>
              <w:bottom w:val="single" w:sz="8" w:space="0" w:color="AEAEAE"/>
              <w:right w:val="single" w:sz="8" w:space="0" w:color="E0E0E0"/>
            </w:tcBorders>
            <w:shd w:val="clear" w:color="auto" w:fill="FFFFFF"/>
          </w:tcPr>
          <w:p w14:paraId="761DC378"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,00</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6EE0B6D8"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,000</w:t>
            </w:r>
          </w:p>
        </w:tc>
        <w:tc>
          <w:tcPr>
            <w:tcW w:w="1029" w:type="dxa"/>
            <w:tcBorders>
              <w:top w:val="single" w:sz="8" w:space="0" w:color="AEAEAE"/>
              <w:left w:val="single" w:sz="8" w:space="0" w:color="E0E0E0"/>
              <w:bottom w:val="single" w:sz="8" w:space="0" w:color="AEAEAE"/>
              <w:right w:val="nil"/>
            </w:tcBorders>
            <w:shd w:val="clear" w:color="auto" w:fill="FFFFFF"/>
          </w:tcPr>
          <w:p w14:paraId="3DD37E2C"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r w:rsidR="004F28D3" w:rsidRPr="004F28D3" w14:paraId="503253BD" w14:textId="77777777" w:rsidTr="00427360">
        <w:trPr>
          <w:cantSplit/>
          <w:jc w:val="center"/>
        </w:trPr>
        <w:tc>
          <w:tcPr>
            <w:tcW w:w="2459" w:type="dxa"/>
            <w:tcBorders>
              <w:top w:val="single" w:sz="8" w:space="0" w:color="AEAEAE"/>
              <w:left w:val="nil"/>
              <w:bottom w:val="single" w:sz="8" w:space="0" w:color="152935"/>
              <w:right w:val="nil"/>
            </w:tcBorders>
            <w:shd w:val="clear" w:color="auto" w:fill="auto"/>
          </w:tcPr>
          <w:p w14:paraId="01C3919C" w14:textId="77777777" w:rsidR="004F28D3" w:rsidRPr="00427360" w:rsidRDefault="004F28D3" w:rsidP="004F28D3">
            <w:pPr>
              <w:autoSpaceDE w:val="0"/>
              <w:autoSpaceDN w:val="0"/>
              <w:adjustRightInd w:val="0"/>
              <w:spacing w:after="0" w:line="320" w:lineRule="atLeast"/>
              <w:ind w:left="60" w:right="60"/>
              <w:rPr>
                <w:rFonts w:ascii="Sylfaen" w:eastAsiaTheme="minorHAnsi" w:hAnsi="Sylfaen" w:cs="Arial"/>
                <w:b/>
                <w:sz w:val="20"/>
                <w:szCs w:val="20"/>
                <w:lang w:val="nl-NL"/>
              </w:rPr>
            </w:pPr>
            <w:r w:rsidRPr="00427360">
              <w:rPr>
                <w:rFonts w:ascii="Sylfaen" w:eastAsiaTheme="minorHAnsi" w:hAnsi="Sylfaen" w:cs="Arial"/>
                <w:b/>
                <w:sz w:val="20"/>
                <w:szCs w:val="20"/>
                <w:lang w:val="nl-NL"/>
              </w:rPr>
              <w:t>MS2004</w:t>
            </w:r>
          </w:p>
        </w:tc>
        <w:tc>
          <w:tcPr>
            <w:tcW w:w="1091" w:type="dxa"/>
            <w:tcBorders>
              <w:top w:val="single" w:sz="8" w:space="0" w:color="AEAEAE"/>
              <w:left w:val="nil"/>
              <w:bottom w:val="single" w:sz="8" w:space="0" w:color="152935"/>
              <w:right w:val="single" w:sz="8" w:space="0" w:color="E0E0E0"/>
            </w:tcBorders>
            <w:shd w:val="clear" w:color="auto" w:fill="FFFFFF"/>
          </w:tcPr>
          <w:p w14:paraId="46B5B90E"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,53</w:t>
            </w:r>
          </w:p>
        </w:tc>
        <w:tc>
          <w:tcPr>
            <w:tcW w:w="1445" w:type="dxa"/>
            <w:tcBorders>
              <w:top w:val="single" w:sz="8" w:space="0" w:color="AEAEAE"/>
              <w:left w:val="single" w:sz="8" w:space="0" w:color="E0E0E0"/>
              <w:bottom w:val="single" w:sz="8" w:space="0" w:color="152935"/>
              <w:right w:val="single" w:sz="8" w:space="0" w:color="E0E0E0"/>
            </w:tcBorders>
            <w:shd w:val="clear" w:color="auto" w:fill="FFFFFF"/>
          </w:tcPr>
          <w:p w14:paraId="44892E72"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,514</w:t>
            </w:r>
          </w:p>
        </w:tc>
        <w:tc>
          <w:tcPr>
            <w:tcW w:w="1029" w:type="dxa"/>
            <w:tcBorders>
              <w:top w:val="single" w:sz="8" w:space="0" w:color="AEAEAE"/>
              <w:left w:val="single" w:sz="8" w:space="0" w:color="E0E0E0"/>
              <w:bottom w:val="single" w:sz="8" w:space="0" w:color="152935"/>
              <w:right w:val="nil"/>
            </w:tcBorders>
            <w:shd w:val="clear" w:color="auto" w:fill="FFFFFF"/>
          </w:tcPr>
          <w:p w14:paraId="5DC7AC85" w14:textId="77777777" w:rsidR="004F28D3" w:rsidRPr="00427360" w:rsidRDefault="004F28D3" w:rsidP="004F28D3">
            <w:pPr>
              <w:autoSpaceDE w:val="0"/>
              <w:autoSpaceDN w:val="0"/>
              <w:adjustRightInd w:val="0"/>
              <w:spacing w:after="0" w:line="320" w:lineRule="atLeast"/>
              <w:ind w:left="60" w:right="60"/>
              <w:jc w:val="right"/>
              <w:rPr>
                <w:rFonts w:ascii="Sylfaen" w:eastAsiaTheme="minorHAnsi" w:hAnsi="Sylfaen" w:cs="Arial"/>
                <w:sz w:val="20"/>
                <w:szCs w:val="20"/>
                <w:lang w:val="nl-NL"/>
              </w:rPr>
            </w:pPr>
            <w:r w:rsidRPr="00427360">
              <w:rPr>
                <w:rFonts w:ascii="Sylfaen" w:eastAsiaTheme="minorHAnsi" w:hAnsi="Sylfaen" w:cs="Arial"/>
                <w:sz w:val="20"/>
                <w:szCs w:val="20"/>
                <w:lang w:val="nl-NL"/>
              </w:rPr>
              <w:t>17</w:t>
            </w:r>
          </w:p>
        </w:tc>
      </w:tr>
    </w:tbl>
    <w:p w14:paraId="4ECD89B9" w14:textId="2B50874E" w:rsidR="00EB6603" w:rsidRDefault="000862B1" w:rsidP="004F28D3">
      <w:pPr>
        <w:autoSpaceDE w:val="0"/>
        <w:autoSpaceDN w:val="0"/>
        <w:adjustRightInd w:val="0"/>
        <w:spacing w:after="0" w:line="400" w:lineRule="atLeast"/>
        <w:rPr>
          <w:rFonts w:eastAsiaTheme="minorHAnsi" w:cstheme="minorHAnsi"/>
        </w:rPr>
      </w:pPr>
      <w:r>
        <w:rPr>
          <w:rFonts w:eastAsiaTheme="minorHAnsi" w:cstheme="minorHAnsi"/>
        </w:rPr>
        <w:br/>
        <w:t>The table below shows the descriptions</w:t>
      </w:r>
      <w:r w:rsidR="00EB6603" w:rsidRPr="00EB6603">
        <w:rPr>
          <w:rFonts w:eastAsiaTheme="minorHAnsi" w:cstheme="minorHAnsi"/>
        </w:rPr>
        <w:t xml:space="preserve"> before using the Mann-Whitney test, including dummy variable Fairness II. </w:t>
      </w:r>
      <w:r w:rsidR="00EB6603">
        <w:rPr>
          <w:rFonts w:eastAsiaTheme="minorHAnsi" w:cstheme="minorHAnsi"/>
        </w:rPr>
        <w:t xml:space="preserve">The maximum of this variable is 1, because it is dichotomous: either above or below the average level of procedural fairness. </w:t>
      </w:r>
    </w:p>
    <w:p w14:paraId="75EE47A4" w14:textId="7D2F3A6A" w:rsidR="00CE34EE" w:rsidRPr="00EB6603" w:rsidRDefault="00CE34EE" w:rsidP="004F28D3">
      <w:pPr>
        <w:autoSpaceDE w:val="0"/>
        <w:autoSpaceDN w:val="0"/>
        <w:adjustRightInd w:val="0"/>
        <w:spacing w:after="0" w:line="400" w:lineRule="atLeast"/>
        <w:rPr>
          <w:rFonts w:eastAsiaTheme="minorHAnsi" w:cstheme="minorHAnsi"/>
        </w:rPr>
      </w:pPr>
      <w:r>
        <w:rPr>
          <w:noProof/>
        </w:rPr>
        <mc:AlternateContent>
          <mc:Choice Requires="wps">
            <w:drawing>
              <wp:anchor distT="0" distB="0" distL="114300" distR="114300" simplePos="0" relativeHeight="251653632" behindDoc="0" locked="0" layoutInCell="1" allowOverlap="1" wp14:anchorId="29FA607E" wp14:editId="2404779B">
                <wp:simplePos x="0" y="0"/>
                <wp:positionH relativeFrom="margin">
                  <wp:posOffset>586105</wp:posOffset>
                </wp:positionH>
                <wp:positionV relativeFrom="paragraph">
                  <wp:posOffset>166370</wp:posOffset>
                </wp:positionV>
                <wp:extent cx="4562475" cy="1117600"/>
                <wp:effectExtent l="0" t="0" r="28575" b="25400"/>
                <wp:wrapNone/>
                <wp:docPr id="14" name="Rectangle 14"/>
                <wp:cNvGraphicFramePr/>
                <a:graphic xmlns:a="http://schemas.openxmlformats.org/drawingml/2006/main">
                  <a:graphicData uri="http://schemas.microsoft.com/office/word/2010/wordprocessingShape">
                    <wps:wsp>
                      <wps:cNvSpPr/>
                      <wps:spPr>
                        <a:xfrm>
                          <a:off x="0" y="0"/>
                          <a:ext cx="4562475" cy="11176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33CEC6" id="Rectangle 14" o:spid="_x0000_s1026" style="position:absolute;margin-left:46.15pt;margin-top:13.1pt;width:359.25pt;height:88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" filled="f" strokecolor="black [3213]" strokeweight="1.5pt">
                <w10:wrap anchorx="margin"/>
              </v:rect>
            </w:pict>
          </mc:Fallback>
        </mc:AlternateContent>
      </w:r>
    </w:p>
    <w:tbl>
      <w:tblPr>
        <w:tblW w:w="700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21"/>
        <w:gridCol w:w="1030"/>
        <w:gridCol w:w="1030"/>
        <w:gridCol w:w="1445"/>
        <w:gridCol w:w="1076"/>
        <w:gridCol w:w="1107"/>
      </w:tblGrid>
      <w:tr w:rsidR="00EB6603" w:rsidRPr="00427360" w14:paraId="1099B82E" w14:textId="77777777" w:rsidTr="00EB6603">
        <w:trPr>
          <w:cantSplit/>
          <w:jc w:val="center"/>
        </w:trPr>
        <w:tc>
          <w:tcPr>
            <w:tcW w:w="7009" w:type="dxa"/>
            <w:gridSpan w:val="6"/>
            <w:tcBorders>
              <w:top w:val="nil"/>
              <w:left w:val="nil"/>
              <w:bottom w:val="nil"/>
              <w:right w:val="nil"/>
            </w:tcBorders>
            <w:shd w:val="clear" w:color="auto" w:fill="FFFFFF"/>
            <w:vAlign w:val="center"/>
          </w:tcPr>
          <w:p w14:paraId="4F627E72" w14:textId="099BE8DA" w:rsidR="00EB6603" w:rsidRPr="00427360" w:rsidRDefault="00EB6603" w:rsidP="00427360">
            <w:pPr>
              <w:autoSpaceDE w:val="0"/>
              <w:autoSpaceDN w:val="0"/>
              <w:adjustRightInd w:val="0"/>
              <w:spacing w:after="0" w:line="320" w:lineRule="atLeast"/>
              <w:ind w:left="60" w:right="60"/>
              <w:rPr>
                <w:rFonts w:ascii="Sylfaen" w:hAnsi="Sylfaen" w:cs="Arial"/>
                <w:sz w:val="20"/>
                <w:szCs w:val="20"/>
              </w:rPr>
            </w:pPr>
            <w:r w:rsidRPr="00427360">
              <w:rPr>
                <w:rFonts w:ascii="Sylfaen" w:eastAsiaTheme="minorHAnsi" w:hAnsi="Sylfaen" w:cstheme="minorHAnsi"/>
                <w:i/>
                <w:sz w:val="20"/>
                <w:szCs w:val="20"/>
              </w:rPr>
              <w:t>Table 13: Descriptive statistics</w:t>
            </w:r>
          </w:p>
        </w:tc>
      </w:tr>
      <w:tr w:rsidR="00EB6603" w:rsidRPr="00427360" w14:paraId="1E5E72BE" w14:textId="77777777" w:rsidTr="00EB6603">
        <w:trPr>
          <w:cantSplit/>
          <w:jc w:val="center"/>
        </w:trPr>
        <w:tc>
          <w:tcPr>
            <w:tcW w:w="1321" w:type="dxa"/>
            <w:tcBorders>
              <w:top w:val="nil"/>
              <w:left w:val="nil"/>
              <w:bottom w:val="single" w:sz="8" w:space="0" w:color="152935"/>
              <w:right w:val="nil"/>
            </w:tcBorders>
            <w:shd w:val="clear" w:color="auto" w:fill="FFFFFF"/>
            <w:vAlign w:val="bottom"/>
          </w:tcPr>
          <w:p w14:paraId="743B6B3D" w14:textId="77777777" w:rsidR="00EB6603" w:rsidRPr="00427360" w:rsidRDefault="00EB6603" w:rsidP="00821A3C">
            <w:pPr>
              <w:autoSpaceDE w:val="0"/>
              <w:autoSpaceDN w:val="0"/>
              <w:adjustRightInd w:val="0"/>
              <w:spacing w:after="0" w:line="240" w:lineRule="auto"/>
              <w:rPr>
                <w:rFonts w:ascii="Sylfaen" w:hAnsi="Sylfaen" w:cs="Times New Roman"/>
                <w:sz w:val="20"/>
                <w:szCs w:val="20"/>
              </w:rPr>
            </w:pPr>
          </w:p>
        </w:tc>
        <w:tc>
          <w:tcPr>
            <w:tcW w:w="1030" w:type="dxa"/>
            <w:tcBorders>
              <w:top w:val="nil"/>
              <w:left w:val="nil"/>
              <w:bottom w:val="single" w:sz="8" w:space="0" w:color="152935"/>
              <w:right w:val="single" w:sz="8" w:space="0" w:color="E0E0E0"/>
            </w:tcBorders>
            <w:shd w:val="clear" w:color="auto" w:fill="FFFFFF"/>
            <w:vAlign w:val="bottom"/>
          </w:tcPr>
          <w:p w14:paraId="268DFBA6" w14:textId="77777777" w:rsidR="00EB6603" w:rsidRPr="00427360" w:rsidRDefault="00EB6603" w:rsidP="00821A3C">
            <w:pPr>
              <w:autoSpaceDE w:val="0"/>
              <w:autoSpaceDN w:val="0"/>
              <w:adjustRightInd w:val="0"/>
              <w:spacing w:after="0" w:line="320" w:lineRule="atLeast"/>
              <w:ind w:left="60" w:right="60"/>
              <w:jc w:val="center"/>
              <w:rPr>
                <w:rFonts w:ascii="Sylfaen" w:hAnsi="Sylfaen" w:cs="Arial"/>
                <w:sz w:val="20"/>
                <w:szCs w:val="20"/>
              </w:rPr>
            </w:pPr>
            <w:r w:rsidRPr="00427360">
              <w:rPr>
                <w:rFonts w:ascii="Sylfaen" w:hAnsi="Sylfaen" w:cs="Arial"/>
                <w:sz w:val="20"/>
                <w:szCs w:val="20"/>
              </w:rPr>
              <w:t>N</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2FFBC5C7" w14:textId="77777777" w:rsidR="00EB6603" w:rsidRPr="00427360" w:rsidRDefault="00EB6603" w:rsidP="00821A3C">
            <w:pPr>
              <w:autoSpaceDE w:val="0"/>
              <w:autoSpaceDN w:val="0"/>
              <w:adjustRightInd w:val="0"/>
              <w:spacing w:after="0" w:line="320" w:lineRule="atLeast"/>
              <w:ind w:left="60" w:right="60"/>
              <w:jc w:val="center"/>
              <w:rPr>
                <w:rFonts w:ascii="Sylfaen" w:hAnsi="Sylfaen" w:cs="Arial"/>
                <w:sz w:val="20"/>
                <w:szCs w:val="20"/>
              </w:rPr>
            </w:pPr>
            <w:r w:rsidRPr="00427360">
              <w:rPr>
                <w:rFonts w:ascii="Sylfaen" w:hAnsi="Sylfaen" w:cs="Arial"/>
                <w:sz w:val="20"/>
                <w:szCs w:val="20"/>
              </w:rPr>
              <w:t>Mean</w:t>
            </w:r>
          </w:p>
        </w:tc>
        <w:tc>
          <w:tcPr>
            <w:tcW w:w="1445" w:type="dxa"/>
            <w:tcBorders>
              <w:top w:val="nil"/>
              <w:left w:val="single" w:sz="8" w:space="0" w:color="E0E0E0"/>
              <w:bottom w:val="single" w:sz="8" w:space="0" w:color="152935"/>
              <w:right w:val="single" w:sz="8" w:space="0" w:color="E0E0E0"/>
            </w:tcBorders>
            <w:shd w:val="clear" w:color="auto" w:fill="FFFFFF"/>
            <w:vAlign w:val="bottom"/>
          </w:tcPr>
          <w:p w14:paraId="68DF3F27" w14:textId="77777777" w:rsidR="00EB6603" w:rsidRPr="00427360" w:rsidRDefault="00EB6603" w:rsidP="00821A3C">
            <w:pPr>
              <w:autoSpaceDE w:val="0"/>
              <w:autoSpaceDN w:val="0"/>
              <w:adjustRightInd w:val="0"/>
              <w:spacing w:after="0" w:line="320" w:lineRule="atLeast"/>
              <w:ind w:left="60" w:right="60"/>
              <w:jc w:val="center"/>
              <w:rPr>
                <w:rFonts w:ascii="Sylfaen" w:hAnsi="Sylfaen" w:cs="Arial"/>
                <w:sz w:val="20"/>
                <w:szCs w:val="20"/>
              </w:rPr>
            </w:pPr>
            <w:r w:rsidRPr="00427360">
              <w:rPr>
                <w:rFonts w:ascii="Sylfaen" w:hAnsi="Sylfaen" w:cs="Arial"/>
                <w:sz w:val="20"/>
                <w:szCs w:val="20"/>
              </w:rPr>
              <w:t>Std. Deviation</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5786AF88" w14:textId="145EA38A" w:rsidR="00EB6603" w:rsidRPr="00427360" w:rsidRDefault="00EB6603" w:rsidP="00821A3C">
            <w:pPr>
              <w:autoSpaceDE w:val="0"/>
              <w:autoSpaceDN w:val="0"/>
              <w:adjustRightInd w:val="0"/>
              <w:spacing w:after="0" w:line="320" w:lineRule="atLeast"/>
              <w:ind w:left="60" w:right="60"/>
              <w:jc w:val="center"/>
              <w:rPr>
                <w:rFonts w:ascii="Sylfaen" w:hAnsi="Sylfaen" w:cs="Arial"/>
                <w:sz w:val="20"/>
                <w:szCs w:val="20"/>
              </w:rPr>
            </w:pPr>
            <w:r w:rsidRPr="00427360">
              <w:rPr>
                <w:rFonts w:ascii="Sylfaen" w:hAnsi="Sylfaen" w:cs="Arial"/>
                <w:sz w:val="20"/>
                <w:szCs w:val="20"/>
              </w:rPr>
              <w:t>Minimum</w:t>
            </w:r>
          </w:p>
        </w:tc>
        <w:tc>
          <w:tcPr>
            <w:tcW w:w="1107" w:type="dxa"/>
            <w:tcBorders>
              <w:top w:val="nil"/>
              <w:left w:val="single" w:sz="8" w:space="0" w:color="E0E0E0"/>
              <w:bottom w:val="single" w:sz="8" w:space="0" w:color="152935"/>
              <w:right w:val="nil"/>
            </w:tcBorders>
            <w:shd w:val="clear" w:color="auto" w:fill="FFFFFF"/>
            <w:vAlign w:val="bottom"/>
          </w:tcPr>
          <w:p w14:paraId="6508D19D" w14:textId="77777777" w:rsidR="00EB6603" w:rsidRPr="00427360" w:rsidRDefault="00EB6603" w:rsidP="00821A3C">
            <w:pPr>
              <w:autoSpaceDE w:val="0"/>
              <w:autoSpaceDN w:val="0"/>
              <w:adjustRightInd w:val="0"/>
              <w:spacing w:after="0" w:line="320" w:lineRule="atLeast"/>
              <w:ind w:left="60" w:right="60"/>
              <w:jc w:val="center"/>
              <w:rPr>
                <w:rFonts w:ascii="Sylfaen" w:hAnsi="Sylfaen" w:cs="Arial"/>
                <w:sz w:val="20"/>
                <w:szCs w:val="20"/>
              </w:rPr>
            </w:pPr>
            <w:r w:rsidRPr="00427360">
              <w:rPr>
                <w:rFonts w:ascii="Sylfaen" w:hAnsi="Sylfaen" w:cs="Arial"/>
                <w:sz w:val="20"/>
                <w:szCs w:val="20"/>
              </w:rPr>
              <w:t>Maximum</w:t>
            </w:r>
          </w:p>
        </w:tc>
      </w:tr>
      <w:tr w:rsidR="00427360" w:rsidRPr="00427360" w14:paraId="03D506F4" w14:textId="77777777" w:rsidTr="00427360">
        <w:trPr>
          <w:cantSplit/>
          <w:jc w:val="center"/>
        </w:trPr>
        <w:tc>
          <w:tcPr>
            <w:tcW w:w="1321" w:type="dxa"/>
            <w:tcBorders>
              <w:top w:val="single" w:sz="8" w:space="0" w:color="152935"/>
              <w:left w:val="nil"/>
              <w:bottom w:val="single" w:sz="8" w:space="0" w:color="AEAEAE"/>
              <w:right w:val="nil"/>
            </w:tcBorders>
            <w:shd w:val="clear" w:color="auto" w:fill="auto"/>
          </w:tcPr>
          <w:p w14:paraId="28649C6C" w14:textId="77777777" w:rsidR="00EB6603" w:rsidRPr="00427360" w:rsidRDefault="00EB6603" w:rsidP="00821A3C">
            <w:pPr>
              <w:autoSpaceDE w:val="0"/>
              <w:autoSpaceDN w:val="0"/>
              <w:adjustRightInd w:val="0"/>
              <w:spacing w:after="0" w:line="320" w:lineRule="atLeast"/>
              <w:ind w:left="60" w:right="60"/>
              <w:rPr>
                <w:rFonts w:ascii="Sylfaen" w:hAnsi="Sylfaen" w:cs="Arial"/>
                <w:b/>
                <w:sz w:val="20"/>
                <w:szCs w:val="20"/>
              </w:rPr>
            </w:pPr>
            <w:r w:rsidRPr="00427360">
              <w:rPr>
                <w:rFonts w:ascii="Sylfaen" w:hAnsi="Sylfaen" w:cs="Arial"/>
                <w:b/>
                <w:sz w:val="20"/>
                <w:szCs w:val="20"/>
              </w:rPr>
              <w:t>Compliance</w:t>
            </w:r>
          </w:p>
        </w:tc>
        <w:tc>
          <w:tcPr>
            <w:tcW w:w="1030" w:type="dxa"/>
            <w:tcBorders>
              <w:top w:val="single" w:sz="8" w:space="0" w:color="152935"/>
              <w:left w:val="nil"/>
              <w:bottom w:val="single" w:sz="8" w:space="0" w:color="AEAEAE"/>
              <w:right w:val="single" w:sz="8" w:space="0" w:color="E0E0E0"/>
            </w:tcBorders>
            <w:shd w:val="clear" w:color="auto" w:fill="FFFFFF"/>
          </w:tcPr>
          <w:p w14:paraId="36D193F5"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17</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2125E4BD"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1,29</w:t>
            </w:r>
          </w:p>
        </w:tc>
        <w:tc>
          <w:tcPr>
            <w:tcW w:w="1445" w:type="dxa"/>
            <w:tcBorders>
              <w:top w:val="single" w:sz="8" w:space="0" w:color="152935"/>
              <w:left w:val="single" w:sz="8" w:space="0" w:color="E0E0E0"/>
              <w:bottom w:val="single" w:sz="8" w:space="0" w:color="AEAEAE"/>
              <w:right w:val="single" w:sz="8" w:space="0" w:color="E0E0E0"/>
            </w:tcBorders>
            <w:shd w:val="clear" w:color="auto" w:fill="FFFFFF"/>
          </w:tcPr>
          <w:p w14:paraId="45C4EC1E"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1,312</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2EA3235A" w14:textId="525CCAB1"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0</w:t>
            </w:r>
          </w:p>
        </w:tc>
        <w:tc>
          <w:tcPr>
            <w:tcW w:w="1107" w:type="dxa"/>
            <w:tcBorders>
              <w:top w:val="single" w:sz="8" w:space="0" w:color="152935"/>
              <w:left w:val="single" w:sz="8" w:space="0" w:color="E0E0E0"/>
              <w:bottom w:val="single" w:sz="8" w:space="0" w:color="AEAEAE"/>
              <w:right w:val="nil"/>
            </w:tcBorders>
            <w:shd w:val="clear" w:color="auto" w:fill="FFFFFF"/>
          </w:tcPr>
          <w:p w14:paraId="438FEF1D"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3</w:t>
            </w:r>
          </w:p>
        </w:tc>
      </w:tr>
      <w:tr w:rsidR="00427360" w:rsidRPr="00427360" w14:paraId="1F5B6DAB" w14:textId="77777777" w:rsidTr="00427360">
        <w:trPr>
          <w:cantSplit/>
          <w:jc w:val="center"/>
        </w:trPr>
        <w:tc>
          <w:tcPr>
            <w:tcW w:w="1321" w:type="dxa"/>
            <w:tcBorders>
              <w:top w:val="single" w:sz="8" w:space="0" w:color="AEAEAE"/>
              <w:left w:val="nil"/>
              <w:bottom w:val="single" w:sz="8" w:space="0" w:color="152935"/>
              <w:right w:val="nil"/>
            </w:tcBorders>
            <w:shd w:val="clear" w:color="auto" w:fill="auto"/>
          </w:tcPr>
          <w:p w14:paraId="1E7862D5" w14:textId="77777777" w:rsidR="00EB6603" w:rsidRPr="00427360" w:rsidRDefault="00EB6603" w:rsidP="00821A3C">
            <w:pPr>
              <w:autoSpaceDE w:val="0"/>
              <w:autoSpaceDN w:val="0"/>
              <w:adjustRightInd w:val="0"/>
              <w:spacing w:after="0" w:line="320" w:lineRule="atLeast"/>
              <w:ind w:left="60" w:right="60"/>
              <w:rPr>
                <w:rFonts w:ascii="Sylfaen" w:hAnsi="Sylfaen" w:cs="Arial"/>
                <w:b/>
                <w:sz w:val="20"/>
                <w:szCs w:val="20"/>
              </w:rPr>
            </w:pPr>
            <w:r w:rsidRPr="00427360">
              <w:rPr>
                <w:rFonts w:ascii="Sylfaen" w:hAnsi="Sylfaen" w:cs="Arial"/>
                <w:b/>
                <w:sz w:val="20"/>
                <w:szCs w:val="20"/>
              </w:rPr>
              <w:t>FairnessII</w:t>
            </w:r>
          </w:p>
        </w:tc>
        <w:tc>
          <w:tcPr>
            <w:tcW w:w="1030" w:type="dxa"/>
            <w:tcBorders>
              <w:top w:val="single" w:sz="8" w:space="0" w:color="AEAEAE"/>
              <w:left w:val="nil"/>
              <w:bottom w:val="single" w:sz="8" w:space="0" w:color="152935"/>
              <w:right w:val="single" w:sz="8" w:space="0" w:color="E0E0E0"/>
            </w:tcBorders>
            <w:shd w:val="clear" w:color="auto" w:fill="FFFFFF"/>
          </w:tcPr>
          <w:p w14:paraId="0B7454F5"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17</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08EBEABD"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,47</w:t>
            </w:r>
          </w:p>
        </w:tc>
        <w:tc>
          <w:tcPr>
            <w:tcW w:w="1445" w:type="dxa"/>
            <w:tcBorders>
              <w:top w:val="single" w:sz="8" w:space="0" w:color="AEAEAE"/>
              <w:left w:val="single" w:sz="8" w:space="0" w:color="E0E0E0"/>
              <w:bottom w:val="single" w:sz="8" w:space="0" w:color="152935"/>
              <w:right w:val="single" w:sz="8" w:space="0" w:color="E0E0E0"/>
            </w:tcBorders>
            <w:shd w:val="clear" w:color="auto" w:fill="FFFFFF"/>
          </w:tcPr>
          <w:p w14:paraId="5D98FCD2"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,514</w:t>
            </w:r>
          </w:p>
        </w:tc>
        <w:tc>
          <w:tcPr>
            <w:tcW w:w="1076" w:type="dxa"/>
            <w:tcBorders>
              <w:top w:val="single" w:sz="8" w:space="0" w:color="AEAEAE"/>
              <w:left w:val="single" w:sz="8" w:space="0" w:color="E0E0E0"/>
              <w:bottom w:val="single" w:sz="8" w:space="0" w:color="152935"/>
              <w:right w:val="single" w:sz="8" w:space="0" w:color="E0E0E0"/>
            </w:tcBorders>
            <w:shd w:val="clear" w:color="auto" w:fill="FFFFFF"/>
          </w:tcPr>
          <w:p w14:paraId="5127EBEA" w14:textId="48C8D7CE"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0</w:t>
            </w:r>
          </w:p>
        </w:tc>
        <w:tc>
          <w:tcPr>
            <w:tcW w:w="1107" w:type="dxa"/>
            <w:tcBorders>
              <w:top w:val="single" w:sz="8" w:space="0" w:color="AEAEAE"/>
              <w:left w:val="single" w:sz="8" w:space="0" w:color="E0E0E0"/>
              <w:bottom w:val="single" w:sz="8" w:space="0" w:color="152935"/>
              <w:right w:val="nil"/>
            </w:tcBorders>
            <w:shd w:val="clear" w:color="auto" w:fill="FFFFFF"/>
          </w:tcPr>
          <w:p w14:paraId="039251DE" w14:textId="77777777" w:rsidR="00EB6603" w:rsidRPr="00427360" w:rsidRDefault="00EB6603" w:rsidP="00821A3C">
            <w:pPr>
              <w:autoSpaceDE w:val="0"/>
              <w:autoSpaceDN w:val="0"/>
              <w:adjustRightInd w:val="0"/>
              <w:spacing w:after="0" w:line="320" w:lineRule="atLeast"/>
              <w:ind w:left="60" w:right="60"/>
              <w:jc w:val="right"/>
              <w:rPr>
                <w:rFonts w:ascii="Sylfaen" w:hAnsi="Sylfaen" w:cs="Arial"/>
                <w:sz w:val="20"/>
                <w:szCs w:val="20"/>
              </w:rPr>
            </w:pPr>
            <w:r w:rsidRPr="00427360">
              <w:rPr>
                <w:rFonts w:ascii="Sylfaen" w:hAnsi="Sylfaen" w:cs="Arial"/>
                <w:sz w:val="20"/>
                <w:szCs w:val="20"/>
              </w:rPr>
              <w:t>1</w:t>
            </w:r>
          </w:p>
        </w:tc>
      </w:tr>
    </w:tbl>
    <w:p w14:paraId="24ABA18A" w14:textId="69B49863" w:rsidR="00CF0561" w:rsidRDefault="006D0C15" w:rsidP="006D0C15">
      <w:pPr>
        <w:pStyle w:val="Kop3"/>
      </w:pPr>
      <w:bookmarkStart w:id="47" w:name="_Toc3547860"/>
      <w:r>
        <w:lastRenderedPageBreak/>
        <w:t xml:space="preserve">4.2.2 </w:t>
      </w:r>
      <w:r w:rsidR="00CF0561">
        <w:t>Assumptions</w:t>
      </w:r>
      <w:bookmarkEnd w:id="47"/>
      <w:r w:rsidR="00CF0561">
        <w:t xml:space="preserve"> </w:t>
      </w:r>
    </w:p>
    <w:p w14:paraId="376D77EC" w14:textId="583E0AEA" w:rsidR="00ED5759" w:rsidRDefault="00ED5759" w:rsidP="0057115E">
      <w:pPr>
        <w:spacing w:line="360" w:lineRule="auto"/>
      </w:pPr>
      <w:r>
        <w:t>The assumptions of the Mann-Whitney test need to be discussed</w:t>
      </w:r>
      <w:r w:rsidR="000F2FCA">
        <w:t xml:space="preserve"> and, most importantly, </w:t>
      </w:r>
      <w:r>
        <w:t>met. Nachar (2008) listed these assumptions</w:t>
      </w:r>
      <w:r w:rsidR="00550FC9">
        <w:t>:</w:t>
      </w:r>
      <w:r>
        <w:t xml:space="preserve"> </w:t>
      </w:r>
    </w:p>
    <w:p w14:paraId="2BE6967E" w14:textId="090AFCAF" w:rsidR="0057497F" w:rsidRDefault="00017B44" w:rsidP="0057115E">
      <w:pPr>
        <w:pStyle w:val="Lijstalinea"/>
        <w:numPr>
          <w:ilvl w:val="0"/>
          <w:numId w:val="35"/>
        </w:numPr>
        <w:spacing w:line="360" w:lineRule="auto"/>
      </w:pPr>
      <w:r>
        <w:t>The two investigated groups must be randomly drawn from the target population.</w:t>
      </w:r>
    </w:p>
    <w:p w14:paraId="058C6965" w14:textId="299638CC" w:rsidR="00017B44" w:rsidRDefault="00017B44" w:rsidP="0057115E">
      <w:pPr>
        <w:spacing w:line="360" w:lineRule="auto"/>
      </w:pPr>
      <w:r>
        <w:t xml:space="preserve">Data is randomly gathered to meet this assumption, as explained in </w:t>
      </w:r>
      <w:r w:rsidR="0057115E">
        <w:t xml:space="preserve">section 3.3, case selection and section 3.9, data collection. </w:t>
      </w:r>
    </w:p>
    <w:p w14:paraId="0DB8E798" w14:textId="0D84365F" w:rsidR="00017B44" w:rsidRDefault="00017B44" w:rsidP="0057115E">
      <w:pPr>
        <w:pStyle w:val="Lijstalinea"/>
        <w:numPr>
          <w:ilvl w:val="0"/>
          <w:numId w:val="35"/>
        </w:numPr>
        <w:spacing w:line="360" w:lineRule="auto"/>
      </w:pPr>
      <w:r>
        <w:t>Each measurement or observation must correspond to a different participant.</w:t>
      </w:r>
    </w:p>
    <w:p w14:paraId="242680F4" w14:textId="3181153D" w:rsidR="0057115E" w:rsidRDefault="0057115E" w:rsidP="0057115E">
      <w:pPr>
        <w:spacing w:line="360" w:lineRule="auto"/>
      </w:pPr>
      <w:r>
        <w:t>All observations differ from each other, because</w:t>
      </w:r>
      <w:r w:rsidR="00EB6603">
        <w:t xml:space="preserve"> they </w:t>
      </w:r>
      <w:r w:rsidR="003E2096">
        <w:t xml:space="preserve">either represent a </w:t>
      </w:r>
      <w:r w:rsidR="00550FC9">
        <w:t xml:space="preserve">decision of a </w:t>
      </w:r>
      <w:r w:rsidR="003E2096">
        <w:t xml:space="preserve">unique </w:t>
      </w:r>
      <w:r w:rsidR="00550FC9">
        <w:t xml:space="preserve">member state </w:t>
      </w:r>
      <w:r w:rsidR="003E2096">
        <w:t xml:space="preserve">(voting in favor or against a directive) or a decision on a unique directive. To put it </w:t>
      </w:r>
      <w:r w:rsidR="00FF224F">
        <w:t>differently</w:t>
      </w:r>
      <w:r w:rsidR="00F901DB">
        <w:t>,</w:t>
      </w:r>
      <w:r w:rsidR="003E2096">
        <w:t xml:space="preserve"> the same member state can b</w:t>
      </w:r>
      <w:r w:rsidR="00F901DB">
        <w:t>e</w:t>
      </w:r>
      <w:r w:rsidR="00532CC7">
        <w:t xml:space="preserve"> </w:t>
      </w:r>
      <w:r w:rsidR="00DB051A">
        <w:t>in</w:t>
      </w:r>
      <w:r w:rsidR="003E2096">
        <w:t xml:space="preserve"> the database</w:t>
      </w:r>
      <w:r w:rsidR="00F901DB">
        <w:t xml:space="preserve"> multiple times</w:t>
      </w:r>
      <w:r w:rsidR="003E2096">
        <w:t xml:space="preserve">, but </w:t>
      </w:r>
      <w:r w:rsidR="00DB051A">
        <w:t xml:space="preserve">it </w:t>
      </w:r>
      <w:r w:rsidR="003E2096">
        <w:t>always concerns a vote on a different directive; or the same directive can be in the database multiple times, but the votes are</w:t>
      </w:r>
      <w:r w:rsidR="00DB051A">
        <w:t xml:space="preserve"> always</w:t>
      </w:r>
      <w:r w:rsidR="003E2096">
        <w:t xml:space="preserve"> by different countries.</w:t>
      </w:r>
      <w:r w:rsidR="00550FC9">
        <w:t xml:space="preserve"> </w:t>
      </w:r>
      <w:r w:rsidR="003E2096">
        <w:t>This is how the UK is represented multiple times, but also direct</w:t>
      </w:r>
      <w:r w:rsidR="00EB6603">
        <w:t>ive 2014/104</w:t>
      </w:r>
      <w:r w:rsidR="003E2096">
        <w:t>. So</w:t>
      </w:r>
      <w:r w:rsidR="00DB051A">
        <w:t>,</w:t>
      </w:r>
      <w:r w:rsidR="003E2096">
        <w:t xml:space="preserve"> t</w:t>
      </w:r>
      <w:r w:rsidR="00937D4A">
        <w:t>he second assumption of Nacha</w:t>
      </w:r>
      <w:r w:rsidR="00550FC9">
        <w:t xml:space="preserve">r is validated. </w:t>
      </w:r>
      <w:r w:rsidR="00EB6603">
        <w:t xml:space="preserve"> </w:t>
      </w:r>
    </w:p>
    <w:p w14:paraId="6503F68F" w14:textId="0C5FED9B" w:rsidR="00017B44" w:rsidRDefault="00017B44" w:rsidP="0057115E">
      <w:pPr>
        <w:pStyle w:val="Lijstalinea"/>
        <w:numPr>
          <w:ilvl w:val="0"/>
          <w:numId w:val="35"/>
        </w:numPr>
        <w:spacing w:line="360" w:lineRule="auto"/>
      </w:pPr>
      <w:r>
        <w:t xml:space="preserve">The data measurement scale </w:t>
      </w:r>
      <w:r w:rsidR="00EB6603">
        <w:t>is ordinal or continuous.</w:t>
      </w:r>
      <w:r>
        <w:t xml:space="preserve"> </w:t>
      </w:r>
    </w:p>
    <w:p w14:paraId="57D988DD" w14:textId="040923F6" w:rsidR="00ED5759" w:rsidRDefault="00CE34EE" w:rsidP="00CE34EE">
      <w:pPr>
        <w:spacing w:line="360" w:lineRule="auto"/>
      </w:pPr>
      <w:r>
        <w:t xml:space="preserve">The dependent variable, compliance, is measured on ordinal level; the higher the stage of the infringement procedure, the more non-compliance. The </w:t>
      </w:r>
      <w:r w:rsidR="0084490F">
        <w:t>composed</w:t>
      </w:r>
      <w:r>
        <w:t xml:space="preserve"> variable Fairness I is continuous</w:t>
      </w:r>
      <w:r w:rsidR="00850E3C">
        <w:t xml:space="preserve">, dummy variable Fairness II is dichotomous. </w:t>
      </w:r>
    </w:p>
    <w:p w14:paraId="56E66936" w14:textId="221423BF" w:rsidR="00CE34EE" w:rsidRPr="00ED5759" w:rsidRDefault="00CE34EE" w:rsidP="00CE34EE">
      <w:pPr>
        <w:spacing w:line="360" w:lineRule="auto"/>
      </w:pPr>
      <w:r>
        <w:t>To conclude, all assumptions</w:t>
      </w:r>
      <w:r w:rsidR="0084490F">
        <w:t xml:space="preserve"> for the Mann-Whitney test</w:t>
      </w:r>
      <w:r>
        <w:t xml:space="preserve"> are met.</w:t>
      </w:r>
    </w:p>
    <w:p w14:paraId="205EB310" w14:textId="516E813C" w:rsidR="004516C5" w:rsidRDefault="004516C5" w:rsidP="004516C5">
      <w:pPr>
        <w:pStyle w:val="Kop3"/>
      </w:pPr>
      <w:bookmarkStart w:id="48" w:name="_Toc3547861"/>
      <w:r>
        <w:t xml:space="preserve">4.2.3. </w:t>
      </w:r>
      <w:r w:rsidR="00E378FA">
        <w:t>Results</w:t>
      </w:r>
      <w:bookmarkEnd w:id="48"/>
    </w:p>
    <w:p w14:paraId="5FD1C259" w14:textId="2BF1E0E5" w:rsidR="007A43CC" w:rsidRDefault="00427ABE" w:rsidP="00601430">
      <w:pPr>
        <w:spacing w:line="360" w:lineRule="auto"/>
      </w:pPr>
      <w:r>
        <w:rPr>
          <w:noProof/>
        </w:rPr>
        <mc:AlternateContent>
          <mc:Choice Requires="wps">
            <w:drawing>
              <wp:anchor distT="0" distB="0" distL="114300" distR="114300" simplePos="0" relativeHeight="251686400" behindDoc="0" locked="0" layoutInCell="1" allowOverlap="1" wp14:anchorId="7DD899A7" wp14:editId="5B232915">
                <wp:simplePos x="0" y="0"/>
                <wp:positionH relativeFrom="margin">
                  <wp:posOffset>957580</wp:posOffset>
                </wp:positionH>
                <wp:positionV relativeFrom="paragraph">
                  <wp:posOffset>300355</wp:posOffset>
                </wp:positionV>
                <wp:extent cx="3876675" cy="147637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3876675" cy="14763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295BB5" id="Rectangle 17" o:spid="_x0000_s1026" style="position:absolute;margin-left:75.4pt;margin-top:23.65pt;width:305.25pt;height:116.25pt;z-index:251686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" filled="f" strokecolor="black [3213]" strokeweight="1.5pt">
                <w10:wrap anchorx="margin"/>
              </v:rect>
            </w:pict>
          </mc:Fallback>
        </mc:AlternateContent>
      </w:r>
      <w:r w:rsidR="00821A3C">
        <w:t xml:space="preserve">The results of the Mann-Whitney test are </w:t>
      </w:r>
      <w:r w:rsidR="00E378FA">
        <w:t>as follows.</w:t>
      </w:r>
    </w:p>
    <w:tbl>
      <w:tblPr>
        <w:tblW w:w="7009" w:type="dxa"/>
        <w:tblInd w:w="15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21"/>
        <w:gridCol w:w="1030"/>
        <w:gridCol w:w="1030"/>
        <w:gridCol w:w="1445"/>
        <w:gridCol w:w="1076"/>
        <w:gridCol w:w="1107"/>
      </w:tblGrid>
      <w:tr w:rsidR="00427ABE" w:rsidRPr="00F40078" w14:paraId="44F6A562" w14:textId="77777777" w:rsidTr="00D230D6">
        <w:trPr>
          <w:cantSplit/>
        </w:trPr>
        <w:tc>
          <w:tcPr>
            <w:tcW w:w="7009" w:type="dxa"/>
            <w:gridSpan w:val="6"/>
            <w:tcBorders>
              <w:top w:val="nil"/>
              <w:left w:val="nil"/>
              <w:bottom w:val="nil"/>
              <w:right w:val="nil"/>
            </w:tcBorders>
            <w:shd w:val="clear" w:color="auto" w:fill="FFFFFF"/>
            <w:vAlign w:val="center"/>
          </w:tcPr>
          <w:p w14:paraId="7B108CCE" w14:textId="627E2C98" w:rsidR="00427ABE" w:rsidRPr="00F40078" w:rsidRDefault="00427ABE" w:rsidP="00601430">
            <w:pPr>
              <w:autoSpaceDE w:val="0"/>
              <w:autoSpaceDN w:val="0"/>
              <w:adjustRightInd w:val="0"/>
              <w:spacing w:after="0" w:line="320" w:lineRule="atLeast"/>
              <w:ind w:left="60" w:right="60"/>
              <w:rPr>
                <w:rFonts w:ascii="Sylfaen" w:hAnsi="Sylfaen" w:cs="Arial"/>
                <w:sz w:val="20"/>
                <w:szCs w:val="20"/>
              </w:rPr>
            </w:pPr>
            <w:r w:rsidRPr="00F40078">
              <w:rPr>
                <w:rFonts w:ascii="Sylfaen" w:hAnsi="Sylfaen" w:cstheme="minorHAnsi"/>
                <w:i/>
                <w:sz w:val="20"/>
                <w:szCs w:val="20"/>
              </w:rPr>
              <w:t>Table 14</w:t>
            </w:r>
            <w:r w:rsidRPr="00F40078">
              <w:rPr>
                <w:rFonts w:ascii="Sylfaen" w:eastAsiaTheme="minorHAnsi" w:hAnsi="Sylfaen" w:cstheme="minorHAnsi"/>
                <w:i/>
                <w:sz w:val="20"/>
                <w:szCs w:val="20"/>
              </w:rPr>
              <w:t>:</w:t>
            </w:r>
            <w:r>
              <w:rPr>
                <w:noProof/>
              </w:rPr>
              <w:t xml:space="preserve"> </w:t>
            </w:r>
            <w:r w:rsidRPr="00F40078">
              <w:rPr>
                <w:rFonts w:ascii="Sylfaen" w:eastAsiaTheme="minorHAnsi" w:hAnsi="Sylfaen" w:cstheme="minorHAnsi"/>
                <w:i/>
                <w:sz w:val="20"/>
                <w:szCs w:val="20"/>
              </w:rPr>
              <w:t xml:space="preserve"> </w:t>
            </w:r>
            <w:r w:rsidRPr="00F40078">
              <w:rPr>
                <w:rFonts w:ascii="Sylfaen" w:hAnsi="Sylfaen" w:cstheme="minorHAnsi"/>
                <w:i/>
                <w:sz w:val="20"/>
                <w:szCs w:val="20"/>
              </w:rPr>
              <w:t>Ranks</w:t>
            </w:r>
          </w:p>
        </w:tc>
      </w:tr>
      <w:tr w:rsidR="00427ABE" w:rsidRPr="00F40078" w14:paraId="22750566" w14:textId="77777777" w:rsidTr="00D230D6">
        <w:trPr>
          <w:gridAfter w:val="1"/>
          <w:wAfter w:w="1107" w:type="dxa"/>
          <w:cantSplit/>
        </w:trPr>
        <w:tc>
          <w:tcPr>
            <w:tcW w:w="1321" w:type="dxa"/>
            <w:tcBorders>
              <w:top w:val="nil"/>
              <w:left w:val="nil"/>
              <w:bottom w:val="single" w:sz="8" w:space="0" w:color="152935"/>
              <w:right w:val="nil"/>
            </w:tcBorders>
            <w:shd w:val="clear" w:color="auto" w:fill="FFFFFF"/>
            <w:vAlign w:val="bottom"/>
          </w:tcPr>
          <w:p w14:paraId="453385D4" w14:textId="77777777" w:rsidR="00427ABE" w:rsidRPr="00F40078" w:rsidRDefault="00427ABE" w:rsidP="00601430">
            <w:pPr>
              <w:autoSpaceDE w:val="0"/>
              <w:autoSpaceDN w:val="0"/>
              <w:adjustRightInd w:val="0"/>
              <w:spacing w:after="0" w:line="240" w:lineRule="auto"/>
              <w:jc w:val="center"/>
              <w:rPr>
                <w:rFonts w:ascii="Sylfaen" w:hAnsi="Sylfaen" w:cs="Times New Roman"/>
                <w:sz w:val="20"/>
                <w:szCs w:val="20"/>
              </w:rPr>
            </w:pPr>
          </w:p>
        </w:tc>
        <w:tc>
          <w:tcPr>
            <w:tcW w:w="1030" w:type="dxa"/>
            <w:tcBorders>
              <w:top w:val="nil"/>
              <w:left w:val="nil"/>
              <w:bottom w:val="single" w:sz="8" w:space="0" w:color="152935"/>
              <w:right w:val="single" w:sz="8" w:space="0" w:color="E0E0E0"/>
            </w:tcBorders>
            <w:shd w:val="clear" w:color="auto" w:fill="FFFFFF"/>
            <w:vAlign w:val="bottom"/>
          </w:tcPr>
          <w:p w14:paraId="64A1FF10"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Fairness II</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35C2FBFA"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N</w:t>
            </w:r>
          </w:p>
        </w:tc>
        <w:tc>
          <w:tcPr>
            <w:tcW w:w="1445" w:type="dxa"/>
            <w:tcBorders>
              <w:top w:val="nil"/>
              <w:left w:val="single" w:sz="8" w:space="0" w:color="E0E0E0"/>
              <w:bottom w:val="single" w:sz="8" w:space="0" w:color="152935"/>
              <w:right w:val="single" w:sz="8" w:space="0" w:color="E0E0E0"/>
            </w:tcBorders>
            <w:shd w:val="clear" w:color="auto" w:fill="FFFFFF"/>
            <w:vAlign w:val="bottom"/>
          </w:tcPr>
          <w:p w14:paraId="144986A1"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Mean Ranks</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63BE9C0A"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Sum of Ranks</w:t>
            </w:r>
          </w:p>
        </w:tc>
      </w:tr>
      <w:tr w:rsidR="00427ABE" w:rsidRPr="00F40078" w14:paraId="667B20E8" w14:textId="77777777" w:rsidTr="00D230D6">
        <w:trPr>
          <w:gridAfter w:val="1"/>
          <w:wAfter w:w="1107" w:type="dxa"/>
          <w:cantSplit/>
        </w:trPr>
        <w:tc>
          <w:tcPr>
            <w:tcW w:w="1321" w:type="dxa"/>
            <w:tcBorders>
              <w:top w:val="single" w:sz="8" w:space="0" w:color="152935"/>
              <w:left w:val="nil"/>
              <w:bottom w:val="single" w:sz="8" w:space="0" w:color="AEAEAE"/>
              <w:right w:val="nil"/>
            </w:tcBorders>
            <w:shd w:val="clear" w:color="auto" w:fill="auto"/>
          </w:tcPr>
          <w:p w14:paraId="7E5CE4C1" w14:textId="77777777" w:rsidR="00427ABE" w:rsidRPr="00E95E79" w:rsidRDefault="00427ABE" w:rsidP="00601430">
            <w:pPr>
              <w:autoSpaceDE w:val="0"/>
              <w:autoSpaceDN w:val="0"/>
              <w:adjustRightInd w:val="0"/>
              <w:spacing w:after="0" w:line="320" w:lineRule="atLeast"/>
              <w:ind w:left="60" w:right="60"/>
              <w:jc w:val="center"/>
              <w:rPr>
                <w:rFonts w:ascii="Sylfaen" w:hAnsi="Sylfaen" w:cs="Arial"/>
                <w:b/>
                <w:sz w:val="20"/>
                <w:szCs w:val="20"/>
              </w:rPr>
            </w:pPr>
            <w:r w:rsidRPr="00E95E79">
              <w:rPr>
                <w:rFonts w:ascii="Sylfaen" w:hAnsi="Sylfaen" w:cs="Arial"/>
                <w:b/>
                <w:sz w:val="20"/>
                <w:szCs w:val="20"/>
              </w:rPr>
              <w:t>Compliance</w:t>
            </w:r>
          </w:p>
        </w:tc>
        <w:tc>
          <w:tcPr>
            <w:tcW w:w="1030" w:type="dxa"/>
            <w:tcBorders>
              <w:top w:val="single" w:sz="8" w:space="0" w:color="152935"/>
              <w:left w:val="nil"/>
              <w:bottom w:val="single" w:sz="8" w:space="0" w:color="AEAEAE"/>
              <w:right w:val="single" w:sz="8" w:space="0" w:color="E0E0E0"/>
            </w:tcBorders>
            <w:shd w:val="clear" w:color="auto" w:fill="FFFFFF"/>
          </w:tcPr>
          <w:p w14:paraId="4CC0C3FD"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0</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1A2B8EC3"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9</w:t>
            </w:r>
          </w:p>
        </w:tc>
        <w:tc>
          <w:tcPr>
            <w:tcW w:w="1445" w:type="dxa"/>
            <w:tcBorders>
              <w:top w:val="single" w:sz="8" w:space="0" w:color="152935"/>
              <w:left w:val="single" w:sz="8" w:space="0" w:color="E0E0E0"/>
              <w:bottom w:val="single" w:sz="8" w:space="0" w:color="AEAEAE"/>
              <w:right w:val="single" w:sz="8" w:space="0" w:color="E0E0E0"/>
            </w:tcBorders>
            <w:shd w:val="clear" w:color="auto" w:fill="FFFFFF"/>
          </w:tcPr>
          <w:p w14:paraId="14109E1E"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8,89</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5C8E9F1E"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80,00</w:t>
            </w:r>
          </w:p>
        </w:tc>
      </w:tr>
      <w:tr w:rsidR="00427ABE" w:rsidRPr="00F40078" w14:paraId="662B185C" w14:textId="77777777" w:rsidTr="00D230D6">
        <w:trPr>
          <w:gridAfter w:val="1"/>
          <w:wAfter w:w="1107" w:type="dxa"/>
          <w:cantSplit/>
        </w:trPr>
        <w:tc>
          <w:tcPr>
            <w:tcW w:w="1321" w:type="dxa"/>
            <w:tcBorders>
              <w:top w:val="single" w:sz="8" w:space="0" w:color="AEAEAE"/>
              <w:left w:val="nil"/>
              <w:bottom w:val="single" w:sz="8" w:space="0" w:color="AEAEAE"/>
              <w:right w:val="nil"/>
            </w:tcBorders>
            <w:shd w:val="clear" w:color="auto" w:fill="auto"/>
          </w:tcPr>
          <w:p w14:paraId="1CAA4A69"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b/>
                <w:sz w:val="20"/>
                <w:szCs w:val="20"/>
              </w:rPr>
            </w:pPr>
          </w:p>
        </w:tc>
        <w:tc>
          <w:tcPr>
            <w:tcW w:w="1030" w:type="dxa"/>
            <w:tcBorders>
              <w:top w:val="single" w:sz="8" w:space="0" w:color="AEAEAE"/>
              <w:left w:val="nil"/>
              <w:bottom w:val="single" w:sz="8" w:space="0" w:color="AEAEAE"/>
              <w:right w:val="single" w:sz="8" w:space="0" w:color="E0E0E0"/>
            </w:tcBorders>
            <w:shd w:val="clear" w:color="auto" w:fill="FFFFFF"/>
          </w:tcPr>
          <w:p w14:paraId="4BF567B9"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1</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0990C49"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8</w:t>
            </w:r>
          </w:p>
        </w:tc>
        <w:tc>
          <w:tcPr>
            <w:tcW w:w="1445" w:type="dxa"/>
            <w:tcBorders>
              <w:top w:val="single" w:sz="8" w:space="0" w:color="AEAEAE"/>
              <w:left w:val="single" w:sz="8" w:space="0" w:color="E0E0E0"/>
              <w:bottom w:val="single" w:sz="8" w:space="0" w:color="AEAEAE"/>
              <w:right w:val="single" w:sz="8" w:space="0" w:color="E0E0E0"/>
            </w:tcBorders>
            <w:shd w:val="clear" w:color="auto" w:fill="FFFFFF"/>
          </w:tcPr>
          <w:p w14:paraId="2A790B76"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9,13</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00B97787"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sidRPr="00F40078">
              <w:rPr>
                <w:rFonts w:ascii="Sylfaen" w:hAnsi="Sylfaen" w:cs="Arial"/>
                <w:sz w:val="20"/>
                <w:szCs w:val="20"/>
              </w:rPr>
              <w:t>73,00</w:t>
            </w:r>
          </w:p>
        </w:tc>
      </w:tr>
      <w:tr w:rsidR="00427ABE" w:rsidRPr="00F40078" w14:paraId="226FFA52" w14:textId="77777777" w:rsidTr="00D230D6">
        <w:trPr>
          <w:gridAfter w:val="1"/>
          <w:wAfter w:w="1107" w:type="dxa"/>
          <w:cantSplit/>
        </w:trPr>
        <w:tc>
          <w:tcPr>
            <w:tcW w:w="1321" w:type="dxa"/>
            <w:tcBorders>
              <w:top w:val="single" w:sz="8" w:space="0" w:color="AEAEAE"/>
              <w:left w:val="nil"/>
              <w:bottom w:val="single" w:sz="8" w:space="0" w:color="152935"/>
              <w:right w:val="nil"/>
            </w:tcBorders>
            <w:shd w:val="clear" w:color="auto" w:fill="auto"/>
          </w:tcPr>
          <w:p w14:paraId="1E52629B" w14:textId="05101341" w:rsidR="00427ABE" w:rsidRPr="00E95E79" w:rsidRDefault="00E95E79" w:rsidP="00E95E79">
            <w:pPr>
              <w:tabs>
                <w:tab w:val="left" w:pos="435"/>
                <w:tab w:val="center" w:pos="660"/>
              </w:tabs>
              <w:autoSpaceDE w:val="0"/>
              <w:autoSpaceDN w:val="0"/>
              <w:adjustRightInd w:val="0"/>
              <w:spacing w:after="0" w:line="320" w:lineRule="atLeast"/>
              <w:ind w:left="60" w:right="60"/>
              <w:rPr>
                <w:rFonts w:ascii="Sylfaen" w:hAnsi="Sylfaen" w:cs="Arial"/>
                <w:b/>
                <w:sz w:val="20"/>
                <w:szCs w:val="20"/>
              </w:rPr>
            </w:pPr>
            <w:r>
              <w:rPr>
                <w:rFonts w:ascii="Sylfaen" w:hAnsi="Sylfaen" w:cs="Arial"/>
                <w:sz w:val="20"/>
                <w:szCs w:val="20"/>
              </w:rPr>
              <w:tab/>
            </w:r>
            <w:r w:rsidRPr="00E95E79">
              <w:rPr>
                <w:rFonts w:ascii="Sylfaen" w:hAnsi="Sylfaen" w:cs="Arial"/>
                <w:b/>
                <w:sz w:val="20"/>
                <w:szCs w:val="20"/>
              </w:rPr>
              <w:tab/>
            </w:r>
            <w:r w:rsidR="00427ABE" w:rsidRPr="00E95E79">
              <w:rPr>
                <w:rFonts w:ascii="Sylfaen" w:hAnsi="Sylfaen" w:cs="Arial"/>
                <w:b/>
                <w:sz w:val="20"/>
                <w:szCs w:val="20"/>
              </w:rPr>
              <w:t>Total</w:t>
            </w:r>
          </w:p>
        </w:tc>
        <w:tc>
          <w:tcPr>
            <w:tcW w:w="1030" w:type="dxa"/>
            <w:tcBorders>
              <w:top w:val="single" w:sz="8" w:space="0" w:color="AEAEAE"/>
              <w:left w:val="nil"/>
              <w:bottom w:val="single" w:sz="8" w:space="0" w:color="152935"/>
              <w:right w:val="single" w:sz="8" w:space="0" w:color="E0E0E0"/>
            </w:tcBorders>
            <w:shd w:val="clear" w:color="auto" w:fill="FFFFFF"/>
          </w:tcPr>
          <w:p w14:paraId="599DA9CD"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108800FB"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r>
              <w:rPr>
                <w:rFonts w:ascii="Sylfaen" w:hAnsi="Sylfaen" w:cs="Arial"/>
                <w:sz w:val="20"/>
                <w:szCs w:val="20"/>
              </w:rPr>
              <w:t>17</w:t>
            </w:r>
          </w:p>
        </w:tc>
        <w:tc>
          <w:tcPr>
            <w:tcW w:w="1445" w:type="dxa"/>
            <w:tcBorders>
              <w:top w:val="single" w:sz="8" w:space="0" w:color="AEAEAE"/>
              <w:left w:val="single" w:sz="8" w:space="0" w:color="E0E0E0"/>
              <w:bottom w:val="single" w:sz="8" w:space="0" w:color="152935"/>
              <w:right w:val="single" w:sz="8" w:space="0" w:color="E0E0E0"/>
            </w:tcBorders>
            <w:shd w:val="clear" w:color="auto" w:fill="FFFFFF"/>
          </w:tcPr>
          <w:p w14:paraId="4C9A590D"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p>
        </w:tc>
        <w:tc>
          <w:tcPr>
            <w:tcW w:w="1076" w:type="dxa"/>
            <w:tcBorders>
              <w:top w:val="single" w:sz="8" w:space="0" w:color="AEAEAE"/>
              <w:left w:val="single" w:sz="8" w:space="0" w:color="E0E0E0"/>
              <w:bottom w:val="single" w:sz="8" w:space="0" w:color="152935"/>
              <w:right w:val="single" w:sz="8" w:space="0" w:color="E0E0E0"/>
            </w:tcBorders>
            <w:shd w:val="clear" w:color="auto" w:fill="FFFFFF"/>
          </w:tcPr>
          <w:p w14:paraId="58572695" w14:textId="77777777" w:rsidR="00427ABE" w:rsidRPr="00F40078" w:rsidRDefault="00427ABE" w:rsidP="00601430">
            <w:pPr>
              <w:autoSpaceDE w:val="0"/>
              <w:autoSpaceDN w:val="0"/>
              <w:adjustRightInd w:val="0"/>
              <w:spacing w:after="0" w:line="320" w:lineRule="atLeast"/>
              <w:ind w:left="60" w:right="60"/>
              <w:jc w:val="center"/>
              <w:rPr>
                <w:rFonts w:ascii="Sylfaen" w:hAnsi="Sylfaen" w:cs="Arial"/>
                <w:sz w:val="20"/>
                <w:szCs w:val="20"/>
              </w:rPr>
            </w:pPr>
          </w:p>
        </w:tc>
      </w:tr>
    </w:tbl>
    <w:p w14:paraId="4537965D" w14:textId="0F84F751" w:rsidR="00821A3C" w:rsidRPr="00540EDF" w:rsidRDefault="00821A3C" w:rsidP="000862B1">
      <w:pPr>
        <w:jc w:val="center"/>
      </w:pPr>
    </w:p>
    <w:p w14:paraId="0042DC43" w14:textId="3BFC34ED" w:rsidR="001B2F24" w:rsidRDefault="001B2F24" w:rsidP="00846159">
      <w:pPr>
        <w:spacing w:line="360" w:lineRule="auto"/>
        <w:jc w:val="center"/>
      </w:pPr>
      <w:r>
        <w:rPr>
          <w:noProof/>
        </w:rPr>
        <w:lastRenderedPageBreak/>
        <w:drawing>
          <wp:inline distT="0" distB="0" distL="0" distR="0" wp14:anchorId="48A41668" wp14:editId="52CD402E">
            <wp:extent cx="2514523" cy="2229730"/>
            <wp:effectExtent l="0" t="0" r="635" b="0"/>
            <wp:docPr id="30" name="Afbeelding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23114" cy="2237348"/>
                    </a:xfrm>
                    <a:prstGeom prst="rect">
                      <a:avLst/>
                    </a:prstGeom>
                    <a:noFill/>
                    <a:ln>
                      <a:noFill/>
                    </a:ln>
                  </pic:spPr>
                </pic:pic>
              </a:graphicData>
            </a:graphic>
          </wp:inline>
        </w:drawing>
      </w:r>
    </w:p>
    <w:p w14:paraId="1D17521F" w14:textId="4C76AFCB" w:rsidR="00121EEF" w:rsidRPr="00743828" w:rsidRDefault="00540EDF" w:rsidP="00540EDF">
      <w:pPr>
        <w:spacing w:line="360" w:lineRule="auto"/>
      </w:pPr>
      <w:r>
        <w:t xml:space="preserve">As shown in the table </w:t>
      </w:r>
      <w:r w:rsidR="00121EEF">
        <w:t>above</w:t>
      </w:r>
      <w:r>
        <w:t xml:space="preserve">, </w:t>
      </w:r>
      <w:r w:rsidR="00532CC7">
        <w:t xml:space="preserve">with p &lt; 0.05, </w:t>
      </w:r>
      <w:r>
        <w:t>the result is not significant</w:t>
      </w:r>
      <w:r w:rsidR="00532CC7">
        <w:t xml:space="preserve"> (0.917)</w:t>
      </w:r>
      <w:r>
        <w:t xml:space="preserve">. </w:t>
      </w:r>
      <w:r w:rsidR="00532CC7">
        <w:t>N</w:t>
      </w:r>
      <w:r>
        <w:t xml:space="preserve">o significant difference </w:t>
      </w:r>
      <w:r w:rsidR="00DB051A">
        <w:t xml:space="preserve">in compliance </w:t>
      </w:r>
      <w:r w:rsidR="00532CC7">
        <w:t xml:space="preserve">is found </w:t>
      </w:r>
      <w:r w:rsidR="00DB051A">
        <w:t>between the group with high procedural fairness and the group with low procedural fairness</w:t>
      </w:r>
      <w:r w:rsidR="002C4352">
        <w:t xml:space="preserve">. </w:t>
      </w:r>
      <w:r>
        <w:t xml:space="preserve">This means that the null hypothesis cannot be rejected: </w:t>
      </w:r>
      <w:r w:rsidR="00121EEF">
        <w:t>member states who ar</w:t>
      </w:r>
      <w:r w:rsidR="00121EEF" w:rsidRPr="00743828">
        <w:t xml:space="preserve">e against a certain directive are not more likely to comply with that directive if the decision-making procedure was fair, compared to member states who are against a certain directive and </w:t>
      </w:r>
      <w:r w:rsidR="00F901DB" w:rsidRPr="00743828">
        <w:t xml:space="preserve">encounter </w:t>
      </w:r>
      <w:r w:rsidR="00121EEF" w:rsidRPr="00743828">
        <w:t xml:space="preserve">a less fair decision-making procedure. </w:t>
      </w:r>
    </w:p>
    <w:p w14:paraId="36769EC7" w14:textId="07C75148" w:rsidR="005D51EF" w:rsidRPr="005D51EF" w:rsidRDefault="00BD5C28" w:rsidP="00540EDF">
      <w:pPr>
        <w:spacing w:line="360" w:lineRule="auto"/>
        <w:rPr>
          <w:color w:val="FF0000"/>
        </w:rPr>
      </w:pPr>
      <w:r w:rsidRPr="00743828">
        <w:t xml:space="preserve">Testing </w:t>
      </w:r>
      <w:r w:rsidR="00A8163B" w:rsidRPr="00743828">
        <w:t xml:space="preserve">this second hypothesis leads to the same conclusion as the analysis of the first dataset: procedural fairness influences compliance </w:t>
      </w:r>
      <w:r w:rsidR="009B63CB" w:rsidRPr="00743828">
        <w:t xml:space="preserve">of EU member states </w:t>
      </w:r>
      <w:r w:rsidR="00A8163B" w:rsidRPr="00743828">
        <w:t>to a limited extent. The added value of this analysis is that it provides more insight in the debate about the interaction between procedural fairness and outcome favorability, as referred to in the theoretical framework. L</w:t>
      </w:r>
      <w:r w:rsidR="005D51EF" w:rsidRPr="00743828">
        <w:t>egitimacy</w:t>
      </w:r>
      <w:r w:rsidR="00A8163B" w:rsidRPr="00743828">
        <w:t xml:space="preserve"> – in this case procedural fairness – does </w:t>
      </w:r>
      <w:r w:rsidR="005D51EF" w:rsidRPr="00743828">
        <w:t>not override willingnes</w:t>
      </w:r>
      <w:r w:rsidR="00A8163B" w:rsidRPr="00743828">
        <w:t>s</w:t>
      </w:r>
      <w:r w:rsidR="00743828">
        <w:t xml:space="preserve">, or in this case </w:t>
      </w:r>
      <w:r w:rsidR="00A8163B" w:rsidRPr="00743828">
        <w:t>outcome favorability, even in cases when procedural fairness i</w:t>
      </w:r>
      <w:r w:rsidR="00743828">
        <w:t>s</w:t>
      </w:r>
      <w:r w:rsidR="00A8163B" w:rsidRPr="00743828">
        <w:t xml:space="preserve"> relatively high. More attention is dedicated to the consequences of this outcome for the field of compliance research in the following chapter; the conclusion of this study. </w:t>
      </w:r>
      <w:r w:rsidR="00A8163B">
        <w:rPr>
          <w:color w:val="FF0000"/>
        </w:rPr>
        <w:t xml:space="preserve"> </w:t>
      </w:r>
    </w:p>
    <w:p w14:paraId="2BD4A7B7" w14:textId="77777777" w:rsidR="00E378FA" w:rsidRDefault="00E378FA" w:rsidP="0065763B">
      <w:pPr>
        <w:pStyle w:val="Kop1"/>
      </w:pPr>
    </w:p>
    <w:p w14:paraId="753B4A24" w14:textId="77777777" w:rsidR="00E378FA" w:rsidRDefault="00E378FA" w:rsidP="00E378FA">
      <w:pPr>
        <w:rPr>
          <w:rFonts w:asciiTheme="majorHAnsi" w:eastAsiaTheme="majorEastAsia" w:hAnsiTheme="majorHAnsi" w:cstheme="majorBidi"/>
          <w:color w:val="2E74B5" w:themeColor="accent1" w:themeShade="BF"/>
          <w:sz w:val="32"/>
          <w:szCs w:val="32"/>
        </w:rPr>
      </w:pPr>
      <w:r>
        <w:br w:type="page"/>
      </w:r>
    </w:p>
    <w:p w14:paraId="4BC63B76" w14:textId="77777777" w:rsidR="008034FF" w:rsidRPr="008A0728" w:rsidRDefault="008034FF" w:rsidP="008034FF">
      <w:pPr>
        <w:pStyle w:val="Kop1"/>
      </w:pPr>
      <w:bookmarkStart w:id="49" w:name="_Toc3547862"/>
      <w:r w:rsidRPr="008A0728">
        <w:lastRenderedPageBreak/>
        <w:t>Chapter 5 – Conclusion</w:t>
      </w:r>
      <w:bookmarkEnd w:id="49"/>
      <w:r w:rsidRPr="008A0728">
        <w:t xml:space="preserve"> </w:t>
      </w:r>
    </w:p>
    <w:p w14:paraId="0EE3F529" w14:textId="77777777" w:rsidR="008034FF" w:rsidRPr="008A0728" w:rsidRDefault="008034FF" w:rsidP="008034FF"/>
    <w:p w14:paraId="5A40F0D2" w14:textId="791136F3" w:rsidR="008034FF" w:rsidRDefault="008034FF" w:rsidP="008034FF">
      <w:pPr>
        <w:spacing w:line="360" w:lineRule="auto"/>
      </w:pPr>
      <w:r>
        <w:t>In this final chapter, the central question will be answered</w:t>
      </w:r>
      <w:r w:rsidRPr="00743828">
        <w:t xml:space="preserve">. </w:t>
      </w:r>
      <w:r w:rsidR="009F566A" w:rsidRPr="00743828">
        <w:t xml:space="preserve">Conclusions will be drawn, </w:t>
      </w:r>
      <w:r w:rsidR="006822E0" w:rsidRPr="00743828">
        <w:t xml:space="preserve">while </w:t>
      </w:r>
      <w:r w:rsidR="009F566A" w:rsidRPr="00743828">
        <w:t>recalling</w:t>
      </w:r>
      <w:r w:rsidR="006822E0" w:rsidRPr="00743828">
        <w:t xml:space="preserve"> that the generalizability of the conclusions is low – specifically for H2 – for internal and external validity reasons. </w:t>
      </w:r>
      <w:r w:rsidRPr="00743828">
        <w:t xml:space="preserve">The </w:t>
      </w:r>
      <w:r w:rsidR="00F901DB" w:rsidRPr="00743828">
        <w:t xml:space="preserve">broader </w:t>
      </w:r>
      <w:r w:rsidRPr="00743828">
        <w:t>implications for the field are</w:t>
      </w:r>
      <w:r>
        <w:t xml:space="preserve"> also discussed, as well as the possibilities for </w:t>
      </w:r>
      <w:r w:rsidR="00F901DB">
        <w:t>subsequent</w:t>
      </w:r>
      <w:r>
        <w:t xml:space="preserve"> research. </w:t>
      </w:r>
      <w:r w:rsidR="00F901DB">
        <w:t>Finally</w:t>
      </w:r>
      <w:r>
        <w:t xml:space="preserve">, </w:t>
      </w:r>
      <w:r w:rsidR="00F901DB">
        <w:t>the quality of the research will be reflected on</w:t>
      </w:r>
      <w:r>
        <w:t xml:space="preserve">. </w:t>
      </w:r>
    </w:p>
    <w:p w14:paraId="7CC1EE9A" w14:textId="68B29B5E" w:rsidR="00A81696" w:rsidRPr="00743828" w:rsidRDefault="008034FF" w:rsidP="008034FF">
      <w:pPr>
        <w:spacing w:line="360" w:lineRule="auto"/>
      </w:pPr>
      <w:r>
        <w:rPr>
          <w:rStyle w:val="Kop5Char"/>
        </w:rPr>
        <w:t xml:space="preserve">5.1 </w:t>
      </w:r>
      <w:r w:rsidRPr="00A841E7">
        <w:rPr>
          <w:rStyle w:val="Kop5Char"/>
        </w:rPr>
        <w:t xml:space="preserve">Answering the </w:t>
      </w:r>
      <w:r w:rsidR="00A81696">
        <w:rPr>
          <w:rStyle w:val="Kop5Char"/>
        </w:rPr>
        <w:t>research</w:t>
      </w:r>
      <w:r w:rsidRPr="00A841E7">
        <w:rPr>
          <w:rStyle w:val="Kop5Char"/>
        </w:rPr>
        <w:t xml:space="preserve"> question</w:t>
      </w:r>
      <w:r>
        <w:rPr>
          <w:rStyle w:val="Kop5Char"/>
        </w:rPr>
        <w:t xml:space="preserve"> and implications for the field of compliance research</w:t>
      </w:r>
      <w:r>
        <w:br/>
      </w:r>
      <w:r w:rsidR="00A81696">
        <w:t>The research question was: to what extent does the proce</w:t>
      </w:r>
      <w:r w:rsidR="00A81696" w:rsidRPr="00743828">
        <w:t>dural fairness of EU decision-making procedures affect member states’ compliance with decisions taken during that decision-making procedure?</w:t>
      </w:r>
    </w:p>
    <w:p w14:paraId="08639AB5" w14:textId="1B8A26CB" w:rsidR="008034FF" w:rsidRPr="00743828" w:rsidRDefault="008034FF" w:rsidP="008034FF">
      <w:pPr>
        <w:spacing w:line="360" w:lineRule="auto"/>
      </w:pPr>
      <w:r w:rsidRPr="00743828">
        <w:t>To start right away</w:t>
      </w:r>
      <w:r w:rsidR="006822E0" w:rsidRPr="00743828">
        <w:t xml:space="preserve"> with the answer to this question</w:t>
      </w:r>
      <w:r w:rsidRPr="00743828">
        <w:t xml:space="preserve">: this </w:t>
      </w:r>
      <w:r w:rsidR="00F87636" w:rsidRPr="00743828">
        <w:t xml:space="preserve">study </w:t>
      </w:r>
      <w:r w:rsidRPr="00743828">
        <w:t xml:space="preserve">showed that procedural fairness of EU decision-making procedures affects member states’ compliance </w:t>
      </w:r>
      <w:r w:rsidR="00A81696" w:rsidRPr="00743828">
        <w:t xml:space="preserve">with decisions taken during that procedure </w:t>
      </w:r>
      <w:r w:rsidRPr="00743828">
        <w:t xml:space="preserve">to a limited extent. However, more can be said about this outcome. The more elaborate answer is that one of the three indicators of procedural fairness correlated </w:t>
      </w:r>
      <w:r w:rsidR="006822E0" w:rsidRPr="00743828">
        <w:t>negatively</w:t>
      </w:r>
      <w:r w:rsidRPr="00743828">
        <w:t xml:space="preserve"> with compliance, namely the average weight of opposing member states. However, this could also be explained from the perspective of willingness. The reasoning would be that the average weight of opposing member states correlates with the popularity of a directive. So, the higher the average weight of opposing member states, the more unwillingness and the </w:t>
      </w:r>
      <w:r w:rsidR="006822E0" w:rsidRPr="00743828">
        <w:t xml:space="preserve">less </w:t>
      </w:r>
      <w:r w:rsidRPr="00743828">
        <w:t xml:space="preserve">compliance. Interestingly, the Pearson correlation did not show problematic values of correlation between the average weight and opposing member states and stance. </w:t>
      </w:r>
    </w:p>
    <w:p w14:paraId="7032D33D" w14:textId="5A0AF243" w:rsidR="008034FF" w:rsidRDefault="008034FF" w:rsidP="008034FF">
      <w:pPr>
        <w:spacing w:line="360" w:lineRule="auto"/>
      </w:pPr>
      <w:r w:rsidRPr="00743828">
        <w:t xml:space="preserve">The two other predictors, consultations and the number of times a proposal is discussed, did not explain compliance as expected. The data showed a </w:t>
      </w:r>
      <w:r w:rsidR="006822E0" w:rsidRPr="00743828">
        <w:t>negative</w:t>
      </w:r>
      <w:r w:rsidRPr="00743828">
        <w:t xml:space="preserve"> relation between (the type of) public consultations and compliance, whereas a </w:t>
      </w:r>
      <w:r w:rsidR="006822E0" w:rsidRPr="00743828">
        <w:t>positive</w:t>
      </w:r>
      <w:r w:rsidRPr="00743828">
        <w:t xml:space="preserve"> relation was expected. On top of that, the relation was significant. It is difficult to explain this, recalling that in </w:t>
      </w:r>
      <w:r w:rsidR="00F87636" w:rsidRPr="00743828">
        <w:t xml:space="preserve">the </w:t>
      </w:r>
      <w:r w:rsidRPr="00743828">
        <w:t>literature on consultations there is broad consensus that consultations are legitimacy-buildin</w:t>
      </w:r>
      <w:r>
        <w:t>g (e.g. Kl</w:t>
      </w:r>
      <w:r>
        <w:rPr>
          <w:rFonts w:cstheme="minorHAnsi"/>
        </w:rPr>
        <w:t>ü</w:t>
      </w:r>
      <w:r>
        <w:t xml:space="preserve">ver, 2013). The Commission uses consultations to legitimize </w:t>
      </w:r>
      <w:r w:rsidR="00F87636">
        <w:t xml:space="preserve">its </w:t>
      </w:r>
      <w:r>
        <w:t>proposals and gain political support (Kl</w:t>
      </w:r>
      <w:r>
        <w:rPr>
          <w:rFonts w:cstheme="minorHAnsi"/>
        </w:rPr>
        <w:t>ü</w:t>
      </w:r>
      <w:r>
        <w:t xml:space="preserve">ver, 2013; van Ballaert, 2017). This </w:t>
      </w:r>
      <w:r w:rsidR="00BF4067">
        <w:t xml:space="preserve">study </w:t>
      </w:r>
      <w:r>
        <w:t>challenges that broad consensus</w:t>
      </w:r>
      <w:r w:rsidR="00BF4067">
        <w:t xml:space="preserve">, suggesting that </w:t>
      </w:r>
      <w:r>
        <w:t xml:space="preserve">more research on the relation between consultations and compliance is needed. An explanation for this outcome can be found in the operationalization of dignity. Esaiasson et al. (2016) focused in their definition of dignity on the way in which individuals are involved in the process and whether or not individuals are treated with dignity during the decision-making process. This definition was interpreted differently in this research, because it this is difficult to measure how individuals are treated by the Commission during the consultation process. This might have affected the results. Another explanation can be that </w:t>
      </w:r>
      <w:r>
        <w:lastRenderedPageBreak/>
        <w:t xml:space="preserve">through extensive consultations the stakeholders got too much influence, with three possible scenarios. In the first scenario, the Commission </w:t>
      </w:r>
      <w:r w:rsidR="00AF58DB">
        <w:t>was</w:t>
      </w:r>
      <w:r>
        <w:t xml:space="preserve"> convinced by the opinions of stakeholders and watered down the proposal too much in </w:t>
      </w:r>
      <w:r w:rsidR="00AF58DB">
        <w:t>a</w:t>
      </w:r>
      <w:r>
        <w:t xml:space="preserve"> direction </w:t>
      </w:r>
      <w:r w:rsidR="00AF58DB">
        <w:t xml:space="preserve">that </w:t>
      </w:r>
      <w:r>
        <w:t xml:space="preserve">EU member states would not favor. It could also be that the proposal became too one-sided after consultations, in line with preferences of one group of EU member states. Other EU member states would not favor that proposal and would not be willing to comply. Both scenarios explain the result from a willingness perspective. However, more votes against the directive would be expected. </w:t>
      </w:r>
      <w:r w:rsidR="00EA2B1A">
        <w:t>The</w:t>
      </w:r>
      <w:r>
        <w:t xml:space="preserve"> third and probably most convincing scenario is that broad consultations amongst experts and stakeholders made the proposal too complex. The complexity of a directive is also an explanatory variable for compliance</w:t>
      </w:r>
      <w:r w:rsidRPr="006D0313">
        <w:t xml:space="preserve"> (Collins and Earnshaw, 1992; Mastenbroek, 2005). </w:t>
      </w:r>
      <w:r>
        <w:t xml:space="preserve">In that scenario a vote against is not expected, but non-compliance might be an option, especially for member states with low institutional capacity. </w:t>
      </w:r>
    </w:p>
    <w:p w14:paraId="68DEC1EB" w14:textId="275EC9E5" w:rsidR="008034FF" w:rsidRDefault="008034FF" w:rsidP="008034FF">
      <w:pPr>
        <w:spacing w:line="360" w:lineRule="auto"/>
      </w:pPr>
      <w:r>
        <w:t xml:space="preserve">No significant relation was found between the number of times a proposal was discussed and compliance. A certain degree of ambiguity is also present for this variable: more discussions could indicate a salient issue, both also more ‘input-moments’. This </w:t>
      </w:r>
      <w:r w:rsidR="00EA2B1A">
        <w:t xml:space="preserve">study </w:t>
      </w:r>
      <w:r>
        <w:t xml:space="preserve">was not able to clarify this relation further. </w:t>
      </w:r>
    </w:p>
    <w:p w14:paraId="44C250D4" w14:textId="77777777" w:rsidR="008034FF" w:rsidRDefault="008034FF" w:rsidP="008034FF">
      <w:pPr>
        <w:spacing w:line="360" w:lineRule="auto"/>
      </w:pPr>
      <w:r>
        <w:t xml:space="preserve">The image as described above was confirmed by the second hypothesis. The group with procedural fairness above the average degree of fairness did not differ significantly from the group with a value below the average. Still, conclusions should be drawn carefully because of the low amount of cases and the appurtenant issues with generalizability. </w:t>
      </w:r>
    </w:p>
    <w:p w14:paraId="39C5CCC2" w14:textId="6EE0AAC8" w:rsidR="008034FF" w:rsidRDefault="008034FF" w:rsidP="008034FF">
      <w:pPr>
        <w:spacing w:line="360" w:lineRule="auto"/>
      </w:pPr>
      <w:r>
        <w:t xml:space="preserve">Perhaps the strongest indication for the explanatory power of fairness-related variables was the adjusted R square. Those values varied between 10.3 % and 12.3%, which indicates that the data was able to explain maximum 12.3% of the total variance. It is illustrative that in that dataset the control variables were included – of which two of them turned out to have a significant, positive correlation with compliance. This also says something about legitimacy-related variables as explanatory powers for compliance. Both variables – post-2004 accession and Nordic countries – explain compliance from a legitimacy point-of-view. In Nordic countries, compliance is explained by a strong culture of </w:t>
      </w:r>
      <w:r w:rsidR="00EF731D">
        <w:t>abiding to the law</w:t>
      </w:r>
      <w:r>
        <w:t xml:space="preserve">. In post-2004 countries, compliance is explained by compliance ‘as the norm’. Although the selected independent variables in this research – also related to legitimacy – did not explain compliance well, other legitimacy variables do. This leads to perhaps the most important conclusion of this thesis: legitimacy is </w:t>
      </w:r>
      <w:r w:rsidR="00743828">
        <w:t xml:space="preserve">a </w:t>
      </w:r>
      <w:r>
        <w:t xml:space="preserve">relevant third explanatory power for compliance, next to willingness and institutional capacity. </w:t>
      </w:r>
    </w:p>
    <w:p w14:paraId="744D1068" w14:textId="77777777" w:rsidR="008034FF" w:rsidRDefault="008034FF" w:rsidP="008034FF">
      <w:pPr>
        <w:pStyle w:val="Kop5"/>
        <w:spacing w:line="360" w:lineRule="auto"/>
      </w:pPr>
      <w:r>
        <w:lastRenderedPageBreak/>
        <w:t>5.2 The possibilities for follow-up research</w:t>
      </w:r>
    </w:p>
    <w:p w14:paraId="4B7B4F21" w14:textId="4195613E" w:rsidR="008034FF" w:rsidRPr="00743828" w:rsidRDefault="008034FF" w:rsidP="008034FF">
      <w:pPr>
        <w:spacing w:line="360" w:lineRule="auto"/>
      </w:pPr>
      <w:r>
        <w:t xml:space="preserve">This </w:t>
      </w:r>
      <w:r w:rsidR="00EF731D">
        <w:t xml:space="preserve">study </w:t>
      </w:r>
      <w:r>
        <w:t xml:space="preserve">led to a number of follow-up questions, which can be relevant for future research. They can all be summarized around more in-depth research. Although compliance literature pointed convincingly towards a relationship between procedural fairness and compliance, this </w:t>
      </w:r>
      <w:r w:rsidR="00A418CD">
        <w:t xml:space="preserve">study </w:t>
      </w:r>
      <w:r>
        <w:t>could only prove a re</w:t>
      </w:r>
      <w:r w:rsidRPr="00743828">
        <w:t xml:space="preserve">lationship between legitimacy and compliance. </w:t>
      </w:r>
      <w:r w:rsidR="005D51EF" w:rsidRPr="00743828">
        <w:t xml:space="preserve">A case study on the relation between procedural fairness and compliance would be the first recommendation for follow-up research, because </w:t>
      </w:r>
      <w:r w:rsidRPr="00743828">
        <w:t>in-depth process tracing could shed more light on the relation between procedural fairness and compliance</w:t>
      </w:r>
      <w:r w:rsidR="005D51EF" w:rsidRPr="00743828">
        <w:t xml:space="preserve"> than this study did</w:t>
      </w:r>
      <w:r w:rsidRPr="00743828">
        <w:t xml:space="preserve">. Other theories about procedural fairness – with other indicators – could also be included in future research, since </w:t>
      </w:r>
      <w:r w:rsidR="00A418CD" w:rsidRPr="00743828">
        <w:t xml:space="preserve">only </w:t>
      </w:r>
      <w:r w:rsidRPr="00743828">
        <w:t xml:space="preserve">one of Esaiasson’s indicators explained compliance well. </w:t>
      </w:r>
    </w:p>
    <w:p w14:paraId="54978DD0" w14:textId="7BCBEE81" w:rsidR="008034FF" w:rsidRPr="00743828" w:rsidRDefault="008034FF" w:rsidP="008034FF">
      <w:pPr>
        <w:spacing w:line="360" w:lineRule="auto"/>
      </w:pPr>
      <w:r w:rsidRPr="00743828">
        <w:t xml:space="preserve">Follow-up research could focus on the other indicators of procedural fairness than the ones used in this </w:t>
      </w:r>
      <w:r w:rsidR="00A418CD" w:rsidRPr="00743828">
        <w:t>study</w:t>
      </w:r>
      <w:r w:rsidRPr="00743828">
        <w:t>. The indicator for the first component, voice, was not significant. The number of discussions will probably never explain compliance well from a legitimacy perspective, because it also indicates the difficulty of negotiations between the EU member states. Another indicator for this component c</w:t>
      </w:r>
      <w:r w:rsidR="00183E64" w:rsidRPr="00743828">
        <w:t>ould</w:t>
      </w:r>
      <w:r w:rsidRPr="00743828">
        <w:t xml:space="preserve"> be the perceived value of voice in the decision-making process, measured by a survey amongst delegates from EU member states.</w:t>
      </w:r>
    </w:p>
    <w:p w14:paraId="552842D2" w14:textId="5989C36C" w:rsidR="008034FF" w:rsidRPr="00743828" w:rsidRDefault="008034FF" w:rsidP="008034FF">
      <w:pPr>
        <w:spacing w:line="360" w:lineRule="auto"/>
      </w:pPr>
      <w:r w:rsidRPr="00743828">
        <w:t xml:space="preserve">Perhaps the most interesting result in this research is the result for public consultations, the second indicator. The explanations provided for this result deserve more attention. A case study on a directive with broad consultations but low compliance would be interesting, with </w:t>
      </w:r>
      <w:r w:rsidR="00183E64" w:rsidRPr="00743828">
        <w:t>one</w:t>
      </w:r>
      <w:r w:rsidRPr="00743828">
        <w:t xml:space="preserve"> case concerning a member state with high institutional capacity and another case with low institutional capacity.  </w:t>
      </w:r>
    </w:p>
    <w:p w14:paraId="04985F77" w14:textId="77777777" w:rsidR="008034FF" w:rsidRPr="00743828" w:rsidRDefault="008034FF" w:rsidP="008034FF">
      <w:pPr>
        <w:spacing w:line="360" w:lineRule="auto"/>
      </w:pPr>
      <w:r w:rsidRPr="00743828">
        <w:t xml:space="preserve">The third component, consistency, was perhaps the most difficult to measure, because the definition focused on the </w:t>
      </w:r>
      <w:r w:rsidRPr="00743828">
        <w:rPr>
          <w:i/>
        </w:rPr>
        <w:t xml:space="preserve">absence </w:t>
      </w:r>
      <w:r w:rsidRPr="00743828">
        <w:t xml:space="preserve">of a bias. This operationalization also suffered from ambiguity; it also indicates the stance of EU member states towards a proposal. Future research could try to measure the absence of this bias even better, for example though surveys amongst and interviews with delegates from EU member states. </w:t>
      </w:r>
    </w:p>
    <w:p w14:paraId="6492FE4B" w14:textId="77777777" w:rsidR="008034FF" w:rsidRDefault="008034FF" w:rsidP="008034FF">
      <w:pPr>
        <w:spacing w:line="360" w:lineRule="auto"/>
      </w:pPr>
      <w:r w:rsidRPr="00743828">
        <w:t>In short, follow-up research is needed to test the given explanations for the result for public consultations and the claim that consultations may lead to a more complex directive. Future research should have a case study design and focus on the relation between procedural fairness and compliance, us</w:t>
      </w:r>
      <w:r>
        <w:t xml:space="preserve">ing techniques such as process tracing and including other components or indicators for procedural fairness, like the indicators suggested above.  </w:t>
      </w:r>
    </w:p>
    <w:p w14:paraId="76326792" w14:textId="77777777" w:rsidR="008034FF" w:rsidRDefault="008034FF" w:rsidP="008034FF">
      <w:pPr>
        <w:pStyle w:val="Kop5"/>
        <w:spacing w:line="360" w:lineRule="auto"/>
      </w:pPr>
      <w:r>
        <w:lastRenderedPageBreak/>
        <w:t>5.3 Reflections on research quality</w:t>
      </w:r>
    </w:p>
    <w:p w14:paraId="06BC5490" w14:textId="151AEA1E" w:rsidR="008034FF" w:rsidRDefault="008034FF" w:rsidP="008034FF">
      <w:pPr>
        <w:spacing w:line="360" w:lineRule="auto"/>
      </w:pPr>
      <w:r>
        <w:t xml:space="preserve">Looking back, there are some comments to be made about the way the research </w:t>
      </w:r>
      <w:r w:rsidR="00183E64">
        <w:t>was</w:t>
      </w:r>
      <w:r>
        <w:t xml:space="preserve"> conducted.</w:t>
      </w:r>
      <w:r w:rsidRPr="00DF7A78">
        <w:t xml:space="preserve"> </w:t>
      </w:r>
      <w:r>
        <w:t>First, fairness is a subjective concept, but was measured objectively. This choice was made for feasibility reasons. A statistical analysis requires many cases, so measuring the fairness of more than twenty decision-making procedures subjectively amongst national EU delegates – through surveys and/or interviews – would have taken much time. Moreover, as an outsider it would be difficult to figure out which delegates were involved in the decision-making process. An in-depth case study analyzing and comparing a few directives would perhaps have been a better choice, in order to explore the exact causal chain better. However, since the literature pointed clearly towards a relationship between those variables, a statistical analysis seemed obvious.</w:t>
      </w:r>
    </w:p>
    <w:p w14:paraId="0204C9FE" w14:textId="77777777" w:rsidR="008034FF" w:rsidRDefault="008034FF" w:rsidP="008034FF">
      <w:pPr>
        <w:spacing w:line="360" w:lineRule="auto"/>
      </w:pPr>
      <w:r>
        <w:t xml:space="preserve">Secondly, it is difficult to grasp if the indicators of procedural fairness as defined by Esassaison et al. (2016) really make a difference for national policy officers in their decision to comply. Other theories would probably have resulted in other indicators, but Esaiasson’s theory looked promising as it was straightforward and defined the components of procedural fairness clearly, which made operationalization easier. </w:t>
      </w:r>
    </w:p>
    <w:p w14:paraId="0CC5D929" w14:textId="2FEF56CD" w:rsidR="008034FF" w:rsidRPr="00743828" w:rsidRDefault="008034FF" w:rsidP="008034FF">
      <w:pPr>
        <w:spacing w:line="360" w:lineRule="auto"/>
      </w:pPr>
      <w:r>
        <w:t xml:space="preserve">Operationalization was difficult, because EU decision-making processes have many variables. The choices for the indicators in this research have been discussed extensively in the third chapter and are subject to </w:t>
      </w:r>
      <w:r w:rsidRPr="00743828">
        <w:t xml:space="preserve">discussion. An example of a difficult choice was how to measure consistency (‘the absence of a </w:t>
      </w:r>
      <w:proofErr w:type="spellStart"/>
      <w:r w:rsidRPr="00743828">
        <w:t>bias’</w:t>
      </w:r>
      <w:proofErr w:type="spellEnd"/>
      <w:r w:rsidRPr="00743828">
        <w:t xml:space="preserve">) objectively. As indicated earlier in this chapter, the indicator used in this research </w:t>
      </w:r>
      <w:r w:rsidR="005D51EF" w:rsidRPr="00743828">
        <w:t xml:space="preserve">may </w:t>
      </w:r>
      <w:r w:rsidRPr="00743828">
        <w:t xml:space="preserve">also indicate willingness. </w:t>
      </w:r>
      <w:r w:rsidR="00031498" w:rsidRPr="00743828">
        <w:t>Question marks regarding the internal validity of this study remain.</w:t>
      </w:r>
    </w:p>
    <w:p w14:paraId="1D28C31B" w14:textId="77777777" w:rsidR="008034FF" w:rsidRPr="00743828" w:rsidRDefault="008034FF" w:rsidP="008034FF">
      <w:pPr>
        <w:spacing w:line="360" w:lineRule="auto"/>
      </w:pPr>
      <w:r w:rsidRPr="00743828">
        <w:t xml:space="preserve">Fourthly, the quantity of cases was unfortunately not always ideal. For example, the outcome of the second hypothesis cannot be generalized, because of the low amount of cases included in the dataset. The external validity of this hypothesis is thus low. However, those cases were the only cases available. The future will probably deliver more cases, so this hypothesis should be tested again in a few years. </w:t>
      </w:r>
    </w:p>
    <w:p w14:paraId="3FD198AC" w14:textId="77777777" w:rsidR="008034FF" w:rsidRPr="00743828" w:rsidRDefault="008034FF" w:rsidP="008034FF">
      <w:pPr>
        <w:spacing w:line="360" w:lineRule="auto"/>
      </w:pPr>
      <w:r w:rsidRPr="00743828">
        <w:t xml:space="preserve">The final consideration is that no difference is made in the </w:t>
      </w:r>
      <w:r w:rsidRPr="00743828">
        <w:rPr>
          <w:i/>
        </w:rPr>
        <w:t xml:space="preserve">type </w:t>
      </w:r>
      <w:r w:rsidRPr="00743828">
        <w:t>of compliance. The Commission can start an infringement procedure when a directive is not implemented in national legislation, incorrectly implemented in national legislation or not properly implied (B</w:t>
      </w:r>
      <w:r w:rsidRPr="00743828">
        <w:rPr>
          <w:rFonts w:cstheme="minorHAnsi"/>
        </w:rPr>
        <w:t>ö</w:t>
      </w:r>
      <w:r w:rsidRPr="00743828">
        <w:t xml:space="preserve">rzel, 2001). No distinction between those types is made in this research focused on the influence of procedural fairness on compliance. The question to which type of compliance was considered to be less relevant. </w:t>
      </w:r>
    </w:p>
    <w:p w14:paraId="66DAE014" w14:textId="4716F929" w:rsidR="008034FF" w:rsidRPr="00743828" w:rsidRDefault="008034FF" w:rsidP="008034FF">
      <w:pPr>
        <w:spacing w:line="360" w:lineRule="auto"/>
      </w:pPr>
      <w:r w:rsidRPr="00743828">
        <w:t xml:space="preserve">The question is to what extent these flaws in the research design influenced the outcome of this research. Some aspects – another theory, other indicators, including different types of compliance, and non-manual data gathering – could lead to other results, but probably to the same outcome: </w:t>
      </w:r>
      <w:r w:rsidRPr="00743828">
        <w:lastRenderedPageBreak/>
        <w:t>procedural fairness explains compliance to a limited degree. A relation between both variables – if any – is in the best case weak. A complete</w:t>
      </w:r>
      <w:r w:rsidR="00183E64" w:rsidRPr="00743828">
        <w:t>ly</w:t>
      </w:r>
      <w:r w:rsidRPr="00743828">
        <w:t xml:space="preserve"> different research design, with an in-depth comparative case study, using process tracing to reconstruct the domestic deliberation on whether or not to comply with a certain directive</w:t>
      </w:r>
      <w:r w:rsidR="0013703E" w:rsidRPr="00743828">
        <w:t>,</w:t>
      </w:r>
      <w:r w:rsidRPr="00743828">
        <w:t xml:space="preserve"> could lead to a different outcome. </w:t>
      </w:r>
    </w:p>
    <w:p w14:paraId="75D33C79" w14:textId="0C5D6F25" w:rsidR="008034FF" w:rsidRDefault="008034FF" w:rsidP="008034FF">
      <w:pPr>
        <w:spacing w:line="360" w:lineRule="auto"/>
      </w:pPr>
      <w:r w:rsidRPr="00743828">
        <w:t xml:space="preserve">To conclude, this </w:t>
      </w:r>
      <w:r w:rsidR="0013703E" w:rsidRPr="00743828">
        <w:t xml:space="preserve">study is not without </w:t>
      </w:r>
      <w:r w:rsidRPr="00743828">
        <w:t xml:space="preserve">its flaws. Much of the flaws as discussed above are based on choices in the research design. Those choices were explained and discussed extensively, and contributed to the aim and to solving the research question of this thesis. Perhaps the biggest weakness of this research is that many choices </w:t>
      </w:r>
      <w:r w:rsidRPr="00743828">
        <w:rPr>
          <w:i/>
        </w:rPr>
        <w:t>had</w:t>
      </w:r>
      <w:r w:rsidRPr="00743828">
        <w:t xml:space="preserve"> to be made on a practical and feasible basis. The research desig</w:t>
      </w:r>
      <w:r>
        <w:t>n did not allow for the maximum freedom in selecting indicators. Still, the quality of the research within the selected research design is decent, but another research method than statistical analysis would have been able to answer the research question better.</w:t>
      </w:r>
    </w:p>
    <w:p w14:paraId="2FDDC60C" w14:textId="77777777" w:rsidR="00BC465A" w:rsidRPr="007A13AF" w:rsidRDefault="00BC465A" w:rsidP="00BC465A">
      <w:pPr>
        <w:autoSpaceDE w:val="0"/>
        <w:autoSpaceDN w:val="0"/>
        <w:adjustRightInd w:val="0"/>
        <w:spacing w:after="0" w:line="240" w:lineRule="auto"/>
        <w:rPr>
          <w:rFonts w:ascii="Times New Roman" w:eastAsiaTheme="minorHAnsi" w:hAnsi="Times New Roman" w:cs="Times New Roman"/>
          <w:sz w:val="24"/>
          <w:szCs w:val="24"/>
        </w:rPr>
      </w:pPr>
    </w:p>
    <w:p w14:paraId="6A0378FF" w14:textId="77777777" w:rsidR="00BC465A" w:rsidRPr="007A13AF" w:rsidRDefault="00BC465A" w:rsidP="00BC465A">
      <w:pPr>
        <w:autoSpaceDE w:val="0"/>
        <w:autoSpaceDN w:val="0"/>
        <w:adjustRightInd w:val="0"/>
        <w:spacing w:after="0" w:line="400" w:lineRule="atLeast"/>
        <w:rPr>
          <w:rFonts w:ascii="Times New Roman" w:eastAsiaTheme="minorHAnsi" w:hAnsi="Times New Roman" w:cs="Times New Roman"/>
          <w:sz w:val="24"/>
          <w:szCs w:val="24"/>
        </w:rPr>
      </w:pPr>
    </w:p>
    <w:p w14:paraId="2245C926" w14:textId="77777777" w:rsidR="0065763B" w:rsidRPr="00BC465A" w:rsidRDefault="0065763B" w:rsidP="00BC465A">
      <w:pPr>
        <w:rPr>
          <w:lang w:val="en-GB"/>
        </w:rPr>
      </w:pPr>
      <w:r w:rsidRPr="000D6626">
        <w:br w:type="page"/>
      </w:r>
    </w:p>
    <w:p w14:paraId="6A42699B" w14:textId="77777777" w:rsidR="007812D7" w:rsidRPr="000D6626" w:rsidRDefault="007812D7" w:rsidP="007812D7">
      <w:pPr>
        <w:pStyle w:val="Kop1"/>
        <w:rPr>
          <w:rFonts w:cstheme="minorHAnsi"/>
        </w:rPr>
      </w:pPr>
      <w:bookmarkStart w:id="50" w:name="_Toc3547863"/>
      <w:r w:rsidRPr="000D6626">
        <w:lastRenderedPageBreak/>
        <w:t>References</w:t>
      </w:r>
      <w:bookmarkEnd w:id="50"/>
      <w:r w:rsidRPr="000D6626">
        <w:br/>
      </w:r>
    </w:p>
    <w:p w14:paraId="59DBF910" w14:textId="77777777" w:rsidR="007D2B74" w:rsidRPr="00E054CF" w:rsidRDefault="007D2B74" w:rsidP="007812D7">
      <w:pPr>
        <w:pStyle w:val="Lijstalinea"/>
        <w:numPr>
          <w:ilvl w:val="0"/>
          <w:numId w:val="3"/>
        </w:numPr>
        <w:spacing w:line="360" w:lineRule="auto"/>
        <w:ind w:left="714" w:hanging="357"/>
        <w:rPr>
          <w:rFonts w:cstheme="minorHAnsi"/>
        </w:rPr>
      </w:pPr>
      <w:proofErr w:type="spellStart"/>
      <w:r w:rsidRPr="00E054CF">
        <w:rPr>
          <w:rFonts w:cstheme="minorHAnsi"/>
          <w:lang w:val="de-DE"/>
        </w:rPr>
        <w:t>Angelova</w:t>
      </w:r>
      <w:proofErr w:type="spellEnd"/>
      <w:r w:rsidRPr="00E054CF">
        <w:rPr>
          <w:rFonts w:cstheme="minorHAnsi"/>
          <w:lang w:val="de-DE"/>
        </w:rPr>
        <w:t xml:space="preserve">, M., </w:t>
      </w:r>
      <w:proofErr w:type="spellStart"/>
      <w:r w:rsidRPr="00E054CF">
        <w:rPr>
          <w:rFonts w:cstheme="minorHAnsi"/>
          <w:lang w:val="de-DE"/>
        </w:rPr>
        <w:t>Dannwolf</w:t>
      </w:r>
      <w:proofErr w:type="spellEnd"/>
      <w:r w:rsidRPr="00E054CF">
        <w:rPr>
          <w:rFonts w:cstheme="minorHAnsi"/>
          <w:lang w:val="de-DE"/>
        </w:rPr>
        <w:t xml:space="preserve">, T., and König, T. (2012). </w:t>
      </w:r>
      <w:r w:rsidRPr="00E054CF">
        <w:rPr>
          <w:rFonts w:cstheme="minorHAnsi"/>
        </w:rPr>
        <w:t xml:space="preserve">How robust are compliance findings? A research synthesis. Journal of European Public Policy 19(8): 1269-1291. </w:t>
      </w:r>
    </w:p>
    <w:p w14:paraId="6DEBA3F8" w14:textId="77777777" w:rsidR="007D2B74" w:rsidRPr="00885EB1" w:rsidRDefault="007D2B74" w:rsidP="00885EB1">
      <w:pPr>
        <w:pStyle w:val="Lijstalinea"/>
        <w:numPr>
          <w:ilvl w:val="0"/>
          <w:numId w:val="3"/>
        </w:numPr>
        <w:spacing w:line="360" w:lineRule="auto"/>
        <w:ind w:left="714" w:hanging="357"/>
        <w:rPr>
          <w:rFonts w:cstheme="minorHAnsi"/>
          <w:shd w:val="clear" w:color="auto" w:fill="FFFFFF"/>
        </w:rPr>
      </w:pPr>
      <w:r w:rsidRPr="005B2C10">
        <w:rPr>
          <w:shd w:val="clear" w:color="auto" w:fill="FFFFFF"/>
        </w:rPr>
        <w:t>Börzel, T. A. (2001). Non-compliance in the European Union: pathology or statistical artefact?</w:t>
      </w:r>
      <w:r>
        <w:rPr>
          <w:shd w:val="clear" w:color="auto" w:fill="FFFFFF"/>
        </w:rPr>
        <w:t xml:space="preserve"> </w:t>
      </w:r>
      <w:r w:rsidRPr="005B2C10">
        <w:rPr>
          <w:shd w:val="clear" w:color="auto" w:fill="FFFFFF"/>
        </w:rPr>
        <w:t> </w:t>
      </w:r>
      <w:r w:rsidRPr="005B2C10">
        <w:rPr>
          <w:i/>
          <w:iCs/>
          <w:shd w:val="clear" w:color="auto" w:fill="FFFFFF"/>
        </w:rPr>
        <w:t>Journal of European Public Policy</w:t>
      </w:r>
      <w:r w:rsidRPr="005B2C10">
        <w:rPr>
          <w:shd w:val="clear" w:color="auto" w:fill="FFFFFF"/>
        </w:rPr>
        <w:t>, </w:t>
      </w:r>
      <w:r w:rsidRPr="005B2C10">
        <w:rPr>
          <w:i/>
          <w:iCs/>
          <w:shd w:val="clear" w:color="auto" w:fill="FFFFFF"/>
        </w:rPr>
        <w:t>8</w:t>
      </w:r>
      <w:r w:rsidRPr="005B2C10">
        <w:rPr>
          <w:shd w:val="clear" w:color="auto" w:fill="FFFFFF"/>
        </w:rPr>
        <w:t>(5), 803-824.</w:t>
      </w:r>
    </w:p>
    <w:p w14:paraId="03FE4773" w14:textId="77777777" w:rsidR="007D2B74" w:rsidRPr="00E054CF" w:rsidRDefault="007D2B74" w:rsidP="007812D7">
      <w:pPr>
        <w:pStyle w:val="Lijstalinea"/>
        <w:numPr>
          <w:ilvl w:val="0"/>
          <w:numId w:val="3"/>
        </w:numPr>
        <w:spacing w:line="360" w:lineRule="auto"/>
        <w:ind w:left="714" w:hanging="357"/>
        <w:rPr>
          <w:rFonts w:cstheme="minorHAnsi"/>
          <w:shd w:val="clear" w:color="auto" w:fill="FFFFFF"/>
        </w:rPr>
      </w:pPr>
      <w:r w:rsidRPr="007812D7">
        <w:rPr>
          <w:rFonts w:cstheme="minorHAnsi"/>
          <w:lang w:val="de-DE"/>
        </w:rPr>
        <w:t xml:space="preserve">Börzel, T. A., Hofmann, T., Panke, D., &amp; </w:t>
      </w:r>
      <w:proofErr w:type="spellStart"/>
      <w:r w:rsidRPr="007812D7">
        <w:rPr>
          <w:rFonts w:cstheme="minorHAnsi"/>
          <w:lang w:val="de-DE"/>
        </w:rPr>
        <w:t>Sprungk</w:t>
      </w:r>
      <w:proofErr w:type="spellEnd"/>
      <w:r w:rsidRPr="007812D7">
        <w:rPr>
          <w:rFonts w:cstheme="minorHAnsi"/>
          <w:lang w:val="de-DE"/>
        </w:rPr>
        <w:t xml:space="preserve">, C. (2010). </w:t>
      </w:r>
      <w:r w:rsidRPr="00E054CF">
        <w:rPr>
          <w:rFonts w:cstheme="minorHAnsi"/>
        </w:rPr>
        <w:t>Obstinate and inefficient: Why member states do not comply with European law. Comparative Political Studies, 43(11), 1363-1390</w:t>
      </w:r>
      <w:r w:rsidRPr="00E054CF">
        <w:rPr>
          <w:rFonts w:cstheme="minorHAnsi"/>
          <w:color w:val="222222"/>
          <w:shd w:val="clear" w:color="auto" w:fill="FFFFFF"/>
        </w:rPr>
        <w:t>.</w:t>
      </w:r>
    </w:p>
    <w:p w14:paraId="4D07BF0C" w14:textId="39CDC4B3" w:rsidR="007D2B74" w:rsidRPr="00FD56EF" w:rsidRDefault="007D2B74" w:rsidP="00F9600D">
      <w:pPr>
        <w:pStyle w:val="Lijstalinea"/>
        <w:numPr>
          <w:ilvl w:val="0"/>
          <w:numId w:val="3"/>
        </w:numPr>
        <w:spacing w:line="360" w:lineRule="auto"/>
        <w:rPr>
          <w:rFonts w:cstheme="minorHAnsi"/>
          <w:shd w:val="clear" w:color="auto" w:fill="FFFFFF"/>
        </w:rPr>
      </w:pPr>
      <w:r w:rsidRPr="00FD56EF">
        <w:rPr>
          <w:rFonts w:cstheme="minorHAnsi"/>
        </w:rPr>
        <w:t xml:space="preserve">Börzel, T.A. (2003). </w:t>
      </w:r>
      <w:r w:rsidRPr="00FD56EF">
        <w:rPr>
          <w:rFonts w:cstheme="minorHAnsi"/>
          <w:i/>
        </w:rPr>
        <w:t>Environmental Leaders and Laggards in Europe: Why There is (not) a ‘Southern Problem’</w:t>
      </w:r>
      <w:r w:rsidRPr="00FD56EF">
        <w:rPr>
          <w:rFonts w:cstheme="minorHAnsi"/>
        </w:rPr>
        <w:t xml:space="preserve">, </w:t>
      </w:r>
      <w:proofErr w:type="spellStart"/>
      <w:r w:rsidRPr="00FD56EF">
        <w:rPr>
          <w:rFonts w:cstheme="minorHAnsi"/>
        </w:rPr>
        <w:t>Aldershot</w:t>
      </w:r>
      <w:proofErr w:type="spellEnd"/>
      <w:r w:rsidRPr="00FD56EF">
        <w:rPr>
          <w:rFonts w:cstheme="minorHAnsi"/>
        </w:rPr>
        <w:t xml:space="preserve">: Ashgate. </w:t>
      </w:r>
    </w:p>
    <w:p w14:paraId="25FFCF7C" w14:textId="113D12E1" w:rsidR="00FD56EF" w:rsidRPr="00FD56EF" w:rsidRDefault="00FD56EF" w:rsidP="00F9600D">
      <w:pPr>
        <w:pStyle w:val="Lijstalinea"/>
        <w:numPr>
          <w:ilvl w:val="0"/>
          <w:numId w:val="3"/>
        </w:numPr>
        <w:spacing w:line="360" w:lineRule="auto"/>
        <w:rPr>
          <w:rFonts w:cstheme="minorHAnsi"/>
          <w:shd w:val="clear" w:color="auto" w:fill="FFFFFF"/>
        </w:rPr>
      </w:pPr>
      <w:r w:rsidRPr="00FD56EF">
        <w:rPr>
          <w:rFonts w:cstheme="minorHAnsi"/>
          <w:shd w:val="clear" w:color="auto" w:fill="FFFFFF"/>
        </w:rPr>
        <w:t xml:space="preserve">Börzel, T. A., &amp; </w:t>
      </w:r>
      <w:proofErr w:type="spellStart"/>
      <w:r w:rsidRPr="00FD56EF">
        <w:rPr>
          <w:rFonts w:cstheme="minorHAnsi"/>
          <w:shd w:val="clear" w:color="auto" w:fill="FFFFFF"/>
        </w:rPr>
        <w:t>Risse</w:t>
      </w:r>
      <w:proofErr w:type="spellEnd"/>
      <w:r w:rsidRPr="00FD56EF">
        <w:rPr>
          <w:rFonts w:cstheme="minorHAnsi"/>
          <w:shd w:val="clear" w:color="auto" w:fill="FFFFFF"/>
        </w:rPr>
        <w:t>, T. (2003). Conceptualizing the domestic impact of Europe. </w:t>
      </w:r>
      <w:r w:rsidRPr="00FD56EF">
        <w:rPr>
          <w:rFonts w:cstheme="minorHAnsi"/>
          <w:i/>
          <w:iCs/>
          <w:shd w:val="clear" w:color="auto" w:fill="FFFFFF"/>
        </w:rPr>
        <w:t>The politics of Europeanization</w:t>
      </w:r>
      <w:r w:rsidRPr="00FD56EF">
        <w:rPr>
          <w:rFonts w:cstheme="minorHAnsi"/>
          <w:shd w:val="clear" w:color="auto" w:fill="FFFFFF"/>
        </w:rPr>
        <w:t>, 57-80.</w:t>
      </w:r>
    </w:p>
    <w:p w14:paraId="3D391902" w14:textId="32A47CA2" w:rsidR="007D2B74" w:rsidRPr="00FD56EF" w:rsidRDefault="007D2B74" w:rsidP="00F9600D">
      <w:pPr>
        <w:pStyle w:val="Lijstalinea"/>
        <w:numPr>
          <w:ilvl w:val="0"/>
          <w:numId w:val="3"/>
        </w:numPr>
        <w:spacing w:line="360" w:lineRule="auto"/>
        <w:rPr>
          <w:rFonts w:cstheme="minorHAnsi"/>
          <w:shd w:val="clear" w:color="auto" w:fill="FFFFFF"/>
        </w:rPr>
      </w:pPr>
      <w:r w:rsidRPr="00FD56EF">
        <w:rPr>
          <w:rFonts w:cstheme="minorHAnsi"/>
        </w:rPr>
        <w:t xml:space="preserve">Breeman, G., &amp; Zwaan, P. (2009). Domestic change and EU compliance in the Netherlands: Policy feedback during enforcement. </w:t>
      </w:r>
      <w:r w:rsidRPr="00FD56EF">
        <w:rPr>
          <w:rFonts w:cstheme="minorHAnsi"/>
          <w:i/>
          <w:iCs/>
        </w:rPr>
        <w:t>European Integration</w:t>
      </w:r>
      <w:r w:rsidRPr="00FD56EF">
        <w:rPr>
          <w:rFonts w:cstheme="minorHAnsi"/>
        </w:rPr>
        <w:t xml:space="preserve">, </w:t>
      </w:r>
      <w:r w:rsidRPr="00FD56EF">
        <w:rPr>
          <w:rFonts w:cstheme="minorHAnsi"/>
          <w:i/>
          <w:iCs/>
        </w:rPr>
        <w:t>31</w:t>
      </w:r>
      <w:r w:rsidRPr="00FD56EF">
        <w:rPr>
          <w:rFonts w:cstheme="minorHAnsi"/>
        </w:rPr>
        <w:t>(3), 349-367.</w:t>
      </w:r>
    </w:p>
    <w:p w14:paraId="52813FE9" w14:textId="77777777" w:rsidR="007D2B74" w:rsidRPr="00E054CF" w:rsidRDefault="007D2B74" w:rsidP="007812D7">
      <w:pPr>
        <w:pStyle w:val="Lijstalinea"/>
        <w:numPr>
          <w:ilvl w:val="0"/>
          <w:numId w:val="3"/>
        </w:numPr>
        <w:spacing w:line="360" w:lineRule="auto"/>
        <w:ind w:left="714" w:hanging="357"/>
        <w:rPr>
          <w:rFonts w:cstheme="minorHAnsi"/>
        </w:rPr>
      </w:pPr>
      <w:r w:rsidRPr="00FD56EF">
        <w:rPr>
          <w:rFonts w:cstheme="minorHAnsi"/>
        </w:rPr>
        <w:t xml:space="preserve">Collins, K. and Earnshaw, D. (1992) ‘The implementation </w:t>
      </w:r>
      <w:r w:rsidRPr="00F9600D">
        <w:rPr>
          <w:rFonts w:cstheme="minorHAnsi"/>
        </w:rPr>
        <w:t xml:space="preserve">and enforcement </w:t>
      </w:r>
      <w:r w:rsidRPr="00E054CF">
        <w:rPr>
          <w:rFonts w:cstheme="minorHAnsi"/>
        </w:rPr>
        <w:t>of European Community legislation’, Environmental Politics 1(4): 213–49.</w:t>
      </w:r>
    </w:p>
    <w:p w14:paraId="437DB3D9" w14:textId="77777777" w:rsidR="007D2B74" w:rsidRPr="00D34EDD" w:rsidRDefault="007D2B74" w:rsidP="00D34EDD">
      <w:pPr>
        <w:pStyle w:val="Lijstalinea"/>
        <w:numPr>
          <w:ilvl w:val="0"/>
          <w:numId w:val="3"/>
        </w:numPr>
        <w:spacing w:line="360" w:lineRule="auto"/>
        <w:rPr>
          <w:rFonts w:cstheme="minorHAnsi"/>
          <w:shd w:val="clear" w:color="auto" w:fill="FFFFFF"/>
        </w:rPr>
      </w:pPr>
      <w:r>
        <w:t xml:space="preserve">Council of the European Union. (2018, April 13). Interinstitutional File: 2016/0149 (COD). As retrieved from: </w:t>
      </w:r>
      <w:hyperlink r:id="rId19" w:history="1">
        <w:r w:rsidRPr="004D089E">
          <w:rPr>
            <w:rStyle w:val="Hyperlink"/>
          </w:rPr>
          <w:t>http://data.consilium.europa.eu/doc/document/ST-7803-2018-INIT/en/pdf</w:t>
        </w:r>
      </w:hyperlink>
      <w:r>
        <w:t xml:space="preserve"> on April 27, 2018. </w:t>
      </w:r>
    </w:p>
    <w:p w14:paraId="48695C61" w14:textId="77777777" w:rsidR="007D2B74" w:rsidRPr="005D539F" w:rsidRDefault="007D2B74" w:rsidP="005D539F">
      <w:pPr>
        <w:pStyle w:val="Lijstalinea"/>
        <w:numPr>
          <w:ilvl w:val="0"/>
          <w:numId w:val="3"/>
        </w:numPr>
        <w:spacing w:line="360" w:lineRule="auto"/>
        <w:rPr>
          <w:rFonts w:cstheme="minorHAnsi"/>
          <w:shd w:val="clear" w:color="auto" w:fill="FFFFFF"/>
        </w:rPr>
      </w:pPr>
      <w:r w:rsidRPr="005D539F">
        <w:rPr>
          <w:rFonts w:cstheme="minorHAnsi"/>
          <w:shd w:val="clear" w:color="auto" w:fill="FFFFFF"/>
        </w:rPr>
        <w:t>D</w:t>
      </w:r>
      <w:r w:rsidRPr="0049638F">
        <w:t>ahlberg, S., &amp; Holmberg, S. (2014). Democracy and bureaucracy: How their quality matters for popular satisfaction. </w:t>
      </w:r>
      <w:r w:rsidRPr="005D539F">
        <w:rPr>
          <w:i/>
          <w:iCs/>
        </w:rPr>
        <w:t>West European Politics</w:t>
      </w:r>
      <w:r w:rsidRPr="0049638F">
        <w:t>, </w:t>
      </w:r>
      <w:r w:rsidRPr="005D539F">
        <w:rPr>
          <w:i/>
          <w:iCs/>
        </w:rPr>
        <w:t>37</w:t>
      </w:r>
      <w:r w:rsidRPr="0049638F">
        <w:t>(3), 515-537.</w:t>
      </w:r>
    </w:p>
    <w:p w14:paraId="0D09D932" w14:textId="77777777" w:rsidR="007D2B74" w:rsidRPr="001929B7" w:rsidRDefault="007D2B74" w:rsidP="00DF6652">
      <w:pPr>
        <w:pStyle w:val="Lijstalinea"/>
        <w:numPr>
          <w:ilvl w:val="0"/>
          <w:numId w:val="3"/>
        </w:numPr>
        <w:spacing w:line="360" w:lineRule="auto"/>
        <w:rPr>
          <w:rFonts w:cstheme="minorHAnsi"/>
          <w:shd w:val="clear" w:color="auto" w:fill="FFFFFF"/>
        </w:rPr>
      </w:pPr>
      <w:r w:rsidRPr="00DF6652">
        <w:rPr>
          <w:shd w:val="clear" w:color="auto" w:fill="FFFFFF"/>
        </w:rPr>
        <w:t>Della Porta, D., and Keating M., eds. (2008).</w:t>
      </w:r>
      <w:r w:rsidRPr="00DF6652">
        <w:rPr>
          <w:rStyle w:val="apple-converted-space"/>
          <w:shd w:val="clear" w:color="auto" w:fill="FFFFFF"/>
        </w:rPr>
        <w:t> </w:t>
      </w:r>
      <w:r w:rsidRPr="00DF6652">
        <w:rPr>
          <w:shd w:val="clear" w:color="auto" w:fill="FFFFFF"/>
        </w:rPr>
        <w:t>Approaches and methodologies in the social sciences: A pluralist perspective. Cambridge University Press.</w:t>
      </w:r>
    </w:p>
    <w:p w14:paraId="4DDE127A" w14:textId="77777777" w:rsidR="007D2B74" w:rsidRPr="00DF6652" w:rsidRDefault="007D2B74" w:rsidP="001929B7">
      <w:pPr>
        <w:pStyle w:val="Lijstalinea"/>
        <w:numPr>
          <w:ilvl w:val="0"/>
          <w:numId w:val="3"/>
        </w:numPr>
        <w:spacing w:line="360" w:lineRule="auto"/>
        <w:rPr>
          <w:rFonts w:cstheme="minorHAnsi"/>
          <w:shd w:val="clear" w:color="auto" w:fill="FFFFFF"/>
        </w:rPr>
      </w:pPr>
      <w:r>
        <w:rPr>
          <w:rFonts w:cstheme="minorHAnsi"/>
          <w:shd w:val="clear" w:color="auto" w:fill="FFFFFF"/>
        </w:rPr>
        <w:t xml:space="preserve">Devaney, C. and Poptcheva, E. (2014). Changed rules for qualified majority voting in the Council of the EU. European Parliamentary Research Service, EU. As found on: </w:t>
      </w:r>
      <w:hyperlink r:id="rId20" w:history="1">
        <w:r w:rsidRPr="00CD1C60">
          <w:rPr>
            <w:rStyle w:val="Hyperlink"/>
            <w:rFonts w:cstheme="minorHAnsi"/>
            <w:shd w:val="clear" w:color="auto" w:fill="FFFFFF"/>
          </w:rPr>
          <w:t>http://www.europarl.europa.eu/RegData/etudes/ATAG/2014/545697/EPRS_ATA%282014%29545697_REV1_EN.pdf</w:t>
        </w:r>
      </w:hyperlink>
      <w:r>
        <w:rPr>
          <w:rFonts w:cstheme="minorHAnsi"/>
          <w:shd w:val="clear" w:color="auto" w:fill="FFFFFF"/>
        </w:rPr>
        <w:t xml:space="preserve"> on January 3, 2019. </w:t>
      </w:r>
    </w:p>
    <w:p w14:paraId="5B77BED1" w14:textId="77777777" w:rsidR="007D2B74" w:rsidRPr="00C34654" w:rsidRDefault="007D2B74" w:rsidP="00C34654">
      <w:pPr>
        <w:pStyle w:val="Lijstalinea"/>
        <w:numPr>
          <w:ilvl w:val="0"/>
          <w:numId w:val="3"/>
        </w:numPr>
        <w:spacing w:line="360" w:lineRule="auto"/>
        <w:rPr>
          <w:rFonts w:cstheme="minorHAnsi"/>
          <w:shd w:val="clear" w:color="auto" w:fill="FFFFFF"/>
        </w:rPr>
      </w:pPr>
      <w:r w:rsidRPr="00C34654">
        <w:t>Dimitrova, A. and Rhinard, M. (2005)</w:t>
      </w:r>
      <w:r>
        <w:t xml:space="preserve">. </w:t>
      </w:r>
      <w:r w:rsidRPr="00C34654">
        <w:t xml:space="preserve">The power of norms in the </w:t>
      </w:r>
      <w:r>
        <w:t>transposition of EU directives.</w:t>
      </w:r>
      <w:r w:rsidRPr="00C34654">
        <w:t xml:space="preserve"> Paper prepared for the ECPR Joint Sessions, Granada, Spain, 14–19 April 2005.</w:t>
      </w:r>
    </w:p>
    <w:p w14:paraId="1BE0325E" w14:textId="77777777" w:rsidR="007D2B74" w:rsidRPr="00E054CF" w:rsidRDefault="007D2B74" w:rsidP="007812D7">
      <w:pPr>
        <w:pStyle w:val="Lijstalinea"/>
        <w:numPr>
          <w:ilvl w:val="0"/>
          <w:numId w:val="3"/>
        </w:numPr>
        <w:spacing w:line="360" w:lineRule="auto"/>
        <w:ind w:left="714" w:hanging="357"/>
        <w:rPr>
          <w:rFonts w:cstheme="minorHAnsi"/>
          <w:color w:val="222222"/>
          <w:shd w:val="clear" w:color="auto" w:fill="FFFFFF"/>
        </w:rPr>
      </w:pPr>
      <w:r w:rsidRPr="00E054CF">
        <w:rPr>
          <w:rFonts w:cstheme="minorHAnsi"/>
        </w:rPr>
        <w:t>Esaiasson, P. (2010). Will citizens take no for an answer? What government officials can do to enhance decision acceptance. European Political Science Review, 2(3), 351-371</w:t>
      </w:r>
      <w:r w:rsidRPr="00E054CF">
        <w:rPr>
          <w:rFonts w:cstheme="minorHAnsi"/>
          <w:color w:val="222222"/>
          <w:shd w:val="clear" w:color="auto" w:fill="FFFFFF"/>
        </w:rPr>
        <w:t>.</w:t>
      </w:r>
    </w:p>
    <w:p w14:paraId="02F8FCD8" w14:textId="77777777" w:rsidR="007D2B74" w:rsidRPr="00E054CF" w:rsidRDefault="007D2B74" w:rsidP="007812D7">
      <w:pPr>
        <w:pStyle w:val="Lijstalinea"/>
        <w:numPr>
          <w:ilvl w:val="0"/>
          <w:numId w:val="3"/>
        </w:numPr>
        <w:spacing w:line="360" w:lineRule="auto"/>
        <w:ind w:left="714" w:hanging="357"/>
        <w:rPr>
          <w:rFonts w:cstheme="minorHAnsi"/>
          <w:shd w:val="clear" w:color="auto" w:fill="FFFFFF"/>
        </w:rPr>
      </w:pPr>
      <w:r w:rsidRPr="00E054CF">
        <w:rPr>
          <w:rFonts w:cstheme="minorHAnsi"/>
          <w:shd w:val="clear" w:color="auto" w:fill="FFFFFF"/>
        </w:rPr>
        <w:lastRenderedPageBreak/>
        <w:t xml:space="preserve">Esaiasson, P., </w:t>
      </w:r>
      <w:proofErr w:type="spellStart"/>
      <w:r w:rsidRPr="00E054CF">
        <w:rPr>
          <w:rFonts w:cstheme="minorHAnsi"/>
          <w:shd w:val="clear" w:color="auto" w:fill="FFFFFF"/>
        </w:rPr>
        <w:t>Gilljam</w:t>
      </w:r>
      <w:proofErr w:type="spellEnd"/>
      <w:r w:rsidRPr="00E054CF">
        <w:rPr>
          <w:rFonts w:cstheme="minorHAnsi"/>
          <w:shd w:val="clear" w:color="auto" w:fill="FFFFFF"/>
        </w:rPr>
        <w:t xml:space="preserve">, M., &amp; Persson, M. (2012). Which decision‐making arrangements generate the strongest legitimacy beliefs? Evidence from a </w:t>
      </w:r>
      <w:proofErr w:type="spellStart"/>
      <w:r w:rsidRPr="00E054CF">
        <w:rPr>
          <w:rFonts w:cstheme="minorHAnsi"/>
          <w:shd w:val="clear" w:color="auto" w:fill="FFFFFF"/>
        </w:rPr>
        <w:t>randomised</w:t>
      </w:r>
      <w:proofErr w:type="spellEnd"/>
      <w:r w:rsidRPr="00E054CF">
        <w:rPr>
          <w:rFonts w:cstheme="minorHAnsi"/>
          <w:shd w:val="clear" w:color="auto" w:fill="FFFFFF"/>
        </w:rPr>
        <w:t xml:space="preserve"> field experiment. </w:t>
      </w:r>
      <w:r w:rsidRPr="00E054CF">
        <w:rPr>
          <w:rFonts w:cstheme="minorHAnsi"/>
          <w:i/>
          <w:iCs/>
          <w:shd w:val="clear" w:color="auto" w:fill="FFFFFF"/>
        </w:rPr>
        <w:t>European Journal of Political Research</w:t>
      </w:r>
      <w:r w:rsidRPr="00E054CF">
        <w:rPr>
          <w:rFonts w:cstheme="minorHAnsi"/>
          <w:shd w:val="clear" w:color="auto" w:fill="FFFFFF"/>
        </w:rPr>
        <w:t>, </w:t>
      </w:r>
      <w:r w:rsidRPr="00E054CF">
        <w:rPr>
          <w:rFonts w:cstheme="minorHAnsi"/>
          <w:i/>
          <w:iCs/>
          <w:shd w:val="clear" w:color="auto" w:fill="FFFFFF"/>
        </w:rPr>
        <w:t>51</w:t>
      </w:r>
      <w:r w:rsidRPr="00E054CF">
        <w:rPr>
          <w:rFonts w:cstheme="minorHAnsi"/>
          <w:shd w:val="clear" w:color="auto" w:fill="FFFFFF"/>
        </w:rPr>
        <w:t>(6), 785-808.</w:t>
      </w:r>
    </w:p>
    <w:p w14:paraId="2508A2E4" w14:textId="77777777" w:rsidR="007D2B74" w:rsidRPr="00673329" w:rsidRDefault="007D2B74" w:rsidP="00673329">
      <w:pPr>
        <w:pStyle w:val="Lijstalinea"/>
        <w:numPr>
          <w:ilvl w:val="0"/>
          <w:numId w:val="3"/>
        </w:numPr>
        <w:spacing w:line="360" w:lineRule="auto"/>
        <w:ind w:left="714" w:hanging="357"/>
        <w:rPr>
          <w:rFonts w:cstheme="minorHAnsi"/>
        </w:rPr>
      </w:pPr>
      <w:r w:rsidRPr="00E054CF">
        <w:rPr>
          <w:rFonts w:cstheme="minorHAnsi"/>
        </w:rPr>
        <w:t xml:space="preserve">Esaiasson, P., Persson, M., </w:t>
      </w:r>
      <w:proofErr w:type="spellStart"/>
      <w:r w:rsidRPr="00E054CF">
        <w:rPr>
          <w:rFonts w:cstheme="minorHAnsi"/>
        </w:rPr>
        <w:t>Gilljam</w:t>
      </w:r>
      <w:proofErr w:type="spellEnd"/>
      <w:r w:rsidRPr="00E054CF">
        <w:rPr>
          <w:rFonts w:cstheme="minorHAnsi"/>
        </w:rPr>
        <w:t>, M., &amp; Lindholm, T. (2016). Reconsidering the Role of Procedures for Decision Acceptance. </w:t>
      </w:r>
      <w:r w:rsidRPr="00E054CF">
        <w:rPr>
          <w:rFonts w:cstheme="minorHAnsi"/>
          <w:i/>
          <w:iCs/>
        </w:rPr>
        <w:t>British Journal of Political Science</w:t>
      </w:r>
      <w:r w:rsidRPr="00E054CF">
        <w:rPr>
          <w:rFonts w:cstheme="minorHAnsi"/>
        </w:rPr>
        <w:t>, 1-24.</w:t>
      </w:r>
    </w:p>
    <w:p w14:paraId="575DD60D" w14:textId="77777777" w:rsidR="007D2B74" w:rsidRPr="00DF6652" w:rsidRDefault="007D2B74" w:rsidP="00DF6652">
      <w:pPr>
        <w:pStyle w:val="Lijstalinea"/>
        <w:numPr>
          <w:ilvl w:val="0"/>
          <w:numId w:val="3"/>
        </w:numPr>
        <w:spacing w:line="360" w:lineRule="auto"/>
        <w:rPr>
          <w:rFonts w:cstheme="minorHAnsi"/>
          <w:sz w:val="24"/>
          <w:shd w:val="clear" w:color="auto" w:fill="FFFFFF"/>
        </w:rPr>
      </w:pPr>
      <w:r>
        <w:rPr>
          <w:rFonts w:cstheme="minorHAnsi"/>
          <w:szCs w:val="20"/>
          <w:shd w:val="clear" w:color="auto" w:fill="FFFFFF"/>
        </w:rPr>
        <w:t xml:space="preserve">European Commission. (2013, February 8). Compliance Matters. Directorate-General for Competition. </w:t>
      </w:r>
    </w:p>
    <w:p w14:paraId="45E99DAB" w14:textId="77777777" w:rsidR="007D2B74" w:rsidRPr="00206159" w:rsidRDefault="007D2B74" w:rsidP="00B41DC6">
      <w:pPr>
        <w:pStyle w:val="Lijstalinea"/>
        <w:numPr>
          <w:ilvl w:val="0"/>
          <w:numId w:val="3"/>
        </w:numPr>
        <w:spacing w:line="360" w:lineRule="auto"/>
        <w:rPr>
          <w:rFonts w:cstheme="minorHAnsi"/>
          <w:shd w:val="clear" w:color="auto" w:fill="FFFFFF"/>
        </w:rPr>
      </w:pPr>
      <w:r>
        <w:rPr>
          <w:shd w:val="clear" w:color="auto" w:fill="FFFFFF"/>
        </w:rPr>
        <w:t xml:space="preserve">European Commission. (2018). Infringement procedure. As retrieved from: </w:t>
      </w:r>
      <w:hyperlink r:id="rId21" w:history="1">
        <w:r w:rsidRPr="00982FD3">
          <w:rPr>
            <w:rStyle w:val="Hyperlink"/>
            <w:shd w:val="clear" w:color="auto" w:fill="FFFFFF"/>
          </w:rPr>
          <w:t>https://ec.europa.eu/info/law/law-making-process/applying-eu-law/infringement-procedure_en</w:t>
        </w:r>
      </w:hyperlink>
      <w:r>
        <w:rPr>
          <w:shd w:val="clear" w:color="auto" w:fill="FFFFFF"/>
        </w:rPr>
        <w:t xml:space="preserve"> on June 12, 2018. </w:t>
      </w:r>
    </w:p>
    <w:p w14:paraId="2E528702" w14:textId="77777777" w:rsidR="007D2B74" w:rsidRDefault="007D2B74" w:rsidP="00255CD7">
      <w:pPr>
        <w:pStyle w:val="Lijstalinea"/>
        <w:numPr>
          <w:ilvl w:val="0"/>
          <w:numId w:val="3"/>
        </w:numPr>
        <w:spacing w:line="360" w:lineRule="auto"/>
        <w:rPr>
          <w:rFonts w:cstheme="minorHAnsi"/>
          <w:shd w:val="clear" w:color="auto" w:fill="FFFFFF"/>
        </w:rPr>
      </w:pPr>
      <w:r>
        <w:rPr>
          <w:rFonts w:cstheme="minorHAnsi"/>
          <w:shd w:val="clear" w:color="auto" w:fill="FFFFFF"/>
        </w:rPr>
        <w:t>European Commission. (2018). Public consultations and other consultation activities. As retrieved from:</w:t>
      </w:r>
      <w:r>
        <w:rPr>
          <w:rFonts w:cstheme="minorHAnsi"/>
          <w:shd w:val="clear" w:color="auto" w:fill="FFFFFF"/>
        </w:rPr>
        <w:br/>
      </w:r>
      <w:hyperlink r:id="rId22" w:history="1">
        <w:r w:rsidRPr="00D538D0">
          <w:rPr>
            <w:rStyle w:val="Hyperlink"/>
            <w:rFonts w:cstheme="minorHAnsi"/>
            <w:shd w:val="clear" w:color="auto" w:fill="FFFFFF"/>
          </w:rPr>
          <w:t>http://ec.europa.eu/social/main.jsp?catId=333&amp;langId=en</w:t>
        </w:r>
      </w:hyperlink>
      <w:r>
        <w:rPr>
          <w:rFonts w:cstheme="minorHAnsi"/>
          <w:shd w:val="clear" w:color="auto" w:fill="FFFFFF"/>
        </w:rPr>
        <w:t xml:space="preserve"> on October 5, 2018. </w:t>
      </w:r>
    </w:p>
    <w:p w14:paraId="2F12220F" w14:textId="77777777" w:rsidR="007D2B74" w:rsidRPr="00255CD7" w:rsidRDefault="007D2B74" w:rsidP="00673329">
      <w:pPr>
        <w:pStyle w:val="Lijstalinea"/>
        <w:numPr>
          <w:ilvl w:val="0"/>
          <w:numId w:val="3"/>
        </w:numPr>
        <w:spacing w:line="360" w:lineRule="auto"/>
        <w:rPr>
          <w:rFonts w:cstheme="minorHAnsi"/>
          <w:shd w:val="clear" w:color="auto" w:fill="FFFFFF"/>
        </w:rPr>
      </w:pPr>
      <w:r>
        <w:rPr>
          <w:rFonts w:cstheme="minorHAnsi"/>
          <w:shd w:val="clear" w:color="auto" w:fill="FFFFFF"/>
        </w:rPr>
        <w:t xml:space="preserve">European Commission. (2018). Public opinion. Eurobarometer. As retrieved from: </w:t>
      </w:r>
      <w:hyperlink r:id="rId23" w:history="1">
        <w:r w:rsidRPr="008D06B6">
          <w:rPr>
            <w:rStyle w:val="Hyperlink"/>
            <w:rFonts w:cstheme="minorHAnsi"/>
            <w:shd w:val="clear" w:color="auto" w:fill="FFFFFF"/>
          </w:rPr>
          <w:t>http://ec.europa.eu/commfrontoffice/publicopinion/index.cfm/Chart/getChart/themeKy/18/groupKy/97</w:t>
        </w:r>
      </w:hyperlink>
      <w:r>
        <w:rPr>
          <w:rFonts w:cstheme="minorHAnsi"/>
          <w:shd w:val="clear" w:color="auto" w:fill="FFFFFF"/>
        </w:rPr>
        <w:t xml:space="preserve"> on January 4, 2019. </w:t>
      </w:r>
    </w:p>
    <w:p w14:paraId="65B1541E" w14:textId="77777777" w:rsidR="007D2B74" w:rsidRPr="008702A1" w:rsidRDefault="007D2B74" w:rsidP="00A639D5">
      <w:pPr>
        <w:pStyle w:val="Lijstalinea"/>
        <w:numPr>
          <w:ilvl w:val="0"/>
          <w:numId w:val="3"/>
        </w:numPr>
        <w:spacing w:line="360" w:lineRule="auto"/>
        <w:rPr>
          <w:rFonts w:cstheme="minorHAnsi"/>
          <w:shd w:val="clear" w:color="auto" w:fill="FFFFFF"/>
        </w:rPr>
      </w:pPr>
      <w:r>
        <w:rPr>
          <w:shd w:val="clear" w:color="auto" w:fill="FFFFFF"/>
        </w:rPr>
        <w:t xml:space="preserve">European Council. (November 11, 2017). Qualified majority. As retrieved from: </w:t>
      </w:r>
      <w:hyperlink r:id="rId24" w:history="1">
        <w:r w:rsidRPr="00A530A4">
          <w:rPr>
            <w:rStyle w:val="Hyperlink"/>
            <w:shd w:val="clear" w:color="auto" w:fill="FFFFFF"/>
          </w:rPr>
          <w:t>http://www.consilium.europa.eu/en/council-eu/voting-system/qualified-majority/</w:t>
        </w:r>
      </w:hyperlink>
      <w:r>
        <w:rPr>
          <w:shd w:val="clear" w:color="auto" w:fill="FFFFFF"/>
        </w:rPr>
        <w:t xml:space="preserve"> on April 25, 2018. </w:t>
      </w:r>
    </w:p>
    <w:p w14:paraId="5EF4E55A" w14:textId="77777777" w:rsidR="007D2B74" w:rsidRDefault="007D2B74" w:rsidP="00480389">
      <w:pPr>
        <w:pStyle w:val="Lijstalinea"/>
        <w:numPr>
          <w:ilvl w:val="0"/>
          <w:numId w:val="3"/>
        </w:numPr>
        <w:spacing w:line="360" w:lineRule="auto"/>
        <w:rPr>
          <w:rFonts w:cstheme="minorHAnsi"/>
          <w:shd w:val="clear" w:color="auto" w:fill="FFFFFF"/>
        </w:rPr>
      </w:pPr>
      <w:r>
        <w:rPr>
          <w:rFonts w:cstheme="minorHAnsi"/>
          <w:shd w:val="clear" w:color="auto" w:fill="FFFFFF"/>
        </w:rPr>
        <w:t xml:space="preserve">European Parliament. (2018). Legislative powers. Powers and procedures. As retrieved from: </w:t>
      </w:r>
      <w:hyperlink r:id="rId25" w:history="1">
        <w:r w:rsidRPr="00AC03A3">
          <w:rPr>
            <w:rStyle w:val="Hyperlink"/>
            <w:rFonts w:cstheme="minorHAnsi"/>
            <w:shd w:val="clear" w:color="auto" w:fill="FFFFFF"/>
          </w:rPr>
          <w:t>http://www.europarl.europa.eu/aboutparliament/en/20150201PVL00004/Legislative-powers</w:t>
        </w:r>
      </w:hyperlink>
      <w:r>
        <w:rPr>
          <w:rFonts w:cstheme="minorHAnsi"/>
          <w:shd w:val="clear" w:color="auto" w:fill="FFFFFF"/>
        </w:rPr>
        <w:t xml:space="preserve"> on April 24, 2018. </w:t>
      </w:r>
    </w:p>
    <w:p w14:paraId="740FA175" w14:textId="77777777" w:rsidR="007D2B74" w:rsidRPr="00AE427D" w:rsidRDefault="007D2B74" w:rsidP="00AE427D">
      <w:pPr>
        <w:pStyle w:val="Lijstalinea"/>
        <w:numPr>
          <w:ilvl w:val="0"/>
          <w:numId w:val="3"/>
        </w:numPr>
        <w:spacing w:line="360" w:lineRule="auto"/>
        <w:rPr>
          <w:rFonts w:cstheme="minorHAnsi"/>
          <w:shd w:val="clear" w:color="auto" w:fill="FFFFFF"/>
        </w:rPr>
      </w:pPr>
      <w:r>
        <w:rPr>
          <w:rFonts w:cstheme="minorHAnsi"/>
          <w:shd w:val="clear" w:color="auto" w:fill="FFFFFF"/>
        </w:rPr>
        <w:t xml:space="preserve">European Union. (2018, February 2). How EU decisions are made. EU law. As retrieved from: </w:t>
      </w:r>
      <w:hyperlink r:id="rId26" w:history="1">
        <w:r w:rsidRPr="00AC03A3">
          <w:rPr>
            <w:rStyle w:val="Hyperlink"/>
            <w:rFonts w:cstheme="minorHAnsi"/>
            <w:shd w:val="clear" w:color="auto" w:fill="FFFFFF"/>
          </w:rPr>
          <w:t>https://europa.eu/european-union/eu-law/decision-making/procedures_en</w:t>
        </w:r>
      </w:hyperlink>
      <w:r w:rsidRPr="00AE427D">
        <w:rPr>
          <w:rFonts w:cstheme="minorHAnsi"/>
          <w:shd w:val="clear" w:color="auto" w:fill="FFFFFF"/>
        </w:rPr>
        <w:t xml:space="preserve"> on April 24, 2018. </w:t>
      </w:r>
    </w:p>
    <w:p w14:paraId="16B1F7B3" w14:textId="77777777" w:rsidR="007D2B74" w:rsidRPr="00E054CF" w:rsidRDefault="007D2B74" w:rsidP="007812D7">
      <w:pPr>
        <w:pStyle w:val="Lijstalinea"/>
        <w:numPr>
          <w:ilvl w:val="0"/>
          <w:numId w:val="3"/>
        </w:numPr>
        <w:spacing w:line="360" w:lineRule="auto"/>
        <w:ind w:left="714" w:hanging="357"/>
        <w:rPr>
          <w:rFonts w:cstheme="minorHAnsi"/>
        </w:rPr>
      </w:pPr>
      <w:r w:rsidRPr="00E054CF">
        <w:rPr>
          <w:rFonts w:cstheme="minorHAnsi"/>
          <w:shd w:val="clear" w:color="auto" w:fill="FFFFFF"/>
        </w:rPr>
        <w:t xml:space="preserve">European Union. Regulations, directives and other acts. EU law. As retrieved from: </w:t>
      </w:r>
      <w:hyperlink r:id="rId27" w:history="1">
        <w:r w:rsidRPr="00E054CF">
          <w:rPr>
            <w:rStyle w:val="Hyperlink"/>
            <w:rFonts w:cstheme="minorHAnsi"/>
            <w:shd w:val="clear" w:color="auto" w:fill="FFFFFF"/>
          </w:rPr>
          <w:t>https://europa.eu/european-union/eu-law/legal-acts_en</w:t>
        </w:r>
      </w:hyperlink>
      <w:r w:rsidRPr="00E054CF">
        <w:rPr>
          <w:rFonts w:cstheme="minorHAnsi"/>
          <w:shd w:val="clear" w:color="auto" w:fill="FFFFFF"/>
        </w:rPr>
        <w:t xml:space="preserve"> on 16 April 2018.</w:t>
      </w:r>
    </w:p>
    <w:p w14:paraId="536D4F6F" w14:textId="77777777" w:rsidR="007D2B74" w:rsidRPr="0017083A" w:rsidRDefault="007D2B74" w:rsidP="0017083A">
      <w:pPr>
        <w:pStyle w:val="Lijstalinea"/>
        <w:numPr>
          <w:ilvl w:val="0"/>
          <w:numId w:val="3"/>
        </w:numPr>
        <w:spacing w:line="360" w:lineRule="auto"/>
        <w:ind w:left="714" w:hanging="357"/>
        <w:rPr>
          <w:rFonts w:cstheme="minorHAnsi"/>
          <w:shd w:val="clear" w:color="auto" w:fill="FFFFFF"/>
        </w:rPr>
      </w:pPr>
      <w:r w:rsidRPr="0017083A">
        <w:rPr>
          <w:rFonts w:cstheme="minorHAnsi"/>
          <w:shd w:val="clear" w:color="auto" w:fill="FFFFFF"/>
        </w:rPr>
        <w:t>Falkner, G., &amp; Treib, O. (2008). Three worlds of compliance or four? The EU‐15 compared to new member states. </w:t>
      </w:r>
      <w:r w:rsidRPr="0017083A">
        <w:rPr>
          <w:rFonts w:cstheme="minorHAnsi"/>
          <w:i/>
          <w:iCs/>
          <w:shd w:val="clear" w:color="auto" w:fill="FFFFFF"/>
        </w:rPr>
        <w:t>JCMS: Journal of Common Market Studies</w:t>
      </w:r>
      <w:r w:rsidRPr="0017083A">
        <w:rPr>
          <w:rFonts w:cstheme="minorHAnsi"/>
          <w:shd w:val="clear" w:color="auto" w:fill="FFFFFF"/>
        </w:rPr>
        <w:t>, </w:t>
      </w:r>
      <w:r w:rsidRPr="0017083A">
        <w:rPr>
          <w:rFonts w:cstheme="minorHAnsi"/>
          <w:i/>
          <w:iCs/>
          <w:shd w:val="clear" w:color="auto" w:fill="FFFFFF"/>
        </w:rPr>
        <w:t>46</w:t>
      </w:r>
      <w:r w:rsidRPr="0017083A">
        <w:rPr>
          <w:rFonts w:cstheme="minorHAnsi"/>
          <w:shd w:val="clear" w:color="auto" w:fill="FFFFFF"/>
        </w:rPr>
        <w:t>(2), 293-313.</w:t>
      </w:r>
    </w:p>
    <w:p w14:paraId="238D2A38" w14:textId="77777777" w:rsidR="007D2B74" w:rsidRPr="0017083A" w:rsidRDefault="007D2B74" w:rsidP="0017083A">
      <w:pPr>
        <w:pStyle w:val="Lijstalinea"/>
        <w:numPr>
          <w:ilvl w:val="0"/>
          <w:numId w:val="3"/>
        </w:numPr>
        <w:spacing w:line="360" w:lineRule="auto"/>
        <w:ind w:left="714" w:hanging="357"/>
        <w:rPr>
          <w:rFonts w:cstheme="minorHAnsi"/>
          <w:shd w:val="clear" w:color="auto" w:fill="FFFFFF"/>
        </w:rPr>
      </w:pPr>
      <w:r w:rsidRPr="0017083A">
        <w:rPr>
          <w:rFonts w:cstheme="minorHAnsi"/>
          <w:shd w:val="clear" w:color="auto" w:fill="FFFFFF"/>
        </w:rPr>
        <w:t xml:space="preserve">Fay, M. P., &amp; </w:t>
      </w:r>
      <w:proofErr w:type="spellStart"/>
      <w:r w:rsidRPr="0017083A">
        <w:rPr>
          <w:rFonts w:cstheme="minorHAnsi"/>
          <w:shd w:val="clear" w:color="auto" w:fill="FFFFFF"/>
        </w:rPr>
        <w:t>Proschan</w:t>
      </w:r>
      <w:proofErr w:type="spellEnd"/>
      <w:r w:rsidRPr="0017083A">
        <w:rPr>
          <w:rFonts w:cstheme="minorHAnsi"/>
          <w:shd w:val="clear" w:color="auto" w:fill="FFFFFF"/>
        </w:rPr>
        <w:t>, M. A. (2010). Wilcoxon-Mann-Whitney or t-test? On assumptions for hypothesis tests and multiple interpretations of decision rules. </w:t>
      </w:r>
      <w:r w:rsidRPr="0017083A">
        <w:rPr>
          <w:rFonts w:cstheme="minorHAnsi"/>
          <w:i/>
          <w:iCs/>
          <w:shd w:val="clear" w:color="auto" w:fill="FFFFFF"/>
        </w:rPr>
        <w:t>Statistics surveys</w:t>
      </w:r>
      <w:r w:rsidRPr="0017083A">
        <w:rPr>
          <w:rFonts w:cstheme="minorHAnsi"/>
          <w:shd w:val="clear" w:color="auto" w:fill="FFFFFF"/>
        </w:rPr>
        <w:t>, </w:t>
      </w:r>
      <w:r w:rsidRPr="0017083A">
        <w:rPr>
          <w:rFonts w:cstheme="minorHAnsi"/>
          <w:i/>
          <w:iCs/>
          <w:shd w:val="clear" w:color="auto" w:fill="FFFFFF"/>
        </w:rPr>
        <w:t>4</w:t>
      </w:r>
      <w:r w:rsidRPr="0017083A">
        <w:rPr>
          <w:rFonts w:cstheme="minorHAnsi"/>
          <w:shd w:val="clear" w:color="auto" w:fill="FFFFFF"/>
        </w:rPr>
        <w:t>, 1.</w:t>
      </w:r>
    </w:p>
    <w:p w14:paraId="0FAF4A12" w14:textId="77777777" w:rsidR="007D2B74" w:rsidRPr="00E054CF" w:rsidRDefault="007D2B74" w:rsidP="007812D7">
      <w:pPr>
        <w:pStyle w:val="Lijstalinea"/>
        <w:numPr>
          <w:ilvl w:val="0"/>
          <w:numId w:val="3"/>
        </w:numPr>
        <w:spacing w:line="360" w:lineRule="auto"/>
        <w:ind w:left="714" w:hanging="357"/>
        <w:rPr>
          <w:rFonts w:cstheme="minorHAnsi"/>
        </w:rPr>
      </w:pPr>
      <w:r w:rsidRPr="0017083A">
        <w:rPr>
          <w:rFonts w:cstheme="minorHAnsi"/>
        </w:rPr>
        <w:t xml:space="preserve">Gangl, A. (2003). Procedural Justice Theory and Evaluations of the Lawmaking Process. </w:t>
      </w:r>
      <w:r w:rsidRPr="00E054CF">
        <w:rPr>
          <w:rFonts w:cstheme="minorHAnsi"/>
          <w:i/>
        </w:rPr>
        <w:t>Political Behavior, 25,</w:t>
      </w:r>
      <w:r w:rsidRPr="00E054CF">
        <w:rPr>
          <w:rFonts w:cstheme="minorHAnsi"/>
        </w:rPr>
        <w:t xml:space="preserve"> 119–49.</w:t>
      </w:r>
    </w:p>
    <w:p w14:paraId="295D0F81" w14:textId="77777777" w:rsidR="007D2B74" w:rsidRPr="00CF27E2" w:rsidRDefault="007D2B74" w:rsidP="00CF27E2">
      <w:pPr>
        <w:pStyle w:val="Lijstalinea"/>
        <w:numPr>
          <w:ilvl w:val="0"/>
          <w:numId w:val="3"/>
        </w:numPr>
        <w:spacing w:after="0" w:line="360" w:lineRule="auto"/>
        <w:ind w:left="714" w:hanging="357"/>
        <w:rPr>
          <w:rFonts w:cstheme="minorHAnsi"/>
          <w:i/>
          <w:iCs/>
        </w:rPr>
      </w:pPr>
      <w:r>
        <w:rPr>
          <w:rFonts w:cstheme="minorHAnsi"/>
          <w:iCs/>
        </w:rPr>
        <w:t xml:space="preserve">Gorb, A. &amp; Miller, V. (2017). Legislating for Brexit: EU directives. </w:t>
      </w:r>
      <w:r>
        <w:rPr>
          <w:rFonts w:cstheme="minorHAnsi"/>
          <w:i/>
          <w:iCs/>
        </w:rPr>
        <w:t>House of Commons Library.</w:t>
      </w:r>
    </w:p>
    <w:p w14:paraId="7228A0F3" w14:textId="77777777" w:rsidR="007D2B74" w:rsidRPr="00CF27E2" w:rsidRDefault="007D2B74" w:rsidP="00CF27E2">
      <w:pPr>
        <w:pStyle w:val="Lijstalinea"/>
        <w:numPr>
          <w:ilvl w:val="0"/>
          <w:numId w:val="3"/>
        </w:numPr>
        <w:spacing w:after="0" w:line="360" w:lineRule="auto"/>
        <w:ind w:left="714" w:hanging="357"/>
        <w:rPr>
          <w:rFonts w:cstheme="minorHAnsi"/>
          <w:i/>
          <w:iCs/>
        </w:rPr>
      </w:pPr>
      <w:r w:rsidRPr="00CF27E2">
        <w:lastRenderedPageBreak/>
        <w:t xml:space="preserve">Graham, M. H. (2003). Confronting multicollinearity in ecological multiple regression. </w:t>
      </w:r>
      <w:r w:rsidRPr="00CF27E2">
        <w:rPr>
          <w:i/>
          <w:iCs/>
        </w:rPr>
        <w:t>Ecology</w:t>
      </w:r>
      <w:r w:rsidRPr="00CF27E2">
        <w:t xml:space="preserve">, </w:t>
      </w:r>
      <w:r w:rsidRPr="00CF27E2">
        <w:rPr>
          <w:i/>
          <w:iCs/>
        </w:rPr>
        <w:t>84</w:t>
      </w:r>
      <w:r w:rsidRPr="00CF27E2">
        <w:t>(11), 2809-2815.</w:t>
      </w:r>
    </w:p>
    <w:p w14:paraId="1BB3895C" w14:textId="77777777" w:rsidR="007D2B74" w:rsidRPr="00860749" w:rsidRDefault="007D2B74" w:rsidP="00860749">
      <w:pPr>
        <w:pStyle w:val="Lijstalinea"/>
        <w:numPr>
          <w:ilvl w:val="0"/>
          <w:numId w:val="3"/>
        </w:numPr>
        <w:spacing w:line="360" w:lineRule="auto"/>
        <w:ind w:left="714" w:hanging="357"/>
        <w:rPr>
          <w:rFonts w:cstheme="minorHAnsi"/>
          <w:shd w:val="clear" w:color="auto" w:fill="FFFFFF"/>
        </w:rPr>
      </w:pPr>
      <w:r w:rsidRPr="00860749">
        <w:rPr>
          <w:rFonts w:cstheme="minorHAnsi"/>
        </w:rPr>
        <w:t xml:space="preserve">Grimes, M. (2006). Organizing Consent: The Role of Procedural Fairness in Political Trust and Compliance. </w:t>
      </w:r>
      <w:r w:rsidRPr="00860749">
        <w:rPr>
          <w:rFonts w:cstheme="minorHAnsi"/>
          <w:i/>
        </w:rPr>
        <w:t>European Journal of Political Research 45</w:t>
      </w:r>
      <w:r w:rsidRPr="00860749">
        <w:rPr>
          <w:rFonts w:cstheme="minorHAnsi"/>
        </w:rPr>
        <w:t>, 85–315.</w:t>
      </w:r>
    </w:p>
    <w:p w14:paraId="51A9444B" w14:textId="77777777" w:rsidR="007D2B74" w:rsidRPr="00860749" w:rsidRDefault="007D2B74" w:rsidP="00860749">
      <w:pPr>
        <w:pStyle w:val="Lijstalinea"/>
        <w:numPr>
          <w:ilvl w:val="0"/>
          <w:numId w:val="3"/>
        </w:numPr>
        <w:spacing w:line="360" w:lineRule="auto"/>
        <w:ind w:left="714" w:hanging="357"/>
        <w:rPr>
          <w:rFonts w:cstheme="minorHAnsi"/>
          <w:shd w:val="clear" w:color="auto" w:fill="FFFFFF"/>
        </w:rPr>
      </w:pPr>
      <w:r w:rsidRPr="00860749">
        <w:t xml:space="preserve">Haas, P. M. (1998). Compliance with EU directives: insights from international relations and comparative politics. </w:t>
      </w:r>
      <w:r w:rsidRPr="00860749">
        <w:rPr>
          <w:i/>
          <w:iCs/>
        </w:rPr>
        <w:t>Journal of European Public Policy</w:t>
      </w:r>
      <w:r w:rsidRPr="00860749">
        <w:t xml:space="preserve">, </w:t>
      </w:r>
      <w:r w:rsidRPr="00860749">
        <w:rPr>
          <w:i/>
          <w:iCs/>
        </w:rPr>
        <w:t>5</w:t>
      </w:r>
      <w:r w:rsidRPr="00860749">
        <w:t>(1), 17-37.</w:t>
      </w:r>
    </w:p>
    <w:p w14:paraId="65ADE216" w14:textId="77777777" w:rsidR="007D2B74" w:rsidRPr="00CF27E2" w:rsidRDefault="007D2B74" w:rsidP="007812D7">
      <w:pPr>
        <w:pStyle w:val="Lijstalinea"/>
        <w:numPr>
          <w:ilvl w:val="0"/>
          <w:numId w:val="3"/>
        </w:numPr>
        <w:spacing w:line="360" w:lineRule="auto"/>
        <w:ind w:left="714" w:hanging="357"/>
        <w:rPr>
          <w:rFonts w:cstheme="minorHAnsi"/>
        </w:rPr>
      </w:pPr>
      <w:r w:rsidRPr="00860749">
        <w:rPr>
          <w:rFonts w:cstheme="minorHAnsi"/>
        </w:rPr>
        <w:t>Haverland, M. (2000) ‘National adaptation to European integration</w:t>
      </w:r>
      <w:r w:rsidRPr="00CF27E2">
        <w:rPr>
          <w:rFonts w:cstheme="minorHAnsi"/>
        </w:rPr>
        <w:t>: the importance of institutional veto points’, Journal of Public Policy 20(1): 83–103.</w:t>
      </w:r>
    </w:p>
    <w:p w14:paraId="5AC754F6" w14:textId="77777777" w:rsidR="007D2B74" w:rsidRDefault="007D2B74" w:rsidP="007812D7">
      <w:pPr>
        <w:pStyle w:val="Lijstalinea"/>
        <w:numPr>
          <w:ilvl w:val="0"/>
          <w:numId w:val="3"/>
        </w:numPr>
        <w:spacing w:after="0" w:line="360" w:lineRule="auto"/>
        <w:ind w:left="714" w:hanging="357"/>
      </w:pPr>
      <w:r w:rsidRPr="00CF27E2">
        <w:t xml:space="preserve">Hibbing, J.R. &amp; Theiss-Morse, E. (2001). Process preferences and American </w:t>
      </w:r>
      <w:r w:rsidRPr="00E16180">
        <w:t>politics:</w:t>
      </w:r>
      <w:r>
        <w:t xml:space="preserve"> </w:t>
      </w:r>
      <w:r w:rsidRPr="00E16180">
        <w:t xml:space="preserve">What the people want </w:t>
      </w:r>
      <w:r w:rsidRPr="00E054CF">
        <w:rPr>
          <w:rFonts w:cstheme="minorHAnsi"/>
        </w:rPr>
        <w:t xml:space="preserve">government to be. </w:t>
      </w:r>
      <w:r w:rsidRPr="00E054CF">
        <w:rPr>
          <w:rFonts w:cstheme="minorHAnsi"/>
          <w:i/>
          <w:iCs/>
        </w:rPr>
        <w:t xml:space="preserve">American Political Science Review </w:t>
      </w:r>
      <w:r w:rsidRPr="00E054CF">
        <w:rPr>
          <w:rFonts w:cstheme="minorHAnsi"/>
        </w:rPr>
        <w:t>95: 145–153.</w:t>
      </w:r>
    </w:p>
    <w:p w14:paraId="2C133B95" w14:textId="77777777" w:rsidR="007D2B74" w:rsidRDefault="007D2B74" w:rsidP="007812D7">
      <w:pPr>
        <w:pStyle w:val="Lijstalinea"/>
        <w:numPr>
          <w:ilvl w:val="0"/>
          <w:numId w:val="3"/>
        </w:numPr>
        <w:spacing w:after="0" w:line="360" w:lineRule="auto"/>
        <w:ind w:left="714" w:hanging="357"/>
      </w:pPr>
      <w:r w:rsidRPr="00252F32">
        <w:t>Huber, J. &amp; McCarty, N. (2004). Bureaucratic capacity, delegation and political reform. American Political Science Review 98(3): 481–494</w:t>
      </w:r>
    </w:p>
    <w:p w14:paraId="78E19147" w14:textId="77777777" w:rsidR="007D2B74" w:rsidRPr="00F9711A" w:rsidRDefault="007D2B74" w:rsidP="00F9711A">
      <w:pPr>
        <w:pStyle w:val="Lijstalinea"/>
        <w:numPr>
          <w:ilvl w:val="0"/>
          <w:numId w:val="3"/>
        </w:numPr>
        <w:spacing w:line="360" w:lineRule="auto"/>
        <w:rPr>
          <w:rFonts w:cstheme="minorHAnsi"/>
          <w:shd w:val="clear" w:color="auto" w:fill="FFFFFF"/>
        </w:rPr>
      </w:pPr>
      <w:r w:rsidRPr="00F9711A">
        <w:rPr>
          <w:rFonts w:cstheme="minorHAnsi"/>
          <w:shd w:val="clear" w:color="auto" w:fill="FFFFFF"/>
        </w:rPr>
        <w:t>Hurd, I. (1999). Legitimacy and authority in international politics. </w:t>
      </w:r>
      <w:r w:rsidRPr="00F9711A">
        <w:rPr>
          <w:rFonts w:cstheme="minorHAnsi"/>
          <w:i/>
          <w:iCs/>
          <w:shd w:val="clear" w:color="auto" w:fill="FFFFFF"/>
        </w:rPr>
        <w:t>International organization</w:t>
      </w:r>
      <w:r w:rsidRPr="00F9711A">
        <w:rPr>
          <w:rFonts w:cstheme="minorHAnsi"/>
          <w:shd w:val="clear" w:color="auto" w:fill="FFFFFF"/>
        </w:rPr>
        <w:t>, </w:t>
      </w:r>
      <w:r w:rsidRPr="00F9711A">
        <w:rPr>
          <w:rFonts w:cstheme="minorHAnsi"/>
          <w:i/>
          <w:iCs/>
          <w:shd w:val="clear" w:color="auto" w:fill="FFFFFF"/>
        </w:rPr>
        <w:t>53</w:t>
      </w:r>
      <w:r w:rsidRPr="00F9711A">
        <w:rPr>
          <w:rFonts w:cstheme="minorHAnsi"/>
          <w:shd w:val="clear" w:color="auto" w:fill="FFFFFF"/>
        </w:rPr>
        <w:t>(2), 379-408.</w:t>
      </w:r>
    </w:p>
    <w:p w14:paraId="008F3BF2" w14:textId="77777777" w:rsidR="007D2B74" w:rsidRPr="00F9711A" w:rsidRDefault="007D2B74" w:rsidP="007812D7">
      <w:pPr>
        <w:pStyle w:val="Lijstalinea"/>
        <w:numPr>
          <w:ilvl w:val="0"/>
          <w:numId w:val="3"/>
        </w:numPr>
        <w:spacing w:after="0" w:line="360" w:lineRule="auto"/>
        <w:ind w:left="714" w:hanging="357"/>
      </w:pPr>
      <w:r w:rsidRPr="00F9711A">
        <w:rPr>
          <w:rFonts w:cstheme="minorHAnsi"/>
        </w:rPr>
        <w:t>Kaeding, M. (2008). Lost in translation or full steam ahead: the transposition of EU transport directives across member states. European Union Politics, 9(1), 115-143</w:t>
      </w:r>
      <w:r w:rsidRPr="00F9711A">
        <w:rPr>
          <w:rFonts w:cstheme="minorHAnsi"/>
          <w:shd w:val="clear" w:color="auto" w:fill="FFFFFF"/>
        </w:rPr>
        <w:t>.</w:t>
      </w:r>
    </w:p>
    <w:p w14:paraId="11FB5CCD" w14:textId="77777777" w:rsidR="007D2B74" w:rsidRPr="00E95234" w:rsidRDefault="007D2B74" w:rsidP="00183CEF">
      <w:pPr>
        <w:pStyle w:val="Lijstalinea"/>
        <w:numPr>
          <w:ilvl w:val="0"/>
          <w:numId w:val="3"/>
        </w:numPr>
        <w:spacing w:after="0" w:line="360" w:lineRule="auto"/>
        <w:ind w:left="714" w:hanging="357"/>
      </w:pPr>
      <w:r w:rsidRPr="00E95234">
        <w:rPr>
          <w:shd w:val="clear" w:color="auto" w:fill="FFFFFF"/>
        </w:rPr>
        <w:t>Keohane, R. O. (2005). After hegemony: Cooperation and discord in the world political economy. Princeton University Press.</w:t>
      </w:r>
    </w:p>
    <w:p w14:paraId="7323EC8D" w14:textId="77777777" w:rsidR="007D2B74" w:rsidRPr="00E95234" w:rsidRDefault="007D2B74" w:rsidP="00183CEF">
      <w:pPr>
        <w:pStyle w:val="Lijstalinea"/>
        <w:numPr>
          <w:ilvl w:val="0"/>
          <w:numId w:val="3"/>
        </w:numPr>
        <w:spacing w:after="0" w:line="360" w:lineRule="auto"/>
        <w:ind w:left="714" w:hanging="357"/>
      </w:pPr>
      <w:r w:rsidRPr="00E95234">
        <w:t xml:space="preserve">Klüver, H. (2013). </w:t>
      </w:r>
      <w:r w:rsidRPr="00E95234">
        <w:rPr>
          <w:i/>
          <w:iCs/>
        </w:rPr>
        <w:t>Lobbying in the European Union: interest groups, lobbying coalitions, and policy change</w:t>
      </w:r>
      <w:r w:rsidRPr="00E95234">
        <w:t>. Oxford University Press.</w:t>
      </w:r>
    </w:p>
    <w:p w14:paraId="4436DEE3" w14:textId="77777777" w:rsidR="007D2B74" w:rsidRPr="00E95234" w:rsidRDefault="007D2B74" w:rsidP="007812D7">
      <w:pPr>
        <w:pStyle w:val="Lijstalinea"/>
        <w:numPr>
          <w:ilvl w:val="0"/>
          <w:numId w:val="3"/>
        </w:numPr>
        <w:spacing w:after="0" w:line="360" w:lineRule="auto"/>
        <w:ind w:left="714" w:hanging="357"/>
      </w:pPr>
      <w:r w:rsidRPr="00E95234">
        <w:rPr>
          <w:rFonts w:cstheme="minorHAnsi"/>
        </w:rPr>
        <w:t>Knill, C. and Lenschow, A. (1998) ‘Coping with Europe: the impact of British and German administrations on the implementation of EU environmental policy’, Journal of European Public Policy 5(4): 595–614.</w:t>
      </w:r>
    </w:p>
    <w:p w14:paraId="08117DDD" w14:textId="77777777" w:rsidR="007D2B74" w:rsidRPr="00F9711A" w:rsidRDefault="007D2B74" w:rsidP="00F9711A">
      <w:pPr>
        <w:pStyle w:val="Lijstalinea"/>
        <w:numPr>
          <w:ilvl w:val="0"/>
          <w:numId w:val="3"/>
        </w:numPr>
        <w:spacing w:line="360" w:lineRule="auto"/>
        <w:rPr>
          <w:rFonts w:cstheme="minorHAnsi"/>
          <w:shd w:val="clear" w:color="auto" w:fill="FFFFFF"/>
        </w:rPr>
      </w:pPr>
      <w:r w:rsidRPr="00601251">
        <w:rPr>
          <w:lang w:val="de-DE"/>
        </w:rPr>
        <w:t xml:space="preserve">Kohler-Koch, B., &amp; </w:t>
      </w:r>
      <w:proofErr w:type="spellStart"/>
      <w:r w:rsidRPr="00601251">
        <w:rPr>
          <w:lang w:val="de-DE"/>
        </w:rPr>
        <w:t>Quittkat</w:t>
      </w:r>
      <w:proofErr w:type="spellEnd"/>
      <w:r w:rsidRPr="00601251">
        <w:rPr>
          <w:lang w:val="de-DE"/>
        </w:rPr>
        <w:t xml:space="preserve">, C. (2013). </w:t>
      </w:r>
      <w:r w:rsidRPr="00F9711A">
        <w:rPr>
          <w:i/>
          <w:iCs/>
        </w:rPr>
        <w:t>De-mystification of participatory democracy: EU-governance and civil society</w:t>
      </w:r>
      <w:r w:rsidRPr="00F9711A">
        <w:t>. OUP Oxford.</w:t>
      </w:r>
    </w:p>
    <w:p w14:paraId="22164122" w14:textId="77777777" w:rsidR="007D2B74" w:rsidRPr="008C5153" w:rsidRDefault="007D2B74" w:rsidP="007812D7">
      <w:pPr>
        <w:pStyle w:val="Lijstalinea"/>
        <w:numPr>
          <w:ilvl w:val="0"/>
          <w:numId w:val="3"/>
        </w:numPr>
        <w:spacing w:after="0" w:line="360" w:lineRule="auto"/>
        <w:ind w:left="714" w:hanging="357"/>
      </w:pPr>
      <w:r w:rsidRPr="00E95234">
        <w:rPr>
          <w:rFonts w:cstheme="minorHAnsi"/>
        </w:rPr>
        <w:t xml:space="preserve">Krislov, S., </w:t>
      </w:r>
      <w:proofErr w:type="spellStart"/>
      <w:r w:rsidRPr="00E95234">
        <w:rPr>
          <w:rFonts w:cstheme="minorHAnsi"/>
        </w:rPr>
        <w:t>Ehlermann</w:t>
      </w:r>
      <w:proofErr w:type="spellEnd"/>
      <w:r w:rsidRPr="00E95234">
        <w:rPr>
          <w:rFonts w:cstheme="minorHAnsi"/>
        </w:rPr>
        <w:t xml:space="preserve">, C. and </w:t>
      </w:r>
      <w:proofErr w:type="spellStart"/>
      <w:r w:rsidRPr="00E95234">
        <w:rPr>
          <w:rFonts w:cstheme="minorHAnsi"/>
        </w:rPr>
        <w:t>Weiler</w:t>
      </w:r>
      <w:proofErr w:type="spellEnd"/>
      <w:r w:rsidRPr="00E95234">
        <w:rPr>
          <w:rFonts w:cstheme="minorHAnsi"/>
        </w:rPr>
        <w:t xml:space="preserve">, J. (1986) ‘The political organs and the </w:t>
      </w:r>
      <w:proofErr w:type="spellStart"/>
      <w:r w:rsidRPr="00E95234">
        <w:rPr>
          <w:rFonts w:cstheme="minorHAnsi"/>
        </w:rPr>
        <w:t>decisionmaking</w:t>
      </w:r>
      <w:proofErr w:type="spellEnd"/>
      <w:r w:rsidRPr="00E95234">
        <w:rPr>
          <w:rFonts w:cstheme="minorHAnsi"/>
        </w:rPr>
        <w:t xml:space="preserve"> process in the United States and the European Community’, in M. Cappelletti</w:t>
      </w:r>
      <w:r w:rsidRPr="00E054CF">
        <w:rPr>
          <w:rFonts w:cstheme="minorHAnsi"/>
        </w:rPr>
        <w:t xml:space="preserve">, M. </w:t>
      </w:r>
      <w:proofErr w:type="spellStart"/>
      <w:r w:rsidRPr="00E054CF">
        <w:rPr>
          <w:rFonts w:cstheme="minorHAnsi"/>
        </w:rPr>
        <w:t>Seccombe</w:t>
      </w:r>
      <w:proofErr w:type="spellEnd"/>
      <w:r w:rsidRPr="00E054CF">
        <w:rPr>
          <w:rFonts w:cstheme="minorHAnsi"/>
        </w:rPr>
        <w:t xml:space="preserve"> and J. </w:t>
      </w:r>
      <w:proofErr w:type="spellStart"/>
      <w:r w:rsidRPr="00E054CF">
        <w:rPr>
          <w:rFonts w:cstheme="minorHAnsi"/>
        </w:rPr>
        <w:t>Weiler</w:t>
      </w:r>
      <w:proofErr w:type="spellEnd"/>
      <w:r w:rsidRPr="00E054CF">
        <w:rPr>
          <w:rFonts w:cstheme="minorHAnsi"/>
        </w:rPr>
        <w:t xml:space="preserve"> (eds), Integration through Law: Europe and the American Federal Experience (Volume 1, book 2), Berlin: Walter de Gruyter, pp. 3–110.</w:t>
      </w:r>
    </w:p>
    <w:p w14:paraId="4ACD7185" w14:textId="77777777" w:rsidR="007D2B74" w:rsidRPr="00BE0915" w:rsidRDefault="007D2B74" w:rsidP="00BE0915">
      <w:pPr>
        <w:pStyle w:val="Lijstalinea"/>
        <w:numPr>
          <w:ilvl w:val="0"/>
          <w:numId w:val="3"/>
        </w:numPr>
        <w:spacing w:line="360" w:lineRule="auto"/>
        <w:ind w:left="714" w:hanging="357"/>
        <w:rPr>
          <w:rFonts w:cstheme="minorHAnsi"/>
          <w:shd w:val="clear" w:color="auto" w:fill="FFFFFF"/>
        </w:rPr>
      </w:pPr>
      <w:r w:rsidRPr="00BE0915">
        <w:rPr>
          <w:shd w:val="clear" w:color="auto" w:fill="FFFFFF"/>
        </w:rPr>
        <w:t>Lewis, J. (2015). The Council of the European Union and the European Council. </w:t>
      </w:r>
      <w:r w:rsidRPr="00BE0915">
        <w:rPr>
          <w:i/>
          <w:iCs/>
          <w:shd w:val="clear" w:color="auto" w:fill="FFFFFF"/>
        </w:rPr>
        <w:t>Routledge Handbook of European Politics</w:t>
      </w:r>
      <w:r w:rsidRPr="00BE0915">
        <w:rPr>
          <w:shd w:val="clear" w:color="auto" w:fill="FFFFFF"/>
        </w:rPr>
        <w:t>.</w:t>
      </w:r>
    </w:p>
    <w:p w14:paraId="4688CFB0" w14:textId="77777777" w:rsidR="007D2B74" w:rsidRPr="00DF6652" w:rsidRDefault="007D2B74" w:rsidP="00DF6652">
      <w:pPr>
        <w:pStyle w:val="Lijstalinea"/>
        <w:numPr>
          <w:ilvl w:val="0"/>
          <w:numId w:val="3"/>
        </w:numPr>
        <w:spacing w:line="360" w:lineRule="auto"/>
        <w:rPr>
          <w:rFonts w:cstheme="minorHAnsi"/>
          <w:shd w:val="clear" w:color="auto" w:fill="FFFFFF"/>
        </w:rPr>
      </w:pPr>
      <w:r w:rsidRPr="00DF6652">
        <w:rPr>
          <w:shd w:val="clear" w:color="auto" w:fill="FFFFFF"/>
        </w:rPr>
        <w:t>Lewis-Beck, M. (1995). </w:t>
      </w:r>
      <w:r w:rsidRPr="00DF6652">
        <w:rPr>
          <w:i/>
          <w:iCs/>
          <w:shd w:val="clear" w:color="auto" w:fill="FFFFFF"/>
        </w:rPr>
        <w:t>Data analysis: An introduction</w:t>
      </w:r>
      <w:r w:rsidRPr="00DF6652">
        <w:rPr>
          <w:shd w:val="clear" w:color="auto" w:fill="FFFFFF"/>
        </w:rPr>
        <w:t>. Sage.</w:t>
      </w:r>
    </w:p>
    <w:p w14:paraId="09945AA6" w14:textId="77777777" w:rsidR="007D2B74" w:rsidRPr="0017083A" w:rsidRDefault="007D2B74" w:rsidP="0017083A">
      <w:pPr>
        <w:pStyle w:val="Lijstalinea"/>
        <w:numPr>
          <w:ilvl w:val="0"/>
          <w:numId w:val="3"/>
        </w:numPr>
        <w:spacing w:line="360" w:lineRule="auto"/>
        <w:ind w:left="714" w:hanging="357"/>
        <w:rPr>
          <w:rFonts w:cstheme="minorHAnsi"/>
        </w:rPr>
      </w:pPr>
      <w:r w:rsidRPr="0017083A">
        <w:rPr>
          <w:rFonts w:cstheme="minorHAnsi"/>
          <w:shd w:val="clear" w:color="auto" w:fill="FFFFFF"/>
        </w:rPr>
        <w:t>Mann, H. B., &amp; Whitney, D. R. (1947). On a test of whether one of two random variables is stochastically larger than the other. </w:t>
      </w:r>
      <w:r w:rsidRPr="0017083A">
        <w:rPr>
          <w:rFonts w:cstheme="minorHAnsi"/>
          <w:i/>
          <w:iCs/>
          <w:shd w:val="clear" w:color="auto" w:fill="FFFFFF"/>
        </w:rPr>
        <w:t>The annals of mathematical statistics</w:t>
      </w:r>
      <w:r w:rsidRPr="0017083A">
        <w:rPr>
          <w:rFonts w:cstheme="minorHAnsi"/>
          <w:shd w:val="clear" w:color="auto" w:fill="FFFFFF"/>
        </w:rPr>
        <w:t>, 50-60.</w:t>
      </w:r>
    </w:p>
    <w:p w14:paraId="1B663F44" w14:textId="77777777" w:rsidR="007D2B74" w:rsidRPr="0017083A" w:rsidRDefault="007D2B74" w:rsidP="00C34654">
      <w:pPr>
        <w:pStyle w:val="Lijstalinea"/>
        <w:numPr>
          <w:ilvl w:val="0"/>
          <w:numId w:val="3"/>
        </w:numPr>
        <w:spacing w:line="360" w:lineRule="auto"/>
        <w:rPr>
          <w:rFonts w:cstheme="minorHAnsi"/>
          <w:shd w:val="clear" w:color="auto" w:fill="FFFFFF"/>
        </w:rPr>
      </w:pPr>
      <w:r w:rsidRPr="0017083A">
        <w:rPr>
          <w:rFonts w:cstheme="minorHAnsi"/>
          <w:shd w:val="clear" w:color="auto" w:fill="FFFFFF"/>
        </w:rPr>
        <w:lastRenderedPageBreak/>
        <w:t>March, J. G., &amp; Olsen, J. P. (2004). The logic of appropriateness. In </w:t>
      </w:r>
      <w:r w:rsidRPr="0017083A">
        <w:rPr>
          <w:rFonts w:cstheme="minorHAnsi"/>
          <w:i/>
          <w:iCs/>
          <w:shd w:val="clear" w:color="auto" w:fill="FFFFFF"/>
        </w:rPr>
        <w:t>The Oxford handbook of political science</w:t>
      </w:r>
      <w:r w:rsidRPr="0017083A">
        <w:rPr>
          <w:rFonts w:cstheme="minorHAnsi"/>
          <w:shd w:val="clear" w:color="auto" w:fill="FFFFFF"/>
        </w:rPr>
        <w:t>.</w:t>
      </w:r>
    </w:p>
    <w:p w14:paraId="3C95C694" w14:textId="77777777" w:rsidR="007D2B74" w:rsidRPr="00EB34B4" w:rsidRDefault="007D2B74" w:rsidP="0017083A">
      <w:pPr>
        <w:pStyle w:val="Lijstalinea"/>
        <w:numPr>
          <w:ilvl w:val="0"/>
          <w:numId w:val="3"/>
        </w:numPr>
        <w:spacing w:line="360" w:lineRule="auto"/>
        <w:ind w:left="714" w:hanging="357"/>
        <w:rPr>
          <w:rFonts w:cstheme="minorHAnsi"/>
          <w:shd w:val="clear" w:color="auto" w:fill="FFFFFF"/>
        </w:rPr>
      </w:pPr>
      <w:r w:rsidRPr="0017083A">
        <w:rPr>
          <w:rFonts w:cstheme="minorHAnsi"/>
        </w:rPr>
        <w:t xml:space="preserve">Mastenbroek, E. (2005). EU compliance: Still a black hole? Journal of European Public Policy 12(6): </w:t>
      </w:r>
      <w:r w:rsidRPr="00EB34B4">
        <w:rPr>
          <w:rFonts w:cstheme="minorHAnsi"/>
        </w:rPr>
        <w:t>1103-1120.</w:t>
      </w:r>
    </w:p>
    <w:p w14:paraId="0A9996DF" w14:textId="77777777" w:rsidR="007D2B74" w:rsidRPr="0017083A" w:rsidRDefault="007D2B74" w:rsidP="0017083A">
      <w:pPr>
        <w:pStyle w:val="Lijstalinea"/>
        <w:numPr>
          <w:ilvl w:val="0"/>
          <w:numId w:val="3"/>
        </w:numPr>
        <w:spacing w:line="360" w:lineRule="auto"/>
        <w:ind w:left="714" w:hanging="357"/>
        <w:rPr>
          <w:rFonts w:cstheme="minorHAnsi"/>
          <w:shd w:val="clear" w:color="auto" w:fill="FFFFFF"/>
        </w:rPr>
      </w:pPr>
      <w:r w:rsidRPr="00EB34B4">
        <w:rPr>
          <w:rFonts w:cstheme="minorHAnsi"/>
          <w:shd w:val="clear" w:color="auto" w:fill="FFFFFF"/>
        </w:rPr>
        <w:t>Nachar, N. (2008). The Mann-Whitney U: A test for assessing whether two independent samples come from the same distribution</w:t>
      </w:r>
      <w:r w:rsidRPr="0017083A">
        <w:rPr>
          <w:rFonts w:cstheme="minorHAnsi"/>
          <w:shd w:val="clear" w:color="auto" w:fill="FFFFFF"/>
        </w:rPr>
        <w:t>. </w:t>
      </w:r>
      <w:r w:rsidRPr="0017083A">
        <w:rPr>
          <w:rFonts w:cstheme="minorHAnsi"/>
          <w:i/>
          <w:iCs/>
          <w:shd w:val="clear" w:color="auto" w:fill="FFFFFF"/>
        </w:rPr>
        <w:t>Tutorials in Quantitative Methods for Psychology</w:t>
      </w:r>
      <w:r w:rsidRPr="0017083A">
        <w:rPr>
          <w:rFonts w:cstheme="minorHAnsi"/>
          <w:shd w:val="clear" w:color="auto" w:fill="FFFFFF"/>
        </w:rPr>
        <w:t>, </w:t>
      </w:r>
      <w:r w:rsidRPr="0017083A">
        <w:rPr>
          <w:rFonts w:cstheme="minorHAnsi"/>
          <w:i/>
          <w:iCs/>
          <w:shd w:val="clear" w:color="auto" w:fill="FFFFFF"/>
        </w:rPr>
        <w:t>4</w:t>
      </w:r>
      <w:r w:rsidRPr="0017083A">
        <w:rPr>
          <w:rFonts w:cstheme="minorHAnsi"/>
          <w:shd w:val="clear" w:color="auto" w:fill="FFFFFF"/>
        </w:rPr>
        <w:t>(1), 13-20.</w:t>
      </w:r>
    </w:p>
    <w:p w14:paraId="413D8DE0" w14:textId="77777777" w:rsidR="007D2B74" w:rsidRPr="0017083A" w:rsidRDefault="007D2B74" w:rsidP="00BB4DA4">
      <w:pPr>
        <w:pStyle w:val="Lijstalinea"/>
        <w:numPr>
          <w:ilvl w:val="0"/>
          <w:numId w:val="3"/>
        </w:numPr>
        <w:spacing w:line="360" w:lineRule="auto"/>
        <w:rPr>
          <w:rFonts w:cstheme="minorHAnsi"/>
          <w:shd w:val="clear" w:color="auto" w:fill="FFFFFF"/>
        </w:rPr>
      </w:pPr>
      <w:r w:rsidRPr="0017083A">
        <w:rPr>
          <w:rFonts w:cstheme="minorHAnsi"/>
          <w:shd w:val="clear" w:color="auto" w:fill="FFFFFF"/>
        </w:rPr>
        <w:t>Pollock III, P. H. (2011). </w:t>
      </w:r>
      <w:r w:rsidRPr="0017083A">
        <w:rPr>
          <w:rFonts w:cstheme="minorHAnsi"/>
          <w:i/>
          <w:shd w:val="clear" w:color="auto" w:fill="FFFFFF"/>
        </w:rPr>
        <w:t>An SPSS companion to political analysis</w:t>
      </w:r>
      <w:r w:rsidRPr="0017083A">
        <w:rPr>
          <w:rFonts w:cstheme="minorHAnsi"/>
          <w:shd w:val="clear" w:color="auto" w:fill="FFFFFF"/>
        </w:rPr>
        <w:t>. CQ Press.</w:t>
      </w:r>
    </w:p>
    <w:p w14:paraId="3E5D0B57" w14:textId="77777777" w:rsidR="007D2B74" w:rsidRPr="00A90C47" w:rsidRDefault="007D2B74" w:rsidP="00DF6652">
      <w:pPr>
        <w:pStyle w:val="Lijstalinea"/>
        <w:numPr>
          <w:ilvl w:val="0"/>
          <w:numId w:val="3"/>
        </w:numPr>
        <w:spacing w:line="360" w:lineRule="auto"/>
        <w:rPr>
          <w:rFonts w:cstheme="minorHAnsi"/>
          <w:shd w:val="clear" w:color="auto" w:fill="FFFFFF"/>
        </w:rPr>
      </w:pPr>
      <w:r w:rsidRPr="00A90C47">
        <w:rPr>
          <w:rFonts w:cstheme="minorHAnsi"/>
          <w:shd w:val="clear" w:color="auto" w:fill="FFFFFF"/>
        </w:rPr>
        <w:t>Schmitter, P. C. (2016). The design of social and political research. Chinese Political Science Review, 1(4), 577-609.</w:t>
      </w:r>
    </w:p>
    <w:p w14:paraId="1288DAA8" w14:textId="77777777" w:rsidR="007D2B74" w:rsidRPr="00A90C47" w:rsidRDefault="007D2B74" w:rsidP="007812D7">
      <w:pPr>
        <w:pStyle w:val="Lijstalinea"/>
        <w:numPr>
          <w:ilvl w:val="0"/>
          <w:numId w:val="3"/>
        </w:numPr>
        <w:spacing w:line="360" w:lineRule="auto"/>
        <w:ind w:left="714" w:hanging="357"/>
        <w:rPr>
          <w:rFonts w:cstheme="minorHAnsi"/>
          <w:shd w:val="clear" w:color="auto" w:fill="FFFFFF"/>
        </w:rPr>
      </w:pPr>
      <w:r w:rsidRPr="00A90C47">
        <w:rPr>
          <w:rFonts w:cstheme="minorHAnsi"/>
          <w:shd w:val="clear" w:color="auto" w:fill="FFFFFF"/>
        </w:rPr>
        <w:t>Schulz, H., &amp; Konig, T. (2000). Institutional Reform and Decision-Making Efficiency in the European Union. </w:t>
      </w:r>
      <w:r w:rsidRPr="00A90C47">
        <w:rPr>
          <w:rFonts w:cstheme="minorHAnsi"/>
          <w:i/>
          <w:iCs/>
          <w:shd w:val="clear" w:color="auto" w:fill="FFFFFF"/>
        </w:rPr>
        <w:t>American Journal of Political Science,</w:t>
      </w:r>
      <w:r w:rsidRPr="00A90C47">
        <w:rPr>
          <w:rFonts w:cstheme="minorHAnsi"/>
          <w:shd w:val="clear" w:color="auto" w:fill="FFFFFF"/>
        </w:rPr>
        <w:t> </w:t>
      </w:r>
      <w:r w:rsidRPr="00A90C47">
        <w:rPr>
          <w:rFonts w:cstheme="minorHAnsi"/>
          <w:i/>
          <w:iCs/>
          <w:shd w:val="clear" w:color="auto" w:fill="FFFFFF"/>
        </w:rPr>
        <w:t>44</w:t>
      </w:r>
      <w:r w:rsidRPr="00A90C47">
        <w:rPr>
          <w:rFonts w:cstheme="minorHAnsi"/>
          <w:shd w:val="clear" w:color="auto" w:fill="FFFFFF"/>
        </w:rPr>
        <w:t xml:space="preserve">(4), 653-666. </w:t>
      </w:r>
    </w:p>
    <w:p w14:paraId="27390E8A" w14:textId="77777777" w:rsidR="007D2B74" w:rsidRPr="00C34654" w:rsidRDefault="007D2B74" w:rsidP="00C34654">
      <w:pPr>
        <w:pStyle w:val="Lijstalinea"/>
        <w:numPr>
          <w:ilvl w:val="0"/>
          <w:numId w:val="3"/>
        </w:numPr>
        <w:spacing w:line="360" w:lineRule="auto"/>
        <w:rPr>
          <w:rFonts w:cstheme="minorHAnsi"/>
          <w:shd w:val="clear" w:color="auto" w:fill="FFFFFF"/>
        </w:rPr>
      </w:pPr>
      <w:r w:rsidRPr="00C34654">
        <w:rPr>
          <w:rFonts w:cstheme="minorHAnsi"/>
          <w:shd w:val="clear" w:color="auto" w:fill="FFFFFF"/>
        </w:rPr>
        <w:t>Scott, W. R. (1991). Unpacking Institutional Arguments. S. 164–182 in: WB Powell, PJ DiMaggio (</w:t>
      </w:r>
      <w:proofErr w:type="spellStart"/>
      <w:r w:rsidRPr="00C34654">
        <w:rPr>
          <w:rFonts w:cstheme="minorHAnsi"/>
          <w:shd w:val="clear" w:color="auto" w:fill="FFFFFF"/>
        </w:rPr>
        <w:t>Hrsg</w:t>
      </w:r>
      <w:proofErr w:type="spellEnd"/>
      <w:r w:rsidRPr="00C34654">
        <w:rPr>
          <w:rFonts w:cstheme="minorHAnsi"/>
          <w:shd w:val="clear" w:color="auto" w:fill="FFFFFF"/>
        </w:rPr>
        <w:t>.): The New Institutionalism in Organizational Analysis.</w:t>
      </w:r>
    </w:p>
    <w:p w14:paraId="52EF7DC0" w14:textId="77777777" w:rsidR="007D2B74" w:rsidRPr="00860749" w:rsidRDefault="007D2B74" w:rsidP="00860749">
      <w:pPr>
        <w:pStyle w:val="Lijstalinea"/>
        <w:numPr>
          <w:ilvl w:val="0"/>
          <w:numId w:val="3"/>
        </w:numPr>
        <w:spacing w:after="0" w:line="360" w:lineRule="auto"/>
        <w:ind w:left="714" w:hanging="357"/>
        <w:rPr>
          <w:rFonts w:cstheme="minorHAnsi"/>
        </w:rPr>
      </w:pPr>
      <w:r w:rsidRPr="00200725">
        <w:t>Sedelmeier</w:t>
      </w:r>
      <w:r>
        <w:t>, U.</w:t>
      </w:r>
      <w:r w:rsidRPr="00200725">
        <w:t xml:space="preserve"> (2008)</w:t>
      </w:r>
      <w:r>
        <w:t>.</w:t>
      </w:r>
      <w:r w:rsidRPr="00200725">
        <w:t xml:space="preserve"> After conditionality: post-accession compliance with EU law in East Central Europe, </w:t>
      </w:r>
      <w:r w:rsidRPr="00E054CF">
        <w:rPr>
          <w:i/>
        </w:rPr>
        <w:t>Journal of European Public Policy</w:t>
      </w:r>
      <w:r>
        <w:t>, 15:6, 806-825.</w:t>
      </w:r>
    </w:p>
    <w:p w14:paraId="48B822BD" w14:textId="77777777" w:rsidR="007D2B74" w:rsidRPr="001B444F" w:rsidRDefault="007D2B74" w:rsidP="001B444F">
      <w:pPr>
        <w:pStyle w:val="Lijstalinea"/>
        <w:numPr>
          <w:ilvl w:val="0"/>
          <w:numId w:val="3"/>
        </w:numPr>
        <w:spacing w:line="360" w:lineRule="auto"/>
        <w:rPr>
          <w:rFonts w:cstheme="minorHAnsi"/>
          <w:shd w:val="clear" w:color="auto" w:fill="FFFFFF"/>
        </w:rPr>
      </w:pPr>
      <w:proofErr w:type="spellStart"/>
      <w:r w:rsidRPr="001B444F">
        <w:rPr>
          <w:rFonts w:cstheme="minorHAnsi"/>
          <w:shd w:val="clear" w:color="auto" w:fill="FFFFFF"/>
        </w:rPr>
        <w:t>Suchman</w:t>
      </w:r>
      <w:proofErr w:type="spellEnd"/>
      <w:r w:rsidRPr="001B444F">
        <w:rPr>
          <w:rFonts w:cstheme="minorHAnsi"/>
          <w:shd w:val="clear" w:color="auto" w:fill="FFFFFF"/>
        </w:rPr>
        <w:t>, M. C. (1995). Managing legitimacy: Strategic and institutional approaches. </w:t>
      </w:r>
      <w:r w:rsidRPr="001B444F">
        <w:rPr>
          <w:rFonts w:cstheme="minorHAnsi"/>
          <w:i/>
          <w:iCs/>
          <w:shd w:val="clear" w:color="auto" w:fill="FFFFFF"/>
        </w:rPr>
        <w:t>Academy of management review</w:t>
      </w:r>
      <w:r w:rsidRPr="001B444F">
        <w:rPr>
          <w:rFonts w:cstheme="minorHAnsi"/>
          <w:shd w:val="clear" w:color="auto" w:fill="FFFFFF"/>
        </w:rPr>
        <w:t>, </w:t>
      </w:r>
      <w:r w:rsidRPr="001B444F">
        <w:rPr>
          <w:rFonts w:cstheme="minorHAnsi"/>
          <w:i/>
          <w:iCs/>
          <w:shd w:val="clear" w:color="auto" w:fill="FFFFFF"/>
        </w:rPr>
        <w:t>20</w:t>
      </w:r>
      <w:r w:rsidRPr="001B444F">
        <w:rPr>
          <w:rFonts w:cstheme="minorHAnsi"/>
          <w:shd w:val="clear" w:color="auto" w:fill="FFFFFF"/>
        </w:rPr>
        <w:t>(3), 571-610.</w:t>
      </w:r>
    </w:p>
    <w:p w14:paraId="5B198D64" w14:textId="77777777" w:rsidR="007D2B74" w:rsidRPr="001B444F" w:rsidRDefault="007D2B74" w:rsidP="001B444F">
      <w:pPr>
        <w:pStyle w:val="Lijstalinea"/>
        <w:numPr>
          <w:ilvl w:val="0"/>
          <w:numId w:val="3"/>
        </w:numPr>
        <w:spacing w:line="360" w:lineRule="auto"/>
        <w:rPr>
          <w:rFonts w:cstheme="minorHAnsi"/>
          <w:shd w:val="clear" w:color="auto" w:fill="FFFFFF"/>
        </w:rPr>
      </w:pPr>
      <w:r w:rsidRPr="001B444F">
        <w:rPr>
          <w:rFonts w:cstheme="minorHAnsi"/>
          <w:shd w:val="clear" w:color="auto" w:fill="FFFFFF"/>
        </w:rPr>
        <w:t>Sverdrup, U. (2004). Compliance and conflict management in the European Union: Nordic exceptionalism. </w:t>
      </w:r>
      <w:r w:rsidRPr="001B444F">
        <w:rPr>
          <w:rFonts w:cstheme="minorHAnsi"/>
          <w:i/>
          <w:iCs/>
          <w:shd w:val="clear" w:color="auto" w:fill="FFFFFF"/>
        </w:rPr>
        <w:t>Scandinavian Political Studies</w:t>
      </w:r>
      <w:r w:rsidRPr="001B444F">
        <w:rPr>
          <w:rFonts w:cstheme="minorHAnsi"/>
          <w:shd w:val="clear" w:color="auto" w:fill="FFFFFF"/>
        </w:rPr>
        <w:t>, </w:t>
      </w:r>
      <w:r w:rsidRPr="001B444F">
        <w:rPr>
          <w:rFonts w:cstheme="minorHAnsi"/>
          <w:i/>
          <w:iCs/>
          <w:shd w:val="clear" w:color="auto" w:fill="FFFFFF"/>
        </w:rPr>
        <w:t>27</w:t>
      </w:r>
      <w:r w:rsidRPr="001B444F">
        <w:rPr>
          <w:rFonts w:cstheme="minorHAnsi"/>
          <w:shd w:val="clear" w:color="auto" w:fill="FFFFFF"/>
        </w:rPr>
        <w:t>(1), 23-43.</w:t>
      </w:r>
    </w:p>
    <w:p w14:paraId="7E522245" w14:textId="77777777" w:rsidR="007D2B74" w:rsidRPr="001B444F" w:rsidRDefault="007D2B74" w:rsidP="001B444F">
      <w:pPr>
        <w:pStyle w:val="Lijstalinea"/>
        <w:numPr>
          <w:ilvl w:val="0"/>
          <w:numId w:val="3"/>
        </w:numPr>
        <w:spacing w:line="360" w:lineRule="auto"/>
        <w:rPr>
          <w:rFonts w:cstheme="minorHAnsi"/>
        </w:rPr>
      </w:pPr>
      <w:r w:rsidRPr="001B444F">
        <w:rPr>
          <w:rFonts w:cstheme="minorHAnsi"/>
        </w:rPr>
        <w:t xml:space="preserve">Tallberg, J. (2002). Paths to compliance: Enforcement, management, and the European Union. </w:t>
      </w:r>
      <w:r w:rsidRPr="001B444F">
        <w:rPr>
          <w:rFonts w:cstheme="minorHAnsi"/>
          <w:i/>
        </w:rPr>
        <w:t>International Organization</w:t>
      </w:r>
      <w:r w:rsidRPr="001B444F">
        <w:rPr>
          <w:rFonts w:cstheme="minorHAnsi"/>
        </w:rPr>
        <w:t xml:space="preserve"> 56(3): 609-643. </w:t>
      </w:r>
    </w:p>
    <w:p w14:paraId="2FF9B551" w14:textId="77777777" w:rsidR="007D2B74" w:rsidRPr="00F00842" w:rsidRDefault="007D2B74" w:rsidP="00F00842">
      <w:pPr>
        <w:pStyle w:val="Lijstalinea"/>
        <w:numPr>
          <w:ilvl w:val="0"/>
          <w:numId w:val="3"/>
        </w:numPr>
        <w:spacing w:line="360" w:lineRule="auto"/>
        <w:rPr>
          <w:rFonts w:cstheme="minorHAnsi"/>
          <w:shd w:val="clear" w:color="auto" w:fill="FFFFFF"/>
        </w:rPr>
      </w:pPr>
      <w:r w:rsidRPr="001B444F">
        <w:rPr>
          <w:rFonts w:cstheme="minorHAnsi"/>
          <w:shd w:val="clear" w:color="auto" w:fill="FFFFFF"/>
        </w:rPr>
        <w:t>The Quality o</w:t>
      </w:r>
      <w:r>
        <w:rPr>
          <w:rFonts w:cstheme="minorHAnsi"/>
          <w:shd w:val="clear" w:color="auto" w:fill="FFFFFF"/>
        </w:rPr>
        <w:t xml:space="preserve">f Government Institute. (2017). </w:t>
      </w:r>
      <w:r w:rsidRPr="001B444F">
        <w:rPr>
          <w:rFonts w:cstheme="minorHAnsi"/>
          <w:shd w:val="clear" w:color="auto" w:fill="FFFFFF"/>
        </w:rPr>
        <w:t xml:space="preserve">The European Quality of Government Index. </w:t>
      </w:r>
      <w:r w:rsidRPr="001B444F">
        <w:rPr>
          <w:rFonts w:cstheme="minorHAnsi"/>
        </w:rPr>
        <w:t xml:space="preserve">As retrieved from: </w:t>
      </w:r>
      <w:hyperlink r:id="rId28" w:history="1">
        <w:r w:rsidRPr="00F00842">
          <w:rPr>
            <w:rStyle w:val="Hyperlink"/>
            <w:rFonts w:cstheme="minorHAnsi"/>
            <w:color w:val="0070C0"/>
          </w:rPr>
          <w:t>https://qog.pol.gu.se/data/datadownloads/qog-eqi-data</w:t>
        </w:r>
      </w:hyperlink>
      <w:r w:rsidRPr="00F00842">
        <w:rPr>
          <w:rFonts w:cstheme="minorHAnsi"/>
        </w:rPr>
        <w:t xml:space="preserve"> on May 24, 2018.</w:t>
      </w:r>
    </w:p>
    <w:p w14:paraId="19ADAED5" w14:textId="77777777" w:rsidR="007D2B74" w:rsidRPr="00860749" w:rsidRDefault="007D2B74" w:rsidP="00860749">
      <w:pPr>
        <w:pStyle w:val="Lijstalinea"/>
        <w:numPr>
          <w:ilvl w:val="0"/>
          <w:numId w:val="3"/>
        </w:numPr>
        <w:spacing w:line="360" w:lineRule="auto"/>
        <w:ind w:left="714" w:hanging="357"/>
        <w:rPr>
          <w:rFonts w:cstheme="minorHAnsi"/>
          <w:shd w:val="clear" w:color="auto" w:fill="FFFFFF"/>
        </w:rPr>
      </w:pPr>
      <w:r w:rsidRPr="00E054CF">
        <w:rPr>
          <w:rFonts w:cstheme="minorHAnsi"/>
          <w:shd w:val="clear" w:color="auto" w:fill="FFFFFF"/>
        </w:rPr>
        <w:t>Toshkov, D. (2008). Embracing European law: compliance with EU directives in Central and Eastern Europe. </w:t>
      </w:r>
      <w:r w:rsidRPr="00E054CF">
        <w:rPr>
          <w:rFonts w:cstheme="minorHAnsi"/>
          <w:i/>
          <w:iCs/>
          <w:shd w:val="clear" w:color="auto" w:fill="FFFFFF"/>
        </w:rPr>
        <w:t>European Union Politics</w:t>
      </w:r>
      <w:r w:rsidRPr="00E054CF">
        <w:rPr>
          <w:rFonts w:cstheme="minorHAnsi"/>
          <w:shd w:val="clear" w:color="auto" w:fill="FFFFFF"/>
        </w:rPr>
        <w:t>, </w:t>
      </w:r>
      <w:r w:rsidRPr="00E054CF">
        <w:rPr>
          <w:rFonts w:cstheme="minorHAnsi"/>
          <w:i/>
          <w:iCs/>
          <w:shd w:val="clear" w:color="auto" w:fill="FFFFFF"/>
        </w:rPr>
        <w:t>9</w:t>
      </w:r>
      <w:r w:rsidRPr="00E054CF">
        <w:rPr>
          <w:rFonts w:cstheme="minorHAnsi"/>
          <w:shd w:val="clear" w:color="auto" w:fill="FFFFFF"/>
        </w:rPr>
        <w:t>(3), 379-402.</w:t>
      </w:r>
    </w:p>
    <w:p w14:paraId="3718E304" w14:textId="77777777" w:rsidR="007D2B74" w:rsidRPr="00E054CF" w:rsidRDefault="007D2B74" w:rsidP="007812D7">
      <w:pPr>
        <w:pStyle w:val="Lijstalinea"/>
        <w:numPr>
          <w:ilvl w:val="0"/>
          <w:numId w:val="3"/>
        </w:numPr>
        <w:spacing w:line="360" w:lineRule="auto"/>
        <w:ind w:left="714" w:hanging="357"/>
        <w:rPr>
          <w:rFonts w:cstheme="minorHAnsi"/>
          <w:shd w:val="clear" w:color="auto" w:fill="FFFFFF"/>
        </w:rPr>
      </w:pPr>
      <w:r w:rsidRPr="00E054CF">
        <w:rPr>
          <w:rFonts w:cstheme="minorHAnsi"/>
          <w:shd w:val="clear" w:color="auto" w:fill="FFFFFF"/>
        </w:rPr>
        <w:t>Trauner, F. (2009). Post-accession compliance with EU law in Bulgaria and Romania: a comparative perspective.</w:t>
      </w:r>
    </w:p>
    <w:p w14:paraId="50C9EECA" w14:textId="77777777" w:rsidR="007D2B74" w:rsidRPr="00920C55" w:rsidRDefault="007D2B74" w:rsidP="007812D7">
      <w:pPr>
        <w:pStyle w:val="Lijstalinea"/>
        <w:numPr>
          <w:ilvl w:val="0"/>
          <w:numId w:val="3"/>
        </w:numPr>
        <w:spacing w:line="360" w:lineRule="auto"/>
        <w:ind w:left="714" w:hanging="357"/>
        <w:rPr>
          <w:rFonts w:cstheme="minorHAnsi"/>
        </w:rPr>
      </w:pPr>
      <w:r>
        <w:t xml:space="preserve">Treaty of Nice amending the Treaty on the European Union, the Treaties Establishing the European Communities and Certain Related Acts, (2001). </w:t>
      </w:r>
    </w:p>
    <w:p w14:paraId="6DDA8928" w14:textId="77777777" w:rsidR="007D2B74" w:rsidRPr="00920C55" w:rsidRDefault="007D2B74" w:rsidP="00920C55">
      <w:pPr>
        <w:pStyle w:val="Lijstalinea"/>
        <w:numPr>
          <w:ilvl w:val="0"/>
          <w:numId w:val="3"/>
        </w:numPr>
        <w:spacing w:line="360" w:lineRule="auto"/>
        <w:ind w:left="714" w:hanging="357"/>
        <w:rPr>
          <w:rFonts w:cstheme="minorHAnsi"/>
        </w:rPr>
      </w:pPr>
      <w:r w:rsidRPr="00E054CF">
        <w:rPr>
          <w:rFonts w:cstheme="minorHAnsi"/>
          <w:shd w:val="clear" w:color="auto" w:fill="FFFFFF"/>
        </w:rPr>
        <w:t>Treib, O. (2014). Implementing and complying with EU governance outputs", </w:t>
      </w:r>
      <w:r w:rsidRPr="00E054CF">
        <w:rPr>
          <w:rStyle w:val="Nadruk"/>
          <w:rFonts w:cstheme="minorHAnsi"/>
          <w:shd w:val="clear" w:color="auto" w:fill="FFFFFF"/>
        </w:rPr>
        <w:t>Living Rev. Euro. Gov.</w:t>
      </w:r>
      <w:r w:rsidRPr="00E054CF">
        <w:rPr>
          <w:rFonts w:cstheme="minorHAnsi"/>
          <w:shd w:val="clear" w:color="auto" w:fill="FFFFFF"/>
        </w:rPr>
        <w:t> 9. As retrieved from: http://europeangovernance-livingreviews.org/Articles/lreg-2014- on </w:t>
      </w:r>
      <w:r w:rsidRPr="00E054CF">
        <w:rPr>
          <w:rStyle w:val="Date1"/>
          <w:rFonts w:cstheme="minorHAnsi"/>
          <w:shd w:val="clear" w:color="auto" w:fill="FFFFFF"/>
        </w:rPr>
        <w:t>April 20, 2018</w:t>
      </w:r>
    </w:p>
    <w:p w14:paraId="73CCB233" w14:textId="77777777" w:rsidR="007D2B74" w:rsidRPr="00E16180" w:rsidRDefault="007D2B74" w:rsidP="007812D7">
      <w:pPr>
        <w:pStyle w:val="Lijstalinea"/>
        <w:numPr>
          <w:ilvl w:val="0"/>
          <w:numId w:val="3"/>
        </w:numPr>
        <w:spacing w:line="360" w:lineRule="auto"/>
        <w:ind w:left="714" w:hanging="357"/>
      </w:pPr>
      <w:r w:rsidRPr="00E16180">
        <w:lastRenderedPageBreak/>
        <w:t>Tyler, T.R. (1994). Governing amid diversity: The effect of fair decision-making procedures</w:t>
      </w:r>
      <w:r>
        <w:t xml:space="preserve"> </w:t>
      </w:r>
      <w:r w:rsidRPr="00E16180">
        <w:t xml:space="preserve">on the legitimacy of government. </w:t>
      </w:r>
      <w:r w:rsidRPr="00E054CF">
        <w:rPr>
          <w:rFonts w:cstheme="minorHAnsi"/>
          <w:i/>
          <w:iCs/>
        </w:rPr>
        <w:t xml:space="preserve">Law and Society Review </w:t>
      </w:r>
      <w:r w:rsidRPr="00E054CF">
        <w:rPr>
          <w:rFonts w:cstheme="minorHAnsi"/>
        </w:rPr>
        <w:t>28: 809–832.</w:t>
      </w:r>
    </w:p>
    <w:p w14:paraId="0EDD334F" w14:textId="77777777" w:rsidR="007D2B74" w:rsidRPr="00E054CF" w:rsidRDefault="007D2B74" w:rsidP="007812D7">
      <w:pPr>
        <w:pStyle w:val="Lijstalinea"/>
        <w:numPr>
          <w:ilvl w:val="0"/>
          <w:numId w:val="3"/>
        </w:numPr>
        <w:spacing w:after="0" w:line="360" w:lineRule="auto"/>
        <w:ind w:left="714" w:hanging="357"/>
        <w:rPr>
          <w:rFonts w:cstheme="minorHAnsi"/>
        </w:rPr>
      </w:pPr>
      <w:r w:rsidRPr="00E054CF">
        <w:rPr>
          <w:rFonts w:cstheme="minorHAnsi"/>
        </w:rPr>
        <w:t xml:space="preserve">Tyler, T.R., </w:t>
      </w:r>
      <w:proofErr w:type="spellStart"/>
      <w:r w:rsidRPr="00E054CF">
        <w:rPr>
          <w:rFonts w:cstheme="minorHAnsi"/>
        </w:rPr>
        <w:t>Degoey</w:t>
      </w:r>
      <w:proofErr w:type="spellEnd"/>
      <w:r w:rsidRPr="00E054CF">
        <w:rPr>
          <w:rFonts w:cstheme="minorHAnsi"/>
        </w:rPr>
        <w:t xml:space="preserve">, P. &amp; Smith, H.J. (1996). Understanding why the justice of group procedures matters: A test of the psychological dynamics of the group-value model. </w:t>
      </w:r>
      <w:r w:rsidRPr="00E054CF">
        <w:rPr>
          <w:rFonts w:cstheme="minorHAnsi"/>
          <w:i/>
          <w:iCs/>
        </w:rPr>
        <w:t xml:space="preserve">Journal of Personality and Social Psychology </w:t>
      </w:r>
      <w:r w:rsidRPr="00E054CF">
        <w:rPr>
          <w:rFonts w:cstheme="minorHAnsi"/>
        </w:rPr>
        <w:t>70: 913–930.</w:t>
      </w:r>
    </w:p>
    <w:p w14:paraId="57061D03" w14:textId="77777777" w:rsidR="007D2B74" w:rsidRPr="00860749" w:rsidRDefault="007D2B74" w:rsidP="00557BA1">
      <w:pPr>
        <w:pStyle w:val="Lijstalinea"/>
        <w:numPr>
          <w:ilvl w:val="0"/>
          <w:numId w:val="3"/>
        </w:numPr>
        <w:spacing w:after="0" w:line="360" w:lineRule="auto"/>
        <w:ind w:left="714" w:hanging="357"/>
        <w:rPr>
          <w:rFonts w:cstheme="minorHAnsi"/>
          <w:shd w:val="clear" w:color="auto" w:fill="FFFFFF"/>
        </w:rPr>
      </w:pPr>
      <w:r w:rsidRPr="00860749">
        <w:rPr>
          <w:rFonts w:cstheme="minorHAnsi"/>
        </w:rPr>
        <w:t>Ulbig, S.G. (2002). Policies, procedures and people: Sources of support for government?</w:t>
      </w:r>
      <w:r w:rsidRPr="00860749">
        <w:rPr>
          <w:rFonts w:cstheme="minorHAnsi"/>
          <w:i/>
          <w:iCs/>
        </w:rPr>
        <w:t xml:space="preserve"> Social Science Quarterly </w:t>
      </w:r>
      <w:r w:rsidRPr="00860749">
        <w:rPr>
          <w:rFonts w:cstheme="minorHAnsi"/>
        </w:rPr>
        <w:t>83: 789–809.</w:t>
      </w:r>
    </w:p>
    <w:p w14:paraId="2093E897" w14:textId="77777777" w:rsidR="007D2B74" w:rsidRPr="00860749" w:rsidRDefault="007D2B74" w:rsidP="00557BA1">
      <w:pPr>
        <w:pStyle w:val="Lijstalinea"/>
        <w:numPr>
          <w:ilvl w:val="0"/>
          <w:numId w:val="3"/>
        </w:numPr>
        <w:spacing w:after="0" w:line="360" w:lineRule="auto"/>
        <w:ind w:left="714" w:hanging="357"/>
        <w:rPr>
          <w:rFonts w:cstheme="minorHAnsi"/>
          <w:shd w:val="clear" w:color="auto" w:fill="FFFFFF"/>
        </w:rPr>
      </w:pPr>
      <w:proofErr w:type="spellStart"/>
      <w:r w:rsidRPr="00860749">
        <w:t>Underdal</w:t>
      </w:r>
      <w:proofErr w:type="spellEnd"/>
      <w:r w:rsidRPr="00860749">
        <w:t xml:space="preserve">, A. (1998). Explaining compliance and defection: three models. </w:t>
      </w:r>
      <w:r w:rsidRPr="00860749">
        <w:rPr>
          <w:i/>
          <w:iCs/>
        </w:rPr>
        <w:t>European Journal of International Relations</w:t>
      </w:r>
      <w:r w:rsidRPr="00860749">
        <w:t xml:space="preserve">, </w:t>
      </w:r>
      <w:r w:rsidRPr="00860749">
        <w:rPr>
          <w:i/>
          <w:iCs/>
        </w:rPr>
        <w:t>4</w:t>
      </w:r>
      <w:r w:rsidRPr="00860749">
        <w:t>(1), 5-30.</w:t>
      </w:r>
    </w:p>
    <w:p w14:paraId="654E9CEE" w14:textId="77777777" w:rsidR="007D2B74" w:rsidRPr="00860749" w:rsidRDefault="007D2B74" w:rsidP="00A90C47">
      <w:pPr>
        <w:pStyle w:val="Lijstalinea"/>
        <w:numPr>
          <w:ilvl w:val="0"/>
          <w:numId w:val="3"/>
        </w:numPr>
        <w:spacing w:line="360" w:lineRule="auto"/>
        <w:rPr>
          <w:rFonts w:cstheme="minorHAnsi"/>
          <w:shd w:val="clear" w:color="auto" w:fill="FFFFFF"/>
        </w:rPr>
      </w:pPr>
      <w:r w:rsidRPr="00860749">
        <w:rPr>
          <w:rFonts w:cstheme="minorHAnsi"/>
          <w:shd w:val="clear" w:color="auto" w:fill="FFFFFF"/>
        </w:rPr>
        <w:t>Van Ballaert, B. (2017). The European Commission’s use of consultation during policy formulation: The effects of policy characteristics. </w:t>
      </w:r>
      <w:r w:rsidRPr="00860749">
        <w:rPr>
          <w:rFonts w:cstheme="minorHAnsi"/>
          <w:i/>
          <w:iCs/>
          <w:shd w:val="clear" w:color="auto" w:fill="FFFFFF"/>
        </w:rPr>
        <w:t>European Union Politics</w:t>
      </w:r>
      <w:r w:rsidRPr="00860749">
        <w:rPr>
          <w:rFonts w:cstheme="minorHAnsi"/>
          <w:shd w:val="clear" w:color="auto" w:fill="FFFFFF"/>
        </w:rPr>
        <w:t>, </w:t>
      </w:r>
      <w:r w:rsidRPr="00860749">
        <w:rPr>
          <w:rFonts w:cstheme="minorHAnsi"/>
          <w:i/>
          <w:iCs/>
          <w:shd w:val="clear" w:color="auto" w:fill="FFFFFF"/>
        </w:rPr>
        <w:t>18</w:t>
      </w:r>
      <w:r w:rsidRPr="00860749">
        <w:rPr>
          <w:rFonts w:cstheme="minorHAnsi"/>
          <w:shd w:val="clear" w:color="auto" w:fill="FFFFFF"/>
        </w:rPr>
        <w:t>(3), 406-423.</w:t>
      </w:r>
    </w:p>
    <w:p w14:paraId="13E73985" w14:textId="77777777" w:rsidR="007D2B74" w:rsidRPr="00E054CF" w:rsidRDefault="007D2B74" w:rsidP="007812D7">
      <w:pPr>
        <w:pStyle w:val="Lijstalinea"/>
        <w:numPr>
          <w:ilvl w:val="0"/>
          <w:numId w:val="3"/>
        </w:numPr>
        <w:spacing w:after="0" w:line="360" w:lineRule="auto"/>
        <w:ind w:left="714" w:hanging="357"/>
        <w:rPr>
          <w:rFonts w:cstheme="minorHAnsi"/>
          <w:shd w:val="clear" w:color="auto" w:fill="FFFFFF"/>
        </w:rPr>
      </w:pPr>
      <w:r w:rsidRPr="00860749">
        <w:rPr>
          <w:rFonts w:cstheme="minorHAnsi"/>
          <w:shd w:val="clear" w:color="auto" w:fill="FFFFFF"/>
          <w:lang w:val="de-DE"/>
        </w:rPr>
        <w:t xml:space="preserve">Visschers, V. H., &amp; </w:t>
      </w:r>
      <w:proofErr w:type="spellStart"/>
      <w:r w:rsidRPr="00860749">
        <w:rPr>
          <w:rFonts w:cstheme="minorHAnsi"/>
          <w:shd w:val="clear" w:color="auto" w:fill="FFFFFF"/>
          <w:lang w:val="de-DE"/>
        </w:rPr>
        <w:t>Siegrist</w:t>
      </w:r>
      <w:proofErr w:type="spellEnd"/>
      <w:r w:rsidRPr="00860749">
        <w:rPr>
          <w:rFonts w:cstheme="minorHAnsi"/>
          <w:shd w:val="clear" w:color="auto" w:fill="FFFFFF"/>
          <w:lang w:val="de-DE"/>
        </w:rPr>
        <w:t xml:space="preserve">, M. (2012). </w:t>
      </w:r>
      <w:r w:rsidRPr="00860749">
        <w:rPr>
          <w:rFonts w:cstheme="minorHAnsi"/>
          <w:shd w:val="clear" w:color="auto" w:fill="FFFFFF"/>
        </w:rPr>
        <w:t xml:space="preserve">Fair play in energy policy decisions: Procedural fairness, outcome fairness and acceptance of the decision to </w:t>
      </w:r>
      <w:r w:rsidRPr="00E054CF">
        <w:rPr>
          <w:rFonts w:cstheme="minorHAnsi"/>
          <w:shd w:val="clear" w:color="auto" w:fill="FFFFFF"/>
        </w:rPr>
        <w:t>rebuild nuclear power plants. </w:t>
      </w:r>
      <w:r w:rsidRPr="00E054CF">
        <w:rPr>
          <w:rFonts w:cstheme="minorHAnsi"/>
          <w:i/>
          <w:iCs/>
          <w:shd w:val="clear" w:color="auto" w:fill="FFFFFF"/>
        </w:rPr>
        <w:t>Energy Policy</w:t>
      </w:r>
      <w:r w:rsidRPr="00E054CF">
        <w:rPr>
          <w:rFonts w:cstheme="minorHAnsi"/>
          <w:shd w:val="clear" w:color="auto" w:fill="FFFFFF"/>
        </w:rPr>
        <w:t>, </w:t>
      </w:r>
      <w:r w:rsidRPr="00E054CF">
        <w:rPr>
          <w:rFonts w:cstheme="minorHAnsi"/>
          <w:i/>
          <w:iCs/>
          <w:shd w:val="clear" w:color="auto" w:fill="FFFFFF"/>
        </w:rPr>
        <w:t>46</w:t>
      </w:r>
      <w:r w:rsidRPr="00E054CF">
        <w:rPr>
          <w:rFonts w:cstheme="minorHAnsi"/>
          <w:shd w:val="clear" w:color="auto" w:fill="FFFFFF"/>
        </w:rPr>
        <w:t>, 292-300.</w:t>
      </w:r>
    </w:p>
    <w:p w14:paraId="28965BBD" w14:textId="77777777" w:rsidR="007D2B74" w:rsidRPr="00E56298" w:rsidRDefault="007D2B74" w:rsidP="007812D7">
      <w:pPr>
        <w:pStyle w:val="Lijstalinea"/>
        <w:numPr>
          <w:ilvl w:val="0"/>
          <w:numId w:val="3"/>
        </w:numPr>
        <w:spacing w:line="360" w:lineRule="auto"/>
        <w:ind w:left="714" w:hanging="357"/>
        <w:rPr>
          <w:rFonts w:cstheme="minorHAnsi"/>
          <w:shd w:val="clear" w:color="auto" w:fill="FFFFFF"/>
        </w:rPr>
      </w:pPr>
      <w:r w:rsidRPr="00601251">
        <w:rPr>
          <w:rFonts w:cstheme="minorHAnsi"/>
          <w:shd w:val="clear" w:color="auto" w:fill="FFFFFF"/>
        </w:rPr>
        <w:t xml:space="preserve">Zhelyazkova, A., Kaya, C., &amp; </w:t>
      </w:r>
      <w:proofErr w:type="spellStart"/>
      <w:r w:rsidRPr="00601251">
        <w:rPr>
          <w:rFonts w:cstheme="minorHAnsi"/>
          <w:shd w:val="clear" w:color="auto" w:fill="FFFFFF"/>
        </w:rPr>
        <w:t>Schrama</w:t>
      </w:r>
      <w:proofErr w:type="spellEnd"/>
      <w:r w:rsidRPr="00601251">
        <w:rPr>
          <w:rFonts w:cstheme="minorHAnsi"/>
          <w:shd w:val="clear" w:color="auto" w:fill="FFFFFF"/>
        </w:rPr>
        <w:t xml:space="preserve">, R. (2016). </w:t>
      </w:r>
      <w:r w:rsidRPr="00E054CF">
        <w:rPr>
          <w:rFonts w:cstheme="minorHAnsi"/>
          <w:shd w:val="clear" w:color="auto" w:fill="FFFFFF"/>
        </w:rPr>
        <w:t xml:space="preserve">Decoupling practical and legal compliance: </w:t>
      </w:r>
      <w:r w:rsidRPr="00E56298">
        <w:rPr>
          <w:rFonts w:cstheme="minorHAnsi"/>
          <w:shd w:val="clear" w:color="auto" w:fill="FFFFFF"/>
        </w:rPr>
        <w:t>Analysis of member states’ implementation of EU policy. </w:t>
      </w:r>
      <w:r w:rsidRPr="00E56298">
        <w:rPr>
          <w:rFonts w:cstheme="minorHAnsi"/>
          <w:i/>
          <w:iCs/>
          <w:shd w:val="clear" w:color="auto" w:fill="FFFFFF"/>
        </w:rPr>
        <w:t>European Journal of Political Research</w:t>
      </w:r>
      <w:r w:rsidRPr="00E56298">
        <w:rPr>
          <w:rFonts w:cstheme="minorHAnsi"/>
          <w:shd w:val="clear" w:color="auto" w:fill="FFFFFF"/>
        </w:rPr>
        <w:t>, </w:t>
      </w:r>
      <w:r w:rsidRPr="00E56298">
        <w:rPr>
          <w:rFonts w:cstheme="minorHAnsi"/>
          <w:i/>
          <w:iCs/>
          <w:shd w:val="clear" w:color="auto" w:fill="FFFFFF"/>
        </w:rPr>
        <w:t>55</w:t>
      </w:r>
      <w:r w:rsidRPr="00E56298">
        <w:rPr>
          <w:rFonts w:cstheme="minorHAnsi"/>
          <w:shd w:val="clear" w:color="auto" w:fill="FFFFFF"/>
        </w:rPr>
        <w:t>(4), 827-846.</w:t>
      </w:r>
    </w:p>
    <w:p w14:paraId="2B4A32E2" w14:textId="77777777" w:rsidR="007D2B74" w:rsidRPr="00E56298" w:rsidRDefault="007D2B74" w:rsidP="00921D89">
      <w:pPr>
        <w:pStyle w:val="Lijstalinea"/>
        <w:numPr>
          <w:ilvl w:val="0"/>
          <w:numId w:val="3"/>
        </w:numPr>
        <w:spacing w:line="360" w:lineRule="auto"/>
        <w:ind w:left="714" w:hanging="357"/>
        <w:rPr>
          <w:rFonts w:cstheme="minorHAnsi"/>
          <w:shd w:val="clear" w:color="auto" w:fill="FFFFFF"/>
        </w:rPr>
      </w:pPr>
      <w:r w:rsidRPr="00E56298">
        <w:rPr>
          <w:rFonts w:cstheme="minorHAnsi"/>
          <w:shd w:val="clear" w:color="auto" w:fill="FFFFFF"/>
          <w:lang w:val="de-DE"/>
        </w:rPr>
        <w:t xml:space="preserve">Ziller, J., &amp; Siedentopf, H. (Eds.). </w:t>
      </w:r>
      <w:r w:rsidRPr="00E56298">
        <w:rPr>
          <w:rFonts w:cstheme="minorHAnsi"/>
          <w:shd w:val="clear" w:color="auto" w:fill="FFFFFF"/>
        </w:rPr>
        <w:t>(1988). </w:t>
      </w:r>
      <w:r w:rsidRPr="00E56298">
        <w:rPr>
          <w:rFonts w:cstheme="minorHAnsi"/>
          <w:i/>
          <w:shd w:val="clear" w:color="auto" w:fill="FFFFFF"/>
        </w:rPr>
        <w:t>Making European policies work: the implementation of Community legislation in the member states</w:t>
      </w:r>
      <w:r w:rsidRPr="00E56298">
        <w:rPr>
          <w:rFonts w:cstheme="minorHAnsi"/>
          <w:shd w:val="clear" w:color="auto" w:fill="FFFFFF"/>
        </w:rPr>
        <w:t>. Sage.</w:t>
      </w:r>
    </w:p>
    <w:p w14:paraId="72E06F06" w14:textId="126F524B" w:rsidR="00E33A3A" w:rsidRDefault="007D2B74" w:rsidP="009F566A">
      <w:pPr>
        <w:pStyle w:val="Lijstalinea"/>
        <w:numPr>
          <w:ilvl w:val="0"/>
          <w:numId w:val="3"/>
        </w:numPr>
        <w:spacing w:line="360" w:lineRule="auto"/>
        <w:ind w:left="714" w:hanging="357"/>
      </w:pPr>
      <w:r w:rsidRPr="00E56298">
        <w:t xml:space="preserve">Zwaan, P. J. (2012). </w:t>
      </w:r>
      <w:r w:rsidRPr="007D2B74">
        <w:rPr>
          <w:i/>
          <w:iCs/>
        </w:rPr>
        <w:t>Struggling with Europe: how initiators of horizontal forms of governance respond to EU formal rules</w:t>
      </w:r>
      <w:r w:rsidRPr="00E56298">
        <w:t>. Wageningen: WUR Wageningen.</w:t>
      </w:r>
      <w:r w:rsidR="00E33A3A">
        <w:br w:type="page"/>
      </w:r>
    </w:p>
    <w:p w14:paraId="63971F6A" w14:textId="46B0D417" w:rsidR="00D57F51" w:rsidRDefault="00D57F51" w:rsidP="00A91593">
      <w:pPr>
        <w:pStyle w:val="Kop1"/>
      </w:pPr>
      <w:bookmarkStart w:id="51" w:name="_Toc3547864"/>
      <w:r>
        <w:lastRenderedPageBreak/>
        <w:t>Appendix 1 – assumptions</w:t>
      </w:r>
      <w:r w:rsidR="00407EE7">
        <w:t xml:space="preserve"> dataset I</w:t>
      </w:r>
      <w:bookmarkEnd w:id="51"/>
      <w:r w:rsidR="00407EE7">
        <w:t xml:space="preserve"> </w:t>
      </w:r>
      <w:r>
        <w:br/>
      </w:r>
    </w:p>
    <w:p w14:paraId="379D0F4F" w14:textId="1343AF9E" w:rsidR="00D57F51" w:rsidRDefault="00407EE7" w:rsidP="00D57F51">
      <w:pPr>
        <w:pStyle w:val="Kop3"/>
      </w:pPr>
      <w:bookmarkStart w:id="52" w:name="_Toc3196959"/>
      <w:bookmarkStart w:id="53" w:name="_Toc3538993"/>
      <w:bookmarkStart w:id="54" w:name="_Toc3547865"/>
      <w:r>
        <w:t>Scatterplots</w:t>
      </w:r>
      <w:bookmarkEnd w:id="52"/>
      <w:bookmarkEnd w:id="53"/>
      <w:bookmarkEnd w:id="54"/>
    </w:p>
    <w:p w14:paraId="1F610F76" w14:textId="2F84F27B" w:rsidR="00D57F51" w:rsidRDefault="00456D03" w:rsidP="00D57F51">
      <w:pPr>
        <w:autoSpaceDE w:val="0"/>
        <w:autoSpaceDN w:val="0"/>
        <w:adjustRightInd w:val="0"/>
        <w:spacing w:after="0" w:line="240" w:lineRule="auto"/>
        <w:rPr>
          <w:i/>
        </w:rPr>
      </w:pPr>
      <w:r>
        <w:rPr>
          <w:noProof/>
        </w:rPr>
        <mc:AlternateContent>
          <mc:Choice Requires="wps">
            <w:drawing>
              <wp:anchor distT="0" distB="0" distL="114300" distR="114300" simplePos="0" relativeHeight="251680256" behindDoc="0" locked="0" layoutInCell="1" allowOverlap="1" wp14:anchorId="08DD6789" wp14:editId="0607C5E8">
                <wp:simplePos x="0" y="0"/>
                <wp:positionH relativeFrom="margin">
                  <wp:align>left</wp:align>
                </wp:positionH>
                <wp:positionV relativeFrom="paragraph">
                  <wp:posOffset>96519</wp:posOffset>
                </wp:positionV>
                <wp:extent cx="5743575" cy="3705225"/>
                <wp:effectExtent l="0" t="0" r="28575" b="28575"/>
                <wp:wrapNone/>
                <wp:docPr id="40" name="Rectangle 40"/>
                <wp:cNvGraphicFramePr/>
                <a:graphic xmlns:a="http://schemas.openxmlformats.org/drawingml/2006/main">
                  <a:graphicData uri="http://schemas.microsoft.com/office/word/2010/wordprocessingShape">
                    <wps:wsp>
                      <wps:cNvSpPr/>
                      <wps:spPr>
                        <a:xfrm>
                          <a:off x="0" y="0"/>
                          <a:ext cx="5743575" cy="37052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D2F036" id="Rectangle 40" o:spid="_x0000_s1026" style="position:absolute;margin-left:0;margin-top:7.6pt;width:452.25pt;height:291.75pt;z-index:2516802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" filled="f" strokecolor="black [3213]" strokeweight="1.5pt">
                <w10:wrap anchorx="margin"/>
              </v:rect>
            </w:pict>
          </mc:Fallback>
        </mc:AlternateContent>
      </w:r>
    </w:p>
    <w:p w14:paraId="699AD976" w14:textId="60EDD777" w:rsidR="00D57F51" w:rsidRDefault="00456D03" w:rsidP="00601430">
      <w:pPr>
        <w:autoSpaceDE w:val="0"/>
        <w:autoSpaceDN w:val="0"/>
        <w:adjustRightInd w:val="0"/>
        <w:spacing w:after="0" w:line="240" w:lineRule="auto"/>
      </w:pPr>
      <w:r w:rsidRPr="00AD6207">
        <w:rPr>
          <w:rFonts w:ascii="Sylfaen" w:hAnsi="Sylfaen"/>
          <w:noProof/>
          <w:sz w:val="20"/>
        </w:rPr>
        <mc:AlternateContent>
          <mc:Choice Requires="wps">
            <w:drawing>
              <wp:anchor distT="0" distB="0" distL="114300" distR="114300" simplePos="0" relativeHeight="251682304" behindDoc="0" locked="0" layoutInCell="1" allowOverlap="1" wp14:anchorId="588E1944" wp14:editId="20532D33">
                <wp:simplePos x="0" y="0"/>
                <wp:positionH relativeFrom="margin">
                  <wp:align>left</wp:align>
                </wp:positionH>
                <wp:positionV relativeFrom="paragraph">
                  <wp:posOffset>3659505</wp:posOffset>
                </wp:positionV>
                <wp:extent cx="5743575" cy="3819525"/>
                <wp:effectExtent l="0" t="0" r="28575" b="28575"/>
                <wp:wrapNone/>
                <wp:docPr id="41" name="Rectangle 41"/>
                <wp:cNvGraphicFramePr/>
                <a:graphic xmlns:a="http://schemas.openxmlformats.org/drawingml/2006/main">
                  <a:graphicData uri="http://schemas.microsoft.com/office/word/2010/wordprocessingShape">
                    <wps:wsp>
                      <wps:cNvSpPr/>
                      <wps:spPr>
                        <a:xfrm>
                          <a:off x="0" y="0"/>
                          <a:ext cx="5743575" cy="38195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FEE780" id="Rectangle 41" o:spid="_x0000_s1026" style="position:absolute;margin-left:0;margin-top:288.15pt;width:452.25pt;height:300.75pt;z-index:2516823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" filled="f" strokecolor="black [3213]" strokeweight="1.5pt">
                <w10:wrap anchorx="margin"/>
              </v:rect>
            </w:pict>
          </mc:Fallback>
        </mc:AlternateContent>
      </w:r>
      <w:r w:rsidR="00601430">
        <w:rPr>
          <w:rFonts w:ascii="Sylfaen" w:hAnsi="Sylfaen"/>
          <w:i/>
          <w:sz w:val="20"/>
        </w:rPr>
        <w:t xml:space="preserve"> </w:t>
      </w:r>
      <w:r w:rsidR="00D57F51" w:rsidRPr="00AD6207">
        <w:rPr>
          <w:rFonts w:ascii="Sylfaen" w:hAnsi="Sylfaen"/>
          <w:i/>
          <w:sz w:val="20"/>
        </w:rPr>
        <w:t>Figure 1: Scatterplot Number of times discussed (IV) and Compliance (DV)</w:t>
      </w:r>
      <w:r w:rsidR="00D57F51" w:rsidRPr="00AD6207">
        <w:rPr>
          <w:rFonts w:ascii="Times New Roman" w:eastAsiaTheme="minorHAnsi" w:hAnsi="Times New Roman" w:cs="Times New Roman"/>
          <w:szCs w:val="24"/>
        </w:rPr>
        <w:t xml:space="preserve"> </w:t>
      </w:r>
      <w:r w:rsidR="00D57F51">
        <w:rPr>
          <w:rFonts w:ascii="Times New Roman" w:eastAsiaTheme="minorHAnsi" w:hAnsi="Times New Roman" w:cs="Times New Roman"/>
          <w:noProof/>
          <w:sz w:val="24"/>
          <w:szCs w:val="24"/>
        </w:rPr>
        <w:drawing>
          <wp:inline distT="0" distB="0" distL="0" distR="0" wp14:anchorId="1EBB5346" wp14:editId="13766EB0">
            <wp:extent cx="5972175" cy="35147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74957B86" w14:textId="7071765A" w:rsidR="00D57F51" w:rsidRPr="00AD6207" w:rsidRDefault="00601430" w:rsidP="00601430">
      <w:pPr>
        <w:rPr>
          <w:rFonts w:ascii="Sylfaen" w:hAnsi="Sylfaen"/>
          <w:i/>
          <w:sz w:val="20"/>
        </w:rPr>
      </w:pPr>
      <w:r>
        <w:rPr>
          <w:rFonts w:ascii="Sylfaen" w:hAnsi="Sylfaen"/>
          <w:i/>
          <w:sz w:val="20"/>
        </w:rPr>
        <w:t xml:space="preserve"> </w:t>
      </w:r>
      <w:r w:rsidR="00D57F51" w:rsidRPr="00AD6207">
        <w:rPr>
          <w:rFonts w:ascii="Sylfaen" w:hAnsi="Sylfaen"/>
          <w:i/>
          <w:sz w:val="20"/>
        </w:rPr>
        <w:t>Figure 2: Scatterplot Consultations (IV) and Compliance (DV)</w:t>
      </w:r>
    </w:p>
    <w:p w14:paraId="25B0C6F5" w14:textId="77777777" w:rsidR="00D57F51" w:rsidRDefault="00D57F51" w:rsidP="00456D03">
      <w:pPr>
        <w:autoSpaceDE w:val="0"/>
        <w:autoSpaceDN w:val="0"/>
        <w:adjustRightInd w:val="0"/>
        <w:spacing w:after="0" w:line="240" w:lineRule="auto"/>
        <w:jc w:val="center"/>
        <w:rPr>
          <w:rFonts w:ascii="Times New Roman" w:eastAsiaTheme="minorHAnsi" w:hAnsi="Times New Roman" w:cs="Times New Roman"/>
          <w:sz w:val="24"/>
          <w:szCs w:val="24"/>
          <w:lang w:val="nl-NL"/>
        </w:rPr>
      </w:pPr>
      <w:r>
        <w:rPr>
          <w:rFonts w:ascii="Times New Roman" w:eastAsiaTheme="minorHAnsi" w:hAnsi="Times New Roman" w:cs="Times New Roman"/>
          <w:noProof/>
          <w:sz w:val="24"/>
          <w:szCs w:val="24"/>
        </w:rPr>
        <w:drawing>
          <wp:inline distT="0" distB="0" distL="0" distR="0" wp14:anchorId="418109A3" wp14:editId="0E5B98CC">
            <wp:extent cx="5972175" cy="35147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09CD617A" w14:textId="77777777" w:rsidR="00D57F51" w:rsidRDefault="00D57F51" w:rsidP="00D57F51">
      <w:pPr>
        <w:rPr>
          <w:i/>
        </w:rPr>
      </w:pPr>
      <w:r>
        <w:rPr>
          <w:i/>
        </w:rPr>
        <w:br w:type="page"/>
      </w:r>
    </w:p>
    <w:p w14:paraId="272128D7" w14:textId="28E7A551" w:rsidR="00D57F51" w:rsidRPr="00804FA0" w:rsidRDefault="00456D03" w:rsidP="00601430">
      <w:pPr>
        <w:rPr>
          <w:rFonts w:ascii="Sylfaen" w:hAnsi="Sylfaen"/>
          <w:i/>
        </w:rPr>
      </w:pPr>
      <w:r w:rsidRPr="00804FA0">
        <w:rPr>
          <w:rFonts w:ascii="Sylfaen" w:hAnsi="Sylfaen"/>
          <w:noProof/>
          <w:sz w:val="20"/>
        </w:rPr>
        <w:lastRenderedPageBreak/>
        <mc:AlternateContent>
          <mc:Choice Requires="wps">
            <w:drawing>
              <wp:anchor distT="0" distB="0" distL="114300" distR="114300" simplePos="0" relativeHeight="251678208" behindDoc="0" locked="0" layoutInCell="1" allowOverlap="1" wp14:anchorId="7CCBF57E" wp14:editId="38707DDE">
                <wp:simplePos x="0" y="0"/>
                <wp:positionH relativeFrom="margin">
                  <wp:align>right</wp:align>
                </wp:positionH>
                <wp:positionV relativeFrom="paragraph">
                  <wp:posOffset>-23495</wp:posOffset>
                </wp:positionV>
                <wp:extent cx="5724525" cy="3781425"/>
                <wp:effectExtent l="0" t="0" r="28575" b="28575"/>
                <wp:wrapNone/>
                <wp:docPr id="39" name="Rectangle 39"/>
                <wp:cNvGraphicFramePr/>
                <a:graphic xmlns:a="http://schemas.openxmlformats.org/drawingml/2006/main">
                  <a:graphicData uri="http://schemas.microsoft.com/office/word/2010/wordprocessingShape">
                    <wps:wsp>
                      <wps:cNvSpPr/>
                      <wps:spPr>
                        <a:xfrm>
                          <a:off x="0" y="0"/>
                          <a:ext cx="5724525" cy="37814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7693C6" id="Rectangle 39" o:spid="_x0000_s1026" style="position:absolute;margin-left:399.55pt;margin-top:-1.85pt;width:450.75pt;height:297.75pt;z-index:2516782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" filled="f" strokecolor="black [3213]" strokeweight="1.5pt">
                <w10:wrap anchorx="margin"/>
              </v:rect>
            </w:pict>
          </mc:Fallback>
        </mc:AlternateContent>
      </w:r>
      <w:r w:rsidR="00601430">
        <w:rPr>
          <w:rFonts w:ascii="Sylfaen" w:hAnsi="Sylfaen"/>
          <w:i/>
          <w:sz w:val="20"/>
        </w:rPr>
        <w:t xml:space="preserve">  </w:t>
      </w:r>
      <w:r w:rsidR="00D57F51" w:rsidRPr="00804FA0">
        <w:rPr>
          <w:rFonts w:ascii="Sylfaen" w:hAnsi="Sylfaen"/>
          <w:i/>
          <w:sz w:val="20"/>
        </w:rPr>
        <w:t>Figure 3: Scatterplot Average weight of opposing member states (IV) and Compliance (DV)</w:t>
      </w:r>
    </w:p>
    <w:p w14:paraId="3E287754" w14:textId="77777777" w:rsidR="00D57F51" w:rsidRDefault="00D57F51" w:rsidP="00456D03">
      <w:pPr>
        <w:autoSpaceDE w:val="0"/>
        <w:autoSpaceDN w:val="0"/>
        <w:adjustRightInd w:val="0"/>
        <w:spacing w:after="0" w:line="240" w:lineRule="auto"/>
        <w:jc w:val="center"/>
        <w:rPr>
          <w:rFonts w:ascii="Times New Roman" w:eastAsiaTheme="minorHAnsi" w:hAnsi="Times New Roman" w:cs="Times New Roman"/>
          <w:sz w:val="24"/>
          <w:szCs w:val="24"/>
          <w:lang w:val="nl-NL"/>
        </w:rPr>
      </w:pPr>
      <w:r>
        <w:rPr>
          <w:rFonts w:ascii="Times New Roman" w:eastAsiaTheme="minorHAnsi" w:hAnsi="Times New Roman" w:cs="Times New Roman"/>
          <w:noProof/>
          <w:sz w:val="24"/>
          <w:szCs w:val="24"/>
        </w:rPr>
        <w:drawing>
          <wp:inline distT="0" distB="0" distL="0" distR="0" wp14:anchorId="6B0170C5" wp14:editId="31502B48">
            <wp:extent cx="5972175" cy="351472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3176A656" w14:textId="39025A4B" w:rsidR="00D57F51" w:rsidRDefault="00456D03" w:rsidP="00D57F51">
      <w:pPr>
        <w:autoSpaceDE w:val="0"/>
        <w:autoSpaceDN w:val="0"/>
        <w:adjustRightInd w:val="0"/>
        <w:spacing w:after="0" w:line="240" w:lineRule="auto"/>
        <w:rPr>
          <w:rFonts w:ascii="Times New Roman" w:eastAsiaTheme="minorHAnsi" w:hAnsi="Times New Roman" w:cs="Times New Roman"/>
          <w:sz w:val="24"/>
          <w:szCs w:val="24"/>
          <w:lang w:val="nl-NL"/>
        </w:rPr>
      </w:pPr>
      <w:r>
        <w:rPr>
          <w:noProof/>
        </w:rPr>
        <mc:AlternateContent>
          <mc:Choice Requires="wps">
            <w:drawing>
              <wp:anchor distT="0" distB="0" distL="114300" distR="114300" simplePos="0" relativeHeight="251674112" behindDoc="0" locked="0" layoutInCell="1" allowOverlap="1" wp14:anchorId="5B20C2C5" wp14:editId="33908354">
                <wp:simplePos x="0" y="0"/>
                <wp:positionH relativeFrom="margin">
                  <wp:align>right</wp:align>
                </wp:positionH>
                <wp:positionV relativeFrom="paragraph">
                  <wp:posOffset>109855</wp:posOffset>
                </wp:positionV>
                <wp:extent cx="5724525" cy="3876675"/>
                <wp:effectExtent l="0" t="0" r="28575" b="28575"/>
                <wp:wrapNone/>
                <wp:docPr id="37" name="Rectangle 37"/>
                <wp:cNvGraphicFramePr/>
                <a:graphic xmlns:a="http://schemas.openxmlformats.org/drawingml/2006/main">
                  <a:graphicData uri="http://schemas.microsoft.com/office/word/2010/wordprocessingShape">
                    <wps:wsp>
                      <wps:cNvSpPr/>
                      <wps:spPr>
                        <a:xfrm>
                          <a:off x="0" y="0"/>
                          <a:ext cx="5724525" cy="38766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FC1824" id="Rectangle 37" o:spid="_x0000_s1026" style="position:absolute;margin-left:399.55pt;margin-top:8.65pt;width:450.75pt;height:305.25pt;z-index:2516741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" filled="f" strokecolor="black [3213]" strokeweight="1.5pt">
                <w10:wrap anchorx="margin"/>
              </v:rect>
            </w:pict>
          </mc:Fallback>
        </mc:AlternateContent>
      </w:r>
    </w:p>
    <w:p w14:paraId="2FD7FC66" w14:textId="59BDEB91" w:rsidR="00D57F51" w:rsidRPr="00804FA0" w:rsidRDefault="00601430" w:rsidP="00601430">
      <w:pPr>
        <w:spacing w:line="360" w:lineRule="auto"/>
        <w:rPr>
          <w:rFonts w:ascii="Sylfaen" w:hAnsi="Sylfaen"/>
          <w:i/>
          <w:sz w:val="20"/>
        </w:rPr>
      </w:pPr>
      <w:r>
        <w:rPr>
          <w:rFonts w:ascii="Sylfaen" w:hAnsi="Sylfaen"/>
          <w:i/>
          <w:sz w:val="20"/>
        </w:rPr>
        <w:t xml:space="preserve">  </w:t>
      </w:r>
      <w:r w:rsidR="00407EE7" w:rsidRPr="00804FA0">
        <w:rPr>
          <w:rFonts w:ascii="Sylfaen" w:hAnsi="Sylfaen"/>
          <w:i/>
          <w:sz w:val="20"/>
        </w:rPr>
        <w:t xml:space="preserve">Figure 4: Scatterplot Number </w:t>
      </w:r>
      <w:r w:rsidR="00D57F51" w:rsidRPr="00804FA0">
        <w:rPr>
          <w:rFonts w:ascii="Sylfaen" w:hAnsi="Sylfaen"/>
          <w:i/>
          <w:sz w:val="20"/>
        </w:rPr>
        <w:t>of opposing member states (IV) and Compliance (DV)</w:t>
      </w:r>
    </w:p>
    <w:p w14:paraId="0BFA8FA7" w14:textId="62C14DE7" w:rsidR="00D57F51" w:rsidRDefault="00D57F51" w:rsidP="00D57F51">
      <w:pPr>
        <w:autoSpaceDE w:val="0"/>
        <w:autoSpaceDN w:val="0"/>
        <w:adjustRightInd w:val="0"/>
        <w:spacing w:after="0" w:line="240" w:lineRule="auto"/>
        <w:rPr>
          <w:rFonts w:ascii="Times New Roman" w:eastAsiaTheme="minorHAnsi" w:hAnsi="Times New Roman" w:cs="Times New Roman"/>
          <w:sz w:val="24"/>
          <w:szCs w:val="24"/>
          <w:lang w:val="nl-NL"/>
        </w:rPr>
      </w:pPr>
      <w:r>
        <w:rPr>
          <w:rFonts w:ascii="Times New Roman" w:eastAsiaTheme="minorHAnsi" w:hAnsi="Times New Roman" w:cs="Times New Roman"/>
          <w:noProof/>
          <w:sz w:val="24"/>
          <w:szCs w:val="24"/>
        </w:rPr>
        <w:drawing>
          <wp:inline distT="0" distB="0" distL="0" distR="0" wp14:anchorId="6B992A6B" wp14:editId="6DFD2CBA">
            <wp:extent cx="5972175" cy="35147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665AECB" w14:textId="77777777" w:rsidR="00D57F51" w:rsidRDefault="00D57F51" w:rsidP="00D57F51">
      <w:pPr>
        <w:autoSpaceDE w:val="0"/>
        <w:autoSpaceDN w:val="0"/>
        <w:adjustRightInd w:val="0"/>
        <w:spacing w:after="0" w:line="240" w:lineRule="auto"/>
        <w:rPr>
          <w:rFonts w:ascii="Times New Roman" w:eastAsiaTheme="minorHAnsi" w:hAnsi="Times New Roman" w:cs="Times New Roman"/>
          <w:sz w:val="24"/>
          <w:szCs w:val="24"/>
          <w:lang w:val="nl-NL"/>
        </w:rPr>
      </w:pPr>
    </w:p>
    <w:p w14:paraId="25EF7345" w14:textId="77777777" w:rsidR="00D57F51" w:rsidRDefault="00D57F51" w:rsidP="00D57F51">
      <w:pPr>
        <w:rPr>
          <w:i/>
        </w:rPr>
      </w:pPr>
      <w:r>
        <w:rPr>
          <w:i/>
        </w:rPr>
        <w:br w:type="page"/>
      </w:r>
    </w:p>
    <w:p w14:paraId="6E25E984" w14:textId="16DDAD94" w:rsidR="00D57F51" w:rsidRPr="00804FA0" w:rsidRDefault="00456D03" w:rsidP="00601430">
      <w:pPr>
        <w:spacing w:line="360" w:lineRule="auto"/>
        <w:rPr>
          <w:rFonts w:ascii="Sylfaen" w:hAnsi="Sylfaen"/>
          <w:i/>
        </w:rPr>
      </w:pPr>
      <w:r w:rsidRPr="00804FA0">
        <w:rPr>
          <w:rFonts w:ascii="Sylfaen" w:hAnsi="Sylfaen"/>
          <w:noProof/>
          <w:sz w:val="20"/>
        </w:rPr>
        <w:lastRenderedPageBreak/>
        <mc:AlternateContent>
          <mc:Choice Requires="wps">
            <w:drawing>
              <wp:anchor distT="0" distB="0" distL="114300" distR="114300" simplePos="0" relativeHeight="251676160" behindDoc="0" locked="0" layoutInCell="1" allowOverlap="1" wp14:anchorId="59BBE207" wp14:editId="0A025759">
                <wp:simplePos x="0" y="0"/>
                <wp:positionH relativeFrom="margin">
                  <wp:align>right</wp:align>
                </wp:positionH>
                <wp:positionV relativeFrom="paragraph">
                  <wp:posOffset>-42545</wp:posOffset>
                </wp:positionV>
                <wp:extent cx="5734050" cy="3876675"/>
                <wp:effectExtent l="0" t="0" r="19050" b="28575"/>
                <wp:wrapNone/>
                <wp:docPr id="38" name="Rectangle 38"/>
                <wp:cNvGraphicFramePr/>
                <a:graphic xmlns:a="http://schemas.openxmlformats.org/drawingml/2006/main">
                  <a:graphicData uri="http://schemas.microsoft.com/office/word/2010/wordprocessingShape">
                    <wps:wsp>
                      <wps:cNvSpPr/>
                      <wps:spPr>
                        <a:xfrm>
                          <a:off x="0" y="0"/>
                          <a:ext cx="5734050" cy="38766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AAB68D" id="Rectangle 38" o:spid="_x0000_s1026" style="position:absolute;margin-left:400.3pt;margin-top:-3.35pt;width:451.5pt;height:305.25pt;z-index:2516761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" filled="f" strokecolor="black [3213]" strokeweight="1.5pt">
                <w10:wrap anchorx="margin"/>
              </v:rect>
            </w:pict>
          </mc:Fallback>
        </mc:AlternateContent>
      </w:r>
      <w:r w:rsidR="00601430">
        <w:rPr>
          <w:rFonts w:ascii="Sylfaen" w:hAnsi="Sylfaen"/>
          <w:i/>
          <w:sz w:val="20"/>
        </w:rPr>
        <w:t xml:space="preserve">  </w:t>
      </w:r>
      <w:r w:rsidR="00D57F51" w:rsidRPr="00804FA0">
        <w:rPr>
          <w:rFonts w:ascii="Sylfaen" w:hAnsi="Sylfaen"/>
          <w:i/>
          <w:sz w:val="20"/>
        </w:rPr>
        <w:t>Figure 5: Scatterplot Population of opposing member states (IV) and Compliance (DV)</w:t>
      </w:r>
      <w:r w:rsidRPr="00804FA0">
        <w:rPr>
          <w:rFonts w:ascii="Sylfaen" w:hAnsi="Sylfaen"/>
          <w:noProof/>
        </w:rPr>
        <w:t xml:space="preserve"> </w:t>
      </w:r>
    </w:p>
    <w:p w14:paraId="3F7C69C9" w14:textId="6ED8D261" w:rsidR="00D57F51" w:rsidRDefault="00D57F51" w:rsidP="00456D03">
      <w:pPr>
        <w:autoSpaceDE w:val="0"/>
        <w:autoSpaceDN w:val="0"/>
        <w:adjustRightInd w:val="0"/>
        <w:spacing w:after="0" w:line="240" w:lineRule="auto"/>
        <w:rPr>
          <w:rFonts w:ascii="Times New Roman" w:eastAsiaTheme="minorHAnsi" w:hAnsi="Times New Roman" w:cs="Times New Roman"/>
          <w:sz w:val="24"/>
          <w:szCs w:val="24"/>
          <w:lang w:val="nl-NL"/>
        </w:rPr>
      </w:pPr>
      <w:r>
        <w:rPr>
          <w:rFonts w:ascii="Times New Roman" w:eastAsiaTheme="minorHAnsi" w:hAnsi="Times New Roman" w:cs="Times New Roman"/>
          <w:noProof/>
          <w:sz w:val="24"/>
          <w:szCs w:val="24"/>
        </w:rPr>
        <w:drawing>
          <wp:inline distT="0" distB="0" distL="0" distR="0" wp14:anchorId="24A9BE1A" wp14:editId="4EEA3F5A">
            <wp:extent cx="5972175" cy="35147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2F30F2D" w14:textId="25B64B84" w:rsidR="00D57F51" w:rsidRDefault="009F18BA" w:rsidP="00D57F51">
      <w:pPr>
        <w:autoSpaceDE w:val="0"/>
        <w:autoSpaceDN w:val="0"/>
        <w:adjustRightInd w:val="0"/>
        <w:spacing w:after="0" w:line="240" w:lineRule="auto"/>
        <w:rPr>
          <w:rFonts w:ascii="Times New Roman" w:eastAsiaTheme="minorHAnsi" w:hAnsi="Times New Roman" w:cs="Times New Roman"/>
          <w:sz w:val="24"/>
          <w:szCs w:val="24"/>
          <w:lang w:val="nl-NL"/>
        </w:rPr>
      </w:pPr>
      <w:r>
        <w:rPr>
          <w:noProof/>
        </w:rPr>
        <mc:AlternateContent>
          <mc:Choice Requires="wps">
            <w:drawing>
              <wp:anchor distT="0" distB="0" distL="114300" distR="114300" simplePos="0" relativeHeight="251672064" behindDoc="0" locked="0" layoutInCell="1" allowOverlap="1" wp14:anchorId="4F2299EE" wp14:editId="644131D2">
                <wp:simplePos x="0" y="0"/>
                <wp:positionH relativeFrom="margin">
                  <wp:align>right</wp:align>
                </wp:positionH>
                <wp:positionV relativeFrom="paragraph">
                  <wp:posOffset>142875</wp:posOffset>
                </wp:positionV>
                <wp:extent cx="5743575" cy="3800475"/>
                <wp:effectExtent l="0" t="0" r="28575" b="28575"/>
                <wp:wrapNone/>
                <wp:docPr id="36" name="Rectangle 36"/>
                <wp:cNvGraphicFramePr/>
                <a:graphic xmlns:a="http://schemas.openxmlformats.org/drawingml/2006/main">
                  <a:graphicData uri="http://schemas.microsoft.com/office/word/2010/wordprocessingShape">
                    <wps:wsp>
                      <wps:cNvSpPr/>
                      <wps:spPr>
                        <a:xfrm>
                          <a:off x="0" y="0"/>
                          <a:ext cx="5743575" cy="38004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AF7136" id="Rectangle 36" o:spid="_x0000_s1026" style="position:absolute;margin-left:401.05pt;margin-top:11.25pt;width:452.25pt;height:299.25pt;z-index:2516720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" filled="f" strokecolor="black [3213]" strokeweight="1.5pt">
                <w10:wrap anchorx="margin"/>
              </v:rect>
            </w:pict>
          </mc:Fallback>
        </mc:AlternateContent>
      </w:r>
    </w:p>
    <w:p w14:paraId="6199EBF1" w14:textId="5158BBBD" w:rsidR="00D57F51" w:rsidRPr="00804FA0" w:rsidRDefault="00601430" w:rsidP="00601430">
      <w:pPr>
        <w:spacing w:line="360" w:lineRule="auto"/>
        <w:rPr>
          <w:rFonts w:ascii="Sylfaen" w:hAnsi="Sylfaen"/>
          <w:sz w:val="20"/>
        </w:rPr>
      </w:pPr>
      <w:r>
        <w:rPr>
          <w:rFonts w:ascii="Sylfaen" w:hAnsi="Sylfaen"/>
          <w:i/>
          <w:sz w:val="20"/>
        </w:rPr>
        <w:t xml:space="preserve">  </w:t>
      </w:r>
      <w:r w:rsidR="00D57F51" w:rsidRPr="00804FA0">
        <w:rPr>
          <w:rFonts w:ascii="Sylfaen" w:hAnsi="Sylfaen"/>
          <w:i/>
          <w:sz w:val="20"/>
        </w:rPr>
        <w:t>Figure 6: Scatterplot variance of residuals</w:t>
      </w:r>
    </w:p>
    <w:p w14:paraId="68FD5809" w14:textId="77777777" w:rsidR="00D57F51" w:rsidRDefault="00D57F51" w:rsidP="009F18BA">
      <w:pPr>
        <w:jc w:val="center"/>
        <w:rPr>
          <w:rFonts w:asciiTheme="majorHAnsi" w:eastAsiaTheme="majorEastAsia" w:hAnsiTheme="majorHAnsi" w:cstheme="majorBidi"/>
          <w:color w:val="1F4D78" w:themeColor="accent1" w:themeShade="7F"/>
          <w:sz w:val="24"/>
          <w:szCs w:val="24"/>
        </w:rPr>
      </w:pPr>
      <w:r>
        <w:rPr>
          <w:rFonts w:ascii="Times New Roman" w:eastAsiaTheme="minorHAnsi" w:hAnsi="Times New Roman" w:cs="Times New Roman"/>
          <w:noProof/>
          <w:sz w:val="24"/>
          <w:szCs w:val="24"/>
        </w:rPr>
        <w:drawing>
          <wp:inline distT="0" distB="0" distL="0" distR="0" wp14:anchorId="48445C81" wp14:editId="019D9011">
            <wp:extent cx="5760720" cy="3390280"/>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0720" cy="3390280"/>
                    </a:xfrm>
                    <a:prstGeom prst="rect">
                      <a:avLst/>
                    </a:prstGeom>
                    <a:noFill/>
                    <a:ln>
                      <a:noFill/>
                    </a:ln>
                  </pic:spPr>
                </pic:pic>
              </a:graphicData>
            </a:graphic>
          </wp:inline>
        </w:drawing>
      </w:r>
      <w:r>
        <w:br w:type="page"/>
      </w:r>
    </w:p>
    <w:bookmarkStart w:id="55" w:name="_Toc3196960"/>
    <w:bookmarkStart w:id="56" w:name="_Toc3538994"/>
    <w:bookmarkStart w:id="57" w:name="_Toc3547866"/>
    <w:p w14:paraId="5A274927" w14:textId="1C329CDA" w:rsidR="00D57F51" w:rsidRDefault="009F18BA" w:rsidP="00D57F51">
      <w:pPr>
        <w:pStyle w:val="Kop3"/>
      </w:pPr>
      <w:r>
        <w:rPr>
          <w:noProof/>
        </w:rPr>
        <w:lastRenderedPageBreak/>
        <mc:AlternateContent>
          <mc:Choice Requires="wps">
            <w:drawing>
              <wp:anchor distT="0" distB="0" distL="114300" distR="114300" simplePos="0" relativeHeight="251670016" behindDoc="0" locked="0" layoutInCell="1" allowOverlap="1" wp14:anchorId="516085B7" wp14:editId="19682EF5">
                <wp:simplePos x="0" y="0"/>
                <wp:positionH relativeFrom="margin">
                  <wp:posOffset>-61595</wp:posOffset>
                </wp:positionH>
                <wp:positionV relativeFrom="paragraph">
                  <wp:posOffset>328930</wp:posOffset>
                </wp:positionV>
                <wp:extent cx="6419850" cy="3800475"/>
                <wp:effectExtent l="0" t="0" r="19050" b="28575"/>
                <wp:wrapNone/>
                <wp:docPr id="35" name="Rectangle 35"/>
                <wp:cNvGraphicFramePr/>
                <a:graphic xmlns:a="http://schemas.openxmlformats.org/drawingml/2006/main">
                  <a:graphicData uri="http://schemas.microsoft.com/office/word/2010/wordprocessingShape">
                    <wps:wsp>
                      <wps:cNvSpPr/>
                      <wps:spPr>
                        <a:xfrm>
                          <a:off x="0" y="0"/>
                          <a:ext cx="6419850" cy="38004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40D5FA" id="Rectangle 35" o:spid="_x0000_s1026" style="position:absolute;margin-left:-4.85pt;margin-top:25.9pt;width:505.5pt;height:299.25pt;z-index:251670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" filled="f" strokecolor="black [3213]" strokeweight="1.5pt">
                <w10:wrap anchorx="margin"/>
              </v:rect>
            </w:pict>
          </mc:Fallback>
        </mc:AlternateContent>
      </w:r>
      <w:r w:rsidR="00D57F51">
        <w:t>Coefficients and VIF</w:t>
      </w:r>
      <w:bookmarkEnd w:id="55"/>
      <w:bookmarkEnd w:id="56"/>
      <w:bookmarkEnd w:id="57"/>
    </w:p>
    <w:tbl>
      <w:tblPr>
        <w:tblW w:w="97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96"/>
        <w:gridCol w:w="1657"/>
        <w:gridCol w:w="901"/>
        <w:gridCol w:w="901"/>
        <w:gridCol w:w="994"/>
        <w:gridCol w:w="693"/>
        <w:gridCol w:w="693"/>
        <w:gridCol w:w="983"/>
        <w:gridCol w:w="984"/>
        <w:gridCol w:w="765"/>
        <w:gridCol w:w="696"/>
      </w:tblGrid>
      <w:tr w:rsidR="00D57F51" w:rsidRPr="00A60364" w14:paraId="353C9475" w14:textId="77777777" w:rsidTr="007D63BD">
        <w:trPr>
          <w:cantSplit/>
          <w:trHeight w:val="457"/>
        </w:trPr>
        <w:tc>
          <w:tcPr>
            <w:tcW w:w="9763" w:type="dxa"/>
            <w:gridSpan w:val="11"/>
            <w:tcBorders>
              <w:top w:val="nil"/>
              <w:left w:val="nil"/>
              <w:bottom w:val="nil"/>
              <w:right w:val="nil"/>
            </w:tcBorders>
            <w:shd w:val="clear" w:color="auto" w:fill="FFFFFF"/>
            <w:vAlign w:val="center"/>
          </w:tcPr>
          <w:p w14:paraId="302E4EFC" w14:textId="1F17F029" w:rsidR="00D57F51" w:rsidRPr="004E3771" w:rsidRDefault="00D57F51" w:rsidP="007D63BD">
            <w:pPr>
              <w:autoSpaceDE w:val="0"/>
              <w:autoSpaceDN w:val="0"/>
              <w:adjustRightInd w:val="0"/>
              <w:spacing w:after="0" w:line="320" w:lineRule="atLeast"/>
              <w:ind w:right="60"/>
              <w:jc w:val="center"/>
              <w:rPr>
                <w:rFonts w:ascii="Sylfaen" w:hAnsi="Sylfaen"/>
                <w:i/>
                <w:sz w:val="20"/>
              </w:rPr>
            </w:pPr>
          </w:p>
          <w:p w14:paraId="7B98F003" w14:textId="7905B255" w:rsidR="00D57F51" w:rsidRPr="004E3771" w:rsidRDefault="00407EE7" w:rsidP="00601430">
            <w:pPr>
              <w:autoSpaceDE w:val="0"/>
              <w:autoSpaceDN w:val="0"/>
              <w:adjustRightInd w:val="0"/>
              <w:spacing w:after="0" w:line="320" w:lineRule="atLeast"/>
              <w:ind w:right="60"/>
              <w:rPr>
                <w:rFonts w:ascii="Sylfaen" w:eastAsiaTheme="minorHAnsi" w:hAnsi="Sylfaen" w:cs="Arial"/>
                <w:color w:val="010205"/>
                <w:sz w:val="20"/>
              </w:rPr>
            </w:pPr>
            <w:r w:rsidRPr="004E3771">
              <w:rPr>
                <w:rFonts w:ascii="Sylfaen" w:hAnsi="Sylfaen"/>
                <w:i/>
                <w:sz w:val="20"/>
              </w:rPr>
              <w:t>Table 1: Coefficients and VIF-value without control variables</w:t>
            </w:r>
          </w:p>
        </w:tc>
      </w:tr>
      <w:tr w:rsidR="00D57F51" w:rsidRPr="00A60364" w14:paraId="4E84196F" w14:textId="77777777" w:rsidTr="007D63BD">
        <w:trPr>
          <w:cantSplit/>
          <w:trHeight w:val="936"/>
        </w:trPr>
        <w:tc>
          <w:tcPr>
            <w:tcW w:w="2153" w:type="dxa"/>
            <w:gridSpan w:val="2"/>
            <w:vMerge w:val="restart"/>
            <w:tcBorders>
              <w:top w:val="nil"/>
              <w:left w:val="nil"/>
              <w:bottom w:val="nil"/>
              <w:right w:val="nil"/>
            </w:tcBorders>
            <w:shd w:val="clear" w:color="auto" w:fill="FFFFFF"/>
            <w:vAlign w:val="bottom"/>
          </w:tcPr>
          <w:p w14:paraId="70181F99" w14:textId="77777777" w:rsidR="00D57F51" w:rsidRPr="002C2A76" w:rsidRDefault="00D57F51" w:rsidP="007D63BD">
            <w:pPr>
              <w:autoSpaceDE w:val="0"/>
              <w:autoSpaceDN w:val="0"/>
              <w:adjustRightInd w:val="0"/>
              <w:spacing w:after="0" w:line="320" w:lineRule="atLeast"/>
              <w:ind w:left="60" w:right="60"/>
              <w:rPr>
                <w:rFonts w:ascii="Sylfaen" w:eastAsiaTheme="minorHAnsi" w:hAnsi="Sylfaen" w:cs="Arial"/>
                <w:b/>
                <w:sz w:val="20"/>
                <w:szCs w:val="20"/>
                <w:lang w:val="nl-NL"/>
              </w:rPr>
            </w:pPr>
            <w:r w:rsidRPr="002C2A76">
              <w:rPr>
                <w:rFonts w:ascii="Sylfaen" w:eastAsiaTheme="minorHAnsi" w:hAnsi="Sylfaen" w:cs="Arial"/>
                <w:b/>
                <w:sz w:val="20"/>
                <w:szCs w:val="20"/>
                <w:lang w:val="nl-NL"/>
              </w:rPr>
              <w:t>Model</w:t>
            </w:r>
          </w:p>
        </w:tc>
        <w:tc>
          <w:tcPr>
            <w:tcW w:w="1802" w:type="dxa"/>
            <w:gridSpan w:val="2"/>
            <w:tcBorders>
              <w:top w:val="nil"/>
              <w:left w:val="nil"/>
              <w:bottom w:val="nil"/>
              <w:right w:val="single" w:sz="8" w:space="0" w:color="E0E0E0"/>
            </w:tcBorders>
            <w:shd w:val="clear" w:color="auto" w:fill="FFFFFF"/>
            <w:vAlign w:val="bottom"/>
          </w:tcPr>
          <w:p w14:paraId="68811B4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proofErr w:type="spellStart"/>
            <w:r w:rsidRPr="004E3771">
              <w:rPr>
                <w:rFonts w:ascii="Sylfaen" w:eastAsiaTheme="minorHAnsi" w:hAnsi="Sylfaen" w:cs="Arial"/>
                <w:sz w:val="20"/>
                <w:szCs w:val="20"/>
                <w:lang w:val="nl-NL"/>
              </w:rPr>
              <w:t>Unstandardized</w:t>
            </w:r>
            <w:proofErr w:type="spellEnd"/>
            <w:r w:rsidRPr="004E3771">
              <w:rPr>
                <w:rFonts w:ascii="Sylfaen" w:eastAsiaTheme="minorHAnsi" w:hAnsi="Sylfaen" w:cs="Arial"/>
                <w:sz w:val="20"/>
                <w:szCs w:val="20"/>
                <w:lang w:val="nl-NL"/>
              </w:rPr>
              <w:t xml:space="preserve"> </w:t>
            </w:r>
            <w:proofErr w:type="spellStart"/>
            <w:r w:rsidRPr="004E3771">
              <w:rPr>
                <w:rFonts w:ascii="Sylfaen" w:eastAsiaTheme="minorHAnsi" w:hAnsi="Sylfaen" w:cs="Arial"/>
                <w:sz w:val="20"/>
                <w:szCs w:val="20"/>
                <w:lang w:val="nl-NL"/>
              </w:rPr>
              <w:t>Coefficients</w:t>
            </w:r>
            <w:proofErr w:type="spellEnd"/>
          </w:p>
        </w:tc>
        <w:tc>
          <w:tcPr>
            <w:tcW w:w="994" w:type="dxa"/>
            <w:tcBorders>
              <w:top w:val="nil"/>
              <w:left w:val="single" w:sz="8" w:space="0" w:color="E0E0E0"/>
              <w:bottom w:val="nil"/>
              <w:right w:val="single" w:sz="8" w:space="0" w:color="E0E0E0"/>
            </w:tcBorders>
            <w:shd w:val="clear" w:color="auto" w:fill="FFFFFF"/>
            <w:vAlign w:val="bottom"/>
          </w:tcPr>
          <w:p w14:paraId="3C0065C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proofErr w:type="spellStart"/>
            <w:r w:rsidRPr="004E3771">
              <w:rPr>
                <w:rFonts w:ascii="Sylfaen" w:eastAsiaTheme="minorHAnsi" w:hAnsi="Sylfaen" w:cs="Arial"/>
                <w:sz w:val="20"/>
                <w:szCs w:val="20"/>
                <w:lang w:val="nl-NL"/>
              </w:rPr>
              <w:t>Standardized</w:t>
            </w:r>
            <w:proofErr w:type="spellEnd"/>
            <w:r w:rsidRPr="004E3771">
              <w:rPr>
                <w:rFonts w:ascii="Sylfaen" w:eastAsiaTheme="minorHAnsi" w:hAnsi="Sylfaen" w:cs="Arial"/>
                <w:sz w:val="20"/>
                <w:szCs w:val="20"/>
                <w:lang w:val="nl-NL"/>
              </w:rPr>
              <w:t xml:space="preserve"> </w:t>
            </w:r>
            <w:proofErr w:type="spellStart"/>
            <w:r w:rsidRPr="004E3771">
              <w:rPr>
                <w:rFonts w:ascii="Sylfaen" w:eastAsiaTheme="minorHAnsi" w:hAnsi="Sylfaen" w:cs="Arial"/>
                <w:sz w:val="20"/>
                <w:szCs w:val="20"/>
                <w:lang w:val="nl-NL"/>
              </w:rPr>
              <w:t>Coefficients</w:t>
            </w:r>
            <w:proofErr w:type="spellEnd"/>
          </w:p>
        </w:tc>
        <w:tc>
          <w:tcPr>
            <w:tcW w:w="693" w:type="dxa"/>
            <w:vMerge w:val="restart"/>
            <w:tcBorders>
              <w:top w:val="nil"/>
              <w:left w:val="single" w:sz="8" w:space="0" w:color="E0E0E0"/>
              <w:bottom w:val="nil"/>
              <w:right w:val="single" w:sz="8" w:space="0" w:color="E0E0E0"/>
            </w:tcBorders>
            <w:shd w:val="clear" w:color="auto" w:fill="FFFFFF"/>
            <w:vAlign w:val="bottom"/>
          </w:tcPr>
          <w:p w14:paraId="764E891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t</w:t>
            </w:r>
          </w:p>
        </w:tc>
        <w:tc>
          <w:tcPr>
            <w:tcW w:w="693" w:type="dxa"/>
            <w:vMerge w:val="restart"/>
            <w:tcBorders>
              <w:top w:val="nil"/>
              <w:left w:val="single" w:sz="8" w:space="0" w:color="E0E0E0"/>
              <w:bottom w:val="nil"/>
              <w:right w:val="single" w:sz="8" w:space="0" w:color="E0E0E0"/>
            </w:tcBorders>
            <w:shd w:val="clear" w:color="auto" w:fill="FFFFFF"/>
            <w:vAlign w:val="bottom"/>
          </w:tcPr>
          <w:p w14:paraId="3DED4D5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Sig.</w:t>
            </w:r>
          </w:p>
        </w:tc>
        <w:tc>
          <w:tcPr>
            <w:tcW w:w="1967" w:type="dxa"/>
            <w:gridSpan w:val="2"/>
            <w:tcBorders>
              <w:top w:val="nil"/>
              <w:left w:val="single" w:sz="8" w:space="0" w:color="E0E0E0"/>
              <w:bottom w:val="nil"/>
              <w:right w:val="single" w:sz="8" w:space="0" w:color="E0E0E0"/>
            </w:tcBorders>
            <w:shd w:val="clear" w:color="auto" w:fill="FFFFFF"/>
            <w:vAlign w:val="bottom"/>
          </w:tcPr>
          <w:p w14:paraId="53BC8EF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 xml:space="preserve">95,0% </w:t>
            </w:r>
            <w:proofErr w:type="spellStart"/>
            <w:r w:rsidRPr="004E3771">
              <w:rPr>
                <w:rFonts w:ascii="Sylfaen" w:eastAsiaTheme="minorHAnsi" w:hAnsi="Sylfaen" w:cs="Arial"/>
                <w:sz w:val="20"/>
                <w:szCs w:val="20"/>
                <w:lang w:val="nl-NL"/>
              </w:rPr>
              <w:t>Confidence</w:t>
            </w:r>
            <w:proofErr w:type="spellEnd"/>
            <w:r w:rsidRPr="004E3771">
              <w:rPr>
                <w:rFonts w:ascii="Sylfaen" w:eastAsiaTheme="minorHAnsi" w:hAnsi="Sylfaen" w:cs="Arial"/>
                <w:sz w:val="20"/>
                <w:szCs w:val="20"/>
                <w:lang w:val="nl-NL"/>
              </w:rPr>
              <w:t xml:space="preserve"> Interval </w:t>
            </w:r>
            <w:proofErr w:type="spellStart"/>
            <w:r w:rsidRPr="004E3771">
              <w:rPr>
                <w:rFonts w:ascii="Sylfaen" w:eastAsiaTheme="minorHAnsi" w:hAnsi="Sylfaen" w:cs="Arial"/>
                <w:sz w:val="20"/>
                <w:szCs w:val="20"/>
                <w:lang w:val="nl-NL"/>
              </w:rPr>
              <w:t>for</w:t>
            </w:r>
            <w:proofErr w:type="spellEnd"/>
            <w:r w:rsidRPr="004E3771">
              <w:rPr>
                <w:rFonts w:ascii="Sylfaen" w:eastAsiaTheme="minorHAnsi" w:hAnsi="Sylfaen" w:cs="Arial"/>
                <w:sz w:val="20"/>
                <w:szCs w:val="20"/>
                <w:lang w:val="nl-NL"/>
              </w:rPr>
              <w:t xml:space="preserve"> B</w:t>
            </w:r>
          </w:p>
        </w:tc>
        <w:tc>
          <w:tcPr>
            <w:tcW w:w="1461" w:type="dxa"/>
            <w:gridSpan w:val="2"/>
            <w:tcBorders>
              <w:top w:val="nil"/>
              <w:left w:val="single" w:sz="8" w:space="0" w:color="E0E0E0"/>
              <w:bottom w:val="nil"/>
              <w:right w:val="nil"/>
            </w:tcBorders>
            <w:shd w:val="clear" w:color="auto" w:fill="FFFFFF"/>
            <w:vAlign w:val="bottom"/>
          </w:tcPr>
          <w:p w14:paraId="03C598D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proofErr w:type="spellStart"/>
            <w:r w:rsidRPr="004E3771">
              <w:rPr>
                <w:rFonts w:ascii="Sylfaen" w:eastAsiaTheme="minorHAnsi" w:hAnsi="Sylfaen" w:cs="Arial"/>
                <w:sz w:val="20"/>
                <w:szCs w:val="20"/>
                <w:lang w:val="nl-NL"/>
              </w:rPr>
              <w:t>Collinearity</w:t>
            </w:r>
            <w:proofErr w:type="spellEnd"/>
            <w:r w:rsidRPr="004E3771">
              <w:rPr>
                <w:rFonts w:ascii="Sylfaen" w:eastAsiaTheme="minorHAnsi" w:hAnsi="Sylfaen" w:cs="Arial"/>
                <w:sz w:val="20"/>
                <w:szCs w:val="20"/>
                <w:lang w:val="nl-NL"/>
              </w:rPr>
              <w:t xml:space="preserve"> </w:t>
            </w:r>
            <w:proofErr w:type="spellStart"/>
            <w:r w:rsidRPr="004E3771">
              <w:rPr>
                <w:rFonts w:ascii="Sylfaen" w:eastAsiaTheme="minorHAnsi" w:hAnsi="Sylfaen" w:cs="Arial"/>
                <w:sz w:val="20"/>
                <w:szCs w:val="20"/>
                <w:lang w:val="nl-NL"/>
              </w:rPr>
              <w:t>Statistics</w:t>
            </w:r>
            <w:proofErr w:type="spellEnd"/>
          </w:p>
        </w:tc>
      </w:tr>
      <w:tr w:rsidR="00D57F51" w:rsidRPr="00A60364" w14:paraId="6E24EA32" w14:textId="77777777" w:rsidTr="007D63BD">
        <w:trPr>
          <w:cantSplit/>
          <w:trHeight w:val="457"/>
        </w:trPr>
        <w:tc>
          <w:tcPr>
            <w:tcW w:w="2153" w:type="dxa"/>
            <w:gridSpan w:val="2"/>
            <w:vMerge/>
            <w:tcBorders>
              <w:top w:val="nil"/>
              <w:left w:val="nil"/>
              <w:bottom w:val="nil"/>
              <w:right w:val="nil"/>
            </w:tcBorders>
            <w:shd w:val="clear" w:color="auto" w:fill="FFFFFF"/>
            <w:vAlign w:val="bottom"/>
          </w:tcPr>
          <w:p w14:paraId="3CD0A82B" w14:textId="77777777" w:rsidR="00D57F51" w:rsidRPr="004E3771" w:rsidRDefault="00D57F51" w:rsidP="007D63BD">
            <w:pPr>
              <w:autoSpaceDE w:val="0"/>
              <w:autoSpaceDN w:val="0"/>
              <w:adjustRightInd w:val="0"/>
              <w:spacing w:after="0" w:line="240" w:lineRule="auto"/>
              <w:rPr>
                <w:rFonts w:ascii="Sylfaen" w:eastAsiaTheme="minorHAnsi" w:hAnsi="Sylfaen" w:cs="Arial"/>
                <w:sz w:val="20"/>
                <w:szCs w:val="20"/>
                <w:lang w:val="nl-NL"/>
              </w:rPr>
            </w:pPr>
          </w:p>
        </w:tc>
        <w:tc>
          <w:tcPr>
            <w:tcW w:w="901" w:type="dxa"/>
            <w:tcBorders>
              <w:top w:val="nil"/>
              <w:left w:val="nil"/>
              <w:bottom w:val="single" w:sz="8" w:space="0" w:color="152935"/>
              <w:right w:val="single" w:sz="8" w:space="0" w:color="E0E0E0"/>
            </w:tcBorders>
            <w:shd w:val="clear" w:color="auto" w:fill="FFFFFF"/>
            <w:vAlign w:val="bottom"/>
          </w:tcPr>
          <w:p w14:paraId="2BD0423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B</w:t>
            </w:r>
          </w:p>
        </w:tc>
        <w:tc>
          <w:tcPr>
            <w:tcW w:w="901" w:type="dxa"/>
            <w:tcBorders>
              <w:top w:val="nil"/>
              <w:left w:val="single" w:sz="8" w:space="0" w:color="E0E0E0"/>
              <w:bottom w:val="single" w:sz="8" w:space="0" w:color="152935"/>
              <w:right w:val="single" w:sz="8" w:space="0" w:color="E0E0E0"/>
            </w:tcBorders>
            <w:shd w:val="clear" w:color="auto" w:fill="FFFFFF"/>
            <w:vAlign w:val="bottom"/>
          </w:tcPr>
          <w:p w14:paraId="6F89854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Std. Error</w:t>
            </w:r>
          </w:p>
        </w:tc>
        <w:tc>
          <w:tcPr>
            <w:tcW w:w="994" w:type="dxa"/>
            <w:tcBorders>
              <w:top w:val="nil"/>
              <w:left w:val="single" w:sz="8" w:space="0" w:color="E0E0E0"/>
              <w:bottom w:val="single" w:sz="8" w:space="0" w:color="152935"/>
              <w:right w:val="single" w:sz="8" w:space="0" w:color="E0E0E0"/>
            </w:tcBorders>
            <w:shd w:val="clear" w:color="auto" w:fill="FFFFFF"/>
            <w:vAlign w:val="bottom"/>
          </w:tcPr>
          <w:p w14:paraId="09CB0FA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proofErr w:type="spellStart"/>
            <w:r w:rsidRPr="004E3771">
              <w:rPr>
                <w:rFonts w:ascii="Sylfaen" w:eastAsiaTheme="minorHAnsi" w:hAnsi="Sylfaen" w:cs="Arial"/>
                <w:sz w:val="20"/>
                <w:szCs w:val="20"/>
                <w:lang w:val="nl-NL"/>
              </w:rPr>
              <w:t>Beta</w:t>
            </w:r>
            <w:proofErr w:type="spellEnd"/>
          </w:p>
        </w:tc>
        <w:tc>
          <w:tcPr>
            <w:tcW w:w="693" w:type="dxa"/>
            <w:vMerge/>
            <w:tcBorders>
              <w:top w:val="nil"/>
              <w:left w:val="single" w:sz="8" w:space="0" w:color="E0E0E0"/>
              <w:bottom w:val="nil"/>
              <w:right w:val="single" w:sz="8" w:space="0" w:color="E0E0E0"/>
            </w:tcBorders>
            <w:shd w:val="clear" w:color="auto" w:fill="FFFFFF"/>
            <w:vAlign w:val="bottom"/>
          </w:tcPr>
          <w:p w14:paraId="4E24FE58" w14:textId="77777777" w:rsidR="00D57F51" w:rsidRPr="004E3771" w:rsidRDefault="00D57F51" w:rsidP="007D63BD">
            <w:pPr>
              <w:autoSpaceDE w:val="0"/>
              <w:autoSpaceDN w:val="0"/>
              <w:adjustRightInd w:val="0"/>
              <w:spacing w:after="0" w:line="240" w:lineRule="auto"/>
              <w:rPr>
                <w:rFonts w:ascii="Sylfaen" w:eastAsiaTheme="minorHAnsi" w:hAnsi="Sylfaen" w:cs="Arial"/>
                <w:sz w:val="20"/>
                <w:szCs w:val="20"/>
                <w:lang w:val="nl-NL"/>
              </w:rPr>
            </w:pPr>
          </w:p>
        </w:tc>
        <w:tc>
          <w:tcPr>
            <w:tcW w:w="693" w:type="dxa"/>
            <w:vMerge/>
            <w:tcBorders>
              <w:top w:val="nil"/>
              <w:left w:val="single" w:sz="8" w:space="0" w:color="E0E0E0"/>
              <w:bottom w:val="nil"/>
              <w:right w:val="single" w:sz="8" w:space="0" w:color="E0E0E0"/>
            </w:tcBorders>
            <w:shd w:val="clear" w:color="auto" w:fill="FFFFFF"/>
            <w:vAlign w:val="bottom"/>
          </w:tcPr>
          <w:p w14:paraId="7C3E4D08" w14:textId="77777777" w:rsidR="00D57F51" w:rsidRPr="004E3771" w:rsidRDefault="00D57F51" w:rsidP="007D63BD">
            <w:pPr>
              <w:autoSpaceDE w:val="0"/>
              <w:autoSpaceDN w:val="0"/>
              <w:adjustRightInd w:val="0"/>
              <w:spacing w:after="0" w:line="240" w:lineRule="auto"/>
              <w:rPr>
                <w:rFonts w:ascii="Sylfaen" w:eastAsiaTheme="minorHAnsi" w:hAnsi="Sylfaen" w:cs="Arial"/>
                <w:sz w:val="20"/>
                <w:szCs w:val="20"/>
                <w:lang w:val="nl-NL"/>
              </w:rPr>
            </w:pPr>
          </w:p>
        </w:tc>
        <w:tc>
          <w:tcPr>
            <w:tcW w:w="983" w:type="dxa"/>
            <w:tcBorders>
              <w:top w:val="nil"/>
              <w:left w:val="single" w:sz="8" w:space="0" w:color="E0E0E0"/>
              <w:bottom w:val="single" w:sz="8" w:space="0" w:color="152935"/>
              <w:right w:val="single" w:sz="8" w:space="0" w:color="E0E0E0"/>
            </w:tcBorders>
            <w:shd w:val="clear" w:color="auto" w:fill="FFFFFF"/>
            <w:vAlign w:val="bottom"/>
          </w:tcPr>
          <w:p w14:paraId="7D1E2EA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proofErr w:type="spellStart"/>
            <w:r w:rsidRPr="004E3771">
              <w:rPr>
                <w:rFonts w:ascii="Sylfaen" w:eastAsiaTheme="minorHAnsi" w:hAnsi="Sylfaen" w:cs="Arial"/>
                <w:sz w:val="20"/>
                <w:szCs w:val="20"/>
                <w:lang w:val="nl-NL"/>
              </w:rPr>
              <w:t>Lower</w:t>
            </w:r>
            <w:proofErr w:type="spellEnd"/>
            <w:r w:rsidRPr="004E3771">
              <w:rPr>
                <w:rFonts w:ascii="Sylfaen" w:eastAsiaTheme="minorHAnsi" w:hAnsi="Sylfaen" w:cs="Arial"/>
                <w:sz w:val="20"/>
                <w:szCs w:val="20"/>
                <w:lang w:val="nl-NL"/>
              </w:rPr>
              <w:t xml:space="preserve"> </w:t>
            </w:r>
            <w:proofErr w:type="spellStart"/>
            <w:r w:rsidRPr="004E3771">
              <w:rPr>
                <w:rFonts w:ascii="Sylfaen" w:eastAsiaTheme="minorHAnsi" w:hAnsi="Sylfaen" w:cs="Arial"/>
                <w:sz w:val="20"/>
                <w:szCs w:val="20"/>
                <w:lang w:val="nl-NL"/>
              </w:rPr>
              <w:t>Bound</w:t>
            </w:r>
            <w:proofErr w:type="spellEnd"/>
          </w:p>
        </w:tc>
        <w:tc>
          <w:tcPr>
            <w:tcW w:w="984" w:type="dxa"/>
            <w:tcBorders>
              <w:top w:val="nil"/>
              <w:left w:val="single" w:sz="8" w:space="0" w:color="E0E0E0"/>
              <w:bottom w:val="single" w:sz="8" w:space="0" w:color="152935"/>
              <w:right w:val="single" w:sz="8" w:space="0" w:color="E0E0E0"/>
            </w:tcBorders>
            <w:shd w:val="clear" w:color="auto" w:fill="FFFFFF"/>
            <w:vAlign w:val="bottom"/>
          </w:tcPr>
          <w:p w14:paraId="09F0BB8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proofErr w:type="spellStart"/>
            <w:r w:rsidRPr="004E3771">
              <w:rPr>
                <w:rFonts w:ascii="Sylfaen" w:eastAsiaTheme="minorHAnsi" w:hAnsi="Sylfaen" w:cs="Arial"/>
                <w:sz w:val="20"/>
                <w:szCs w:val="20"/>
                <w:lang w:val="nl-NL"/>
              </w:rPr>
              <w:t>Upper</w:t>
            </w:r>
            <w:proofErr w:type="spellEnd"/>
            <w:r w:rsidRPr="004E3771">
              <w:rPr>
                <w:rFonts w:ascii="Sylfaen" w:eastAsiaTheme="minorHAnsi" w:hAnsi="Sylfaen" w:cs="Arial"/>
                <w:sz w:val="20"/>
                <w:szCs w:val="20"/>
                <w:lang w:val="nl-NL"/>
              </w:rPr>
              <w:t xml:space="preserve"> </w:t>
            </w:r>
            <w:proofErr w:type="spellStart"/>
            <w:r w:rsidRPr="004E3771">
              <w:rPr>
                <w:rFonts w:ascii="Sylfaen" w:eastAsiaTheme="minorHAnsi" w:hAnsi="Sylfaen" w:cs="Arial"/>
                <w:sz w:val="20"/>
                <w:szCs w:val="20"/>
                <w:lang w:val="nl-NL"/>
              </w:rPr>
              <w:t>Bound</w:t>
            </w:r>
            <w:proofErr w:type="spellEnd"/>
          </w:p>
        </w:tc>
        <w:tc>
          <w:tcPr>
            <w:tcW w:w="765" w:type="dxa"/>
            <w:tcBorders>
              <w:top w:val="nil"/>
              <w:left w:val="single" w:sz="8" w:space="0" w:color="E0E0E0"/>
              <w:bottom w:val="single" w:sz="8" w:space="0" w:color="152935"/>
              <w:right w:val="single" w:sz="8" w:space="0" w:color="E0E0E0"/>
            </w:tcBorders>
            <w:shd w:val="clear" w:color="auto" w:fill="FFFFFF"/>
            <w:vAlign w:val="bottom"/>
          </w:tcPr>
          <w:p w14:paraId="7356CB1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proofErr w:type="spellStart"/>
            <w:r w:rsidRPr="004E3771">
              <w:rPr>
                <w:rFonts w:ascii="Sylfaen" w:eastAsiaTheme="minorHAnsi" w:hAnsi="Sylfaen" w:cs="Arial"/>
                <w:sz w:val="20"/>
                <w:szCs w:val="20"/>
                <w:lang w:val="nl-NL"/>
              </w:rPr>
              <w:t>Tolerance</w:t>
            </w:r>
            <w:proofErr w:type="spellEnd"/>
          </w:p>
        </w:tc>
        <w:tc>
          <w:tcPr>
            <w:tcW w:w="696" w:type="dxa"/>
            <w:tcBorders>
              <w:top w:val="nil"/>
              <w:left w:val="single" w:sz="8" w:space="0" w:color="E0E0E0"/>
              <w:bottom w:val="single" w:sz="8" w:space="0" w:color="152935"/>
              <w:right w:val="nil"/>
            </w:tcBorders>
            <w:shd w:val="clear" w:color="auto" w:fill="FFFFFF"/>
            <w:vAlign w:val="bottom"/>
          </w:tcPr>
          <w:p w14:paraId="63B9E8C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VIF</w:t>
            </w:r>
          </w:p>
        </w:tc>
      </w:tr>
      <w:tr w:rsidR="00D57F51" w:rsidRPr="00A60364" w14:paraId="63E891B1" w14:textId="77777777" w:rsidTr="004E3771">
        <w:trPr>
          <w:cantSplit/>
          <w:trHeight w:val="479"/>
        </w:trPr>
        <w:tc>
          <w:tcPr>
            <w:tcW w:w="496" w:type="dxa"/>
            <w:vMerge w:val="restart"/>
            <w:tcBorders>
              <w:top w:val="single" w:sz="8" w:space="0" w:color="152935"/>
              <w:left w:val="nil"/>
              <w:bottom w:val="single" w:sz="8" w:space="0" w:color="152935"/>
              <w:right w:val="nil"/>
            </w:tcBorders>
            <w:shd w:val="clear" w:color="auto" w:fill="auto"/>
          </w:tcPr>
          <w:p w14:paraId="1939655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w:t>
            </w:r>
          </w:p>
        </w:tc>
        <w:tc>
          <w:tcPr>
            <w:tcW w:w="1657" w:type="dxa"/>
            <w:tcBorders>
              <w:top w:val="single" w:sz="8" w:space="0" w:color="152935"/>
              <w:left w:val="nil"/>
              <w:bottom w:val="single" w:sz="8" w:space="0" w:color="AEAEAE"/>
              <w:right w:val="nil"/>
            </w:tcBorders>
            <w:shd w:val="clear" w:color="auto" w:fill="auto"/>
          </w:tcPr>
          <w:p w14:paraId="49F0B6A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b/>
                <w:sz w:val="20"/>
                <w:szCs w:val="20"/>
                <w:lang w:val="nl-NL"/>
              </w:rPr>
            </w:pPr>
            <w:r w:rsidRPr="004E3771">
              <w:rPr>
                <w:rFonts w:ascii="Sylfaen" w:eastAsiaTheme="minorHAnsi" w:hAnsi="Sylfaen" w:cs="Arial"/>
                <w:b/>
                <w:sz w:val="20"/>
                <w:szCs w:val="20"/>
                <w:lang w:val="nl-NL"/>
              </w:rPr>
              <w:t>(Constant)</w:t>
            </w:r>
          </w:p>
        </w:tc>
        <w:tc>
          <w:tcPr>
            <w:tcW w:w="901" w:type="dxa"/>
            <w:tcBorders>
              <w:top w:val="single" w:sz="8" w:space="0" w:color="152935"/>
              <w:left w:val="nil"/>
              <w:bottom w:val="single" w:sz="8" w:space="0" w:color="AEAEAE"/>
              <w:right w:val="single" w:sz="8" w:space="0" w:color="E0E0E0"/>
            </w:tcBorders>
            <w:shd w:val="clear" w:color="auto" w:fill="FFFFFF"/>
          </w:tcPr>
          <w:p w14:paraId="329C29E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,372</w:t>
            </w:r>
          </w:p>
        </w:tc>
        <w:tc>
          <w:tcPr>
            <w:tcW w:w="901" w:type="dxa"/>
            <w:tcBorders>
              <w:top w:val="single" w:sz="8" w:space="0" w:color="152935"/>
              <w:left w:val="single" w:sz="8" w:space="0" w:color="E0E0E0"/>
              <w:bottom w:val="single" w:sz="8" w:space="0" w:color="AEAEAE"/>
              <w:right w:val="single" w:sz="8" w:space="0" w:color="E0E0E0"/>
            </w:tcBorders>
            <w:shd w:val="clear" w:color="auto" w:fill="FFFFFF"/>
          </w:tcPr>
          <w:p w14:paraId="2BFFE80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,122</w:t>
            </w:r>
          </w:p>
        </w:tc>
        <w:tc>
          <w:tcPr>
            <w:tcW w:w="994"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1374D9A4" w14:textId="77777777" w:rsidR="00D57F51" w:rsidRPr="004E3771" w:rsidRDefault="00D57F51" w:rsidP="007D63BD">
            <w:pPr>
              <w:autoSpaceDE w:val="0"/>
              <w:autoSpaceDN w:val="0"/>
              <w:adjustRightInd w:val="0"/>
              <w:spacing w:after="0" w:line="240" w:lineRule="auto"/>
              <w:rPr>
                <w:rFonts w:ascii="Sylfaen" w:eastAsiaTheme="minorHAnsi" w:hAnsi="Sylfaen" w:cs="Times New Roman"/>
                <w:sz w:val="20"/>
                <w:szCs w:val="20"/>
                <w:lang w:val="nl-NL"/>
              </w:rPr>
            </w:pPr>
          </w:p>
        </w:tc>
        <w:tc>
          <w:tcPr>
            <w:tcW w:w="693" w:type="dxa"/>
            <w:tcBorders>
              <w:top w:val="single" w:sz="8" w:space="0" w:color="152935"/>
              <w:left w:val="single" w:sz="8" w:space="0" w:color="E0E0E0"/>
              <w:bottom w:val="single" w:sz="8" w:space="0" w:color="AEAEAE"/>
              <w:right w:val="single" w:sz="8" w:space="0" w:color="E0E0E0"/>
            </w:tcBorders>
            <w:shd w:val="clear" w:color="auto" w:fill="FFFFFF"/>
          </w:tcPr>
          <w:p w14:paraId="04CE298B"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3,044</w:t>
            </w:r>
          </w:p>
        </w:tc>
        <w:tc>
          <w:tcPr>
            <w:tcW w:w="693" w:type="dxa"/>
            <w:tcBorders>
              <w:top w:val="single" w:sz="8" w:space="0" w:color="152935"/>
              <w:left w:val="single" w:sz="8" w:space="0" w:color="E0E0E0"/>
              <w:bottom w:val="single" w:sz="8" w:space="0" w:color="AEAEAE"/>
              <w:right w:val="single" w:sz="8" w:space="0" w:color="E0E0E0"/>
            </w:tcBorders>
            <w:shd w:val="clear" w:color="auto" w:fill="FFFFFF"/>
          </w:tcPr>
          <w:p w14:paraId="741C7F7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,002</w:t>
            </w:r>
          </w:p>
        </w:tc>
        <w:tc>
          <w:tcPr>
            <w:tcW w:w="983" w:type="dxa"/>
            <w:tcBorders>
              <w:top w:val="single" w:sz="8" w:space="0" w:color="152935"/>
              <w:left w:val="single" w:sz="8" w:space="0" w:color="E0E0E0"/>
              <w:bottom w:val="single" w:sz="8" w:space="0" w:color="AEAEAE"/>
              <w:right w:val="single" w:sz="8" w:space="0" w:color="E0E0E0"/>
            </w:tcBorders>
            <w:shd w:val="clear" w:color="auto" w:fill="FFFFFF"/>
          </w:tcPr>
          <w:p w14:paraId="04535E3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,132</w:t>
            </w:r>
          </w:p>
        </w:tc>
        <w:tc>
          <w:tcPr>
            <w:tcW w:w="984" w:type="dxa"/>
            <w:tcBorders>
              <w:top w:val="single" w:sz="8" w:space="0" w:color="152935"/>
              <w:left w:val="single" w:sz="8" w:space="0" w:color="E0E0E0"/>
              <w:bottom w:val="single" w:sz="8" w:space="0" w:color="AEAEAE"/>
              <w:right w:val="single" w:sz="8" w:space="0" w:color="E0E0E0"/>
            </w:tcBorders>
            <w:shd w:val="clear" w:color="auto" w:fill="FFFFFF"/>
          </w:tcPr>
          <w:p w14:paraId="0D511C7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,613</w:t>
            </w:r>
          </w:p>
        </w:tc>
        <w:tc>
          <w:tcPr>
            <w:tcW w:w="765"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7BBD266A" w14:textId="77777777" w:rsidR="00D57F51" w:rsidRPr="004E3771" w:rsidRDefault="00D57F51" w:rsidP="007D63BD">
            <w:pPr>
              <w:autoSpaceDE w:val="0"/>
              <w:autoSpaceDN w:val="0"/>
              <w:adjustRightInd w:val="0"/>
              <w:spacing w:after="0" w:line="240" w:lineRule="auto"/>
              <w:rPr>
                <w:rFonts w:ascii="Sylfaen" w:eastAsiaTheme="minorHAnsi" w:hAnsi="Sylfaen" w:cs="Times New Roman"/>
                <w:sz w:val="20"/>
                <w:szCs w:val="20"/>
                <w:lang w:val="nl-NL"/>
              </w:rPr>
            </w:pPr>
          </w:p>
        </w:tc>
        <w:tc>
          <w:tcPr>
            <w:tcW w:w="696" w:type="dxa"/>
            <w:tcBorders>
              <w:top w:val="single" w:sz="8" w:space="0" w:color="152935"/>
              <w:left w:val="single" w:sz="8" w:space="0" w:color="E0E0E0"/>
              <w:bottom w:val="single" w:sz="8" w:space="0" w:color="AEAEAE"/>
              <w:right w:val="nil"/>
            </w:tcBorders>
            <w:shd w:val="clear" w:color="auto" w:fill="FFFFFF"/>
            <w:vAlign w:val="center"/>
          </w:tcPr>
          <w:p w14:paraId="2277AB05" w14:textId="77777777" w:rsidR="00D57F51" w:rsidRPr="004E3771" w:rsidRDefault="00D57F51" w:rsidP="007D63BD">
            <w:pPr>
              <w:autoSpaceDE w:val="0"/>
              <w:autoSpaceDN w:val="0"/>
              <w:adjustRightInd w:val="0"/>
              <w:spacing w:after="0" w:line="240" w:lineRule="auto"/>
              <w:rPr>
                <w:rFonts w:ascii="Sylfaen" w:eastAsiaTheme="minorHAnsi" w:hAnsi="Sylfaen" w:cs="Times New Roman"/>
                <w:sz w:val="20"/>
                <w:szCs w:val="20"/>
                <w:lang w:val="nl-NL"/>
              </w:rPr>
            </w:pPr>
          </w:p>
        </w:tc>
      </w:tr>
      <w:tr w:rsidR="00D57F51" w:rsidRPr="00A60364" w14:paraId="34E06D2C" w14:textId="77777777" w:rsidTr="004E3771">
        <w:trPr>
          <w:cantSplit/>
          <w:trHeight w:val="501"/>
        </w:trPr>
        <w:tc>
          <w:tcPr>
            <w:tcW w:w="496" w:type="dxa"/>
            <w:vMerge/>
            <w:tcBorders>
              <w:top w:val="single" w:sz="8" w:space="0" w:color="152935"/>
              <w:left w:val="nil"/>
              <w:bottom w:val="single" w:sz="8" w:space="0" w:color="152935"/>
              <w:right w:val="nil"/>
            </w:tcBorders>
            <w:shd w:val="clear" w:color="auto" w:fill="auto"/>
          </w:tcPr>
          <w:p w14:paraId="6C2A19F3" w14:textId="77777777" w:rsidR="00D57F51" w:rsidRPr="004E3771" w:rsidRDefault="00D57F51" w:rsidP="007D63BD">
            <w:pPr>
              <w:autoSpaceDE w:val="0"/>
              <w:autoSpaceDN w:val="0"/>
              <w:adjustRightInd w:val="0"/>
              <w:spacing w:after="0" w:line="240" w:lineRule="auto"/>
              <w:rPr>
                <w:rFonts w:ascii="Sylfaen" w:eastAsiaTheme="minorHAnsi" w:hAnsi="Sylfaen" w:cs="Times New Roman"/>
                <w:sz w:val="20"/>
                <w:szCs w:val="20"/>
                <w:lang w:val="nl-NL"/>
              </w:rPr>
            </w:pPr>
          </w:p>
        </w:tc>
        <w:tc>
          <w:tcPr>
            <w:tcW w:w="1657" w:type="dxa"/>
            <w:tcBorders>
              <w:top w:val="single" w:sz="8" w:space="0" w:color="AEAEAE"/>
              <w:left w:val="nil"/>
              <w:bottom w:val="single" w:sz="8" w:space="0" w:color="AEAEAE"/>
              <w:right w:val="nil"/>
            </w:tcBorders>
            <w:shd w:val="clear" w:color="auto" w:fill="auto"/>
          </w:tcPr>
          <w:p w14:paraId="263279A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b/>
                <w:sz w:val="20"/>
                <w:szCs w:val="20"/>
                <w:lang w:val="nl-NL"/>
              </w:rPr>
            </w:pPr>
            <w:r w:rsidRPr="004E3771">
              <w:rPr>
                <w:rFonts w:ascii="Sylfaen" w:eastAsiaTheme="minorHAnsi" w:hAnsi="Sylfaen" w:cs="Arial"/>
                <w:b/>
                <w:sz w:val="20"/>
                <w:szCs w:val="20"/>
                <w:lang w:val="nl-NL"/>
              </w:rPr>
              <w:t>Number of times discussed</w:t>
            </w:r>
          </w:p>
        </w:tc>
        <w:tc>
          <w:tcPr>
            <w:tcW w:w="901" w:type="dxa"/>
            <w:tcBorders>
              <w:top w:val="single" w:sz="8" w:space="0" w:color="AEAEAE"/>
              <w:left w:val="nil"/>
              <w:bottom w:val="single" w:sz="8" w:space="0" w:color="AEAEAE"/>
              <w:right w:val="single" w:sz="8" w:space="0" w:color="E0E0E0"/>
            </w:tcBorders>
            <w:shd w:val="clear" w:color="auto" w:fill="FFFFFF"/>
          </w:tcPr>
          <w:p w14:paraId="79712D8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,015</w:t>
            </w:r>
          </w:p>
        </w:tc>
        <w:tc>
          <w:tcPr>
            <w:tcW w:w="901" w:type="dxa"/>
            <w:tcBorders>
              <w:top w:val="single" w:sz="8" w:space="0" w:color="AEAEAE"/>
              <w:left w:val="single" w:sz="8" w:space="0" w:color="E0E0E0"/>
              <w:bottom w:val="single" w:sz="8" w:space="0" w:color="AEAEAE"/>
              <w:right w:val="single" w:sz="8" w:space="0" w:color="E0E0E0"/>
            </w:tcBorders>
            <w:shd w:val="clear" w:color="auto" w:fill="FFFFFF"/>
          </w:tcPr>
          <w:p w14:paraId="05EC0FD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,018</w:t>
            </w:r>
          </w:p>
        </w:tc>
        <w:tc>
          <w:tcPr>
            <w:tcW w:w="994" w:type="dxa"/>
            <w:tcBorders>
              <w:top w:val="single" w:sz="8" w:space="0" w:color="AEAEAE"/>
              <w:left w:val="single" w:sz="8" w:space="0" w:color="E0E0E0"/>
              <w:bottom w:val="single" w:sz="8" w:space="0" w:color="AEAEAE"/>
              <w:right w:val="single" w:sz="8" w:space="0" w:color="E0E0E0"/>
            </w:tcBorders>
            <w:shd w:val="clear" w:color="auto" w:fill="FFFFFF"/>
          </w:tcPr>
          <w:p w14:paraId="4C28CB1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,031</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5403908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,788</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27CCC28B"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,431</w:t>
            </w:r>
          </w:p>
        </w:tc>
        <w:tc>
          <w:tcPr>
            <w:tcW w:w="983" w:type="dxa"/>
            <w:tcBorders>
              <w:top w:val="single" w:sz="8" w:space="0" w:color="AEAEAE"/>
              <w:left w:val="single" w:sz="8" w:space="0" w:color="E0E0E0"/>
              <w:bottom w:val="single" w:sz="8" w:space="0" w:color="AEAEAE"/>
              <w:right w:val="single" w:sz="8" w:space="0" w:color="E0E0E0"/>
            </w:tcBorders>
            <w:shd w:val="clear" w:color="auto" w:fill="FFFFFF"/>
          </w:tcPr>
          <w:p w14:paraId="7550221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-,022</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1E39A7A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,051</w:t>
            </w:r>
          </w:p>
        </w:tc>
        <w:tc>
          <w:tcPr>
            <w:tcW w:w="765" w:type="dxa"/>
            <w:tcBorders>
              <w:top w:val="single" w:sz="8" w:space="0" w:color="AEAEAE"/>
              <w:left w:val="single" w:sz="8" w:space="0" w:color="E0E0E0"/>
              <w:bottom w:val="single" w:sz="8" w:space="0" w:color="AEAEAE"/>
              <w:right w:val="single" w:sz="8" w:space="0" w:color="E0E0E0"/>
            </w:tcBorders>
            <w:shd w:val="clear" w:color="auto" w:fill="FFFFFF"/>
          </w:tcPr>
          <w:p w14:paraId="24E1618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,944</w:t>
            </w:r>
          </w:p>
        </w:tc>
        <w:tc>
          <w:tcPr>
            <w:tcW w:w="696" w:type="dxa"/>
            <w:tcBorders>
              <w:top w:val="single" w:sz="8" w:space="0" w:color="AEAEAE"/>
              <w:left w:val="single" w:sz="8" w:space="0" w:color="E0E0E0"/>
              <w:bottom w:val="single" w:sz="8" w:space="0" w:color="AEAEAE"/>
              <w:right w:val="nil"/>
            </w:tcBorders>
            <w:shd w:val="clear" w:color="auto" w:fill="FFFFFF"/>
          </w:tcPr>
          <w:p w14:paraId="7568145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1,059</w:t>
            </w:r>
          </w:p>
        </w:tc>
      </w:tr>
      <w:tr w:rsidR="00D57F51" w:rsidRPr="00A60364" w14:paraId="7E80D848" w14:textId="77777777" w:rsidTr="004E3771">
        <w:trPr>
          <w:cantSplit/>
          <w:trHeight w:val="479"/>
        </w:trPr>
        <w:tc>
          <w:tcPr>
            <w:tcW w:w="496" w:type="dxa"/>
            <w:vMerge/>
            <w:tcBorders>
              <w:top w:val="single" w:sz="8" w:space="0" w:color="152935"/>
              <w:left w:val="nil"/>
              <w:bottom w:val="single" w:sz="8" w:space="0" w:color="152935"/>
              <w:right w:val="nil"/>
            </w:tcBorders>
            <w:shd w:val="clear" w:color="auto" w:fill="auto"/>
          </w:tcPr>
          <w:p w14:paraId="20C913AB" w14:textId="77777777" w:rsidR="00D57F51" w:rsidRPr="004E3771" w:rsidRDefault="00D57F51" w:rsidP="007D63BD">
            <w:pPr>
              <w:autoSpaceDE w:val="0"/>
              <w:autoSpaceDN w:val="0"/>
              <w:adjustRightInd w:val="0"/>
              <w:spacing w:after="0" w:line="240" w:lineRule="auto"/>
              <w:rPr>
                <w:rFonts w:ascii="Sylfaen" w:eastAsiaTheme="minorHAnsi" w:hAnsi="Sylfaen" w:cs="Arial"/>
                <w:sz w:val="20"/>
                <w:szCs w:val="20"/>
                <w:lang w:val="nl-NL"/>
              </w:rPr>
            </w:pPr>
          </w:p>
        </w:tc>
        <w:tc>
          <w:tcPr>
            <w:tcW w:w="1657" w:type="dxa"/>
            <w:tcBorders>
              <w:top w:val="single" w:sz="8" w:space="0" w:color="AEAEAE"/>
              <w:left w:val="nil"/>
              <w:bottom w:val="single" w:sz="8" w:space="0" w:color="AEAEAE"/>
              <w:right w:val="nil"/>
            </w:tcBorders>
            <w:shd w:val="clear" w:color="auto" w:fill="auto"/>
          </w:tcPr>
          <w:p w14:paraId="5D04431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b/>
                <w:sz w:val="20"/>
                <w:szCs w:val="20"/>
                <w:lang w:val="nl-NL"/>
              </w:rPr>
            </w:pPr>
            <w:r w:rsidRPr="004E3771">
              <w:rPr>
                <w:rFonts w:ascii="Sylfaen" w:eastAsiaTheme="minorHAnsi" w:hAnsi="Sylfaen" w:cs="Arial"/>
                <w:b/>
                <w:sz w:val="20"/>
                <w:szCs w:val="20"/>
                <w:lang w:val="nl-NL"/>
              </w:rPr>
              <w:t>Consultations</w:t>
            </w:r>
          </w:p>
        </w:tc>
        <w:tc>
          <w:tcPr>
            <w:tcW w:w="901" w:type="dxa"/>
            <w:tcBorders>
              <w:top w:val="single" w:sz="8" w:space="0" w:color="AEAEAE"/>
              <w:left w:val="nil"/>
              <w:bottom w:val="single" w:sz="8" w:space="0" w:color="AEAEAE"/>
              <w:right w:val="single" w:sz="8" w:space="0" w:color="E0E0E0"/>
            </w:tcBorders>
            <w:shd w:val="clear" w:color="auto" w:fill="FFFFFF"/>
          </w:tcPr>
          <w:p w14:paraId="078DA2A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,204</w:t>
            </w:r>
          </w:p>
        </w:tc>
        <w:tc>
          <w:tcPr>
            <w:tcW w:w="901" w:type="dxa"/>
            <w:tcBorders>
              <w:top w:val="single" w:sz="8" w:space="0" w:color="AEAEAE"/>
              <w:left w:val="single" w:sz="8" w:space="0" w:color="E0E0E0"/>
              <w:bottom w:val="single" w:sz="8" w:space="0" w:color="AEAEAE"/>
              <w:right w:val="single" w:sz="8" w:space="0" w:color="E0E0E0"/>
            </w:tcBorders>
            <w:shd w:val="clear" w:color="auto" w:fill="FFFFFF"/>
          </w:tcPr>
          <w:p w14:paraId="5FA541A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,073</w:t>
            </w:r>
          </w:p>
        </w:tc>
        <w:tc>
          <w:tcPr>
            <w:tcW w:w="994" w:type="dxa"/>
            <w:tcBorders>
              <w:top w:val="single" w:sz="8" w:space="0" w:color="AEAEAE"/>
              <w:left w:val="single" w:sz="8" w:space="0" w:color="E0E0E0"/>
              <w:bottom w:val="single" w:sz="8" w:space="0" w:color="AEAEAE"/>
              <w:right w:val="single" w:sz="8" w:space="0" w:color="E0E0E0"/>
            </w:tcBorders>
            <w:shd w:val="clear" w:color="auto" w:fill="FFFFFF"/>
          </w:tcPr>
          <w:p w14:paraId="61D44F8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,127</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28FAC54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2,808</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3770191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,005</w:t>
            </w:r>
          </w:p>
        </w:tc>
        <w:tc>
          <w:tcPr>
            <w:tcW w:w="983" w:type="dxa"/>
            <w:tcBorders>
              <w:top w:val="single" w:sz="8" w:space="0" w:color="AEAEAE"/>
              <w:left w:val="single" w:sz="8" w:space="0" w:color="E0E0E0"/>
              <w:bottom w:val="single" w:sz="8" w:space="0" w:color="AEAEAE"/>
              <w:right w:val="single" w:sz="8" w:space="0" w:color="E0E0E0"/>
            </w:tcBorders>
            <w:shd w:val="clear" w:color="auto" w:fill="FFFFFF"/>
          </w:tcPr>
          <w:p w14:paraId="627EE2A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,061</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38C9874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,348</w:t>
            </w:r>
          </w:p>
        </w:tc>
        <w:tc>
          <w:tcPr>
            <w:tcW w:w="765" w:type="dxa"/>
            <w:tcBorders>
              <w:top w:val="single" w:sz="8" w:space="0" w:color="AEAEAE"/>
              <w:left w:val="single" w:sz="8" w:space="0" w:color="E0E0E0"/>
              <w:bottom w:val="single" w:sz="8" w:space="0" w:color="AEAEAE"/>
              <w:right w:val="single" w:sz="8" w:space="0" w:color="E0E0E0"/>
            </w:tcBorders>
            <w:shd w:val="clear" w:color="auto" w:fill="FFFFFF"/>
          </w:tcPr>
          <w:p w14:paraId="265725C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,719</w:t>
            </w:r>
          </w:p>
        </w:tc>
        <w:tc>
          <w:tcPr>
            <w:tcW w:w="696" w:type="dxa"/>
            <w:tcBorders>
              <w:top w:val="single" w:sz="8" w:space="0" w:color="AEAEAE"/>
              <w:left w:val="single" w:sz="8" w:space="0" w:color="E0E0E0"/>
              <w:bottom w:val="single" w:sz="8" w:space="0" w:color="AEAEAE"/>
              <w:right w:val="nil"/>
            </w:tcBorders>
            <w:shd w:val="clear" w:color="auto" w:fill="FFFFFF"/>
          </w:tcPr>
          <w:p w14:paraId="78520B1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1,390</w:t>
            </w:r>
          </w:p>
        </w:tc>
      </w:tr>
      <w:tr w:rsidR="00D57F51" w:rsidRPr="00A60364" w14:paraId="2F744B64" w14:textId="77777777" w:rsidTr="004E3771">
        <w:trPr>
          <w:cantSplit/>
          <w:trHeight w:val="501"/>
        </w:trPr>
        <w:tc>
          <w:tcPr>
            <w:tcW w:w="496" w:type="dxa"/>
            <w:vMerge/>
            <w:tcBorders>
              <w:top w:val="single" w:sz="8" w:space="0" w:color="152935"/>
              <w:left w:val="nil"/>
              <w:bottom w:val="single" w:sz="8" w:space="0" w:color="152935"/>
              <w:right w:val="nil"/>
            </w:tcBorders>
            <w:shd w:val="clear" w:color="auto" w:fill="auto"/>
          </w:tcPr>
          <w:p w14:paraId="2FF63B77" w14:textId="77777777" w:rsidR="00D57F51" w:rsidRPr="004E3771" w:rsidRDefault="00D57F51" w:rsidP="007D63BD">
            <w:pPr>
              <w:autoSpaceDE w:val="0"/>
              <w:autoSpaceDN w:val="0"/>
              <w:adjustRightInd w:val="0"/>
              <w:spacing w:after="0" w:line="240" w:lineRule="auto"/>
              <w:rPr>
                <w:rFonts w:ascii="Sylfaen" w:eastAsiaTheme="minorHAnsi" w:hAnsi="Sylfaen" w:cs="Arial"/>
                <w:sz w:val="20"/>
                <w:szCs w:val="20"/>
                <w:lang w:val="nl-NL"/>
              </w:rPr>
            </w:pPr>
          </w:p>
        </w:tc>
        <w:tc>
          <w:tcPr>
            <w:tcW w:w="1657" w:type="dxa"/>
            <w:tcBorders>
              <w:top w:val="single" w:sz="8" w:space="0" w:color="AEAEAE"/>
              <w:left w:val="nil"/>
              <w:bottom w:val="single" w:sz="8" w:space="0" w:color="AEAEAE"/>
              <w:right w:val="nil"/>
            </w:tcBorders>
            <w:shd w:val="clear" w:color="auto" w:fill="auto"/>
          </w:tcPr>
          <w:p w14:paraId="1454211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b/>
                <w:sz w:val="20"/>
                <w:szCs w:val="20"/>
                <w:lang w:val="nl-NL"/>
              </w:rPr>
            </w:pPr>
            <w:r w:rsidRPr="004E3771">
              <w:rPr>
                <w:rFonts w:ascii="Sylfaen" w:eastAsiaTheme="minorHAnsi" w:hAnsi="Sylfaen" w:cs="Arial"/>
                <w:b/>
                <w:sz w:val="20"/>
                <w:szCs w:val="20"/>
                <w:lang w:val="nl-NL"/>
              </w:rPr>
              <w:t>AvWOpMS</w:t>
            </w:r>
          </w:p>
        </w:tc>
        <w:tc>
          <w:tcPr>
            <w:tcW w:w="901" w:type="dxa"/>
            <w:tcBorders>
              <w:top w:val="single" w:sz="8" w:space="0" w:color="AEAEAE"/>
              <w:left w:val="nil"/>
              <w:bottom w:val="single" w:sz="8" w:space="0" w:color="AEAEAE"/>
              <w:right w:val="single" w:sz="8" w:space="0" w:color="E0E0E0"/>
            </w:tcBorders>
            <w:shd w:val="clear" w:color="auto" w:fill="FFFFFF"/>
          </w:tcPr>
          <w:p w14:paraId="7A85650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,147</w:t>
            </w:r>
          </w:p>
        </w:tc>
        <w:tc>
          <w:tcPr>
            <w:tcW w:w="901" w:type="dxa"/>
            <w:tcBorders>
              <w:top w:val="single" w:sz="8" w:space="0" w:color="AEAEAE"/>
              <w:left w:val="single" w:sz="8" w:space="0" w:color="E0E0E0"/>
              <w:bottom w:val="single" w:sz="8" w:space="0" w:color="AEAEAE"/>
              <w:right w:val="single" w:sz="8" w:space="0" w:color="E0E0E0"/>
            </w:tcBorders>
            <w:shd w:val="clear" w:color="auto" w:fill="FFFFFF"/>
          </w:tcPr>
          <w:p w14:paraId="6A81FEA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,026</w:t>
            </w:r>
          </w:p>
        </w:tc>
        <w:tc>
          <w:tcPr>
            <w:tcW w:w="994" w:type="dxa"/>
            <w:tcBorders>
              <w:top w:val="single" w:sz="8" w:space="0" w:color="AEAEAE"/>
              <w:left w:val="single" w:sz="8" w:space="0" w:color="E0E0E0"/>
              <w:bottom w:val="single" w:sz="8" w:space="0" w:color="AEAEAE"/>
              <w:right w:val="single" w:sz="8" w:space="0" w:color="E0E0E0"/>
            </w:tcBorders>
            <w:shd w:val="clear" w:color="auto" w:fill="FFFFFF"/>
          </w:tcPr>
          <w:p w14:paraId="18126A2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,264</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157EA00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5,580</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35CDE1D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,000</w:t>
            </w:r>
          </w:p>
        </w:tc>
        <w:tc>
          <w:tcPr>
            <w:tcW w:w="983" w:type="dxa"/>
            <w:tcBorders>
              <w:top w:val="single" w:sz="8" w:space="0" w:color="AEAEAE"/>
              <w:left w:val="single" w:sz="8" w:space="0" w:color="E0E0E0"/>
              <w:bottom w:val="single" w:sz="8" w:space="0" w:color="AEAEAE"/>
              <w:right w:val="single" w:sz="8" w:space="0" w:color="E0E0E0"/>
            </w:tcBorders>
            <w:shd w:val="clear" w:color="auto" w:fill="FFFFFF"/>
          </w:tcPr>
          <w:p w14:paraId="365CEE6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,095</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26320F2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,199</w:t>
            </w:r>
          </w:p>
        </w:tc>
        <w:tc>
          <w:tcPr>
            <w:tcW w:w="765" w:type="dxa"/>
            <w:tcBorders>
              <w:top w:val="single" w:sz="8" w:space="0" w:color="AEAEAE"/>
              <w:left w:val="single" w:sz="8" w:space="0" w:color="E0E0E0"/>
              <w:bottom w:val="single" w:sz="8" w:space="0" w:color="AEAEAE"/>
              <w:right w:val="single" w:sz="8" w:space="0" w:color="E0E0E0"/>
            </w:tcBorders>
            <w:shd w:val="clear" w:color="auto" w:fill="FFFFFF"/>
          </w:tcPr>
          <w:p w14:paraId="697D089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,658</w:t>
            </w:r>
          </w:p>
        </w:tc>
        <w:tc>
          <w:tcPr>
            <w:tcW w:w="696" w:type="dxa"/>
            <w:tcBorders>
              <w:top w:val="single" w:sz="8" w:space="0" w:color="AEAEAE"/>
              <w:left w:val="single" w:sz="8" w:space="0" w:color="E0E0E0"/>
              <w:bottom w:val="single" w:sz="8" w:space="0" w:color="AEAEAE"/>
              <w:right w:val="nil"/>
            </w:tcBorders>
            <w:shd w:val="clear" w:color="auto" w:fill="FFFFFF"/>
          </w:tcPr>
          <w:p w14:paraId="7CBE66A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1,520</w:t>
            </w:r>
          </w:p>
        </w:tc>
      </w:tr>
      <w:tr w:rsidR="00D57F51" w:rsidRPr="00A60364" w14:paraId="4F8B6FB0" w14:textId="77777777" w:rsidTr="004E3771">
        <w:trPr>
          <w:cantSplit/>
          <w:trHeight w:val="501"/>
        </w:trPr>
        <w:tc>
          <w:tcPr>
            <w:tcW w:w="496" w:type="dxa"/>
            <w:vMerge/>
            <w:tcBorders>
              <w:top w:val="single" w:sz="8" w:space="0" w:color="152935"/>
              <w:left w:val="nil"/>
              <w:bottom w:val="single" w:sz="8" w:space="0" w:color="152935"/>
              <w:right w:val="nil"/>
            </w:tcBorders>
            <w:shd w:val="clear" w:color="auto" w:fill="auto"/>
          </w:tcPr>
          <w:p w14:paraId="1B7CFC98" w14:textId="77777777" w:rsidR="00D57F51" w:rsidRPr="004E3771" w:rsidRDefault="00D57F51" w:rsidP="007D63BD">
            <w:pPr>
              <w:autoSpaceDE w:val="0"/>
              <w:autoSpaceDN w:val="0"/>
              <w:adjustRightInd w:val="0"/>
              <w:spacing w:after="0" w:line="240" w:lineRule="auto"/>
              <w:rPr>
                <w:rFonts w:ascii="Sylfaen" w:eastAsiaTheme="minorHAnsi" w:hAnsi="Sylfaen" w:cs="Arial"/>
                <w:sz w:val="20"/>
                <w:szCs w:val="20"/>
                <w:lang w:val="nl-NL"/>
              </w:rPr>
            </w:pPr>
          </w:p>
        </w:tc>
        <w:tc>
          <w:tcPr>
            <w:tcW w:w="1657" w:type="dxa"/>
            <w:tcBorders>
              <w:top w:val="single" w:sz="8" w:space="0" w:color="AEAEAE"/>
              <w:left w:val="nil"/>
              <w:bottom w:val="single" w:sz="8" w:space="0" w:color="AEAEAE"/>
              <w:right w:val="nil"/>
            </w:tcBorders>
            <w:shd w:val="clear" w:color="auto" w:fill="auto"/>
          </w:tcPr>
          <w:p w14:paraId="24F30EB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b/>
                <w:sz w:val="20"/>
                <w:szCs w:val="20"/>
                <w:lang w:val="nl-NL"/>
              </w:rPr>
            </w:pPr>
            <w:r w:rsidRPr="004E3771">
              <w:rPr>
                <w:rFonts w:ascii="Sylfaen" w:eastAsiaTheme="minorHAnsi" w:hAnsi="Sylfaen" w:cs="Arial"/>
                <w:b/>
                <w:sz w:val="20"/>
                <w:szCs w:val="20"/>
                <w:lang w:val="nl-NL"/>
              </w:rPr>
              <w:t>NumOpMS</w:t>
            </w:r>
          </w:p>
        </w:tc>
        <w:tc>
          <w:tcPr>
            <w:tcW w:w="901" w:type="dxa"/>
            <w:tcBorders>
              <w:top w:val="single" w:sz="8" w:space="0" w:color="AEAEAE"/>
              <w:left w:val="nil"/>
              <w:bottom w:val="single" w:sz="8" w:space="0" w:color="AEAEAE"/>
              <w:right w:val="single" w:sz="8" w:space="0" w:color="E0E0E0"/>
            </w:tcBorders>
            <w:shd w:val="clear" w:color="auto" w:fill="FFFFFF"/>
          </w:tcPr>
          <w:p w14:paraId="1B883E8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,135</w:t>
            </w:r>
          </w:p>
        </w:tc>
        <w:tc>
          <w:tcPr>
            <w:tcW w:w="901" w:type="dxa"/>
            <w:tcBorders>
              <w:top w:val="single" w:sz="8" w:space="0" w:color="AEAEAE"/>
              <w:left w:val="single" w:sz="8" w:space="0" w:color="E0E0E0"/>
              <w:bottom w:val="single" w:sz="8" w:space="0" w:color="AEAEAE"/>
              <w:right w:val="single" w:sz="8" w:space="0" w:color="E0E0E0"/>
            </w:tcBorders>
            <w:shd w:val="clear" w:color="auto" w:fill="FFFFFF"/>
          </w:tcPr>
          <w:p w14:paraId="54D27AE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,098</w:t>
            </w:r>
          </w:p>
        </w:tc>
        <w:tc>
          <w:tcPr>
            <w:tcW w:w="994" w:type="dxa"/>
            <w:tcBorders>
              <w:top w:val="single" w:sz="8" w:space="0" w:color="AEAEAE"/>
              <w:left w:val="single" w:sz="8" w:space="0" w:color="E0E0E0"/>
              <w:bottom w:val="single" w:sz="8" w:space="0" w:color="AEAEAE"/>
              <w:right w:val="single" w:sz="8" w:space="0" w:color="E0E0E0"/>
            </w:tcBorders>
            <w:shd w:val="clear" w:color="auto" w:fill="FFFFFF"/>
          </w:tcPr>
          <w:p w14:paraId="29C2F2C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,104</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36E8688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1,371</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0CFDD6C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,171</w:t>
            </w:r>
          </w:p>
        </w:tc>
        <w:tc>
          <w:tcPr>
            <w:tcW w:w="983" w:type="dxa"/>
            <w:tcBorders>
              <w:top w:val="single" w:sz="8" w:space="0" w:color="AEAEAE"/>
              <w:left w:val="single" w:sz="8" w:space="0" w:color="E0E0E0"/>
              <w:bottom w:val="single" w:sz="8" w:space="0" w:color="AEAEAE"/>
              <w:right w:val="single" w:sz="8" w:space="0" w:color="E0E0E0"/>
            </w:tcBorders>
            <w:shd w:val="clear" w:color="auto" w:fill="FFFFFF"/>
          </w:tcPr>
          <w:p w14:paraId="0125A02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-,058</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1B7DEEC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,328</w:t>
            </w:r>
          </w:p>
        </w:tc>
        <w:tc>
          <w:tcPr>
            <w:tcW w:w="765" w:type="dxa"/>
            <w:tcBorders>
              <w:top w:val="single" w:sz="8" w:space="0" w:color="AEAEAE"/>
              <w:left w:val="single" w:sz="8" w:space="0" w:color="E0E0E0"/>
              <w:bottom w:val="single" w:sz="8" w:space="0" w:color="AEAEAE"/>
              <w:right w:val="single" w:sz="8" w:space="0" w:color="E0E0E0"/>
            </w:tcBorders>
            <w:shd w:val="clear" w:color="auto" w:fill="FFFFFF"/>
          </w:tcPr>
          <w:p w14:paraId="493E36B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,255</w:t>
            </w:r>
          </w:p>
        </w:tc>
        <w:tc>
          <w:tcPr>
            <w:tcW w:w="696" w:type="dxa"/>
            <w:tcBorders>
              <w:top w:val="single" w:sz="8" w:space="0" w:color="AEAEAE"/>
              <w:left w:val="single" w:sz="8" w:space="0" w:color="E0E0E0"/>
              <w:bottom w:val="single" w:sz="8" w:space="0" w:color="AEAEAE"/>
              <w:right w:val="nil"/>
            </w:tcBorders>
            <w:shd w:val="clear" w:color="auto" w:fill="FFFFFF"/>
          </w:tcPr>
          <w:p w14:paraId="72C6CBF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3,928</w:t>
            </w:r>
          </w:p>
        </w:tc>
      </w:tr>
      <w:tr w:rsidR="00D57F51" w:rsidRPr="00A60364" w14:paraId="077F865A" w14:textId="77777777" w:rsidTr="004E3771">
        <w:trPr>
          <w:cantSplit/>
          <w:trHeight w:val="479"/>
        </w:trPr>
        <w:tc>
          <w:tcPr>
            <w:tcW w:w="496" w:type="dxa"/>
            <w:vMerge/>
            <w:tcBorders>
              <w:top w:val="single" w:sz="8" w:space="0" w:color="152935"/>
              <w:left w:val="nil"/>
              <w:bottom w:val="single" w:sz="8" w:space="0" w:color="152935"/>
              <w:right w:val="nil"/>
            </w:tcBorders>
            <w:shd w:val="clear" w:color="auto" w:fill="auto"/>
          </w:tcPr>
          <w:p w14:paraId="33488C2E" w14:textId="77777777" w:rsidR="00D57F51" w:rsidRPr="004E3771" w:rsidRDefault="00D57F51" w:rsidP="007D63BD">
            <w:pPr>
              <w:autoSpaceDE w:val="0"/>
              <w:autoSpaceDN w:val="0"/>
              <w:adjustRightInd w:val="0"/>
              <w:spacing w:after="0" w:line="240" w:lineRule="auto"/>
              <w:rPr>
                <w:rFonts w:ascii="Sylfaen" w:eastAsiaTheme="minorHAnsi" w:hAnsi="Sylfaen" w:cs="Arial"/>
                <w:sz w:val="20"/>
                <w:szCs w:val="20"/>
                <w:lang w:val="nl-NL"/>
              </w:rPr>
            </w:pPr>
          </w:p>
        </w:tc>
        <w:tc>
          <w:tcPr>
            <w:tcW w:w="1657" w:type="dxa"/>
            <w:tcBorders>
              <w:top w:val="single" w:sz="8" w:space="0" w:color="AEAEAE"/>
              <w:left w:val="nil"/>
              <w:bottom w:val="single" w:sz="8" w:space="0" w:color="152935"/>
              <w:right w:val="nil"/>
            </w:tcBorders>
            <w:shd w:val="clear" w:color="auto" w:fill="auto"/>
          </w:tcPr>
          <w:p w14:paraId="0136810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b/>
                <w:sz w:val="20"/>
                <w:szCs w:val="20"/>
                <w:lang w:val="nl-NL"/>
              </w:rPr>
            </w:pPr>
            <w:r w:rsidRPr="004E3771">
              <w:rPr>
                <w:rFonts w:ascii="Sylfaen" w:eastAsiaTheme="minorHAnsi" w:hAnsi="Sylfaen" w:cs="Arial"/>
                <w:b/>
                <w:sz w:val="20"/>
                <w:szCs w:val="20"/>
                <w:lang w:val="nl-NL"/>
              </w:rPr>
              <w:t>PopOpMS</w:t>
            </w:r>
          </w:p>
        </w:tc>
        <w:tc>
          <w:tcPr>
            <w:tcW w:w="901" w:type="dxa"/>
            <w:tcBorders>
              <w:top w:val="single" w:sz="8" w:space="0" w:color="AEAEAE"/>
              <w:left w:val="nil"/>
              <w:bottom w:val="single" w:sz="8" w:space="0" w:color="152935"/>
              <w:right w:val="single" w:sz="8" w:space="0" w:color="E0E0E0"/>
            </w:tcBorders>
            <w:shd w:val="clear" w:color="auto" w:fill="FFFFFF"/>
          </w:tcPr>
          <w:p w14:paraId="22FFB0F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-,026</w:t>
            </w:r>
          </w:p>
        </w:tc>
        <w:tc>
          <w:tcPr>
            <w:tcW w:w="901" w:type="dxa"/>
            <w:tcBorders>
              <w:top w:val="single" w:sz="8" w:space="0" w:color="AEAEAE"/>
              <w:left w:val="single" w:sz="8" w:space="0" w:color="E0E0E0"/>
              <w:bottom w:val="single" w:sz="8" w:space="0" w:color="152935"/>
              <w:right w:val="single" w:sz="8" w:space="0" w:color="E0E0E0"/>
            </w:tcBorders>
            <w:shd w:val="clear" w:color="auto" w:fill="FFFFFF"/>
          </w:tcPr>
          <w:p w14:paraId="4635F1D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,016</w:t>
            </w:r>
          </w:p>
        </w:tc>
        <w:tc>
          <w:tcPr>
            <w:tcW w:w="994" w:type="dxa"/>
            <w:tcBorders>
              <w:top w:val="single" w:sz="8" w:space="0" w:color="AEAEAE"/>
              <w:left w:val="single" w:sz="8" w:space="0" w:color="E0E0E0"/>
              <w:bottom w:val="single" w:sz="8" w:space="0" w:color="152935"/>
              <w:right w:val="single" w:sz="8" w:space="0" w:color="E0E0E0"/>
            </w:tcBorders>
            <w:shd w:val="clear" w:color="auto" w:fill="FFFFFF"/>
          </w:tcPr>
          <w:p w14:paraId="1E8C9EB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-,128</w:t>
            </w:r>
          </w:p>
        </w:tc>
        <w:tc>
          <w:tcPr>
            <w:tcW w:w="693" w:type="dxa"/>
            <w:tcBorders>
              <w:top w:val="single" w:sz="8" w:space="0" w:color="AEAEAE"/>
              <w:left w:val="single" w:sz="8" w:space="0" w:color="E0E0E0"/>
              <w:bottom w:val="single" w:sz="8" w:space="0" w:color="152935"/>
              <w:right w:val="single" w:sz="8" w:space="0" w:color="E0E0E0"/>
            </w:tcBorders>
            <w:shd w:val="clear" w:color="auto" w:fill="FFFFFF"/>
          </w:tcPr>
          <w:p w14:paraId="13B1922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-1,608</w:t>
            </w:r>
          </w:p>
        </w:tc>
        <w:tc>
          <w:tcPr>
            <w:tcW w:w="693" w:type="dxa"/>
            <w:tcBorders>
              <w:top w:val="single" w:sz="8" w:space="0" w:color="AEAEAE"/>
              <w:left w:val="single" w:sz="8" w:space="0" w:color="E0E0E0"/>
              <w:bottom w:val="single" w:sz="8" w:space="0" w:color="152935"/>
              <w:right w:val="single" w:sz="8" w:space="0" w:color="E0E0E0"/>
            </w:tcBorders>
            <w:shd w:val="clear" w:color="auto" w:fill="FFFFFF"/>
          </w:tcPr>
          <w:p w14:paraId="1E41649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,108</w:t>
            </w:r>
          </w:p>
        </w:tc>
        <w:tc>
          <w:tcPr>
            <w:tcW w:w="983" w:type="dxa"/>
            <w:tcBorders>
              <w:top w:val="single" w:sz="8" w:space="0" w:color="AEAEAE"/>
              <w:left w:val="single" w:sz="8" w:space="0" w:color="E0E0E0"/>
              <w:bottom w:val="single" w:sz="8" w:space="0" w:color="152935"/>
              <w:right w:val="single" w:sz="8" w:space="0" w:color="E0E0E0"/>
            </w:tcBorders>
            <w:shd w:val="clear" w:color="auto" w:fill="FFFFFF"/>
          </w:tcPr>
          <w:p w14:paraId="4DBD076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-,059</w:t>
            </w:r>
          </w:p>
        </w:tc>
        <w:tc>
          <w:tcPr>
            <w:tcW w:w="984" w:type="dxa"/>
            <w:tcBorders>
              <w:top w:val="single" w:sz="8" w:space="0" w:color="AEAEAE"/>
              <w:left w:val="single" w:sz="8" w:space="0" w:color="E0E0E0"/>
              <w:bottom w:val="single" w:sz="8" w:space="0" w:color="152935"/>
              <w:right w:val="single" w:sz="8" w:space="0" w:color="E0E0E0"/>
            </w:tcBorders>
            <w:shd w:val="clear" w:color="auto" w:fill="FFFFFF"/>
          </w:tcPr>
          <w:p w14:paraId="67D2526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,006</w:t>
            </w:r>
          </w:p>
        </w:tc>
        <w:tc>
          <w:tcPr>
            <w:tcW w:w="765" w:type="dxa"/>
            <w:tcBorders>
              <w:top w:val="single" w:sz="8" w:space="0" w:color="AEAEAE"/>
              <w:left w:val="single" w:sz="8" w:space="0" w:color="E0E0E0"/>
              <w:bottom w:val="single" w:sz="8" w:space="0" w:color="152935"/>
              <w:right w:val="single" w:sz="8" w:space="0" w:color="E0E0E0"/>
            </w:tcBorders>
            <w:shd w:val="clear" w:color="auto" w:fill="FFFFFF"/>
          </w:tcPr>
          <w:p w14:paraId="0AB15FD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,231</w:t>
            </w:r>
          </w:p>
        </w:tc>
        <w:tc>
          <w:tcPr>
            <w:tcW w:w="696" w:type="dxa"/>
            <w:tcBorders>
              <w:top w:val="single" w:sz="8" w:space="0" w:color="AEAEAE"/>
              <w:left w:val="single" w:sz="8" w:space="0" w:color="E0E0E0"/>
              <w:bottom w:val="single" w:sz="8" w:space="0" w:color="152935"/>
              <w:right w:val="nil"/>
            </w:tcBorders>
            <w:shd w:val="clear" w:color="auto" w:fill="FFFFFF"/>
          </w:tcPr>
          <w:p w14:paraId="51B77E9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4,320</w:t>
            </w:r>
          </w:p>
        </w:tc>
      </w:tr>
      <w:tr w:rsidR="00D57F51" w:rsidRPr="00A60364" w14:paraId="5A0A0C8D" w14:textId="77777777" w:rsidTr="007D63BD">
        <w:trPr>
          <w:cantSplit/>
          <w:trHeight w:val="75"/>
        </w:trPr>
        <w:tc>
          <w:tcPr>
            <w:tcW w:w="9763" w:type="dxa"/>
            <w:gridSpan w:val="11"/>
            <w:tcBorders>
              <w:top w:val="nil"/>
              <w:left w:val="nil"/>
              <w:bottom w:val="nil"/>
              <w:right w:val="nil"/>
            </w:tcBorders>
            <w:shd w:val="clear" w:color="auto" w:fill="FFFFFF"/>
          </w:tcPr>
          <w:p w14:paraId="4251DFF8" w14:textId="199FA2BB" w:rsidR="00D57F51" w:rsidRPr="004E3771" w:rsidRDefault="00D57F51" w:rsidP="007D63BD">
            <w:pPr>
              <w:autoSpaceDE w:val="0"/>
              <w:autoSpaceDN w:val="0"/>
              <w:adjustRightInd w:val="0"/>
              <w:spacing w:after="0" w:line="320" w:lineRule="atLeast"/>
              <w:ind w:left="60" w:right="60"/>
              <w:rPr>
                <w:rFonts w:ascii="Sylfaen" w:eastAsiaTheme="minorHAnsi" w:hAnsi="Sylfaen" w:cs="Arial"/>
                <w:sz w:val="20"/>
                <w:szCs w:val="20"/>
                <w:lang w:val="nl-NL"/>
              </w:rPr>
            </w:pPr>
            <w:r w:rsidRPr="004E3771">
              <w:rPr>
                <w:rFonts w:ascii="Sylfaen" w:eastAsiaTheme="minorHAnsi" w:hAnsi="Sylfaen" w:cs="Arial"/>
                <w:sz w:val="20"/>
                <w:szCs w:val="20"/>
                <w:lang w:val="nl-NL"/>
              </w:rPr>
              <w:t>a. Dependent Variable: Compliance</w:t>
            </w:r>
          </w:p>
        </w:tc>
      </w:tr>
    </w:tbl>
    <w:p w14:paraId="4E9066CC" w14:textId="416A9870" w:rsidR="00D57F51" w:rsidRPr="004E3771" w:rsidRDefault="007D63BD" w:rsidP="00601430">
      <w:pPr>
        <w:rPr>
          <w:rFonts w:ascii="Sylfaen" w:hAnsi="Sylfaen"/>
          <w:i/>
          <w:sz w:val="20"/>
        </w:rPr>
      </w:pPr>
      <w:r>
        <w:rPr>
          <w:noProof/>
        </w:rPr>
        <mc:AlternateContent>
          <mc:Choice Requires="wps">
            <w:drawing>
              <wp:anchor distT="0" distB="0" distL="114300" distR="114300" simplePos="0" relativeHeight="251667968" behindDoc="0" locked="0" layoutInCell="1" allowOverlap="1" wp14:anchorId="3561687C" wp14:editId="3D3F42E6">
                <wp:simplePos x="0" y="0"/>
                <wp:positionH relativeFrom="margin">
                  <wp:posOffset>-71119</wp:posOffset>
                </wp:positionH>
                <wp:positionV relativeFrom="paragraph">
                  <wp:posOffset>322580</wp:posOffset>
                </wp:positionV>
                <wp:extent cx="6438900" cy="4457700"/>
                <wp:effectExtent l="0" t="0" r="19050" b="19050"/>
                <wp:wrapNone/>
                <wp:docPr id="34" name="Rectangle 34"/>
                <wp:cNvGraphicFramePr/>
                <a:graphic xmlns:a="http://schemas.openxmlformats.org/drawingml/2006/main">
                  <a:graphicData uri="http://schemas.microsoft.com/office/word/2010/wordprocessingShape">
                    <wps:wsp>
                      <wps:cNvSpPr/>
                      <wps:spPr>
                        <a:xfrm>
                          <a:off x="0" y="0"/>
                          <a:ext cx="6438900" cy="44577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8B7A65" id="Rectangle 34" o:spid="_x0000_s1026" style="position:absolute;margin-left:-5.6pt;margin-top:25.4pt;width:507pt;height:351pt;z-index:25166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" filled="f" strokecolor="black [3213]" strokeweight="1.5pt">
                <w10:wrap anchorx="margin"/>
              </v:rect>
            </w:pict>
          </mc:Fallback>
        </mc:AlternateContent>
      </w:r>
      <w:r w:rsidR="00D57F51" w:rsidRPr="00DA33AD">
        <w:rPr>
          <w:i/>
        </w:rPr>
        <w:br/>
      </w:r>
      <w:r w:rsidR="00D57F51">
        <w:rPr>
          <w:i/>
        </w:rPr>
        <w:br/>
      </w:r>
      <w:r w:rsidRPr="004E3771">
        <w:rPr>
          <w:rFonts w:ascii="Sylfaen" w:hAnsi="Sylfaen"/>
          <w:i/>
          <w:sz w:val="20"/>
        </w:rPr>
        <w:t>Table 2: Coefficients and VIF-value with control variables</w:t>
      </w:r>
    </w:p>
    <w:tbl>
      <w:tblPr>
        <w:tblW w:w="100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7"/>
        <w:gridCol w:w="2127"/>
        <w:gridCol w:w="1157"/>
        <w:gridCol w:w="1158"/>
        <w:gridCol w:w="1277"/>
        <w:gridCol w:w="891"/>
        <w:gridCol w:w="891"/>
        <w:gridCol w:w="984"/>
        <w:gridCol w:w="893"/>
      </w:tblGrid>
      <w:tr w:rsidR="00D57F51" w:rsidRPr="00DA33AD" w14:paraId="01811B93" w14:textId="77777777" w:rsidTr="00D57F51">
        <w:trPr>
          <w:cantSplit/>
          <w:trHeight w:val="685"/>
        </w:trPr>
        <w:tc>
          <w:tcPr>
            <w:tcW w:w="2764" w:type="dxa"/>
            <w:gridSpan w:val="2"/>
            <w:vMerge w:val="restart"/>
            <w:tcBorders>
              <w:top w:val="nil"/>
              <w:left w:val="nil"/>
              <w:bottom w:val="nil"/>
              <w:right w:val="nil"/>
            </w:tcBorders>
            <w:shd w:val="clear" w:color="auto" w:fill="FFFFFF"/>
            <w:vAlign w:val="bottom"/>
          </w:tcPr>
          <w:p w14:paraId="14C47754" w14:textId="77777777" w:rsidR="00D57F51" w:rsidRPr="002C2A76"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rPr>
            </w:pPr>
            <w:r w:rsidRPr="002C2A76">
              <w:rPr>
                <w:rFonts w:ascii="Sylfaen" w:eastAsiaTheme="minorHAnsi" w:hAnsi="Sylfaen" w:cstheme="minorHAnsi"/>
                <w:b/>
                <w:sz w:val="20"/>
                <w:szCs w:val="20"/>
              </w:rPr>
              <w:t>Model</w:t>
            </w:r>
          </w:p>
        </w:tc>
        <w:tc>
          <w:tcPr>
            <w:tcW w:w="2315" w:type="dxa"/>
            <w:gridSpan w:val="2"/>
            <w:tcBorders>
              <w:top w:val="nil"/>
              <w:left w:val="nil"/>
              <w:bottom w:val="nil"/>
              <w:right w:val="single" w:sz="8" w:space="0" w:color="E0E0E0"/>
            </w:tcBorders>
            <w:shd w:val="clear" w:color="auto" w:fill="FFFFFF"/>
            <w:vAlign w:val="bottom"/>
          </w:tcPr>
          <w:p w14:paraId="5022957A" w14:textId="5CC74093"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Unstandardized Coefficients</w:t>
            </w:r>
          </w:p>
        </w:tc>
        <w:tc>
          <w:tcPr>
            <w:tcW w:w="1277" w:type="dxa"/>
            <w:tcBorders>
              <w:top w:val="nil"/>
              <w:left w:val="single" w:sz="8" w:space="0" w:color="E0E0E0"/>
              <w:bottom w:val="nil"/>
              <w:right w:val="single" w:sz="8" w:space="0" w:color="E0E0E0"/>
            </w:tcBorders>
            <w:shd w:val="clear" w:color="auto" w:fill="FFFFFF"/>
            <w:vAlign w:val="bottom"/>
          </w:tcPr>
          <w:p w14:paraId="59CD397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Standardized Coefficients</w:t>
            </w:r>
          </w:p>
        </w:tc>
        <w:tc>
          <w:tcPr>
            <w:tcW w:w="891" w:type="dxa"/>
            <w:vMerge w:val="restart"/>
            <w:tcBorders>
              <w:top w:val="nil"/>
              <w:left w:val="single" w:sz="8" w:space="0" w:color="E0E0E0"/>
              <w:bottom w:val="nil"/>
              <w:right w:val="single" w:sz="8" w:space="0" w:color="E0E0E0"/>
            </w:tcBorders>
            <w:shd w:val="clear" w:color="auto" w:fill="FFFFFF"/>
            <w:vAlign w:val="bottom"/>
          </w:tcPr>
          <w:p w14:paraId="31237E4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t</w:t>
            </w:r>
          </w:p>
        </w:tc>
        <w:tc>
          <w:tcPr>
            <w:tcW w:w="891" w:type="dxa"/>
            <w:vMerge w:val="restart"/>
            <w:tcBorders>
              <w:top w:val="nil"/>
              <w:left w:val="single" w:sz="8" w:space="0" w:color="E0E0E0"/>
              <w:bottom w:val="nil"/>
              <w:right w:val="single" w:sz="8" w:space="0" w:color="E0E0E0"/>
            </w:tcBorders>
            <w:shd w:val="clear" w:color="auto" w:fill="FFFFFF"/>
            <w:vAlign w:val="bottom"/>
          </w:tcPr>
          <w:p w14:paraId="39AF312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Sig.</w:t>
            </w:r>
          </w:p>
        </w:tc>
        <w:tc>
          <w:tcPr>
            <w:tcW w:w="1877" w:type="dxa"/>
            <w:gridSpan w:val="2"/>
            <w:tcBorders>
              <w:top w:val="nil"/>
              <w:left w:val="single" w:sz="8" w:space="0" w:color="E0E0E0"/>
              <w:bottom w:val="nil"/>
              <w:right w:val="nil"/>
            </w:tcBorders>
            <w:shd w:val="clear" w:color="auto" w:fill="FFFFFF"/>
            <w:vAlign w:val="bottom"/>
          </w:tcPr>
          <w:p w14:paraId="10FE293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Collinearity Statistics</w:t>
            </w:r>
          </w:p>
        </w:tc>
      </w:tr>
      <w:tr w:rsidR="00D57F51" w:rsidRPr="00DA33AD" w14:paraId="42780E3E" w14:textId="77777777" w:rsidTr="00D57F51">
        <w:trPr>
          <w:cantSplit/>
          <w:trHeight w:val="352"/>
        </w:trPr>
        <w:tc>
          <w:tcPr>
            <w:tcW w:w="2764" w:type="dxa"/>
            <w:gridSpan w:val="2"/>
            <w:vMerge/>
            <w:tcBorders>
              <w:top w:val="nil"/>
              <w:left w:val="nil"/>
              <w:bottom w:val="nil"/>
              <w:right w:val="nil"/>
            </w:tcBorders>
            <w:shd w:val="clear" w:color="auto" w:fill="FFFFFF"/>
            <w:vAlign w:val="bottom"/>
          </w:tcPr>
          <w:p w14:paraId="510B8708"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rPr>
            </w:pPr>
          </w:p>
        </w:tc>
        <w:tc>
          <w:tcPr>
            <w:tcW w:w="1157" w:type="dxa"/>
            <w:tcBorders>
              <w:top w:val="nil"/>
              <w:left w:val="nil"/>
              <w:bottom w:val="single" w:sz="8" w:space="0" w:color="152935"/>
              <w:right w:val="single" w:sz="8" w:space="0" w:color="E0E0E0"/>
            </w:tcBorders>
            <w:shd w:val="clear" w:color="auto" w:fill="FFFFFF"/>
            <w:vAlign w:val="bottom"/>
          </w:tcPr>
          <w:p w14:paraId="4248135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B</w:t>
            </w:r>
          </w:p>
        </w:tc>
        <w:tc>
          <w:tcPr>
            <w:tcW w:w="1158" w:type="dxa"/>
            <w:tcBorders>
              <w:top w:val="nil"/>
              <w:left w:val="single" w:sz="8" w:space="0" w:color="E0E0E0"/>
              <w:bottom w:val="single" w:sz="8" w:space="0" w:color="152935"/>
              <w:right w:val="single" w:sz="8" w:space="0" w:color="E0E0E0"/>
            </w:tcBorders>
            <w:shd w:val="clear" w:color="auto" w:fill="FFFFFF"/>
            <w:vAlign w:val="bottom"/>
          </w:tcPr>
          <w:p w14:paraId="621A3F2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Std. Error</w:t>
            </w:r>
          </w:p>
        </w:tc>
        <w:tc>
          <w:tcPr>
            <w:tcW w:w="1277" w:type="dxa"/>
            <w:tcBorders>
              <w:top w:val="nil"/>
              <w:left w:val="single" w:sz="8" w:space="0" w:color="E0E0E0"/>
              <w:bottom w:val="single" w:sz="8" w:space="0" w:color="152935"/>
              <w:right w:val="single" w:sz="8" w:space="0" w:color="E0E0E0"/>
            </w:tcBorders>
            <w:shd w:val="clear" w:color="auto" w:fill="FFFFFF"/>
            <w:vAlign w:val="bottom"/>
          </w:tcPr>
          <w:p w14:paraId="23F5998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Beta</w:t>
            </w:r>
          </w:p>
        </w:tc>
        <w:tc>
          <w:tcPr>
            <w:tcW w:w="891" w:type="dxa"/>
            <w:vMerge/>
            <w:tcBorders>
              <w:top w:val="nil"/>
              <w:left w:val="single" w:sz="8" w:space="0" w:color="E0E0E0"/>
              <w:bottom w:val="nil"/>
              <w:right w:val="single" w:sz="8" w:space="0" w:color="E0E0E0"/>
            </w:tcBorders>
            <w:shd w:val="clear" w:color="auto" w:fill="FFFFFF"/>
            <w:vAlign w:val="bottom"/>
          </w:tcPr>
          <w:p w14:paraId="200EB7A4"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rPr>
            </w:pPr>
          </w:p>
        </w:tc>
        <w:tc>
          <w:tcPr>
            <w:tcW w:w="891" w:type="dxa"/>
            <w:vMerge/>
            <w:tcBorders>
              <w:top w:val="nil"/>
              <w:left w:val="single" w:sz="8" w:space="0" w:color="E0E0E0"/>
              <w:bottom w:val="nil"/>
              <w:right w:val="single" w:sz="8" w:space="0" w:color="E0E0E0"/>
            </w:tcBorders>
            <w:shd w:val="clear" w:color="auto" w:fill="FFFFFF"/>
            <w:vAlign w:val="bottom"/>
          </w:tcPr>
          <w:p w14:paraId="6FA7D6E2"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rPr>
            </w:pPr>
          </w:p>
        </w:tc>
        <w:tc>
          <w:tcPr>
            <w:tcW w:w="984" w:type="dxa"/>
            <w:tcBorders>
              <w:top w:val="nil"/>
              <w:left w:val="single" w:sz="8" w:space="0" w:color="E0E0E0"/>
              <w:bottom w:val="single" w:sz="8" w:space="0" w:color="152935"/>
              <w:right w:val="single" w:sz="8" w:space="0" w:color="E0E0E0"/>
            </w:tcBorders>
            <w:shd w:val="clear" w:color="auto" w:fill="FFFFFF"/>
            <w:vAlign w:val="bottom"/>
          </w:tcPr>
          <w:p w14:paraId="14EB80C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Tolerance</w:t>
            </w:r>
          </w:p>
        </w:tc>
        <w:tc>
          <w:tcPr>
            <w:tcW w:w="893" w:type="dxa"/>
            <w:tcBorders>
              <w:top w:val="nil"/>
              <w:left w:val="single" w:sz="8" w:space="0" w:color="E0E0E0"/>
              <w:bottom w:val="single" w:sz="8" w:space="0" w:color="152935"/>
              <w:right w:val="nil"/>
            </w:tcBorders>
            <w:shd w:val="clear" w:color="auto" w:fill="FFFFFF"/>
            <w:vAlign w:val="bottom"/>
          </w:tcPr>
          <w:p w14:paraId="29B93D7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rPr>
            </w:pPr>
            <w:r w:rsidRPr="004E3771">
              <w:rPr>
                <w:rFonts w:ascii="Sylfaen" w:eastAsiaTheme="minorHAnsi" w:hAnsi="Sylfaen" w:cstheme="minorHAnsi"/>
                <w:sz w:val="20"/>
                <w:szCs w:val="20"/>
              </w:rPr>
              <w:t>VIF</w:t>
            </w:r>
          </w:p>
        </w:tc>
      </w:tr>
      <w:tr w:rsidR="00D57F51" w:rsidRPr="00DA33AD" w14:paraId="78AD5F9D" w14:textId="77777777" w:rsidTr="004E3771">
        <w:trPr>
          <w:cantSplit/>
          <w:trHeight w:val="331"/>
        </w:trPr>
        <w:tc>
          <w:tcPr>
            <w:tcW w:w="637" w:type="dxa"/>
            <w:vMerge w:val="restart"/>
            <w:tcBorders>
              <w:top w:val="single" w:sz="8" w:space="0" w:color="152935"/>
              <w:left w:val="nil"/>
              <w:bottom w:val="single" w:sz="8" w:space="0" w:color="152935"/>
              <w:right w:val="nil"/>
            </w:tcBorders>
            <w:shd w:val="clear" w:color="auto" w:fill="auto"/>
          </w:tcPr>
          <w:p w14:paraId="12C73EB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w:t>
            </w:r>
          </w:p>
        </w:tc>
        <w:tc>
          <w:tcPr>
            <w:tcW w:w="2127" w:type="dxa"/>
            <w:tcBorders>
              <w:top w:val="single" w:sz="8" w:space="0" w:color="152935"/>
              <w:left w:val="nil"/>
              <w:bottom w:val="single" w:sz="8" w:space="0" w:color="AEAEAE"/>
              <w:right w:val="nil"/>
            </w:tcBorders>
            <w:shd w:val="clear" w:color="auto" w:fill="auto"/>
          </w:tcPr>
          <w:p w14:paraId="00BD8BF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b/>
                <w:sz w:val="20"/>
                <w:szCs w:val="20"/>
                <w:lang w:val="nl-NL"/>
              </w:rPr>
              <w:t>(Constant)</w:t>
            </w:r>
          </w:p>
        </w:tc>
        <w:tc>
          <w:tcPr>
            <w:tcW w:w="1157" w:type="dxa"/>
            <w:tcBorders>
              <w:top w:val="single" w:sz="8" w:space="0" w:color="152935"/>
              <w:left w:val="nil"/>
              <w:bottom w:val="single" w:sz="8" w:space="0" w:color="AEAEAE"/>
              <w:right w:val="single" w:sz="8" w:space="0" w:color="E0E0E0"/>
            </w:tcBorders>
            <w:shd w:val="clear" w:color="auto" w:fill="FFFFFF"/>
          </w:tcPr>
          <w:p w14:paraId="02AF068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1,458</w:t>
            </w:r>
          </w:p>
        </w:tc>
        <w:tc>
          <w:tcPr>
            <w:tcW w:w="1158" w:type="dxa"/>
            <w:tcBorders>
              <w:top w:val="single" w:sz="8" w:space="0" w:color="152935"/>
              <w:left w:val="single" w:sz="8" w:space="0" w:color="E0E0E0"/>
              <w:bottom w:val="single" w:sz="8" w:space="0" w:color="AEAEAE"/>
              <w:right w:val="single" w:sz="8" w:space="0" w:color="E0E0E0"/>
            </w:tcBorders>
            <w:shd w:val="clear" w:color="auto" w:fill="FFFFFF"/>
          </w:tcPr>
          <w:p w14:paraId="0F9B332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,710</w:t>
            </w:r>
          </w:p>
        </w:tc>
        <w:tc>
          <w:tcPr>
            <w:tcW w:w="1277"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50073686"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891" w:type="dxa"/>
            <w:tcBorders>
              <w:top w:val="single" w:sz="8" w:space="0" w:color="152935"/>
              <w:left w:val="single" w:sz="8" w:space="0" w:color="E0E0E0"/>
              <w:bottom w:val="single" w:sz="8" w:space="0" w:color="AEAEAE"/>
              <w:right w:val="single" w:sz="8" w:space="0" w:color="E0E0E0"/>
            </w:tcBorders>
            <w:shd w:val="clear" w:color="auto" w:fill="FFFFFF"/>
          </w:tcPr>
          <w:p w14:paraId="3FC396D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2,055</w:t>
            </w:r>
          </w:p>
        </w:tc>
        <w:tc>
          <w:tcPr>
            <w:tcW w:w="891" w:type="dxa"/>
            <w:tcBorders>
              <w:top w:val="single" w:sz="8" w:space="0" w:color="152935"/>
              <w:left w:val="single" w:sz="8" w:space="0" w:color="E0E0E0"/>
              <w:bottom w:val="single" w:sz="8" w:space="0" w:color="AEAEAE"/>
              <w:right w:val="single" w:sz="8" w:space="0" w:color="E0E0E0"/>
            </w:tcBorders>
            <w:shd w:val="clear" w:color="auto" w:fill="FFFFFF"/>
          </w:tcPr>
          <w:p w14:paraId="4D7DDA3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,040</w:t>
            </w:r>
          </w:p>
        </w:tc>
        <w:tc>
          <w:tcPr>
            <w:tcW w:w="984"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702A6233"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893" w:type="dxa"/>
            <w:tcBorders>
              <w:top w:val="single" w:sz="8" w:space="0" w:color="152935"/>
              <w:left w:val="single" w:sz="8" w:space="0" w:color="E0E0E0"/>
              <w:bottom w:val="single" w:sz="8" w:space="0" w:color="AEAEAE"/>
              <w:right w:val="nil"/>
            </w:tcBorders>
            <w:shd w:val="clear" w:color="auto" w:fill="FFFFFF"/>
            <w:vAlign w:val="center"/>
          </w:tcPr>
          <w:p w14:paraId="25062B07"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r>
      <w:tr w:rsidR="00D57F51" w:rsidRPr="00DA33AD" w14:paraId="5540767A"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2E3A1374"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0509281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Number of times discussed</w:t>
            </w:r>
          </w:p>
        </w:tc>
        <w:tc>
          <w:tcPr>
            <w:tcW w:w="1157" w:type="dxa"/>
            <w:tcBorders>
              <w:top w:val="single" w:sz="8" w:space="0" w:color="AEAEAE"/>
              <w:left w:val="nil"/>
              <w:bottom w:val="single" w:sz="8" w:space="0" w:color="AEAEAE"/>
              <w:right w:val="single" w:sz="8" w:space="0" w:color="E0E0E0"/>
            </w:tcBorders>
            <w:shd w:val="clear" w:color="auto" w:fill="FFFFFF"/>
          </w:tcPr>
          <w:p w14:paraId="4B53401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,013</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53CD738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,018</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0BD5504B"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,027</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11760FB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,686</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7945710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,493</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780D6D4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,937</w:t>
            </w:r>
          </w:p>
        </w:tc>
        <w:tc>
          <w:tcPr>
            <w:tcW w:w="893" w:type="dxa"/>
            <w:tcBorders>
              <w:top w:val="single" w:sz="8" w:space="0" w:color="AEAEAE"/>
              <w:left w:val="single" w:sz="8" w:space="0" w:color="E0E0E0"/>
              <w:bottom w:val="single" w:sz="8" w:space="0" w:color="AEAEAE"/>
              <w:right w:val="nil"/>
            </w:tcBorders>
            <w:shd w:val="clear" w:color="auto" w:fill="FFFFFF"/>
          </w:tcPr>
          <w:p w14:paraId="36256FD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1,067</w:t>
            </w:r>
          </w:p>
        </w:tc>
      </w:tr>
      <w:tr w:rsidR="00D57F51" w:rsidRPr="00DA33AD" w14:paraId="367DC388"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250E0B53"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26D5434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Consultations</w:t>
            </w:r>
          </w:p>
        </w:tc>
        <w:tc>
          <w:tcPr>
            <w:tcW w:w="1157" w:type="dxa"/>
            <w:tcBorders>
              <w:top w:val="single" w:sz="8" w:space="0" w:color="AEAEAE"/>
              <w:left w:val="nil"/>
              <w:bottom w:val="single" w:sz="8" w:space="0" w:color="AEAEAE"/>
              <w:right w:val="single" w:sz="8" w:space="0" w:color="E0E0E0"/>
            </w:tcBorders>
            <w:shd w:val="clear" w:color="auto" w:fill="FFFFFF"/>
          </w:tcPr>
          <w:p w14:paraId="5E8393C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,206</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78C8F29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,072</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5010492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,128</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1BD3280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2,841</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0EB3334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,005</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0BC27D5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,719</w:t>
            </w:r>
          </w:p>
        </w:tc>
        <w:tc>
          <w:tcPr>
            <w:tcW w:w="893" w:type="dxa"/>
            <w:tcBorders>
              <w:top w:val="single" w:sz="8" w:space="0" w:color="AEAEAE"/>
              <w:left w:val="single" w:sz="8" w:space="0" w:color="E0E0E0"/>
              <w:bottom w:val="single" w:sz="8" w:space="0" w:color="AEAEAE"/>
              <w:right w:val="nil"/>
            </w:tcBorders>
            <w:shd w:val="clear" w:color="auto" w:fill="FFFFFF"/>
          </w:tcPr>
          <w:p w14:paraId="3F4E361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1,390</w:t>
            </w:r>
          </w:p>
        </w:tc>
      </w:tr>
      <w:tr w:rsidR="00D57F51" w:rsidRPr="00DA33AD" w14:paraId="52D06252"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11C31492"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03F8E88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AvWOpMS</w:t>
            </w:r>
          </w:p>
        </w:tc>
        <w:tc>
          <w:tcPr>
            <w:tcW w:w="1157" w:type="dxa"/>
            <w:tcBorders>
              <w:top w:val="single" w:sz="8" w:space="0" w:color="AEAEAE"/>
              <w:left w:val="nil"/>
              <w:bottom w:val="single" w:sz="8" w:space="0" w:color="AEAEAE"/>
              <w:right w:val="single" w:sz="8" w:space="0" w:color="E0E0E0"/>
            </w:tcBorders>
            <w:shd w:val="clear" w:color="auto" w:fill="FFFFFF"/>
          </w:tcPr>
          <w:p w14:paraId="7EFE35F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,147</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7968851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,026</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39C7A1A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,263</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3A91176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5,595</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6B3A8EF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,000</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408AC84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,658</w:t>
            </w:r>
          </w:p>
        </w:tc>
        <w:tc>
          <w:tcPr>
            <w:tcW w:w="893" w:type="dxa"/>
            <w:tcBorders>
              <w:top w:val="single" w:sz="8" w:space="0" w:color="AEAEAE"/>
              <w:left w:val="single" w:sz="8" w:space="0" w:color="E0E0E0"/>
              <w:bottom w:val="single" w:sz="8" w:space="0" w:color="AEAEAE"/>
              <w:right w:val="nil"/>
            </w:tcBorders>
            <w:shd w:val="clear" w:color="auto" w:fill="FFFFFF"/>
          </w:tcPr>
          <w:p w14:paraId="2732616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1,520</w:t>
            </w:r>
          </w:p>
        </w:tc>
      </w:tr>
      <w:tr w:rsidR="00D57F51" w:rsidRPr="00DA33AD" w14:paraId="717A24F1" w14:textId="77777777" w:rsidTr="004E3771">
        <w:trPr>
          <w:cantSplit/>
          <w:trHeight w:val="352"/>
        </w:trPr>
        <w:tc>
          <w:tcPr>
            <w:tcW w:w="637" w:type="dxa"/>
            <w:vMerge/>
            <w:tcBorders>
              <w:top w:val="single" w:sz="8" w:space="0" w:color="152935"/>
              <w:left w:val="nil"/>
              <w:bottom w:val="single" w:sz="8" w:space="0" w:color="152935"/>
              <w:right w:val="nil"/>
            </w:tcBorders>
            <w:shd w:val="clear" w:color="auto" w:fill="auto"/>
          </w:tcPr>
          <w:p w14:paraId="1F58C7D2"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2BF6899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NumOpMS</w:t>
            </w:r>
          </w:p>
        </w:tc>
        <w:tc>
          <w:tcPr>
            <w:tcW w:w="1157" w:type="dxa"/>
            <w:tcBorders>
              <w:top w:val="single" w:sz="8" w:space="0" w:color="AEAEAE"/>
              <w:left w:val="nil"/>
              <w:bottom w:val="single" w:sz="8" w:space="0" w:color="AEAEAE"/>
              <w:right w:val="single" w:sz="8" w:space="0" w:color="E0E0E0"/>
            </w:tcBorders>
            <w:shd w:val="clear" w:color="auto" w:fill="FFFFFF"/>
          </w:tcPr>
          <w:p w14:paraId="2C088E6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,133</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5F4C535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,098</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0E25505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,103</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48874A5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1,349</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093B71F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,178</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4890482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,251</w:t>
            </w:r>
          </w:p>
        </w:tc>
        <w:tc>
          <w:tcPr>
            <w:tcW w:w="893" w:type="dxa"/>
            <w:tcBorders>
              <w:top w:val="single" w:sz="8" w:space="0" w:color="AEAEAE"/>
              <w:left w:val="single" w:sz="8" w:space="0" w:color="E0E0E0"/>
              <w:bottom w:val="single" w:sz="8" w:space="0" w:color="AEAEAE"/>
              <w:right w:val="nil"/>
            </w:tcBorders>
            <w:shd w:val="clear" w:color="auto" w:fill="FFFFFF"/>
          </w:tcPr>
          <w:p w14:paraId="622CF32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3,982</w:t>
            </w:r>
          </w:p>
        </w:tc>
      </w:tr>
      <w:tr w:rsidR="00D57F51" w:rsidRPr="00DA33AD" w14:paraId="5E23A8F6"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75E82DB4"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672E51D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PopOpMS</w:t>
            </w:r>
          </w:p>
        </w:tc>
        <w:tc>
          <w:tcPr>
            <w:tcW w:w="1157" w:type="dxa"/>
            <w:tcBorders>
              <w:top w:val="single" w:sz="8" w:space="0" w:color="AEAEAE"/>
              <w:left w:val="nil"/>
              <w:bottom w:val="single" w:sz="8" w:space="0" w:color="AEAEAE"/>
              <w:right w:val="single" w:sz="8" w:space="0" w:color="E0E0E0"/>
            </w:tcBorders>
            <w:shd w:val="clear" w:color="auto" w:fill="FFFFFF"/>
          </w:tcPr>
          <w:p w14:paraId="7706A44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-,027</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54D85B2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,016</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0B2EE06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-,129</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2064CB4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-1,627</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55D8460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,104</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65035A7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,231</w:t>
            </w:r>
          </w:p>
        </w:tc>
        <w:tc>
          <w:tcPr>
            <w:tcW w:w="893" w:type="dxa"/>
            <w:tcBorders>
              <w:top w:val="single" w:sz="8" w:space="0" w:color="AEAEAE"/>
              <w:left w:val="single" w:sz="8" w:space="0" w:color="E0E0E0"/>
              <w:bottom w:val="single" w:sz="8" w:space="0" w:color="AEAEAE"/>
              <w:right w:val="nil"/>
            </w:tcBorders>
            <w:shd w:val="clear" w:color="auto" w:fill="FFFFFF"/>
          </w:tcPr>
          <w:p w14:paraId="4CB1DAC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4,321</w:t>
            </w:r>
          </w:p>
        </w:tc>
      </w:tr>
      <w:tr w:rsidR="00D57F51" w:rsidRPr="00DA33AD" w14:paraId="0B6BE6F9"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1915D1F1"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7523C59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Stance</w:t>
            </w:r>
          </w:p>
        </w:tc>
        <w:tc>
          <w:tcPr>
            <w:tcW w:w="1157" w:type="dxa"/>
            <w:tcBorders>
              <w:top w:val="single" w:sz="8" w:space="0" w:color="AEAEAE"/>
              <w:left w:val="nil"/>
              <w:bottom w:val="single" w:sz="8" w:space="0" w:color="AEAEAE"/>
              <w:right w:val="single" w:sz="8" w:space="0" w:color="E0E0E0"/>
            </w:tcBorders>
            <w:shd w:val="clear" w:color="auto" w:fill="FFFFFF"/>
          </w:tcPr>
          <w:p w14:paraId="7860372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,072</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1E30B26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,323</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4D38EE29"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,009</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1C15857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,224</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00AD252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,823</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0D763E1B"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,938</w:t>
            </w:r>
          </w:p>
        </w:tc>
        <w:tc>
          <w:tcPr>
            <w:tcW w:w="893" w:type="dxa"/>
            <w:tcBorders>
              <w:top w:val="single" w:sz="8" w:space="0" w:color="AEAEAE"/>
              <w:left w:val="single" w:sz="8" w:space="0" w:color="E0E0E0"/>
              <w:bottom w:val="single" w:sz="8" w:space="0" w:color="AEAEAE"/>
              <w:right w:val="nil"/>
            </w:tcBorders>
            <w:shd w:val="clear" w:color="auto" w:fill="FFFFFF"/>
          </w:tcPr>
          <w:p w14:paraId="0C39407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1,066</w:t>
            </w:r>
          </w:p>
        </w:tc>
      </w:tr>
      <w:tr w:rsidR="00D57F51" w:rsidRPr="00DA33AD" w14:paraId="19FDB5C8" w14:textId="77777777" w:rsidTr="004E3771">
        <w:trPr>
          <w:cantSplit/>
          <w:trHeight w:val="352"/>
        </w:trPr>
        <w:tc>
          <w:tcPr>
            <w:tcW w:w="637" w:type="dxa"/>
            <w:vMerge/>
            <w:tcBorders>
              <w:top w:val="single" w:sz="8" w:space="0" w:color="152935"/>
              <w:left w:val="nil"/>
              <w:bottom w:val="single" w:sz="8" w:space="0" w:color="152935"/>
              <w:right w:val="nil"/>
            </w:tcBorders>
            <w:shd w:val="clear" w:color="auto" w:fill="auto"/>
          </w:tcPr>
          <w:p w14:paraId="45889B56"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24BC0F4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GDP</w:t>
            </w:r>
          </w:p>
        </w:tc>
        <w:tc>
          <w:tcPr>
            <w:tcW w:w="1157" w:type="dxa"/>
            <w:tcBorders>
              <w:top w:val="single" w:sz="8" w:space="0" w:color="AEAEAE"/>
              <w:left w:val="nil"/>
              <w:bottom w:val="single" w:sz="8" w:space="0" w:color="AEAEAE"/>
              <w:right w:val="single" w:sz="8" w:space="0" w:color="E0E0E0"/>
            </w:tcBorders>
            <w:shd w:val="clear" w:color="auto" w:fill="FFFFFF"/>
          </w:tcPr>
          <w:p w14:paraId="5DA27DC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-2,518E-6</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3DBFAEC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,000</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7DA0FBA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-,033</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23E437E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-,574</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0542405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,566</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59ABEB4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,445</w:t>
            </w:r>
          </w:p>
        </w:tc>
        <w:tc>
          <w:tcPr>
            <w:tcW w:w="893" w:type="dxa"/>
            <w:tcBorders>
              <w:top w:val="single" w:sz="8" w:space="0" w:color="AEAEAE"/>
              <w:left w:val="single" w:sz="8" w:space="0" w:color="E0E0E0"/>
              <w:bottom w:val="single" w:sz="8" w:space="0" w:color="AEAEAE"/>
              <w:right w:val="nil"/>
            </w:tcBorders>
            <w:shd w:val="clear" w:color="auto" w:fill="FFFFFF"/>
          </w:tcPr>
          <w:p w14:paraId="336DE52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2,248</w:t>
            </w:r>
          </w:p>
        </w:tc>
      </w:tr>
      <w:tr w:rsidR="00D57F51" w:rsidRPr="00DA33AD" w14:paraId="112D7A95"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3533899B"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1532D1E2"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Corruption</w:t>
            </w:r>
          </w:p>
        </w:tc>
        <w:tc>
          <w:tcPr>
            <w:tcW w:w="1157" w:type="dxa"/>
            <w:tcBorders>
              <w:top w:val="single" w:sz="8" w:space="0" w:color="AEAEAE"/>
              <w:left w:val="nil"/>
              <w:bottom w:val="single" w:sz="8" w:space="0" w:color="AEAEAE"/>
              <w:right w:val="single" w:sz="8" w:space="0" w:color="E0E0E0"/>
            </w:tcBorders>
            <w:shd w:val="clear" w:color="auto" w:fill="FFFFFF"/>
          </w:tcPr>
          <w:p w14:paraId="59AA850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-,019</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7DBDFA5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,018</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7C38C5A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-,190</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2904460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-1,035</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23FE6B3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,301</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726397B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,043</w:t>
            </w:r>
          </w:p>
        </w:tc>
        <w:tc>
          <w:tcPr>
            <w:tcW w:w="893" w:type="dxa"/>
            <w:tcBorders>
              <w:top w:val="single" w:sz="8" w:space="0" w:color="AEAEAE"/>
              <w:left w:val="single" w:sz="8" w:space="0" w:color="E0E0E0"/>
              <w:bottom w:val="single" w:sz="8" w:space="0" w:color="AEAEAE"/>
              <w:right w:val="nil"/>
            </w:tcBorders>
            <w:shd w:val="clear" w:color="auto" w:fill="FFFFFF"/>
          </w:tcPr>
          <w:p w14:paraId="71C0EC1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23,172</w:t>
            </w:r>
          </w:p>
        </w:tc>
      </w:tr>
      <w:tr w:rsidR="00D57F51" w:rsidRPr="00DA33AD" w14:paraId="5F07361A"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18C46C57"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427D00A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QGI</w:t>
            </w:r>
          </w:p>
        </w:tc>
        <w:tc>
          <w:tcPr>
            <w:tcW w:w="1157" w:type="dxa"/>
            <w:tcBorders>
              <w:top w:val="single" w:sz="8" w:space="0" w:color="AEAEAE"/>
              <w:left w:val="nil"/>
              <w:bottom w:val="single" w:sz="8" w:space="0" w:color="AEAEAE"/>
              <w:right w:val="single" w:sz="8" w:space="0" w:color="E0E0E0"/>
            </w:tcBorders>
            <w:shd w:val="clear" w:color="auto" w:fill="FFFFFF"/>
          </w:tcPr>
          <w:p w14:paraId="508EBF3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,009</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0F4B665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,011</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5AA1257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,141</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7328141C"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,781</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63985EFF"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,435</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67813AF8"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,045</w:t>
            </w:r>
          </w:p>
        </w:tc>
        <w:tc>
          <w:tcPr>
            <w:tcW w:w="893" w:type="dxa"/>
            <w:tcBorders>
              <w:top w:val="single" w:sz="8" w:space="0" w:color="AEAEAE"/>
              <w:left w:val="single" w:sz="8" w:space="0" w:color="E0E0E0"/>
              <w:bottom w:val="single" w:sz="8" w:space="0" w:color="AEAEAE"/>
              <w:right w:val="nil"/>
            </w:tcBorders>
            <w:shd w:val="clear" w:color="auto" w:fill="FFFFFF"/>
          </w:tcPr>
          <w:p w14:paraId="63C0303B"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22,371</w:t>
            </w:r>
          </w:p>
        </w:tc>
      </w:tr>
      <w:tr w:rsidR="00D57F51" w:rsidRPr="00DA33AD" w14:paraId="5504DE09" w14:textId="77777777" w:rsidTr="004E3771">
        <w:trPr>
          <w:cantSplit/>
          <w:trHeight w:val="352"/>
        </w:trPr>
        <w:tc>
          <w:tcPr>
            <w:tcW w:w="637" w:type="dxa"/>
            <w:vMerge/>
            <w:tcBorders>
              <w:top w:val="single" w:sz="8" w:space="0" w:color="152935"/>
              <w:left w:val="nil"/>
              <w:bottom w:val="single" w:sz="8" w:space="0" w:color="152935"/>
              <w:right w:val="nil"/>
            </w:tcBorders>
            <w:shd w:val="clear" w:color="auto" w:fill="auto"/>
          </w:tcPr>
          <w:p w14:paraId="32B36826"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AEAEAE"/>
              <w:right w:val="nil"/>
            </w:tcBorders>
            <w:shd w:val="clear" w:color="auto" w:fill="auto"/>
          </w:tcPr>
          <w:p w14:paraId="27AF5871"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Nordic</w:t>
            </w:r>
          </w:p>
        </w:tc>
        <w:tc>
          <w:tcPr>
            <w:tcW w:w="1157" w:type="dxa"/>
            <w:tcBorders>
              <w:top w:val="single" w:sz="8" w:space="0" w:color="AEAEAE"/>
              <w:left w:val="nil"/>
              <w:bottom w:val="single" w:sz="8" w:space="0" w:color="AEAEAE"/>
              <w:right w:val="single" w:sz="8" w:space="0" w:color="E0E0E0"/>
            </w:tcBorders>
            <w:shd w:val="clear" w:color="auto" w:fill="FFFFFF"/>
          </w:tcPr>
          <w:p w14:paraId="0CE0AA57"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-,462</w:t>
            </w:r>
          </w:p>
        </w:tc>
        <w:tc>
          <w:tcPr>
            <w:tcW w:w="1158" w:type="dxa"/>
            <w:tcBorders>
              <w:top w:val="single" w:sz="8" w:space="0" w:color="AEAEAE"/>
              <w:left w:val="single" w:sz="8" w:space="0" w:color="E0E0E0"/>
              <w:bottom w:val="single" w:sz="8" w:space="0" w:color="AEAEAE"/>
              <w:right w:val="single" w:sz="8" w:space="0" w:color="E0E0E0"/>
            </w:tcBorders>
            <w:shd w:val="clear" w:color="auto" w:fill="FFFFFF"/>
          </w:tcPr>
          <w:p w14:paraId="21F3836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,207</w:t>
            </w:r>
          </w:p>
        </w:tc>
        <w:tc>
          <w:tcPr>
            <w:tcW w:w="1277" w:type="dxa"/>
            <w:tcBorders>
              <w:top w:val="single" w:sz="8" w:space="0" w:color="AEAEAE"/>
              <w:left w:val="single" w:sz="8" w:space="0" w:color="E0E0E0"/>
              <w:bottom w:val="single" w:sz="8" w:space="0" w:color="AEAEAE"/>
              <w:right w:val="single" w:sz="8" w:space="0" w:color="E0E0E0"/>
            </w:tcBorders>
            <w:shd w:val="clear" w:color="auto" w:fill="FFFFFF"/>
          </w:tcPr>
          <w:p w14:paraId="1605D2CD"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-,106</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7874D30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-2,233</w:t>
            </w:r>
          </w:p>
        </w:tc>
        <w:tc>
          <w:tcPr>
            <w:tcW w:w="891" w:type="dxa"/>
            <w:tcBorders>
              <w:top w:val="single" w:sz="8" w:space="0" w:color="AEAEAE"/>
              <w:left w:val="single" w:sz="8" w:space="0" w:color="E0E0E0"/>
              <w:bottom w:val="single" w:sz="8" w:space="0" w:color="AEAEAE"/>
              <w:right w:val="single" w:sz="8" w:space="0" w:color="E0E0E0"/>
            </w:tcBorders>
            <w:shd w:val="clear" w:color="auto" w:fill="FFFFFF"/>
          </w:tcPr>
          <w:p w14:paraId="34D04AC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,026</w:t>
            </w:r>
          </w:p>
        </w:tc>
        <w:tc>
          <w:tcPr>
            <w:tcW w:w="984" w:type="dxa"/>
            <w:tcBorders>
              <w:top w:val="single" w:sz="8" w:space="0" w:color="AEAEAE"/>
              <w:left w:val="single" w:sz="8" w:space="0" w:color="E0E0E0"/>
              <w:bottom w:val="single" w:sz="8" w:space="0" w:color="AEAEAE"/>
              <w:right w:val="single" w:sz="8" w:space="0" w:color="E0E0E0"/>
            </w:tcBorders>
            <w:shd w:val="clear" w:color="auto" w:fill="FFFFFF"/>
          </w:tcPr>
          <w:p w14:paraId="35D14D65"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,641</w:t>
            </w:r>
          </w:p>
        </w:tc>
        <w:tc>
          <w:tcPr>
            <w:tcW w:w="893" w:type="dxa"/>
            <w:tcBorders>
              <w:top w:val="single" w:sz="8" w:space="0" w:color="AEAEAE"/>
              <w:left w:val="single" w:sz="8" w:space="0" w:color="E0E0E0"/>
              <w:bottom w:val="single" w:sz="8" w:space="0" w:color="AEAEAE"/>
              <w:right w:val="nil"/>
            </w:tcBorders>
            <w:shd w:val="clear" w:color="auto" w:fill="FFFFFF"/>
          </w:tcPr>
          <w:p w14:paraId="3992EFC3"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1,561</w:t>
            </w:r>
          </w:p>
        </w:tc>
      </w:tr>
      <w:tr w:rsidR="00D57F51" w:rsidRPr="00DA33AD" w14:paraId="4CEA757C" w14:textId="77777777" w:rsidTr="004E3771">
        <w:trPr>
          <w:cantSplit/>
          <w:trHeight w:val="374"/>
        </w:trPr>
        <w:tc>
          <w:tcPr>
            <w:tcW w:w="637" w:type="dxa"/>
            <w:vMerge/>
            <w:tcBorders>
              <w:top w:val="single" w:sz="8" w:space="0" w:color="152935"/>
              <w:left w:val="nil"/>
              <w:bottom w:val="single" w:sz="8" w:space="0" w:color="152935"/>
              <w:right w:val="nil"/>
            </w:tcBorders>
            <w:shd w:val="clear" w:color="auto" w:fill="auto"/>
          </w:tcPr>
          <w:p w14:paraId="36C6E313" w14:textId="77777777" w:rsidR="00D57F51" w:rsidRPr="004E3771" w:rsidRDefault="00D57F51" w:rsidP="007D63BD">
            <w:pPr>
              <w:autoSpaceDE w:val="0"/>
              <w:autoSpaceDN w:val="0"/>
              <w:adjustRightInd w:val="0"/>
              <w:spacing w:after="0" w:line="240" w:lineRule="auto"/>
              <w:rPr>
                <w:rFonts w:ascii="Sylfaen" w:eastAsiaTheme="minorHAnsi" w:hAnsi="Sylfaen" w:cstheme="minorHAnsi"/>
                <w:sz w:val="20"/>
                <w:szCs w:val="20"/>
                <w:lang w:val="nl-NL"/>
              </w:rPr>
            </w:pPr>
          </w:p>
        </w:tc>
        <w:tc>
          <w:tcPr>
            <w:tcW w:w="2127" w:type="dxa"/>
            <w:tcBorders>
              <w:top w:val="single" w:sz="8" w:space="0" w:color="AEAEAE"/>
              <w:left w:val="nil"/>
              <w:bottom w:val="single" w:sz="8" w:space="0" w:color="152935"/>
              <w:right w:val="nil"/>
            </w:tcBorders>
            <w:shd w:val="clear" w:color="auto" w:fill="auto"/>
          </w:tcPr>
          <w:p w14:paraId="070227A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b/>
                <w:sz w:val="20"/>
                <w:szCs w:val="20"/>
                <w:lang w:val="nl-NL"/>
              </w:rPr>
            </w:pPr>
            <w:r w:rsidRPr="004E3771">
              <w:rPr>
                <w:rFonts w:ascii="Sylfaen" w:eastAsiaTheme="minorHAnsi" w:hAnsi="Sylfaen" w:cstheme="minorHAnsi"/>
                <w:b/>
                <w:sz w:val="20"/>
                <w:szCs w:val="20"/>
                <w:lang w:val="nl-NL"/>
              </w:rPr>
              <w:t>MS2004</w:t>
            </w:r>
          </w:p>
        </w:tc>
        <w:tc>
          <w:tcPr>
            <w:tcW w:w="1157" w:type="dxa"/>
            <w:tcBorders>
              <w:top w:val="single" w:sz="8" w:space="0" w:color="AEAEAE"/>
              <w:left w:val="nil"/>
              <w:bottom w:val="single" w:sz="8" w:space="0" w:color="152935"/>
              <w:right w:val="single" w:sz="8" w:space="0" w:color="E0E0E0"/>
            </w:tcBorders>
            <w:shd w:val="clear" w:color="auto" w:fill="FFFFFF"/>
          </w:tcPr>
          <w:p w14:paraId="78B7B350"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-,361</w:t>
            </w:r>
          </w:p>
        </w:tc>
        <w:tc>
          <w:tcPr>
            <w:tcW w:w="1158" w:type="dxa"/>
            <w:tcBorders>
              <w:top w:val="single" w:sz="8" w:space="0" w:color="AEAEAE"/>
              <w:left w:val="single" w:sz="8" w:space="0" w:color="E0E0E0"/>
              <w:bottom w:val="single" w:sz="8" w:space="0" w:color="152935"/>
              <w:right w:val="single" w:sz="8" w:space="0" w:color="E0E0E0"/>
            </w:tcBorders>
            <w:shd w:val="clear" w:color="auto" w:fill="FFFFFF"/>
          </w:tcPr>
          <w:p w14:paraId="3A67041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,142</w:t>
            </w:r>
          </w:p>
        </w:tc>
        <w:tc>
          <w:tcPr>
            <w:tcW w:w="1277" w:type="dxa"/>
            <w:tcBorders>
              <w:top w:val="single" w:sz="8" w:space="0" w:color="AEAEAE"/>
              <w:left w:val="single" w:sz="8" w:space="0" w:color="E0E0E0"/>
              <w:bottom w:val="single" w:sz="8" w:space="0" w:color="152935"/>
              <w:right w:val="single" w:sz="8" w:space="0" w:color="E0E0E0"/>
            </w:tcBorders>
            <w:shd w:val="clear" w:color="auto" w:fill="FFFFFF"/>
          </w:tcPr>
          <w:p w14:paraId="1D15B6B6"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-,134</w:t>
            </w:r>
          </w:p>
        </w:tc>
        <w:tc>
          <w:tcPr>
            <w:tcW w:w="891" w:type="dxa"/>
            <w:tcBorders>
              <w:top w:val="single" w:sz="8" w:space="0" w:color="AEAEAE"/>
              <w:left w:val="single" w:sz="8" w:space="0" w:color="E0E0E0"/>
              <w:bottom w:val="single" w:sz="8" w:space="0" w:color="152935"/>
              <w:right w:val="single" w:sz="8" w:space="0" w:color="E0E0E0"/>
            </w:tcBorders>
            <w:shd w:val="clear" w:color="auto" w:fill="FFFFFF"/>
          </w:tcPr>
          <w:p w14:paraId="650F265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-2,540</w:t>
            </w:r>
          </w:p>
        </w:tc>
        <w:tc>
          <w:tcPr>
            <w:tcW w:w="891" w:type="dxa"/>
            <w:tcBorders>
              <w:top w:val="single" w:sz="8" w:space="0" w:color="AEAEAE"/>
              <w:left w:val="single" w:sz="8" w:space="0" w:color="E0E0E0"/>
              <w:bottom w:val="single" w:sz="8" w:space="0" w:color="152935"/>
              <w:right w:val="single" w:sz="8" w:space="0" w:color="E0E0E0"/>
            </w:tcBorders>
            <w:shd w:val="clear" w:color="auto" w:fill="FFFFFF"/>
          </w:tcPr>
          <w:p w14:paraId="113F3A6B"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,011</w:t>
            </w:r>
          </w:p>
        </w:tc>
        <w:tc>
          <w:tcPr>
            <w:tcW w:w="984" w:type="dxa"/>
            <w:tcBorders>
              <w:top w:val="single" w:sz="8" w:space="0" w:color="AEAEAE"/>
              <w:left w:val="single" w:sz="8" w:space="0" w:color="E0E0E0"/>
              <w:bottom w:val="single" w:sz="8" w:space="0" w:color="152935"/>
              <w:right w:val="single" w:sz="8" w:space="0" w:color="E0E0E0"/>
            </w:tcBorders>
            <w:shd w:val="clear" w:color="auto" w:fill="FFFFFF"/>
          </w:tcPr>
          <w:p w14:paraId="41B0C7AE"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,524</w:t>
            </w:r>
          </w:p>
        </w:tc>
        <w:tc>
          <w:tcPr>
            <w:tcW w:w="893" w:type="dxa"/>
            <w:tcBorders>
              <w:top w:val="single" w:sz="8" w:space="0" w:color="AEAEAE"/>
              <w:left w:val="single" w:sz="8" w:space="0" w:color="E0E0E0"/>
              <w:bottom w:val="single" w:sz="8" w:space="0" w:color="152935"/>
              <w:right w:val="nil"/>
            </w:tcBorders>
            <w:shd w:val="clear" w:color="auto" w:fill="FFFFFF"/>
          </w:tcPr>
          <w:p w14:paraId="35E92984"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1,909</w:t>
            </w:r>
          </w:p>
        </w:tc>
      </w:tr>
      <w:tr w:rsidR="00D57F51" w:rsidRPr="00DA33AD" w14:paraId="6667B484" w14:textId="77777777" w:rsidTr="004E3771">
        <w:trPr>
          <w:cantSplit/>
          <w:trHeight w:val="60"/>
        </w:trPr>
        <w:tc>
          <w:tcPr>
            <w:tcW w:w="10015" w:type="dxa"/>
            <w:gridSpan w:val="9"/>
            <w:tcBorders>
              <w:top w:val="nil"/>
              <w:left w:val="nil"/>
              <w:bottom w:val="nil"/>
              <w:right w:val="nil"/>
            </w:tcBorders>
            <w:shd w:val="clear" w:color="auto" w:fill="FFFFFF"/>
          </w:tcPr>
          <w:p w14:paraId="59A9E94A" w14:textId="77777777" w:rsidR="00D57F51" w:rsidRPr="004E3771" w:rsidRDefault="00D57F51" w:rsidP="007D63BD">
            <w:pPr>
              <w:autoSpaceDE w:val="0"/>
              <w:autoSpaceDN w:val="0"/>
              <w:adjustRightInd w:val="0"/>
              <w:spacing w:after="0" w:line="320" w:lineRule="atLeast"/>
              <w:ind w:left="60" w:right="60"/>
              <w:rPr>
                <w:rFonts w:ascii="Sylfaen" w:eastAsiaTheme="minorHAnsi" w:hAnsi="Sylfaen" w:cstheme="minorHAnsi"/>
                <w:sz w:val="20"/>
                <w:szCs w:val="20"/>
                <w:lang w:val="nl-NL"/>
              </w:rPr>
            </w:pPr>
            <w:r w:rsidRPr="004E3771">
              <w:rPr>
                <w:rFonts w:ascii="Sylfaen" w:eastAsiaTheme="minorHAnsi" w:hAnsi="Sylfaen" w:cstheme="minorHAnsi"/>
                <w:sz w:val="20"/>
                <w:szCs w:val="20"/>
                <w:lang w:val="nl-NL"/>
              </w:rPr>
              <w:t>a. Dependent Variable: Compliance</w:t>
            </w:r>
          </w:p>
        </w:tc>
      </w:tr>
    </w:tbl>
    <w:p w14:paraId="338516BA" w14:textId="4C5E0190" w:rsidR="00D57F51" w:rsidRDefault="00D57F51" w:rsidP="00A1201A">
      <w:pPr>
        <w:pStyle w:val="Kop3"/>
      </w:pPr>
      <w:bookmarkStart w:id="58" w:name="_Toc3196961"/>
      <w:bookmarkStart w:id="59" w:name="_Toc3538995"/>
      <w:bookmarkStart w:id="60" w:name="_Toc3547867"/>
      <w:r>
        <w:lastRenderedPageBreak/>
        <w:t>Pearson Correlation</w:t>
      </w:r>
      <w:bookmarkEnd w:id="58"/>
      <w:bookmarkEnd w:id="59"/>
      <w:bookmarkEnd w:id="60"/>
    </w:p>
    <w:p w14:paraId="13C5B131" w14:textId="55BFAE13" w:rsidR="00D57F51" w:rsidRPr="00601430" w:rsidRDefault="00456D03" w:rsidP="00A1201A">
      <w:pPr>
        <w:ind w:left="708"/>
        <w:jc w:val="center"/>
        <w:rPr>
          <w:rFonts w:ascii="Sylfaen" w:hAnsi="Sylfaen"/>
          <w:i/>
        </w:rPr>
      </w:pPr>
      <w:r>
        <w:rPr>
          <w:noProof/>
        </w:rPr>
        <mc:AlternateContent>
          <mc:Choice Requires="wps">
            <w:drawing>
              <wp:anchor distT="0" distB="0" distL="114300" distR="114300" simplePos="0" relativeHeight="251684352" behindDoc="0" locked="0" layoutInCell="1" allowOverlap="1" wp14:anchorId="6C502CD1" wp14:editId="4E2A6CEE">
                <wp:simplePos x="0" y="0"/>
                <wp:positionH relativeFrom="margin">
                  <wp:posOffset>1748155</wp:posOffset>
                </wp:positionH>
                <wp:positionV relativeFrom="paragraph">
                  <wp:posOffset>71120</wp:posOffset>
                </wp:positionV>
                <wp:extent cx="2476500" cy="7047186"/>
                <wp:effectExtent l="0" t="0" r="19050" b="20955"/>
                <wp:wrapNone/>
                <wp:docPr id="42" name="Rectangle 42"/>
                <wp:cNvGraphicFramePr/>
                <a:graphic xmlns:a="http://schemas.openxmlformats.org/drawingml/2006/main">
                  <a:graphicData uri="http://schemas.microsoft.com/office/word/2010/wordprocessingShape">
                    <wps:wsp>
                      <wps:cNvSpPr/>
                      <wps:spPr>
                        <a:xfrm>
                          <a:off x="0" y="0"/>
                          <a:ext cx="2476500" cy="7047186"/>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73ABAD" id="Rectangle 42" o:spid="_x0000_s1026" style="position:absolute;margin-left:137.65pt;margin-top:5.6pt;width:195pt;height:554.9pt;z-index:251684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" filled="f" strokecolor="black [3213]" strokeweight="1.5pt">
                <w10:wrap anchorx="margin"/>
              </v:rect>
            </w:pict>
          </mc:Fallback>
        </mc:AlternateContent>
      </w:r>
      <w:r w:rsidR="00D57F51">
        <w:br/>
      </w:r>
      <w:r w:rsidR="00D57F51" w:rsidRPr="00601430">
        <w:rPr>
          <w:rFonts w:ascii="Sylfaen" w:hAnsi="Sylfaen"/>
          <w:i/>
          <w:sz w:val="20"/>
        </w:rPr>
        <w:t>Table 3: Correlations</w:t>
      </w:r>
    </w:p>
    <w:p w14:paraId="234886C4" w14:textId="0B4F2475" w:rsidR="001B7053" w:rsidRPr="00407EE7" w:rsidRDefault="00A1201A" w:rsidP="00A1201A">
      <w:pPr>
        <w:jc w:val="center"/>
        <w:rPr>
          <w:rFonts w:asciiTheme="majorHAnsi" w:eastAsiaTheme="majorEastAsia" w:hAnsiTheme="majorHAnsi" w:cstheme="majorBidi"/>
          <w:color w:val="1F4D78" w:themeColor="accent1" w:themeShade="7F"/>
          <w:sz w:val="24"/>
          <w:szCs w:val="24"/>
        </w:rPr>
      </w:pPr>
      <w:r>
        <w:rPr>
          <w:rFonts w:asciiTheme="majorHAnsi" w:eastAsiaTheme="majorEastAsia" w:hAnsiTheme="majorHAnsi" w:cstheme="majorBidi"/>
          <w:noProof/>
          <w:color w:val="1F4D78" w:themeColor="accent1" w:themeShade="7F"/>
          <w:sz w:val="24"/>
          <w:szCs w:val="24"/>
        </w:rPr>
        <w:drawing>
          <wp:inline distT="0" distB="0" distL="0" distR="0" wp14:anchorId="6EE5054B" wp14:editId="3A992A8D">
            <wp:extent cx="6484756" cy="2168743"/>
            <wp:effectExtent l="5397"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rot="16200000">
                      <a:off x="0" y="0"/>
                      <a:ext cx="6528323" cy="2183313"/>
                    </a:xfrm>
                    <a:prstGeom prst="rect">
                      <a:avLst/>
                    </a:prstGeom>
                    <a:noFill/>
                    <a:ln>
                      <a:noFill/>
                    </a:ln>
                  </pic:spPr>
                </pic:pic>
              </a:graphicData>
            </a:graphic>
          </wp:inline>
        </w:drawing>
      </w:r>
    </w:p>
    <w:sectPr w:rsidR="001B7053" w:rsidRPr="00407EE7" w:rsidSect="00AF40F8">
      <w:headerReference w:type="default" r:id="rId36"/>
      <w:footerReference w:type="default" r:id="rId3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76A773" w14:textId="77777777" w:rsidR="009348FE" w:rsidRDefault="009348FE" w:rsidP="00A165CA">
      <w:pPr>
        <w:spacing w:after="0" w:line="240" w:lineRule="auto"/>
      </w:pPr>
      <w:r>
        <w:separator/>
      </w:r>
    </w:p>
  </w:endnote>
  <w:endnote w:type="continuationSeparator" w:id="0">
    <w:p w14:paraId="183FCF1C" w14:textId="77777777" w:rsidR="009348FE" w:rsidRDefault="009348FE" w:rsidP="00A165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inion-Regular">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 w:name="Sylfaen">
    <w:panose1 w:val="010A0502050306030303"/>
    <w:charset w:val="00"/>
    <w:family w:val="roman"/>
    <w:pitch w:val="variable"/>
    <w:sig w:usb0="04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44130223"/>
      <w:docPartObj>
        <w:docPartGallery w:val="Page Numbers (Bottom of Page)"/>
        <w:docPartUnique/>
      </w:docPartObj>
    </w:sdtPr>
    <w:sdtContent>
      <w:p w14:paraId="2C32C64A" w14:textId="6245E461" w:rsidR="001F2F39" w:rsidRDefault="001F2F39">
        <w:pPr>
          <w:pStyle w:val="Voettekst"/>
          <w:jc w:val="right"/>
        </w:pPr>
        <w:r>
          <w:fldChar w:fldCharType="begin"/>
        </w:r>
        <w:r>
          <w:instrText>PAGE   \* MERGEFORMAT</w:instrText>
        </w:r>
        <w:r>
          <w:fldChar w:fldCharType="separate"/>
        </w:r>
        <w:r w:rsidRPr="001943B7">
          <w:rPr>
            <w:noProof/>
            <w:lang w:val="nl-NL"/>
          </w:rPr>
          <w:t>27</w:t>
        </w:r>
        <w:r>
          <w:fldChar w:fldCharType="end"/>
        </w:r>
      </w:p>
    </w:sdtContent>
  </w:sdt>
  <w:p w14:paraId="277355A5" w14:textId="77777777" w:rsidR="001F2F39" w:rsidRDefault="001F2F39">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4133CE" w14:textId="77777777" w:rsidR="009348FE" w:rsidRDefault="009348FE" w:rsidP="00A165CA">
      <w:pPr>
        <w:spacing w:after="0" w:line="240" w:lineRule="auto"/>
      </w:pPr>
      <w:r>
        <w:separator/>
      </w:r>
    </w:p>
  </w:footnote>
  <w:footnote w:type="continuationSeparator" w:id="0">
    <w:p w14:paraId="01B79003" w14:textId="77777777" w:rsidR="009348FE" w:rsidRDefault="009348FE" w:rsidP="00A165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E89177" w14:textId="0AC9DD6F" w:rsidR="001F2F39" w:rsidRDefault="001F2F39">
    <w:pPr>
      <w:pStyle w:val="Koptekst"/>
    </w:pPr>
    <w:r>
      <w:t>Compliance: just a case of fa</w:t>
    </w:r>
    <w:r w:rsidRPr="001B2F24">
      <w:t>irer decision-making pro</w:t>
    </w:r>
    <w:r>
      <w:t>c</w:t>
    </w:r>
    <w:r w:rsidRPr="001B2F24">
      <w:t>edur</w:t>
    </w:r>
    <w:r>
      <w:t>e</w:t>
    </w:r>
    <w:r w:rsidRPr="001B2F24">
      <w:t>s</w:t>
    </w:r>
    <w:r>
      <w:t>?</w:t>
    </w:r>
    <w:r w:rsidRPr="001B2F24">
      <w:t xml:space="preserve"> – Jan Dirk Stam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47FB2"/>
    <w:multiLevelType w:val="hybridMultilevel"/>
    <w:tmpl w:val="9404E3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92D46D3"/>
    <w:multiLevelType w:val="hybridMultilevel"/>
    <w:tmpl w:val="B3FAF8F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105B1D0D"/>
    <w:multiLevelType w:val="hybridMultilevel"/>
    <w:tmpl w:val="41EA384E"/>
    <w:lvl w:ilvl="0" w:tplc="FB2ED940">
      <w:start w:val="23"/>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3E85325"/>
    <w:multiLevelType w:val="hybridMultilevel"/>
    <w:tmpl w:val="F53ED388"/>
    <w:lvl w:ilvl="0" w:tplc="FB2ED940">
      <w:start w:val="23"/>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443722C"/>
    <w:multiLevelType w:val="multilevel"/>
    <w:tmpl w:val="9012AC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4FB0F20"/>
    <w:multiLevelType w:val="hybridMultilevel"/>
    <w:tmpl w:val="C3622D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B5B24FD"/>
    <w:multiLevelType w:val="hybridMultilevel"/>
    <w:tmpl w:val="7C7C44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F1C3389"/>
    <w:multiLevelType w:val="hybridMultilevel"/>
    <w:tmpl w:val="127CA72A"/>
    <w:lvl w:ilvl="0" w:tplc="DA9632CC">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0B4552D"/>
    <w:multiLevelType w:val="hybridMultilevel"/>
    <w:tmpl w:val="80860706"/>
    <w:lvl w:ilvl="0" w:tplc="D9948DEE">
      <w:start w:val="1"/>
      <w:numFmt w:val="upperRoman"/>
      <w:lvlText w:val="%1."/>
      <w:lvlJc w:val="left"/>
      <w:pPr>
        <w:ind w:left="1080" w:hanging="72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2DCF1D5E"/>
    <w:multiLevelType w:val="hybridMultilevel"/>
    <w:tmpl w:val="B71A17C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2F9A6E88"/>
    <w:multiLevelType w:val="hybridMultilevel"/>
    <w:tmpl w:val="4D72961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304327A5"/>
    <w:multiLevelType w:val="multilevel"/>
    <w:tmpl w:val="274E56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3E05E58"/>
    <w:multiLevelType w:val="hybridMultilevel"/>
    <w:tmpl w:val="2104FB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69F1DB7"/>
    <w:multiLevelType w:val="hybridMultilevel"/>
    <w:tmpl w:val="8FD8C03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B7E1230"/>
    <w:multiLevelType w:val="hybridMultilevel"/>
    <w:tmpl w:val="F4E82DD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C4729E4"/>
    <w:multiLevelType w:val="hybridMultilevel"/>
    <w:tmpl w:val="7BBA151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402C0B76"/>
    <w:multiLevelType w:val="hybridMultilevel"/>
    <w:tmpl w:val="A8B49386"/>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40496A18"/>
    <w:multiLevelType w:val="hybridMultilevel"/>
    <w:tmpl w:val="E8E641A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407928B0"/>
    <w:multiLevelType w:val="hybridMultilevel"/>
    <w:tmpl w:val="EDAA20C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0CB623E"/>
    <w:multiLevelType w:val="hybridMultilevel"/>
    <w:tmpl w:val="8168E948"/>
    <w:lvl w:ilvl="0" w:tplc="FB2ED940">
      <w:start w:val="23"/>
      <w:numFmt w:val="bullet"/>
      <w:lvlText w:val="-"/>
      <w:lvlJc w:val="left"/>
      <w:pPr>
        <w:ind w:left="720" w:hanging="360"/>
      </w:pPr>
      <w:rPr>
        <w:rFonts w:ascii="Calibri" w:eastAsia="MS Mincho"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4E3715F"/>
    <w:multiLevelType w:val="hybridMultilevel"/>
    <w:tmpl w:val="6BD06BDE"/>
    <w:lvl w:ilvl="0" w:tplc="04090001">
      <w:start w:val="1"/>
      <w:numFmt w:val="bullet"/>
      <w:lvlText w:val=""/>
      <w:lvlJc w:val="left"/>
      <w:pPr>
        <w:tabs>
          <w:tab w:val="num" w:pos="1776"/>
        </w:tabs>
        <w:ind w:left="1776" w:hanging="360"/>
      </w:pPr>
      <w:rPr>
        <w:rFonts w:ascii="Symbol" w:hAnsi="Symbol" w:hint="default"/>
      </w:rPr>
    </w:lvl>
    <w:lvl w:ilvl="1" w:tplc="0409000F">
      <w:start w:val="1"/>
      <w:numFmt w:val="decimal"/>
      <w:lvlText w:val="%2."/>
      <w:lvlJc w:val="left"/>
      <w:pPr>
        <w:tabs>
          <w:tab w:val="num" w:pos="2856"/>
        </w:tabs>
        <w:ind w:left="2856" w:hanging="360"/>
      </w:pPr>
    </w:lvl>
    <w:lvl w:ilvl="2" w:tplc="04090015">
      <w:start w:val="1"/>
      <w:numFmt w:val="upperLetter"/>
      <w:lvlText w:val="%3."/>
      <w:lvlJc w:val="left"/>
      <w:pPr>
        <w:tabs>
          <w:tab w:val="num" w:pos="3756"/>
        </w:tabs>
        <w:ind w:left="3756" w:hanging="360"/>
      </w:pPr>
    </w:lvl>
    <w:lvl w:ilvl="3" w:tplc="0409000F" w:tentative="1">
      <w:start w:val="1"/>
      <w:numFmt w:val="decimal"/>
      <w:lvlText w:val="%4."/>
      <w:lvlJc w:val="left"/>
      <w:pPr>
        <w:tabs>
          <w:tab w:val="num" w:pos="4296"/>
        </w:tabs>
        <w:ind w:left="4296" w:hanging="360"/>
      </w:pPr>
    </w:lvl>
    <w:lvl w:ilvl="4" w:tplc="04090019" w:tentative="1">
      <w:start w:val="1"/>
      <w:numFmt w:val="lowerLetter"/>
      <w:lvlText w:val="%5."/>
      <w:lvlJc w:val="left"/>
      <w:pPr>
        <w:tabs>
          <w:tab w:val="num" w:pos="5016"/>
        </w:tabs>
        <w:ind w:left="5016" w:hanging="360"/>
      </w:pPr>
    </w:lvl>
    <w:lvl w:ilvl="5" w:tplc="0409001B" w:tentative="1">
      <w:start w:val="1"/>
      <w:numFmt w:val="lowerRoman"/>
      <w:lvlText w:val="%6."/>
      <w:lvlJc w:val="right"/>
      <w:pPr>
        <w:tabs>
          <w:tab w:val="num" w:pos="5736"/>
        </w:tabs>
        <w:ind w:left="5736" w:hanging="180"/>
      </w:pPr>
    </w:lvl>
    <w:lvl w:ilvl="6" w:tplc="0409000F" w:tentative="1">
      <w:start w:val="1"/>
      <w:numFmt w:val="decimal"/>
      <w:lvlText w:val="%7."/>
      <w:lvlJc w:val="left"/>
      <w:pPr>
        <w:tabs>
          <w:tab w:val="num" w:pos="6456"/>
        </w:tabs>
        <w:ind w:left="6456" w:hanging="360"/>
      </w:pPr>
    </w:lvl>
    <w:lvl w:ilvl="7" w:tplc="04090019" w:tentative="1">
      <w:start w:val="1"/>
      <w:numFmt w:val="lowerLetter"/>
      <w:lvlText w:val="%8."/>
      <w:lvlJc w:val="left"/>
      <w:pPr>
        <w:tabs>
          <w:tab w:val="num" w:pos="7176"/>
        </w:tabs>
        <w:ind w:left="7176" w:hanging="360"/>
      </w:pPr>
    </w:lvl>
    <w:lvl w:ilvl="8" w:tplc="0409001B" w:tentative="1">
      <w:start w:val="1"/>
      <w:numFmt w:val="lowerRoman"/>
      <w:lvlText w:val="%9."/>
      <w:lvlJc w:val="right"/>
      <w:pPr>
        <w:tabs>
          <w:tab w:val="num" w:pos="7896"/>
        </w:tabs>
        <w:ind w:left="7896" w:hanging="180"/>
      </w:pPr>
    </w:lvl>
  </w:abstractNum>
  <w:abstractNum w:abstractNumId="21" w15:restartNumberingAfterBreak="0">
    <w:nsid w:val="46A44370"/>
    <w:multiLevelType w:val="hybridMultilevel"/>
    <w:tmpl w:val="B47C9D0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48A807EB"/>
    <w:multiLevelType w:val="hybridMultilevel"/>
    <w:tmpl w:val="D7A8C6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9063B67"/>
    <w:multiLevelType w:val="hybridMultilevel"/>
    <w:tmpl w:val="3C8AF032"/>
    <w:lvl w:ilvl="0" w:tplc="FB2ED940">
      <w:start w:val="23"/>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5483752F"/>
    <w:multiLevelType w:val="hybridMultilevel"/>
    <w:tmpl w:val="D986A56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9AF62AA"/>
    <w:multiLevelType w:val="hybridMultilevel"/>
    <w:tmpl w:val="DD9EB2BA"/>
    <w:lvl w:ilvl="0" w:tplc="FB2ED940">
      <w:start w:val="23"/>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5A250401"/>
    <w:multiLevelType w:val="hybridMultilevel"/>
    <w:tmpl w:val="22E04D72"/>
    <w:lvl w:ilvl="0" w:tplc="FB2ED940">
      <w:start w:val="23"/>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E616B3B"/>
    <w:multiLevelType w:val="hybridMultilevel"/>
    <w:tmpl w:val="17161B0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62616342"/>
    <w:multiLevelType w:val="hybridMultilevel"/>
    <w:tmpl w:val="644056B6"/>
    <w:lvl w:ilvl="0" w:tplc="2D52F21A">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28F54D2"/>
    <w:multiLevelType w:val="hybridMultilevel"/>
    <w:tmpl w:val="367A7636"/>
    <w:lvl w:ilvl="0" w:tplc="87A8DE64">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4718FC"/>
    <w:multiLevelType w:val="hybridMultilevel"/>
    <w:tmpl w:val="065A2526"/>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5C03F9F"/>
    <w:multiLevelType w:val="hybridMultilevel"/>
    <w:tmpl w:val="0804EB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5EF5177"/>
    <w:multiLevelType w:val="hybridMultilevel"/>
    <w:tmpl w:val="28828AFE"/>
    <w:lvl w:ilvl="0" w:tplc="97F4DD22">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70814A97"/>
    <w:multiLevelType w:val="hybridMultilevel"/>
    <w:tmpl w:val="40D8ECCC"/>
    <w:lvl w:ilvl="0" w:tplc="C2D04ACE">
      <w:start w:val="1"/>
      <w:numFmt w:val="bullet"/>
      <w:lvlText w:val=""/>
      <w:lvlJc w:val="left"/>
      <w:pPr>
        <w:ind w:left="720" w:hanging="360"/>
      </w:pPr>
      <w:rPr>
        <w:rFonts w:ascii="Wingdings" w:eastAsiaTheme="minorHAnsi" w:hAnsi="Wingdings" w:cs="Minion-Regular"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52613B1"/>
    <w:multiLevelType w:val="hybridMultilevel"/>
    <w:tmpl w:val="16D0AAD6"/>
    <w:lvl w:ilvl="0" w:tplc="516624B8">
      <w:start w:val="23"/>
      <w:numFmt w:val="bullet"/>
      <w:lvlText w:val="-"/>
      <w:lvlJc w:val="left"/>
      <w:pPr>
        <w:ind w:left="720" w:hanging="360"/>
      </w:pPr>
      <w:rPr>
        <w:rFonts w:ascii="Calibri" w:eastAsia="MS Mincho"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7A0730F3"/>
    <w:multiLevelType w:val="hybridMultilevel"/>
    <w:tmpl w:val="32D47488"/>
    <w:lvl w:ilvl="0" w:tplc="FB2ED940">
      <w:start w:val="23"/>
      <w:numFmt w:val="bullet"/>
      <w:lvlText w:val="-"/>
      <w:lvlJc w:val="left"/>
      <w:pPr>
        <w:ind w:left="720" w:hanging="360"/>
      </w:pPr>
      <w:rPr>
        <w:rFonts w:ascii="Calibri" w:eastAsia="MS Mincho"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BDA3A5C"/>
    <w:multiLevelType w:val="hybridMultilevel"/>
    <w:tmpl w:val="890AAD5A"/>
    <w:lvl w:ilvl="0" w:tplc="5F92008E">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33"/>
  </w:num>
  <w:num w:numId="3">
    <w:abstractNumId w:val="30"/>
  </w:num>
  <w:num w:numId="4">
    <w:abstractNumId w:val="9"/>
  </w:num>
  <w:num w:numId="5">
    <w:abstractNumId w:val="24"/>
  </w:num>
  <w:num w:numId="6">
    <w:abstractNumId w:val="14"/>
  </w:num>
  <w:num w:numId="7">
    <w:abstractNumId w:val="1"/>
  </w:num>
  <w:num w:numId="8">
    <w:abstractNumId w:val="27"/>
  </w:num>
  <w:num w:numId="9">
    <w:abstractNumId w:val="20"/>
  </w:num>
  <w:num w:numId="10">
    <w:abstractNumId w:val="5"/>
  </w:num>
  <w:num w:numId="11">
    <w:abstractNumId w:val="16"/>
  </w:num>
  <w:num w:numId="12">
    <w:abstractNumId w:val="34"/>
  </w:num>
  <w:num w:numId="13">
    <w:abstractNumId w:val="26"/>
  </w:num>
  <w:num w:numId="14">
    <w:abstractNumId w:val="35"/>
  </w:num>
  <w:num w:numId="15">
    <w:abstractNumId w:val="10"/>
  </w:num>
  <w:num w:numId="16">
    <w:abstractNumId w:val="32"/>
  </w:num>
  <w:num w:numId="17">
    <w:abstractNumId w:val="6"/>
  </w:num>
  <w:num w:numId="18">
    <w:abstractNumId w:val="13"/>
  </w:num>
  <w:num w:numId="19">
    <w:abstractNumId w:val="22"/>
  </w:num>
  <w:num w:numId="20">
    <w:abstractNumId w:val="21"/>
  </w:num>
  <w:num w:numId="21">
    <w:abstractNumId w:val="12"/>
  </w:num>
  <w:num w:numId="22">
    <w:abstractNumId w:val="2"/>
  </w:num>
  <w:num w:numId="23">
    <w:abstractNumId w:val="25"/>
  </w:num>
  <w:num w:numId="24">
    <w:abstractNumId w:val="19"/>
  </w:num>
  <w:num w:numId="25">
    <w:abstractNumId w:val="23"/>
  </w:num>
  <w:num w:numId="26">
    <w:abstractNumId w:val="3"/>
  </w:num>
  <w:num w:numId="27">
    <w:abstractNumId w:val="18"/>
  </w:num>
  <w:num w:numId="28">
    <w:abstractNumId w:val="15"/>
  </w:num>
  <w:num w:numId="29">
    <w:abstractNumId w:val="11"/>
  </w:num>
  <w:num w:numId="30">
    <w:abstractNumId w:val="31"/>
  </w:num>
  <w:num w:numId="31">
    <w:abstractNumId w:val="36"/>
  </w:num>
  <w:num w:numId="32">
    <w:abstractNumId w:val="8"/>
  </w:num>
  <w:num w:numId="33">
    <w:abstractNumId w:val="7"/>
  </w:num>
  <w:num w:numId="34">
    <w:abstractNumId w:val="29"/>
  </w:num>
  <w:num w:numId="35">
    <w:abstractNumId w:val="28"/>
  </w:num>
  <w:num w:numId="36">
    <w:abstractNumId w:val="0"/>
  </w:num>
  <w:num w:numId="3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65CA"/>
    <w:rsid w:val="0000198B"/>
    <w:rsid w:val="0000601D"/>
    <w:rsid w:val="000135B4"/>
    <w:rsid w:val="000141A4"/>
    <w:rsid w:val="00014842"/>
    <w:rsid w:val="000152CA"/>
    <w:rsid w:val="00015C11"/>
    <w:rsid w:val="00017B44"/>
    <w:rsid w:val="0002338C"/>
    <w:rsid w:val="000306CF"/>
    <w:rsid w:val="00030BD1"/>
    <w:rsid w:val="00031498"/>
    <w:rsid w:val="000357F6"/>
    <w:rsid w:val="000362A0"/>
    <w:rsid w:val="000425EA"/>
    <w:rsid w:val="0004661D"/>
    <w:rsid w:val="00052E41"/>
    <w:rsid w:val="00057F88"/>
    <w:rsid w:val="000662F7"/>
    <w:rsid w:val="00071B12"/>
    <w:rsid w:val="000730F6"/>
    <w:rsid w:val="00074E55"/>
    <w:rsid w:val="00077AF4"/>
    <w:rsid w:val="000806BE"/>
    <w:rsid w:val="00082714"/>
    <w:rsid w:val="0008394A"/>
    <w:rsid w:val="000862B1"/>
    <w:rsid w:val="00086939"/>
    <w:rsid w:val="00086A3F"/>
    <w:rsid w:val="0008743F"/>
    <w:rsid w:val="00090DDF"/>
    <w:rsid w:val="00091A04"/>
    <w:rsid w:val="000924D6"/>
    <w:rsid w:val="00092B8C"/>
    <w:rsid w:val="00093C38"/>
    <w:rsid w:val="00094CF5"/>
    <w:rsid w:val="000A1FEA"/>
    <w:rsid w:val="000A2B28"/>
    <w:rsid w:val="000A551B"/>
    <w:rsid w:val="000A55B1"/>
    <w:rsid w:val="000A6F65"/>
    <w:rsid w:val="000B39D1"/>
    <w:rsid w:val="000B3DD8"/>
    <w:rsid w:val="000B4424"/>
    <w:rsid w:val="000C02F4"/>
    <w:rsid w:val="000C1EE3"/>
    <w:rsid w:val="000C6BCD"/>
    <w:rsid w:val="000C7D15"/>
    <w:rsid w:val="000D0C30"/>
    <w:rsid w:val="000D2788"/>
    <w:rsid w:val="000D40D1"/>
    <w:rsid w:val="000D6626"/>
    <w:rsid w:val="000F0A97"/>
    <w:rsid w:val="000F2164"/>
    <w:rsid w:val="000F2FCA"/>
    <w:rsid w:val="000F6F2E"/>
    <w:rsid w:val="000F7276"/>
    <w:rsid w:val="000F79F0"/>
    <w:rsid w:val="001100DA"/>
    <w:rsid w:val="00112153"/>
    <w:rsid w:val="001169A2"/>
    <w:rsid w:val="00121D41"/>
    <w:rsid w:val="00121EEF"/>
    <w:rsid w:val="0012251F"/>
    <w:rsid w:val="00131251"/>
    <w:rsid w:val="001343D5"/>
    <w:rsid w:val="001364F4"/>
    <w:rsid w:val="00136F6A"/>
    <w:rsid w:val="0013703E"/>
    <w:rsid w:val="001432EA"/>
    <w:rsid w:val="00146723"/>
    <w:rsid w:val="0015663E"/>
    <w:rsid w:val="00163154"/>
    <w:rsid w:val="001643F6"/>
    <w:rsid w:val="0017083A"/>
    <w:rsid w:val="001769DD"/>
    <w:rsid w:val="00180567"/>
    <w:rsid w:val="00180F2B"/>
    <w:rsid w:val="00183CEF"/>
    <w:rsid w:val="00183E64"/>
    <w:rsid w:val="00185E80"/>
    <w:rsid w:val="00187A6F"/>
    <w:rsid w:val="00191DB7"/>
    <w:rsid w:val="001929B7"/>
    <w:rsid w:val="00193A8F"/>
    <w:rsid w:val="001943B7"/>
    <w:rsid w:val="00195AA0"/>
    <w:rsid w:val="00196889"/>
    <w:rsid w:val="001A427D"/>
    <w:rsid w:val="001A5019"/>
    <w:rsid w:val="001B0EAF"/>
    <w:rsid w:val="001B2F24"/>
    <w:rsid w:val="001B36F6"/>
    <w:rsid w:val="001B391C"/>
    <w:rsid w:val="001B3B03"/>
    <w:rsid w:val="001B444F"/>
    <w:rsid w:val="001B69AF"/>
    <w:rsid w:val="001B7053"/>
    <w:rsid w:val="001C2785"/>
    <w:rsid w:val="001C4DA8"/>
    <w:rsid w:val="001D4168"/>
    <w:rsid w:val="001E1B8F"/>
    <w:rsid w:val="001E6B29"/>
    <w:rsid w:val="001E726E"/>
    <w:rsid w:val="001E72ED"/>
    <w:rsid w:val="001F2F39"/>
    <w:rsid w:val="001F4AFB"/>
    <w:rsid w:val="001F6BD4"/>
    <w:rsid w:val="002000F9"/>
    <w:rsid w:val="00200725"/>
    <w:rsid w:val="0020107C"/>
    <w:rsid w:val="002017D7"/>
    <w:rsid w:val="0020388C"/>
    <w:rsid w:val="002046AA"/>
    <w:rsid w:val="00205E3B"/>
    <w:rsid w:val="00206159"/>
    <w:rsid w:val="00215B7D"/>
    <w:rsid w:val="002209ED"/>
    <w:rsid w:val="002224DC"/>
    <w:rsid w:val="002310F9"/>
    <w:rsid w:val="00232347"/>
    <w:rsid w:val="002336E3"/>
    <w:rsid w:val="00235017"/>
    <w:rsid w:val="00235107"/>
    <w:rsid w:val="002411D8"/>
    <w:rsid w:val="00243F88"/>
    <w:rsid w:val="00247741"/>
    <w:rsid w:val="002509B1"/>
    <w:rsid w:val="00252F32"/>
    <w:rsid w:val="002559C7"/>
    <w:rsid w:val="00255CD7"/>
    <w:rsid w:val="00257CA9"/>
    <w:rsid w:val="002610BB"/>
    <w:rsid w:val="002651B2"/>
    <w:rsid w:val="00271F53"/>
    <w:rsid w:val="00272BB1"/>
    <w:rsid w:val="002733B5"/>
    <w:rsid w:val="00276C40"/>
    <w:rsid w:val="002836CB"/>
    <w:rsid w:val="002900D7"/>
    <w:rsid w:val="00292D42"/>
    <w:rsid w:val="00294388"/>
    <w:rsid w:val="00297180"/>
    <w:rsid w:val="002A2B1F"/>
    <w:rsid w:val="002A38D1"/>
    <w:rsid w:val="002A4C6F"/>
    <w:rsid w:val="002B0030"/>
    <w:rsid w:val="002B63E1"/>
    <w:rsid w:val="002B7414"/>
    <w:rsid w:val="002C07AA"/>
    <w:rsid w:val="002C2A76"/>
    <w:rsid w:val="002C4352"/>
    <w:rsid w:val="002D152C"/>
    <w:rsid w:val="002D4668"/>
    <w:rsid w:val="002D681D"/>
    <w:rsid w:val="002D6B91"/>
    <w:rsid w:val="003057B2"/>
    <w:rsid w:val="00310D2A"/>
    <w:rsid w:val="00312357"/>
    <w:rsid w:val="00312D84"/>
    <w:rsid w:val="00317197"/>
    <w:rsid w:val="003203CE"/>
    <w:rsid w:val="003205EF"/>
    <w:rsid w:val="00334331"/>
    <w:rsid w:val="00337B58"/>
    <w:rsid w:val="00340DC9"/>
    <w:rsid w:val="0034471D"/>
    <w:rsid w:val="003456A2"/>
    <w:rsid w:val="00346817"/>
    <w:rsid w:val="00353777"/>
    <w:rsid w:val="003714E3"/>
    <w:rsid w:val="003714F0"/>
    <w:rsid w:val="003725B1"/>
    <w:rsid w:val="00376E75"/>
    <w:rsid w:val="00377AE9"/>
    <w:rsid w:val="0038453A"/>
    <w:rsid w:val="00384C54"/>
    <w:rsid w:val="003970D0"/>
    <w:rsid w:val="003A1E6A"/>
    <w:rsid w:val="003A3FA8"/>
    <w:rsid w:val="003A4390"/>
    <w:rsid w:val="003A4A92"/>
    <w:rsid w:val="003A7080"/>
    <w:rsid w:val="003B0491"/>
    <w:rsid w:val="003B0A00"/>
    <w:rsid w:val="003B60E1"/>
    <w:rsid w:val="003B64A9"/>
    <w:rsid w:val="003C2066"/>
    <w:rsid w:val="003C30E9"/>
    <w:rsid w:val="003C6D9B"/>
    <w:rsid w:val="003D132E"/>
    <w:rsid w:val="003D139F"/>
    <w:rsid w:val="003D24DB"/>
    <w:rsid w:val="003D3CD9"/>
    <w:rsid w:val="003D3CE1"/>
    <w:rsid w:val="003E006F"/>
    <w:rsid w:val="003E2096"/>
    <w:rsid w:val="003E2263"/>
    <w:rsid w:val="003E2FCF"/>
    <w:rsid w:val="003E3743"/>
    <w:rsid w:val="003E4629"/>
    <w:rsid w:val="003F1293"/>
    <w:rsid w:val="003F224D"/>
    <w:rsid w:val="003F416A"/>
    <w:rsid w:val="003F44B6"/>
    <w:rsid w:val="003F4EA3"/>
    <w:rsid w:val="00403AB9"/>
    <w:rsid w:val="00407EE7"/>
    <w:rsid w:val="00410C65"/>
    <w:rsid w:val="00415ADD"/>
    <w:rsid w:val="00415DF7"/>
    <w:rsid w:val="00427360"/>
    <w:rsid w:val="00427ABE"/>
    <w:rsid w:val="00430871"/>
    <w:rsid w:val="00432D47"/>
    <w:rsid w:val="004371B0"/>
    <w:rsid w:val="004408D7"/>
    <w:rsid w:val="00445755"/>
    <w:rsid w:val="00446BCC"/>
    <w:rsid w:val="004504C1"/>
    <w:rsid w:val="004516C5"/>
    <w:rsid w:val="00451771"/>
    <w:rsid w:val="0045200C"/>
    <w:rsid w:val="00453ED0"/>
    <w:rsid w:val="0045565F"/>
    <w:rsid w:val="00456D03"/>
    <w:rsid w:val="0046040B"/>
    <w:rsid w:val="00473784"/>
    <w:rsid w:val="00475996"/>
    <w:rsid w:val="00480389"/>
    <w:rsid w:val="00480762"/>
    <w:rsid w:val="00484B2B"/>
    <w:rsid w:val="00493162"/>
    <w:rsid w:val="00494B4E"/>
    <w:rsid w:val="00496374"/>
    <w:rsid w:val="004A2CB9"/>
    <w:rsid w:val="004B1CD6"/>
    <w:rsid w:val="004B1EF7"/>
    <w:rsid w:val="004B2420"/>
    <w:rsid w:val="004B7531"/>
    <w:rsid w:val="004C08A6"/>
    <w:rsid w:val="004C7442"/>
    <w:rsid w:val="004C7B5E"/>
    <w:rsid w:val="004C7D5C"/>
    <w:rsid w:val="004D21A9"/>
    <w:rsid w:val="004D335D"/>
    <w:rsid w:val="004D48C7"/>
    <w:rsid w:val="004D4E76"/>
    <w:rsid w:val="004D6FDD"/>
    <w:rsid w:val="004E0330"/>
    <w:rsid w:val="004E3771"/>
    <w:rsid w:val="004E5F75"/>
    <w:rsid w:val="004E7320"/>
    <w:rsid w:val="004F2833"/>
    <w:rsid w:val="004F28D3"/>
    <w:rsid w:val="004F3898"/>
    <w:rsid w:val="004F4557"/>
    <w:rsid w:val="004F7774"/>
    <w:rsid w:val="004F7D8C"/>
    <w:rsid w:val="00501F44"/>
    <w:rsid w:val="00503945"/>
    <w:rsid w:val="00506D93"/>
    <w:rsid w:val="00513548"/>
    <w:rsid w:val="00514D68"/>
    <w:rsid w:val="00521133"/>
    <w:rsid w:val="00526D88"/>
    <w:rsid w:val="00532CC7"/>
    <w:rsid w:val="00540EDF"/>
    <w:rsid w:val="005412FF"/>
    <w:rsid w:val="005475FE"/>
    <w:rsid w:val="005504C0"/>
    <w:rsid w:val="00550FC9"/>
    <w:rsid w:val="00551459"/>
    <w:rsid w:val="005522CB"/>
    <w:rsid w:val="00552CC5"/>
    <w:rsid w:val="005530C0"/>
    <w:rsid w:val="00556074"/>
    <w:rsid w:val="00556551"/>
    <w:rsid w:val="00557BA1"/>
    <w:rsid w:val="00560210"/>
    <w:rsid w:val="0056046B"/>
    <w:rsid w:val="00560F38"/>
    <w:rsid w:val="00564D16"/>
    <w:rsid w:val="00567E8C"/>
    <w:rsid w:val="0057115E"/>
    <w:rsid w:val="0057228F"/>
    <w:rsid w:val="00573A53"/>
    <w:rsid w:val="0057497F"/>
    <w:rsid w:val="005808F3"/>
    <w:rsid w:val="00582A19"/>
    <w:rsid w:val="00585A16"/>
    <w:rsid w:val="00585B62"/>
    <w:rsid w:val="005A4433"/>
    <w:rsid w:val="005A4B4C"/>
    <w:rsid w:val="005A6D6B"/>
    <w:rsid w:val="005B4855"/>
    <w:rsid w:val="005B488D"/>
    <w:rsid w:val="005B514A"/>
    <w:rsid w:val="005B603B"/>
    <w:rsid w:val="005C16F8"/>
    <w:rsid w:val="005C477E"/>
    <w:rsid w:val="005C560A"/>
    <w:rsid w:val="005C6D42"/>
    <w:rsid w:val="005D35DE"/>
    <w:rsid w:val="005D51EF"/>
    <w:rsid w:val="005D539F"/>
    <w:rsid w:val="005D6952"/>
    <w:rsid w:val="005D78F8"/>
    <w:rsid w:val="005D7945"/>
    <w:rsid w:val="005E1221"/>
    <w:rsid w:val="005E3C95"/>
    <w:rsid w:val="005F2E92"/>
    <w:rsid w:val="005F43B8"/>
    <w:rsid w:val="005F45F6"/>
    <w:rsid w:val="005F5F42"/>
    <w:rsid w:val="00601251"/>
    <w:rsid w:val="00601430"/>
    <w:rsid w:val="0060421A"/>
    <w:rsid w:val="00607BB3"/>
    <w:rsid w:val="00607DB1"/>
    <w:rsid w:val="00620D3B"/>
    <w:rsid w:val="00632D0C"/>
    <w:rsid w:val="00634B96"/>
    <w:rsid w:val="006366BA"/>
    <w:rsid w:val="00645216"/>
    <w:rsid w:val="006474C9"/>
    <w:rsid w:val="00650FD3"/>
    <w:rsid w:val="006515D4"/>
    <w:rsid w:val="00653C08"/>
    <w:rsid w:val="00654486"/>
    <w:rsid w:val="0065763B"/>
    <w:rsid w:val="00660D25"/>
    <w:rsid w:val="00661BD8"/>
    <w:rsid w:val="00661BE6"/>
    <w:rsid w:val="0066569F"/>
    <w:rsid w:val="00673329"/>
    <w:rsid w:val="0067499F"/>
    <w:rsid w:val="00681C17"/>
    <w:rsid w:val="006821A9"/>
    <w:rsid w:val="006822E0"/>
    <w:rsid w:val="0068240B"/>
    <w:rsid w:val="0069165F"/>
    <w:rsid w:val="00691D0F"/>
    <w:rsid w:val="006945C7"/>
    <w:rsid w:val="0069500D"/>
    <w:rsid w:val="00697D18"/>
    <w:rsid w:val="00697E4E"/>
    <w:rsid w:val="006A02FD"/>
    <w:rsid w:val="006A08AE"/>
    <w:rsid w:val="006B1DE2"/>
    <w:rsid w:val="006B45F6"/>
    <w:rsid w:val="006B6224"/>
    <w:rsid w:val="006B6882"/>
    <w:rsid w:val="006C2C27"/>
    <w:rsid w:val="006C2C68"/>
    <w:rsid w:val="006C78A6"/>
    <w:rsid w:val="006D0313"/>
    <w:rsid w:val="006D0C15"/>
    <w:rsid w:val="006D48FD"/>
    <w:rsid w:val="006E1A71"/>
    <w:rsid w:val="006E347D"/>
    <w:rsid w:val="006F2961"/>
    <w:rsid w:val="006F71D6"/>
    <w:rsid w:val="007121D7"/>
    <w:rsid w:val="007134A2"/>
    <w:rsid w:val="0071368C"/>
    <w:rsid w:val="00713EC4"/>
    <w:rsid w:val="00715BE5"/>
    <w:rsid w:val="007205B0"/>
    <w:rsid w:val="00731904"/>
    <w:rsid w:val="00732AB6"/>
    <w:rsid w:val="00732D12"/>
    <w:rsid w:val="00734A53"/>
    <w:rsid w:val="00740C8D"/>
    <w:rsid w:val="00743828"/>
    <w:rsid w:val="00743C45"/>
    <w:rsid w:val="00751334"/>
    <w:rsid w:val="00752601"/>
    <w:rsid w:val="00755237"/>
    <w:rsid w:val="00757D68"/>
    <w:rsid w:val="00760594"/>
    <w:rsid w:val="007633FD"/>
    <w:rsid w:val="00765C38"/>
    <w:rsid w:val="007663B9"/>
    <w:rsid w:val="00767FB7"/>
    <w:rsid w:val="00772C69"/>
    <w:rsid w:val="00773E3A"/>
    <w:rsid w:val="00774EAF"/>
    <w:rsid w:val="0078127C"/>
    <w:rsid w:val="007812D7"/>
    <w:rsid w:val="007834D3"/>
    <w:rsid w:val="0078413A"/>
    <w:rsid w:val="00785F57"/>
    <w:rsid w:val="0079045D"/>
    <w:rsid w:val="00792451"/>
    <w:rsid w:val="00794226"/>
    <w:rsid w:val="007949B8"/>
    <w:rsid w:val="00797ECB"/>
    <w:rsid w:val="007A13AF"/>
    <w:rsid w:val="007A1703"/>
    <w:rsid w:val="007A23F1"/>
    <w:rsid w:val="007A2DB3"/>
    <w:rsid w:val="007A3F34"/>
    <w:rsid w:val="007A4147"/>
    <w:rsid w:val="007A43CC"/>
    <w:rsid w:val="007A5001"/>
    <w:rsid w:val="007A552A"/>
    <w:rsid w:val="007A554C"/>
    <w:rsid w:val="007C1AA9"/>
    <w:rsid w:val="007C2368"/>
    <w:rsid w:val="007C784E"/>
    <w:rsid w:val="007D2B74"/>
    <w:rsid w:val="007D63BD"/>
    <w:rsid w:val="007E2885"/>
    <w:rsid w:val="007F061A"/>
    <w:rsid w:val="007F1B82"/>
    <w:rsid w:val="007F6DD6"/>
    <w:rsid w:val="00802BF0"/>
    <w:rsid w:val="008034FF"/>
    <w:rsid w:val="00803E34"/>
    <w:rsid w:val="00804FA0"/>
    <w:rsid w:val="00821A3C"/>
    <w:rsid w:val="00823A86"/>
    <w:rsid w:val="008328C6"/>
    <w:rsid w:val="00836FEC"/>
    <w:rsid w:val="008406C5"/>
    <w:rsid w:val="00842534"/>
    <w:rsid w:val="0084490F"/>
    <w:rsid w:val="00846159"/>
    <w:rsid w:val="008462CF"/>
    <w:rsid w:val="00847685"/>
    <w:rsid w:val="00850E3C"/>
    <w:rsid w:val="00855EAC"/>
    <w:rsid w:val="008568D1"/>
    <w:rsid w:val="0086046F"/>
    <w:rsid w:val="00860749"/>
    <w:rsid w:val="00861DB1"/>
    <w:rsid w:val="00864CAD"/>
    <w:rsid w:val="008702A1"/>
    <w:rsid w:val="0087131A"/>
    <w:rsid w:val="00880274"/>
    <w:rsid w:val="00884558"/>
    <w:rsid w:val="00884C9E"/>
    <w:rsid w:val="00885EB1"/>
    <w:rsid w:val="008932D1"/>
    <w:rsid w:val="00896ADA"/>
    <w:rsid w:val="00896AE8"/>
    <w:rsid w:val="008A0728"/>
    <w:rsid w:val="008A59C6"/>
    <w:rsid w:val="008A6407"/>
    <w:rsid w:val="008A6431"/>
    <w:rsid w:val="008B37EC"/>
    <w:rsid w:val="008C0506"/>
    <w:rsid w:val="008C060E"/>
    <w:rsid w:val="008C0819"/>
    <w:rsid w:val="008C0E96"/>
    <w:rsid w:val="008C0F86"/>
    <w:rsid w:val="008C12F3"/>
    <w:rsid w:val="008C42B1"/>
    <w:rsid w:val="008C4F32"/>
    <w:rsid w:val="008C5153"/>
    <w:rsid w:val="008D2152"/>
    <w:rsid w:val="008D43D8"/>
    <w:rsid w:val="008D519C"/>
    <w:rsid w:val="008D5896"/>
    <w:rsid w:val="008D6E42"/>
    <w:rsid w:val="008E25AE"/>
    <w:rsid w:val="008E3035"/>
    <w:rsid w:val="008E5322"/>
    <w:rsid w:val="008E671A"/>
    <w:rsid w:val="008E7CA6"/>
    <w:rsid w:val="00901467"/>
    <w:rsid w:val="00901AF7"/>
    <w:rsid w:val="00901D8D"/>
    <w:rsid w:val="009032EF"/>
    <w:rsid w:val="00905AA2"/>
    <w:rsid w:val="00910297"/>
    <w:rsid w:val="00910A23"/>
    <w:rsid w:val="009118A9"/>
    <w:rsid w:val="00912D39"/>
    <w:rsid w:val="009132B4"/>
    <w:rsid w:val="009146BD"/>
    <w:rsid w:val="00914724"/>
    <w:rsid w:val="00915980"/>
    <w:rsid w:val="009175BA"/>
    <w:rsid w:val="00920C55"/>
    <w:rsid w:val="00921709"/>
    <w:rsid w:val="00921D89"/>
    <w:rsid w:val="00925268"/>
    <w:rsid w:val="00926D26"/>
    <w:rsid w:val="00933E1E"/>
    <w:rsid w:val="009348FE"/>
    <w:rsid w:val="00936857"/>
    <w:rsid w:val="00937D4A"/>
    <w:rsid w:val="00941E02"/>
    <w:rsid w:val="00945283"/>
    <w:rsid w:val="00951129"/>
    <w:rsid w:val="009527BE"/>
    <w:rsid w:val="00952927"/>
    <w:rsid w:val="00953685"/>
    <w:rsid w:val="00966FC8"/>
    <w:rsid w:val="00974F46"/>
    <w:rsid w:val="0098132D"/>
    <w:rsid w:val="00992EC0"/>
    <w:rsid w:val="009A0F4A"/>
    <w:rsid w:val="009A261C"/>
    <w:rsid w:val="009A2B78"/>
    <w:rsid w:val="009A742C"/>
    <w:rsid w:val="009A77BF"/>
    <w:rsid w:val="009B60FC"/>
    <w:rsid w:val="009B63CB"/>
    <w:rsid w:val="009B657C"/>
    <w:rsid w:val="009C2186"/>
    <w:rsid w:val="009C308D"/>
    <w:rsid w:val="009C4AC6"/>
    <w:rsid w:val="009C524D"/>
    <w:rsid w:val="009C6448"/>
    <w:rsid w:val="009D06B7"/>
    <w:rsid w:val="009D1E6C"/>
    <w:rsid w:val="009D65A7"/>
    <w:rsid w:val="009D7648"/>
    <w:rsid w:val="009E0A2B"/>
    <w:rsid w:val="009E12A9"/>
    <w:rsid w:val="009F03DA"/>
    <w:rsid w:val="009F18BA"/>
    <w:rsid w:val="009F2C33"/>
    <w:rsid w:val="009F4C7C"/>
    <w:rsid w:val="009F566A"/>
    <w:rsid w:val="009F57C1"/>
    <w:rsid w:val="009F7CD6"/>
    <w:rsid w:val="00A02546"/>
    <w:rsid w:val="00A03AFD"/>
    <w:rsid w:val="00A04283"/>
    <w:rsid w:val="00A066F2"/>
    <w:rsid w:val="00A069D1"/>
    <w:rsid w:val="00A1201A"/>
    <w:rsid w:val="00A1334A"/>
    <w:rsid w:val="00A13C8F"/>
    <w:rsid w:val="00A165CA"/>
    <w:rsid w:val="00A17D99"/>
    <w:rsid w:val="00A256CD"/>
    <w:rsid w:val="00A32C6A"/>
    <w:rsid w:val="00A3353B"/>
    <w:rsid w:val="00A33F22"/>
    <w:rsid w:val="00A418CD"/>
    <w:rsid w:val="00A41EA1"/>
    <w:rsid w:val="00A43282"/>
    <w:rsid w:val="00A464E1"/>
    <w:rsid w:val="00A4684C"/>
    <w:rsid w:val="00A50763"/>
    <w:rsid w:val="00A50952"/>
    <w:rsid w:val="00A50D56"/>
    <w:rsid w:val="00A51D9D"/>
    <w:rsid w:val="00A54DD2"/>
    <w:rsid w:val="00A563D3"/>
    <w:rsid w:val="00A60364"/>
    <w:rsid w:val="00A604F2"/>
    <w:rsid w:val="00A615EC"/>
    <w:rsid w:val="00A623BE"/>
    <w:rsid w:val="00A639D5"/>
    <w:rsid w:val="00A641B6"/>
    <w:rsid w:val="00A646F1"/>
    <w:rsid w:val="00A705F1"/>
    <w:rsid w:val="00A71B40"/>
    <w:rsid w:val="00A7279D"/>
    <w:rsid w:val="00A75939"/>
    <w:rsid w:val="00A811E2"/>
    <w:rsid w:val="00A81205"/>
    <w:rsid w:val="00A8163B"/>
    <w:rsid w:val="00A81696"/>
    <w:rsid w:val="00A826C7"/>
    <w:rsid w:val="00A841E7"/>
    <w:rsid w:val="00A84E0B"/>
    <w:rsid w:val="00A8614E"/>
    <w:rsid w:val="00A86793"/>
    <w:rsid w:val="00A878AD"/>
    <w:rsid w:val="00A90C47"/>
    <w:rsid w:val="00A91593"/>
    <w:rsid w:val="00AA02D6"/>
    <w:rsid w:val="00AA2BEC"/>
    <w:rsid w:val="00AA60CE"/>
    <w:rsid w:val="00AA6CBE"/>
    <w:rsid w:val="00AB5B98"/>
    <w:rsid w:val="00AC60F4"/>
    <w:rsid w:val="00AD2F1D"/>
    <w:rsid w:val="00AD6207"/>
    <w:rsid w:val="00AD6EC3"/>
    <w:rsid w:val="00AE32C5"/>
    <w:rsid w:val="00AE3EC1"/>
    <w:rsid w:val="00AE427D"/>
    <w:rsid w:val="00AE516A"/>
    <w:rsid w:val="00AE610F"/>
    <w:rsid w:val="00AF0E4D"/>
    <w:rsid w:val="00AF1D18"/>
    <w:rsid w:val="00AF40F8"/>
    <w:rsid w:val="00AF5154"/>
    <w:rsid w:val="00AF58DB"/>
    <w:rsid w:val="00B01A88"/>
    <w:rsid w:val="00B04DE7"/>
    <w:rsid w:val="00B12523"/>
    <w:rsid w:val="00B12634"/>
    <w:rsid w:val="00B130D6"/>
    <w:rsid w:val="00B206F9"/>
    <w:rsid w:val="00B24C14"/>
    <w:rsid w:val="00B26313"/>
    <w:rsid w:val="00B26E39"/>
    <w:rsid w:val="00B27759"/>
    <w:rsid w:val="00B30485"/>
    <w:rsid w:val="00B3215A"/>
    <w:rsid w:val="00B3505A"/>
    <w:rsid w:val="00B41DC6"/>
    <w:rsid w:val="00B47201"/>
    <w:rsid w:val="00B510F5"/>
    <w:rsid w:val="00B52BA1"/>
    <w:rsid w:val="00B53A37"/>
    <w:rsid w:val="00B53C7E"/>
    <w:rsid w:val="00B555C6"/>
    <w:rsid w:val="00B6187D"/>
    <w:rsid w:val="00B6546B"/>
    <w:rsid w:val="00B67994"/>
    <w:rsid w:val="00B73E23"/>
    <w:rsid w:val="00B776A6"/>
    <w:rsid w:val="00B8122A"/>
    <w:rsid w:val="00B84275"/>
    <w:rsid w:val="00B85264"/>
    <w:rsid w:val="00B87746"/>
    <w:rsid w:val="00B90CFE"/>
    <w:rsid w:val="00B966E1"/>
    <w:rsid w:val="00BA04CD"/>
    <w:rsid w:val="00BA6520"/>
    <w:rsid w:val="00BB04CD"/>
    <w:rsid w:val="00BB0EB6"/>
    <w:rsid w:val="00BB2CF0"/>
    <w:rsid w:val="00BB4DA4"/>
    <w:rsid w:val="00BB6728"/>
    <w:rsid w:val="00BB79F8"/>
    <w:rsid w:val="00BC0CA7"/>
    <w:rsid w:val="00BC465A"/>
    <w:rsid w:val="00BC5AE9"/>
    <w:rsid w:val="00BD1D83"/>
    <w:rsid w:val="00BD5872"/>
    <w:rsid w:val="00BD5C28"/>
    <w:rsid w:val="00BE06B5"/>
    <w:rsid w:val="00BE0915"/>
    <w:rsid w:val="00BE38A7"/>
    <w:rsid w:val="00BE50AF"/>
    <w:rsid w:val="00BE5916"/>
    <w:rsid w:val="00BE5F85"/>
    <w:rsid w:val="00BF3E5B"/>
    <w:rsid w:val="00BF4067"/>
    <w:rsid w:val="00BF4349"/>
    <w:rsid w:val="00BF5B78"/>
    <w:rsid w:val="00BF661A"/>
    <w:rsid w:val="00BF6CC6"/>
    <w:rsid w:val="00C0156A"/>
    <w:rsid w:val="00C02DBA"/>
    <w:rsid w:val="00C0460F"/>
    <w:rsid w:val="00C0595F"/>
    <w:rsid w:val="00C07725"/>
    <w:rsid w:val="00C079D3"/>
    <w:rsid w:val="00C12CB2"/>
    <w:rsid w:val="00C14F34"/>
    <w:rsid w:val="00C159F0"/>
    <w:rsid w:val="00C20768"/>
    <w:rsid w:val="00C2353D"/>
    <w:rsid w:val="00C243AD"/>
    <w:rsid w:val="00C2587B"/>
    <w:rsid w:val="00C27521"/>
    <w:rsid w:val="00C34654"/>
    <w:rsid w:val="00C37839"/>
    <w:rsid w:val="00C4150D"/>
    <w:rsid w:val="00C4215C"/>
    <w:rsid w:val="00C43104"/>
    <w:rsid w:val="00C454F1"/>
    <w:rsid w:val="00C47177"/>
    <w:rsid w:val="00C57876"/>
    <w:rsid w:val="00C60280"/>
    <w:rsid w:val="00C60352"/>
    <w:rsid w:val="00C60DB2"/>
    <w:rsid w:val="00C63017"/>
    <w:rsid w:val="00C663D8"/>
    <w:rsid w:val="00C7051B"/>
    <w:rsid w:val="00C713E4"/>
    <w:rsid w:val="00C71CC8"/>
    <w:rsid w:val="00C74051"/>
    <w:rsid w:val="00C82D9A"/>
    <w:rsid w:val="00C845DF"/>
    <w:rsid w:val="00C86397"/>
    <w:rsid w:val="00C93C8E"/>
    <w:rsid w:val="00C96A1D"/>
    <w:rsid w:val="00CA6197"/>
    <w:rsid w:val="00CA79B0"/>
    <w:rsid w:val="00CB2384"/>
    <w:rsid w:val="00CB2E30"/>
    <w:rsid w:val="00CB4BAA"/>
    <w:rsid w:val="00CB7002"/>
    <w:rsid w:val="00CC1B09"/>
    <w:rsid w:val="00CC4E20"/>
    <w:rsid w:val="00CC6172"/>
    <w:rsid w:val="00CD1488"/>
    <w:rsid w:val="00CE34EE"/>
    <w:rsid w:val="00CE4AD1"/>
    <w:rsid w:val="00CE5820"/>
    <w:rsid w:val="00CF0561"/>
    <w:rsid w:val="00CF1BF7"/>
    <w:rsid w:val="00CF27E2"/>
    <w:rsid w:val="00CF325F"/>
    <w:rsid w:val="00CF545D"/>
    <w:rsid w:val="00D04F18"/>
    <w:rsid w:val="00D059DA"/>
    <w:rsid w:val="00D1149B"/>
    <w:rsid w:val="00D13E21"/>
    <w:rsid w:val="00D223C3"/>
    <w:rsid w:val="00D230D6"/>
    <w:rsid w:val="00D249F2"/>
    <w:rsid w:val="00D27544"/>
    <w:rsid w:val="00D309F2"/>
    <w:rsid w:val="00D34EDD"/>
    <w:rsid w:val="00D407EA"/>
    <w:rsid w:val="00D458A3"/>
    <w:rsid w:val="00D5346C"/>
    <w:rsid w:val="00D57F51"/>
    <w:rsid w:val="00D6306A"/>
    <w:rsid w:val="00D653A7"/>
    <w:rsid w:val="00D706D4"/>
    <w:rsid w:val="00D7138B"/>
    <w:rsid w:val="00D8137C"/>
    <w:rsid w:val="00D83F91"/>
    <w:rsid w:val="00D872C5"/>
    <w:rsid w:val="00D94EE8"/>
    <w:rsid w:val="00D95A8D"/>
    <w:rsid w:val="00D96328"/>
    <w:rsid w:val="00D96891"/>
    <w:rsid w:val="00DA0F05"/>
    <w:rsid w:val="00DA108F"/>
    <w:rsid w:val="00DA2D64"/>
    <w:rsid w:val="00DA3363"/>
    <w:rsid w:val="00DB051A"/>
    <w:rsid w:val="00DC31EE"/>
    <w:rsid w:val="00DC5FFD"/>
    <w:rsid w:val="00DD4448"/>
    <w:rsid w:val="00DD47E0"/>
    <w:rsid w:val="00DD773E"/>
    <w:rsid w:val="00DE0222"/>
    <w:rsid w:val="00DE1E4D"/>
    <w:rsid w:val="00DE276A"/>
    <w:rsid w:val="00DE5011"/>
    <w:rsid w:val="00DF13D6"/>
    <w:rsid w:val="00DF2935"/>
    <w:rsid w:val="00DF4214"/>
    <w:rsid w:val="00DF42FE"/>
    <w:rsid w:val="00DF44FA"/>
    <w:rsid w:val="00DF45BD"/>
    <w:rsid w:val="00DF6652"/>
    <w:rsid w:val="00E072D9"/>
    <w:rsid w:val="00E12C2C"/>
    <w:rsid w:val="00E16180"/>
    <w:rsid w:val="00E17237"/>
    <w:rsid w:val="00E21C68"/>
    <w:rsid w:val="00E25A1B"/>
    <w:rsid w:val="00E26BD5"/>
    <w:rsid w:val="00E33A3A"/>
    <w:rsid w:val="00E33F11"/>
    <w:rsid w:val="00E363D8"/>
    <w:rsid w:val="00E36AE3"/>
    <w:rsid w:val="00E378FA"/>
    <w:rsid w:val="00E40EFD"/>
    <w:rsid w:val="00E47153"/>
    <w:rsid w:val="00E51305"/>
    <w:rsid w:val="00E56298"/>
    <w:rsid w:val="00E621A3"/>
    <w:rsid w:val="00E656AF"/>
    <w:rsid w:val="00E66DDF"/>
    <w:rsid w:val="00E6713C"/>
    <w:rsid w:val="00E7028D"/>
    <w:rsid w:val="00E74E71"/>
    <w:rsid w:val="00E806C9"/>
    <w:rsid w:val="00E84D71"/>
    <w:rsid w:val="00E85434"/>
    <w:rsid w:val="00E95234"/>
    <w:rsid w:val="00E95E79"/>
    <w:rsid w:val="00EA01B9"/>
    <w:rsid w:val="00EA0CA8"/>
    <w:rsid w:val="00EA1B70"/>
    <w:rsid w:val="00EA2704"/>
    <w:rsid w:val="00EA2B1A"/>
    <w:rsid w:val="00EA556C"/>
    <w:rsid w:val="00EA5F17"/>
    <w:rsid w:val="00EA6AEB"/>
    <w:rsid w:val="00EB1D17"/>
    <w:rsid w:val="00EB2262"/>
    <w:rsid w:val="00EB34B4"/>
    <w:rsid w:val="00EB3A14"/>
    <w:rsid w:val="00EB6603"/>
    <w:rsid w:val="00EB7AEC"/>
    <w:rsid w:val="00EC06BF"/>
    <w:rsid w:val="00EC220A"/>
    <w:rsid w:val="00EC4CB4"/>
    <w:rsid w:val="00EC5782"/>
    <w:rsid w:val="00ED1517"/>
    <w:rsid w:val="00ED2B71"/>
    <w:rsid w:val="00ED5759"/>
    <w:rsid w:val="00ED5AEA"/>
    <w:rsid w:val="00EE2AB7"/>
    <w:rsid w:val="00EE4395"/>
    <w:rsid w:val="00EF0103"/>
    <w:rsid w:val="00EF102E"/>
    <w:rsid w:val="00EF731D"/>
    <w:rsid w:val="00F00842"/>
    <w:rsid w:val="00F01C8A"/>
    <w:rsid w:val="00F01E47"/>
    <w:rsid w:val="00F01E9A"/>
    <w:rsid w:val="00F10101"/>
    <w:rsid w:val="00F139CF"/>
    <w:rsid w:val="00F2211B"/>
    <w:rsid w:val="00F325B7"/>
    <w:rsid w:val="00F3348B"/>
    <w:rsid w:val="00F357AA"/>
    <w:rsid w:val="00F4052B"/>
    <w:rsid w:val="00F41986"/>
    <w:rsid w:val="00F43DDF"/>
    <w:rsid w:val="00F52BCC"/>
    <w:rsid w:val="00F558D7"/>
    <w:rsid w:val="00F61247"/>
    <w:rsid w:val="00F636B6"/>
    <w:rsid w:val="00F67846"/>
    <w:rsid w:val="00F70711"/>
    <w:rsid w:val="00F712F4"/>
    <w:rsid w:val="00F71378"/>
    <w:rsid w:val="00F729FA"/>
    <w:rsid w:val="00F74ED8"/>
    <w:rsid w:val="00F75532"/>
    <w:rsid w:val="00F82AD4"/>
    <w:rsid w:val="00F84F58"/>
    <w:rsid w:val="00F87636"/>
    <w:rsid w:val="00F901DB"/>
    <w:rsid w:val="00F9040A"/>
    <w:rsid w:val="00F92F77"/>
    <w:rsid w:val="00F9600D"/>
    <w:rsid w:val="00F96EE4"/>
    <w:rsid w:val="00F9711A"/>
    <w:rsid w:val="00FA1046"/>
    <w:rsid w:val="00FA77F5"/>
    <w:rsid w:val="00FB2F52"/>
    <w:rsid w:val="00FC0BC6"/>
    <w:rsid w:val="00FD29BC"/>
    <w:rsid w:val="00FD40E0"/>
    <w:rsid w:val="00FD4128"/>
    <w:rsid w:val="00FD56EF"/>
    <w:rsid w:val="00FD624C"/>
    <w:rsid w:val="00FE3708"/>
    <w:rsid w:val="00FF224F"/>
    <w:rsid w:val="00FF3F6F"/>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FBD6E6"/>
  <w15:docId w15:val="{BF976B7E-307F-2B4E-9E89-43631E075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A165CA"/>
    <w:rPr>
      <w:rFonts w:eastAsia="MS Mincho"/>
      <w:lang w:val="en-US"/>
    </w:rPr>
  </w:style>
  <w:style w:type="paragraph" w:styleId="Kop1">
    <w:name w:val="heading 1"/>
    <w:basedOn w:val="Standaard"/>
    <w:next w:val="Standaard"/>
    <w:link w:val="Kop1Char"/>
    <w:uiPriority w:val="9"/>
    <w:qFormat/>
    <w:rsid w:val="00A165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Kop2">
    <w:name w:val="heading 2"/>
    <w:basedOn w:val="Standaard"/>
    <w:next w:val="Standaard"/>
    <w:link w:val="Kop2Char"/>
    <w:uiPriority w:val="9"/>
    <w:unhideWhenUsed/>
    <w:qFormat/>
    <w:rsid w:val="0065763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Kop3">
    <w:name w:val="heading 3"/>
    <w:basedOn w:val="Standaard"/>
    <w:next w:val="Standaard"/>
    <w:link w:val="Kop3Char"/>
    <w:uiPriority w:val="9"/>
    <w:unhideWhenUsed/>
    <w:qFormat/>
    <w:rsid w:val="00A563D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Kop4">
    <w:name w:val="heading 4"/>
    <w:basedOn w:val="Standaard"/>
    <w:next w:val="Standaard"/>
    <w:link w:val="Kop4Char"/>
    <w:uiPriority w:val="9"/>
    <w:unhideWhenUsed/>
    <w:qFormat/>
    <w:rsid w:val="000C02F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Kop5">
    <w:name w:val="heading 5"/>
    <w:basedOn w:val="Standaard"/>
    <w:next w:val="Standaard"/>
    <w:link w:val="Kop5Char"/>
    <w:uiPriority w:val="9"/>
    <w:unhideWhenUsed/>
    <w:qFormat/>
    <w:rsid w:val="009A2B78"/>
    <w:pPr>
      <w:keepNext/>
      <w:keepLines/>
      <w:spacing w:before="40" w:after="0"/>
      <w:outlineLvl w:val="4"/>
    </w:pPr>
    <w:rPr>
      <w:rFonts w:asciiTheme="majorHAnsi" w:eastAsiaTheme="majorEastAsia" w:hAnsiTheme="majorHAnsi" w:cstheme="majorBidi"/>
      <w:color w:val="2E74B5" w:themeColor="accent1" w:themeShade="BF"/>
    </w:rPr>
  </w:style>
  <w:style w:type="paragraph" w:styleId="Kop6">
    <w:name w:val="heading 6"/>
    <w:basedOn w:val="Standaard"/>
    <w:next w:val="Standaard"/>
    <w:link w:val="Kop6Char"/>
    <w:uiPriority w:val="9"/>
    <w:unhideWhenUsed/>
    <w:qFormat/>
    <w:rsid w:val="006F2961"/>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A165CA"/>
    <w:pPr>
      <w:ind w:left="720"/>
      <w:contextualSpacing/>
    </w:pPr>
  </w:style>
  <w:style w:type="paragraph" w:styleId="Titel">
    <w:name w:val="Title"/>
    <w:basedOn w:val="Standaard"/>
    <w:next w:val="Standaard"/>
    <w:link w:val="TitelChar"/>
    <w:uiPriority w:val="10"/>
    <w:qFormat/>
    <w:rsid w:val="00A165C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A165CA"/>
    <w:rPr>
      <w:rFonts w:asciiTheme="majorHAnsi" w:eastAsiaTheme="majorEastAsia" w:hAnsiTheme="majorHAnsi" w:cstheme="majorBidi"/>
      <w:spacing w:val="-10"/>
      <w:kern w:val="28"/>
      <w:sz w:val="56"/>
      <w:szCs w:val="56"/>
      <w:lang w:val="en-US"/>
    </w:rPr>
  </w:style>
  <w:style w:type="paragraph" w:styleId="Koptekst">
    <w:name w:val="header"/>
    <w:basedOn w:val="Standaard"/>
    <w:link w:val="KoptekstChar"/>
    <w:uiPriority w:val="99"/>
    <w:unhideWhenUsed/>
    <w:rsid w:val="00A165C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A165CA"/>
    <w:rPr>
      <w:rFonts w:eastAsia="MS Mincho"/>
      <w:lang w:val="en-US"/>
    </w:rPr>
  </w:style>
  <w:style w:type="paragraph" w:styleId="Voettekst">
    <w:name w:val="footer"/>
    <w:basedOn w:val="Standaard"/>
    <w:link w:val="VoettekstChar"/>
    <w:uiPriority w:val="99"/>
    <w:unhideWhenUsed/>
    <w:rsid w:val="00A165C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A165CA"/>
    <w:rPr>
      <w:rFonts w:eastAsia="MS Mincho"/>
      <w:lang w:val="en-US"/>
    </w:rPr>
  </w:style>
  <w:style w:type="character" w:customStyle="1" w:styleId="Kop1Char">
    <w:name w:val="Kop 1 Char"/>
    <w:basedOn w:val="Standaardalinea-lettertype"/>
    <w:link w:val="Kop1"/>
    <w:uiPriority w:val="9"/>
    <w:rsid w:val="00A165CA"/>
    <w:rPr>
      <w:rFonts w:asciiTheme="majorHAnsi" w:eastAsiaTheme="majorEastAsia" w:hAnsiTheme="majorHAnsi" w:cstheme="majorBidi"/>
      <w:color w:val="2E74B5" w:themeColor="accent1" w:themeShade="BF"/>
      <w:sz w:val="32"/>
      <w:szCs w:val="32"/>
      <w:lang w:val="en-US"/>
    </w:rPr>
  </w:style>
  <w:style w:type="character" w:customStyle="1" w:styleId="Kop2Char">
    <w:name w:val="Kop 2 Char"/>
    <w:basedOn w:val="Standaardalinea-lettertype"/>
    <w:link w:val="Kop2"/>
    <w:uiPriority w:val="9"/>
    <w:rsid w:val="0065763B"/>
    <w:rPr>
      <w:rFonts w:asciiTheme="majorHAnsi" w:eastAsiaTheme="majorEastAsia" w:hAnsiTheme="majorHAnsi" w:cstheme="majorBidi"/>
      <w:color w:val="2E74B5" w:themeColor="accent1" w:themeShade="BF"/>
      <w:sz w:val="26"/>
      <w:szCs w:val="26"/>
      <w:lang w:val="en-US"/>
    </w:rPr>
  </w:style>
  <w:style w:type="paragraph" w:styleId="Ballontekst">
    <w:name w:val="Balloon Text"/>
    <w:basedOn w:val="Standaard"/>
    <w:link w:val="BallontekstChar"/>
    <w:uiPriority w:val="99"/>
    <w:semiHidden/>
    <w:unhideWhenUsed/>
    <w:rsid w:val="0065763B"/>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65763B"/>
    <w:rPr>
      <w:rFonts w:ascii="Segoe UI" w:eastAsia="MS Mincho" w:hAnsi="Segoe UI" w:cs="Segoe UI"/>
      <w:sz w:val="18"/>
      <w:szCs w:val="18"/>
      <w:lang w:val="en-US"/>
    </w:rPr>
  </w:style>
  <w:style w:type="character" w:styleId="Hyperlink">
    <w:name w:val="Hyperlink"/>
    <w:basedOn w:val="Standaardalinea-lettertype"/>
    <w:uiPriority w:val="99"/>
    <w:unhideWhenUsed/>
    <w:rsid w:val="00F139CF"/>
    <w:rPr>
      <w:color w:val="0563C1" w:themeColor="hyperlink"/>
      <w:u w:val="single"/>
    </w:rPr>
  </w:style>
  <w:style w:type="paragraph" w:styleId="Normaalweb">
    <w:name w:val="Normal (Web)"/>
    <w:basedOn w:val="Standaard"/>
    <w:uiPriority w:val="99"/>
    <w:semiHidden/>
    <w:unhideWhenUsed/>
    <w:rsid w:val="00514D68"/>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customStyle="1" w:styleId="personname">
    <w:name w:val="person_name"/>
    <w:basedOn w:val="Standaardalinea-lettertype"/>
    <w:rsid w:val="00514D68"/>
  </w:style>
  <w:style w:type="character" w:styleId="Nadruk">
    <w:name w:val="Emphasis"/>
    <w:basedOn w:val="Standaardalinea-lettertype"/>
    <w:uiPriority w:val="20"/>
    <w:qFormat/>
    <w:rsid w:val="00514D68"/>
    <w:rPr>
      <w:i/>
      <w:iCs/>
    </w:rPr>
  </w:style>
  <w:style w:type="character" w:customStyle="1" w:styleId="Date1">
    <w:name w:val="Date1"/>
    <w:basedOn w:val="Standaardalinea-lettertype"/>
    <w:rsid w:val="00292D42"/>
  </w:style>
  <w:style w:type="character" w:customStyle="1" w:styleId="Kop3Char">
    <w:name w:val="Kop 3 Char"/>
    <w:basedOn w:val="Standaardalinea-lettertype"/>
    <w:link w:val="Kop3"/>
    <w:uiPriority w:val="9"/>
    <w:rsid w:val="00A563D3"/>
    <w:rPr>
      <w:rFonts w:asciiTheme="majorHAnsi" w:eastAsiaTheme="majorEastAsia" w:hAnsiTheme="majorHAnsi" w:cstheme="majorBidi"/>
      <w:color w:val="1F4D78" w:themeColor="accent1" w:themeShade="7F"/>
      <w:sz w:val="24"/>
      <w:szCs w:val="24"/>
      <w:lang w:val="en-US"/>
    </w:rPr>
  </w:style>
  <w:style w:type="paragraph" w:styleId="Plattetekst">
    <w:name w:val="Body Text"/>
    <w:basedOn w:val="Standaard"/>
    <w:link w:val="PlattetekstChar"/>
    <w:semiHidden/>
    <w:rsid w:val="000D6626"/>
    <w:pPr>
      <w:spacing w:after="0" w:line="360" w:lineRule="auto"/>
    </w:pPr>
    <w:rPr>
      <w:rFonts w:ascii="Times New Roman" w:eastAsia="Times New Roman" w:hAnsi="Times New Roman" w:cs="Times New Roman"/>
      <w:szCs w:val="20"/>
      <w:lang w:val="nl-NL"/>
    </w:rPr>
  </w:style>
  <w:style w:type="character" w:customStyle="1" w:styleId="PlattetekstChar">
    <w:name w:val="Platte tekst Char"/>
    <w:basedOn w:val="Standaardalinea-lettertype"/>
    <w:link w:val="Plattetekst"/>
    <w:semiHidden/>
    <w:rsid w:val="000D6626"/>
    <w:rPr>
      <w:rFonts w:ascii="Times New Roman" w:eastAsia="Times New Roman" w:hAnsi="Times New Roman" w:cs="Times New Roman"/>
      <w:szCs w:val="20"/>
    </w:rPr>
  </w:style>
  <w:style w:type="paragraph" w:styleId="Voetnoottekst">
    <w:name w:val="footnote text"/>
    <w:basedOn w:val="Standaard"/>
    <w:link w:val="VoetnoottekstChar"/>
    <w:semiHidden/>
    <w:rsid w:val="00B3215A"/>
    <w:pPr>
      <w:spacing w:after="0" w:line="240" w:lineRule="auto"/>
    </w:pPr>
    <w:rPr>
      <w:rFonts w:ascii="Times New Roman" w:eastAsia="Times New Roman" w:hAnsi="Times New Roman" w:cs="Times New Roman"/>
      <w:noProof/>
      <w:sz w:val="20"/>
      <w:szCs w:val="20"/>
    </w:rPr>
  </w:style>
  <w:style w:type="character" w:customStyle="1" w:styleId="VoetnoottekstChar">
    <w:name w:val="Voetnoottekst Char"/>
    <w:basedOn w:val="Standaardalinea-lettertype"/>
    <w:link w:val="Voetnoottekst"/>
    <w:semiHidden/>
    <w:rsid w:val="00B3215A"/>
    <w:rPr>
      <w:rFonts w:ascii="Times New Roman" w:eastAsia="Times New Roman" w:hAnsi="Times New Roman" w:cs="Times New Roman"/>
      <w:noProof/>
      <w:sz w:val="20"/>
      <w:szCs w:val="20"/>
      <w:lang w:val="en-US"/>
    </w:rPr>
  </w:style>
  <w:style w:type="character" w:styleId="Voetnootmarkering">
    <w:name w:val="footnote reference"/>
    <w:basedOn w:val="Standaardalinea-lettertype"/>
    <w:semiHidden/>
    <w:rsid w:val="00B3215A"/>
    <w:rPr>
      <w:vertAlign w:val="superscript"/>
    </w:rPr>
  </w:style>
  <w:style w:type="character" w:customStyle="1" w:styleId="Kop4Char">
    <w:name w:val="Kop 4 Char"/>
    <w:basedOn w:val="Standaardalinea-lettertype"/>
    <w:link w:val="Kop4"/>
    <w:uiPriority w:val="9"/>
    <w:rsid w:val="000C02F4"/>
    <w:rPr>
      <w:rFonts w:asciiTheme="majorHAnsi" w:eastAsiaTheme="majorEastAsia" w:hAnsiTheme="majorHAnsi" w:cstheme="majorBidi"/>
      <w:i/>
      <w:iCs/>
      <w:color w:val="2E74B5" w:themeColor="accent1" w:themeShade="BF"/>
      <w:lang w:val="en-US"/>
    </w:rPr>
  </w:style>
  <w:style w:type="character" w:styleId="Verwijzingopmerking">
    <w:name w:val="annotation reference"/>
    <w:basedOn w:val="Standaardalinea-lettertype"/>
    <w:uiPriority w:val="99"/>
    <w:semiHidden/>
    <w:unhideWhenUsed/>
    <w:rsid w:val="000C02F4"/>
    <w:rPr>
      <w:sz w:val="16"/>
      <w:szCs w:val="16"/>
    </w:rPr>
  </w:style>
  <w:style w:type="paragraph" w:styleId="Tekstopmerking">
    <w:name w:val="annotation text"/>
    <w:basedOn w:val="Standaard"/>
    <w:link w:val="TekstopmerkingChar"/>
    <w:uiPriority w:val="99"/>
    <w:semiHidden/>
    <w:unhideWhenUsed/>
    <w:rsid w:val="000C02F4"/>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0C02F4"/>
    <w:rPr>
      <w:rFonts w:eastAsia="MS Mincho"/>
      <w:sz w:val="20"/>
      <w:szCs w:val="20"/>
      <w:lang w:val="en-US"/>
    </w:rPr>
  </w:style>
  <w:style w:type="character" w:styleId="GevolgdeHyperlink">
    <w:name w:val="FollowedHyperlink"/>
    <w:basedOn w:val="Standaardalinea-lettertype"/>
    <w:uiPriority w:val="99"/>
    <w:semiHidden/>
    <w:unhideWhenUsed/>
    <w:rsid w:val="002209ED"/>
    <w:rPr>
      <w:color w:val="954F72" w:themeColor="followedHyperlink"/>
      <w:u w:val="single"/>
    </w:rPr>
  </w:style>
  <w:style w:type="paragraph" w:customStyle="1" w:styleId="Default">
    <w:name w:val="Default"/>
    <w:rsid w:val="00BE0915"/>
    <w:pPr>
      <w:autoSpaceDE w:val="0"/>
      <w:autoSpaceDN w:val="0"/>
      <w:adjustRightInd w:val="0"/>
      <w:spacing w:after="0" w:line="240" w:lineRule="auto"/>
    </w:pPr>
    <w:rPr>
      <w:rFonts w:ascii="Garamond" w:hAnsi="Garamond" w:cs="Garamond"/>
      <w:color w:val="000000"/>
      <w:sz w:val="24"/>
      <w:szCs w:val="24"/>
    </w:rPr>
  </w:style>
  <w:style w:type="character" w:customStyle="1" w:styleId="apple-converted-space">
    <w:name w:val="apple-converted-space"/>
    <w:basedOn w:val="Standaardalinea-lettertype"/>
    <w:rsid w:val="008D5896"/>
  </w:style>
  <w:style w:type="character" w:customStyle="1" w:styleId="Kop5Char">
    <w:name w:val="Kop 5 Char"/>
    <w:basedOn w:val="Standaardalinea-lettertype"/>
    <w:link w:val="Kop5"/>
    <w:uiPriority w:val="9"/>
    <w:rsid w:val="009A2B78"/>
    <w:rPr>
      <w:rFonts w:asciiTheme="majorHAnsi" w:eastAsiaTheme="majorEastAsia" w:hAnsiTheme="majorHAnsi" w:cstheme="majorBidi"/>
      <w:color w:val="2E74B5" w:themeColor="accent1" w:themeShade="BF"/>
      <w:lang w:val="en-US"/>
    </w:rPr>
  </w:style>
  <w:style w:type="table" w:styleId="Tabelraster">
    <w:name w:val="Table Grid"/>
    <w:basedOn w:val="Standaardtabel"/>
    <w:uiPriority w:val="39"/>
    <w:rsid w:val="00765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6Char">
    <w:name w:val="Kop 6 Char"/>
    <w:basedOn w:val="Standaardalinea-lettertype"/>
    <w:link w:val="Kop6"/>
    <w:uiPriority w:val="9"/>
    <w:rsid w:val="006F2961"/>
    <w:rPr>
      <w:rFonts w:asciiTheme="majorHAnsi" w:eastAsiaTheme="majorEastAsia" w:hAnsiTheme="majorHAnsi" w:cstheme="majorBidi"/>
      <w:color w:val="1F4D78" w:themeColor="accent1" w:themeShade="7F"/>
      <w:lang w:val="en-US"/>
    </w:rPr>
  </w:style>
  <w:style w:type="character" w:styleId="Tekstvantijdelijkeaanduiding">
    <w:name w:val="Placeholder Text"/>
    <w:basedOn w:val="Standaardalinea-lettertype"/>
    <w:uiPriority w:val="99"/>
    <w:semiHidden/>
    <w:rsid w:val="00015C11"/>
    <w:rPr>
      <w:color w:val="808080"/>
    </w:rPr>
  </w:style>
  <w:style w:type="paragraph" w:styleId="Onderwerpvanopmerking">
    <w:name w:val="annotation subject"/>
    <w:basedOn w:val="Tekstopmerking"/>
    <w:next w:val="Tekstopmerking"/>
    <w:link w:val="OnderwerpvanopmerkingChar"/>
    <w:uiPriority w:val="99"/>
    <w:semiHidden/>
    <w:unhideWhenUsed/>
    <w:rsid w:val="004C7442"/>
    <w:rPr>
      <w:b/>
      <w:bCs/>
    </w:rPr>
  </w:style>
  <w:style w:type="character" w:customStyle="1" w:styleId="OnderwerpvanopmerkingChar">
    <w:name w:val="Onderwerp van opmerking Char"/>
    <w:basedOn w:val="TekstopmerkingChar"/>
    <w:link w:val="Onderwerpvanopmerking"/>
    <w:uiPriority w:val="99"/>
    <w:semiHidden/>
    <w:rsid w:val="004C7442"/>
    <w:rPr>
      <w:rFonts w:eastAsia="MS Mincho"/>
      <w:b/>
      <w:bCs/>
      <w:sz w:val="20"/>
      <w:szCs w:val="20"/>
      <w:lang w:val="en-US"/>
    </w:rPr>
  </w:style>
  <w:style w:type="paragraph" w:styleId="Geenafstand">
    <w:name w:val="No Spacing"/>
    <w:link w:val="GeenafstandChar"/>
    <w:uiPriority w:val="1"/>
    <w:qFormat/>
    <w:rsid w:val="00DA0F05"/>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DA0F05"/>
    <w:rPr>
      <w:rFonts w:eastAsiaTheme="minorEastAsia"/>
      <w:lang w:eastAsia="nl-NL"/>
    </w:rPr>
  </w:style>
  <w:style w:type="paragraph" w:styleId="Kopvaninhoudsopgave">
    <w:name w:val="TOC Heading"/>
    <w:basedOn w:val="Kop1"/>
    <w:next w:val="Standaard"/>
    <w:uiPriority w:val="39"/>
    <w:unhideWhenUsed/>
    <w:qFormat/>
    <w:rsid w:val="00905AA2"/>
    <w:pPr>
      <w:outlineLvl w:val="9"/>
    </w:pPr>
    <w:rPr>
      <w:lang w:val="nl-NL" w:eastAsia="nl-NL"/>
    </w:rPr>
  </w:style>
  <w:style w:type="paragraph" w:styleId="Inhopg1">
    <w:name w:val="toc 1"/>
    <w:basedOn w:val="Standaard"/>
    <w:next w:val="Standaard"/>
    <w:autoRedefine/>
    <w:uiPriority w:val="39"/>
    <w:unhideWhenUsed/>
    <w:rsid w:val="00905AA2"/>
    <w:pPr>
      <w:spacing w:after="100"/>
    </w:pPr>
  </w:style>
  <w:style w:type="paragraph" w:styleId="Inhopg3">
    <w:name w:val="toc 3"/>
    <w:basedOn w:val="Standaard"/>
    <w:next w:val="Standaard"/>
    <w:autoRedefine/>
    <w:uiPriority w:val="39"/>
    <w:unhideWhenUsed/>
    <w:rsid w:val="00905AA2"/>
    <w:pPr>
      <w:spacing w:after="100"/>
      <w:ind w:left="440"/>
    </w:pPr>
  </w:style>
  <w:style w:type="paragraph" w:styleId="Inhopg2">
    <w:name w:val="toc 2"/>
    <w:basedOn w:val="Standaard"/>
    <w:next w:val="Standaard"/>
    <w:autoRedefine/>
    <w:uiPriority w:val="39"/>
    <w:unhideWhenUsed/>
    <w:rsid w:val="00905AA2"/>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628853">
      <w:bodyDiv w:val="1"/>
      <w:marLeft w:val="0"/>
      <w:marRight w:val="0"/>
      <w:marTop w:val="0"/>
      <w:marBottom w:val="0"/>
      <w:divBdr>
        <w:top w:val="none" w:sz="0" w:space="0" w:color="auto"/>
        <w:left w:val="none" w:sz="0" w:space="0" w:color="auto"/>
        <w:bottom w:val="none" w:sz="0" w:space="0" w:color="auto"/>
        <w:right w:val="none" w:sz="0" w:space="0" w:color="auto"/>
      </w:divBdr>
      <w:divsChild>
        <w:div w:id="2002003353">
          <w:marLeft w:val="0"/>
          <w:marRight w:val="0"/>
          <w:marTop w:val="0"/>
          <w:marBottom w:val="0"/>
          <w:divBdr>
            <w:top w:val="none" w:sz="0" w:space="0" w:color="auto"/>
            <w:left w:val="none" w:sz="0" w:space="0" w:color="auto"/>
            <w:bottom w:val="none" w:sz="0" w:space="0" w:color="auto"/>
            <w:right w:val="none" w:sz="0" w:space="0" w:color="auto"/>
          </w:divBdr>
        </w:div>
      </w:divsChild>
    </w:div>
    <w:div w:id="388267646">
      <w:bodyDiv w:val="1"/>
      <w:marLeft w:val="0"/>
      <w:marRight w:val="0"/>
      <w:marTop w:val="0"/>
      <w:marBottom w:val="0"/>
      <w:divBdr>
        <w:top w:val="none" w:sz="0" w:space="0" w:color="auto"/>
        <w:left w:val="none" w:sz="0" w:space="0" w:color="auto"/>
        <w:bottom w:val="none" w:sz="0" w:space="0" w:color="auto"/>
        <w:right w:val="none" w:sz="0" w:space="0" w:color="auto"/>
      </w:divBdr>
      <w:divsChild>
        <w:div w:id="1993681486">
          <w:marLeft w:val="0"/>
          <w:marRight w:val="0"/>
          <w:marTop w:val="0"/>
          <w:marBottom w:val="0"/>
          <w:divBdr>
            <w:top w:val="none" w:sz="0" w:space="0" w:color="auto"/>
            <w:left w:val="none" w:sz="0" w:space="0" w:color="auto"/>
            <w:bottom w:val="none" w:sz="0" w:space="0" w:color="auto"/>
            <w:right w:val="none" w:sz="0" w:space="0" w:color="auto"/>
          </w:divBdr>
        </w:div>
      </w:divsChild>
    </w:div>
    <w:div w:id="608049783">
      <w:bodyDiv w:val="1"/>
      <w:marLeft w:val="0"/>
      <w:marRight w:val="0"/>
      <w:marTop w:val="0"/>
      <w:marBottom w:val="0"/>
      <w:divBdr>
        <w:top w:val="none" w:sz="0" w:space="0" w:color="auto"/>
        <w:left w:val="none" w:sz="0" w:space="0" w:color="auto"/>
        <w:bottom w:val="none" w:sz="0" w:space="0" w:color="auto"/>
        <w:right w:val="none" w:sz="0" w:space="0" w:color="auto"/>
      </w:divBdr>
      <w:divsChild>
        <w:div w:id="1973749406">
          <w:marLeft w:val="0"/>
          <w:marRight w:val="0"/>
          <w:marTop w:val="0"/>
          <w:marBottom w:val="0"/>
          <w:divBdr>
            <w:top w:val="none" w:sz="0" w:space="0" w:color="auto"/>
            <w:left w:val="none" w:sz="0" w:space="0" w:color="auto"/>
            <w:bottom w:val="none" w:sz="0" w:space="0" w:color="auto"/>
            <w:right w:val="none" w:sz="0" w:space="0" w:color="auto"/>
          </w:divBdr>
        </w:div>
      </w:divsChild>
    </w:div>
    <w:div w:id="630132814">
      <w:bodyDiv w:val="1"/>
      <w:marLeft w:val="0"/>
      <w:marRight w:val="0"/>
      <w:marTop w:val="0"/>
      <w:marBottom w:val="0"/>
      <w:divBdr>
        <w:top w:val="none" w:sz="0" w:space="0" w:color="auto"/>
        <w:left w:val="none" w:sz="0" w:space="0" w:color="auto"/>
        <w:bottom w:val="none" w:sz="0" w:space="0" w:color="auto"/>
        <w:right w:val="none" w:sz="0" w:space="0" w:color="auto"/>
      </w:divBdr>
      <w:divsChild>
        <w:div w:id="509106403">
          <w:marLeft w:val="0"/>
          <w:marRight w:val="0"/>
          <w:marTop w:val="0"/>
          <w:marBottom w:val="0"/>
          <w:divBdr>
            <w:top w:val="none" w:sz="0" w:space="0" w:color="auto"/>
            <w:left w:val="none" w:sz="0" w:space="0" w:color="auto"/>
            <w:bottom w:val="none" w:sz="0" w:space="0" w:color="auto"/>
            <w:right w:val="none" w:sz="0" w:space="0" w:color="auto"/>
          </w:divBdr>
        </w:div>
      </w:divsChild>
    </w:div>
    <w:div w:id="929048525">
      <w:bodyDiv w:val="1"/>
      <w:marLeft w:val="0"/>
      <w:marRight w:val="0"/>
      <w:marTop w:val="0"/>
      <w:marBottom w:val="0"/>
      <w:divBdr>
        <w:top w:val="none" w:sz="0" w:space="0" w:color="auto"/>
        <w:left w:val="none" w:sz="0" w:space="0" w:color="auto"/>
        <w:bottom w:val="none" w:sz="0" w:space="0" w:color="auto"/>
        <w:right w:val="none" w:sz="0" w:space="0" w:color="auto"/>
      </w:divBdr>
      <w:divsChild>
        <w:div w:id="264115165">
          <w:marLeft w:val="0"/>
          <w:marRight w:val="0"/>
          <w:marTop w:val="0"/>
          <w:marBottom w:val="0"/>
          <w:divBdr>
            <w:top w:val="none" w:sz="0" w:space="0" w:color="auto"/>
            <w:left w:val="none" w:sz="0" w:space="0" w:color="auto"/>
            <w:bottom w:val="none" w:sz="0" w:space="0" w:color="auto"/>
            <w:right w:val="none" w:sz="0" w:space="0" w:color="auto"/>
          </w:divBdr>
        </w:div>
      </w:divsChild>
    </w:div>
    <w:div w:id="972755170">
      <w:bodyDiv w:val="1"/>
      <w:marLeft w:val="0"/>
      <w:marRight w:val="0"/>
      <w:marTop w:val="0"/>
      <w:marBottom w:val="0"/>
      <w:divBdr>
        <w:top w:val="none" w:sz="0" w:space="0" w:color="auto"/>
        <w:left w:val="none" w:sz="0" w:space="0" w:color="auto"/>
        <w:bottom w:val="none" w:sz="0" w:space="0" w:color="auto"/>
        <w:right w:val="none" w:sz="0" w:space="0" w:color="auto"/>
      </w:divBdr>
    </w:div>
    <w:div w:id="1027559012">
      <w:bodyDiv w:val="1"/>
      <w:marLeft w:val="0"/>
      <w:marRight w:val="0"/>
      <w:marTop w:val="0"/>
      <w:marBottom w:val="0"/>
      <w:divBdr>
        <w:top w:val="none" w:sz="0" w:space="0" w:color="auto"/>
        <w:left w:val="none" w:sz="0" w:space="0" w:color="auto"/>
        <w:bottom w:val="none" w:sz="0" w:space="0" w:color="auto"/>
        <w:right w:val="none" w:sz="0" w:space="0" w:color="auto"/>
      </w:divBdr>
    </w:div>
    <w:div w:id="1996639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hyperlink" Target="https://europa.eu/european-union/eu-law/decision-making/procedures_en"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ec.europa.eu/info/law/law-making-process/applying-eu-law/infringement-procedure_en" TargetMode="External"/><Relationship Id="rId34" Type="http://schemas.openxmlformats.org/officeDocument/2006/relationships/image" Target="media/image13.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hyperlink" Target="http://www.europarl.europa.eu/aboutparliament/en/20150201PVL00004/Legislative-powers" TargetMode="External"/><Relationship Id="rId33" Type="http://schemas.openxmlformats.org/officeDocument/2006/relationships/image" Target="media/image12.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curia.europa.eu/juris/liste.jsf?language=EN&amp;num=C-88/18" TargetMode="External"/><Relationship Id="rId20" Type="http://schemas.openxmlformats.org/officeDocument/2006/relationships/hyperlink" Target="http://www.europarl.europa.eu/RegData/etudes/ATAG/2014/545697/EPRS_ATA%282014%29545697_REV1_EN.pdf" TargetMode="Externa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consilium.europa.eu/en/council-eu/voting-system/qualified-majority/" TargetMode="External"/><Relationship Id="rId32" Type="http://schemas.openxmlformats.org/officeDocument/2006/relationships/image" Target="media/image11.png"/><Relationship Id="rId37"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ec.europa.eu/commfrontoffice/publicopinion/index.cfm/Chart/getChart/themeKy/18/groupKy/97" TargetMode="External"/><Relationship Id="rId28" Type="http://schemas.openxmlformats.org/officeDocument/2006/relationships/hyperlink" Target="https://qog.pol.gu.se/data/datadownloads/qog-eqi-data" TargetMode="External"/><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data.consilium.europa.eu/doc/document/ST-7803-2018-INIT/en/pdf" TargetMode="External"/><Relationship Id="rId31"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ec.europa.eu/social/main.jsp?catId=333&amp;langId=en" TargetMode="External"/><Relationship Id="rId27" Type="http://schemas.openxmlformats.org/officeDocument/2006/relationships/hyperlink" Target="https://europa.eu/european-union/eu-law/legal-acts_en" TargetMode="External"/><Relationship Id="rId30" Type="http://schemas.openxmlformats.org/officeDocument/2006/relationships/image" Target="media/image9.png"/><Relationship Id="rId35"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5878FA49E0DAE4591B8B8E48809E577" ma:contentTypeVersion="0" ma:contentTypeDescription="Create a new document." ma:contentTypeScope="" ma:versionID="cfa6f87afe6e8d2ed0d87d9be831842b">
  <xsd:schema xmlns:xsd="http://www.w3.org/2001/XMLSchema" xmlns:xs="http://www.w3.org/2001/XMLSchema" xmlns:p="http://schemas.microsoft.com/office/2006/metadata/properties" targetNamespace="http://schemas.microsoft.com/office/2006/metadata/properties" ma:root="true" ma:fieldsID="ea7673ec97045303c823e60986b3fee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3D678D-9569-4193-B415-E38B1CC6858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ACB10BD-F49B-4510-8E93-10377BDCC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1C25A74-FFE8-426F-AF05-558B644B6713}">
  <ds:schemaRefs>
    <ds:schemaRef ds:uri="http://schemas.microsoft.com/sharepoint/v3/contenttype/forms"/>
  </ds:schemaRefs>
</ds:datastoreItem>
</file>

<file path=customXml/itemProps4.xml><?xml version="1.0" encoding="utf-8"?>
<ds:datastoreItem xmlns:ds="http://schemas.openxmlformats.org/officeDocument/2006/customXml" ds:itemID="{834199BC-DB63-4334-A0C3-3D43161444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16742</Words>
  <Characters>92083</Characters>
  <Application>Microsoft Office Word</Application>
  <DocSecurity>0</DocSecurity>
  <Lines>767</Lines>
  <Paragraphs>217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Radboud Universiteit Nijmegen</Company>
  <LinksUpToDate>false</LinksUpToDate>
  <CharactersWithSpaces>108608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 J.D. (Jan Dirk)</dc:creator>
  <cp:keywords/>
  <dc:description/>
  <cp:lastModifiedBy>Jan Dirk Stam</cp:lastModifiedBy>
  <cp:revision>2</cp:revision>
  <cp:lastPrinted>2019-01-09T14:22:00Z</cp:lastPrinted>
  <dcterms:created xsi:type="dcterms:W3CDTF">2019-03-15T12:13:00Z</dcterms:created>
  <dcterms:modified xsi:type="dcterms:W3CDTF">2019-03-15T12:13:00Z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0x010100A5878FA49E0DAE4591B8B8E48809E577</vt:lpwstr>
  </property>
  <property fmtid="{D5CDD505-2E9C-101B-9397-08002B2CF9AE}" pid="3" name="IsMyDocuments">
    <vt:bool>true</vt:bool>
  </property>
</Properties>
</file>