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Default Extension="emf" ContentType="image/x-emf"/>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CDA34F" w14:textId="77777777" w:rsidR="007564F8" w:rsidRPr="00371492" w:rsidRDefault="00B14292" w:rsidP="00497769">
      <w:pPr>
        <w:spacing w:line="360" w:lineRule="auto"/>
        <w:jc w:val="both"/>
        <w:rPr>
          <w:rFonts w:ascii="Corbel" w:hAnsi="Corbel" w:cs="Tahoma"/>
          <w:b/>
          <w:sz w:val="20"/>
        </w:rPr>
      </w:pPr>
      <w:r w:rsidRPr="00371492">
        <w:rPr>
          <w:rFonts w:ascii="Corbel" w:eastAsia="Times New Roman" w:hAnsi="Corbel"/>
          <w:noProof/>
          <w:sz w:val="22"/>
        </w:rPr>
        <w:drawing>
          <wp:anchor distT="0" distB="0" distL="114300" distR="114300" simplePos="0" relativeHeight="251655164" behindDoc="1" locked="0" layoutInCell="1" allowOverlap="1" wp14:anchorId="5ABAE8CA" wp14:editId="4F81869E">
            <wp:simplePos x="0" y="0"/>
            <wp:positionH relativeFrom="margin">
              <wp:posOffset>-1071245</wp:posOffset>
            </wp:positionH>
            <wp:positionV relativeFrom="margin">
              <wp:posOffset>3215005</wp:posOffset>
            </wp:positionV>
            <wp:extent cx="7757795" cy="4460240"/>
            <wp:effectExtent l="50800" t="50800" r="14605" b="35560"/>
            <wp:wrapNone/>
            <wp:docPr id="4" name="Afbeelding 4" descr="inaire, Computing, Computerprogrammering, Cod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inaire, Computing, Computerprogrammering, Cod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757795" cy="4460240"/>
                    </a:xfrm>
                    <a:prstGeom prst="rect">
                      <a:avLst/>
                    </a:prstGeom>
                    <a:noFill/>
                    <a:ln>
                      <a:noFill/>
                    </a:ln>
                    <a:effectLst>
                      <a:outerShdw blurRad="1270000" dist="2540000" dir="21540000" sx="200000" sy="200000" algn="ctr" rotWithShape="0">
                        <a:schemeClr val="accent4">
                          <a:alpha val="0"/>
                        </a:schemeClr>
                      </a:outerShdw>
                    </a:effectLst>
                  </pic:spPr>
                </pic:pic>
              </a:graphicData>
            </a:graphic>
          </wp:anchor>
        </w:drawing>
      </w:r>
      <w:r w:rsidRPr="00371492">
        <w:rPr>
          <w:rFonts w:ascii="Corbel" w:eastAsia="Times New Roman" w:hAnsi="Corbel"/>
          <w:noProof/>
          <w:sz w:val="22"/>
        </w:rPr>
        <w:drawing>
          <wp:anchor distT="0" distB="0" distL="114300" distR="114300" simplePos="0" relativeHeight="251658239" behindDoc="1" locked="0" layoutInCell="1" allowOverlap="1" wp14:anchorId="37163131" wp14:editId="6969FDD0">
            <wp:simplePos x="0" y="0"/>
            <wp:positionH relativeFrom="margin">
              <wp:posOffset>-956945</wp:posOffset>
            </wp:positionH>
            <wp:positionV relativeFrom="margin">
              <wp:posOffset>-899795</wp:posOffset>
            </wp:positionV>
            <wp:extent cx="7757795" cy="4460240"/>
            <wp:effectExtent l="0" t="0" r="0" b="0"/>
            <wp:wrapNone/>
            <wp:docPr id="1" name="Afbeelding 1" descr="inaire, Computing, Computerprogrammering, Cod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inaire, Computing, Computerprogrammering, Cod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757795" cy="4460240"/>
                    </a:xfrm>
                    <a:prstGeom prst="rect">
                      <a:avLst/>
                    </a:prstGeom>
                    <a:noFill/>
                    <a:ln>
                      <a:noFill/>
                    </a:ln>
                  </pic:spPr>
                </pic:pic>
              </a:graphicData>
            </a:graphic>
          </wp:anchor>
        </w:drawing>
      </w:r>
      <w:r w:rsidR="007564F8" w:rsidRPr="00371492">
        <w:rPr>
          <w:rFonts w:ascii="Corbel" w:hAnsi="Corbel" w:cs="Tahoma"/>
          <w:b/>
          <w:sz w:val="20"/>
        </w:rPr>
        <w:tab/>
      </w:r>
    </w:p>
    <w:p w14:paraId="65FEDAA6" w14:textId="77777777" w:rsidR="007564F8" w:rsidRPr="00371492" w:rsidRDefault="007564F8" w:rsidP="00497769">
      <w:pPr>
        <w:spacing w:line="360" w:lineRule="auto"/>
        <w:jc w:val="both"/>
        <w:rPr>
          <w:rFonts w:ascii="Corbel" w:hAnsi="Corbel" w:cs="Tahoma"/>
          <w:b/>
          <w:sz w:val="20"/>
        </w:rPr>
      </w:pPr>
    </w:p>
    <w:p w14:paraId="7D17010C" w14:textId="77777777" w:rsidR="007564F8" w:rsidRPr="00371492" w:rsidRDefault="007564F8" w:rsidP="00497769">
      <w:pPr>
        <w:spacing w:line="360" w:lineRule="auto"/>
        <w:jc w:val="both"/>
        <w:rPr>
          <w:rFonts w:ascii="Corbel" w:hAnsi="Corbel" w:cs="Tahoma"/>
          <w:b/>
          <w:sz w:val="20"/>
        </w:rPr>
      </w:pPr>
    </w:p>
    <w:p w14:paraId="76901507" w14:textId="77777777" w:rsidR="007564F8" w:rsidRPr="00371492" w:rsidRDefault="007564F8" w:rsidP="00497769">
      <w:pPr>
        <w:spacing w:line="360" w:lineRule="auto"/>
        <w:jc w:val="both"/>
        <w:rPr>
          <w:rFonts w:ascii="Corbel" w:hAnsi="Corbel" w:cs="Tahoma"/>
          <w:b/>
          <w:sz w:val="20"/>
        </w:rPr>
      </w:pPr>
    </w:p>
    <w:p w14:paraId="1083AE7F" w14:textId="77777777" w:rsidR="007564F8" w:rsidRPr="00371492" w:rsidRDefault="007564F8" w:rsidP="00497769">
      <w:pPr>
        <w:spacing w:line="360" w:lineRule="auto"/>
        <w:jc w:val="both"/>
        <w:rPr>
          <w:rFonts w:ascii="Corbel" w:hAnsi="Corbel" w:cs="Tahoma"/>
          <w:b/>
          <w:sz w:val="20"/>
        </w:rPr>
      </w:pPr>
    </w:p>
    <w:p w14:paraId="26CA08D8" w14:textId="77777777" w:rsidR="007564F8" w:rsidRPr="00371492" w:rsidRDefault="007564F8" w:rsidP="00497769">
      <w:pPr>
        <w:spacing w:line="360" w:lineRule="auto"/>
        <w:jc w:val="both"/>
        <w:rPr>
          <w:rFonts w:ascii="Corbel" w:hAnsi="Corbel" w:cs="Tahoma"/>
          <w:b/>
          <w:sz w:val="20"/>
        </w:rPr>
      </w:pPr>
    </w:p>
    <w:p w14:paraId="2FC1FD9E" w14:textId="77777777" w:rsidR="007564F8" w:rsidRPr="00371492" w:rsidRDefault="007564F8" w:rsidP="00497769">
      <w:pPr>
        <w:spacing w:line="360" w:lineRule="auto"/>
        <w:jc w:val="both"/>
        <w:rPr>
          <w:rFonts w:ascii="Corbel" w:hAnsi="Corbel" w:cs="Tahoma"/>
          <w:b/>
          <w:sz w:val="20"/>
        </w:rPr>
      </w:pPr>
    </w:p>
    <w:p w14:paraId="402B6440" w14:textId="77777777" w:rsidR="007564F8" w:rsidRPr="00371492" w:rsidRDefault="007564F8" w:rsidP="00497769">
      <w:pPr>
        <w:spacing w:line="360" w:lineRule="auto"/>
        <w:jc w:val="both"/>
        <w:rPr>
          <w:rFonts w:ascii="Corbel" w:hAnsi="Corbel" w:cs="Tahoma"/>
          <w:b/>
          <w:sz w:val="20"/>
        </w:rPr>
      </w:pPr>
    </w:p>
    <w:p w14:paraId="5BB1BA86" w14:textId="77777777" w:rsidR="007564F8" w:rsidRPr="00371492" w:rsidRDefault="007564F8" w:rsidP="00497769">
      <w:pPr>
        <w:spacing w:line="360" w:lineRule="auto"/>
        <w:jc w:val="both"/>
        <w:rPr>
          <w:rFonts w:ascii="Corbel" w:hAnsi="Corbel" w:cs="Tahoma"/>
          <w:b/>
          <w:sz w:val="20"/>
        </w:rPr>
      </w:pPr>
    </w:p>
    <w:p w14:paraId="4C4D8743" w14:textId="77777777" w:rsidR="007564F8" w:rsidRPr="00371492" w:rsidRDefault="007564F8" w:rsidP="00497769">
      <w:pPr>
        <w:spacing w:line="360" w:lineRule="auto"/>
        <w:jc w:val="both"/>
        <w:rPr>
          <w:rFonts w:ascii="Corbel" w:hAnsi="Corbel" w:cs="Tahoma"/>
          <w:b/>
          <w:sz w:val="20"/>
        </w:rPr>
      </w:pPr>
    </w:p>
    <w:p w14:paraId="554AF459" w14:textId="6FB8CAA9" w:rsidR="007564F8" w:rsidRPr="00371492" w:rsidRDefault="00A459EC" w:rsidP="00497769">
      <w:pPr>
        <w:spacing w:line="360" w:lineRule="auto"/>
        <w:jc w:val="both"/>
        <w:rPr>
          <w:rFonts w:ascii="Corbel" w:hAnsi="Corbel" w:cs="Tahoma"/>
          <w:b/>
          <w:sz w:val="20"/>
        </w:rPr>
      </w:pPr>
      <w:r>
        <w:rPr>
          <w:rFonts w:ascii="Corbel" w:hAnsi="Corbel" w:cs="Tahoma"/>
          <w:b/>
          <w:noProof/>
          <w:sz w:val="20"/>
        </w:rPr>
        <mc:AlternateContent>
          <mc:Choice Requires="wps">
            <w:drawing>
              <wp:anchor distT="0" distB="0" distL="114300" distR="114300" simplePos="0" relativeHeight="251661312" behindDoc="0" locked="0" layoutInCell="1" allowOverlap="1" wp14:anchorId="223B0CAD" wp14:editId="7C1293B0">
                <wp:simplePos x="0" y="0"/>
                <wp:positionH relativeFrom="margin">
                  <wp:posOffset>929005</wp:posOffset>
                </wp:positionH>
                <wp:positionV relativeFrom="margin">
                  <wp:posOffset>2421890</wp:posOffset>
                </wp:positionV>
                <wp:extent cx="4161155" cy="3859530"/>
                <wp:effectExtent l="0" t="0" r="4445" b="1270"/>
                <wp:wrapSquare wrapText="bothSides"/>
                <wp:docPr id="9" name="Tekstvak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61155" cy="3859530"/>
                        </a:xfrm>
                        <a:prstGeom prst="rect">
                          <a:avLst/>
                        </a:prstGeom>
                        <a:solidFill>
                          <a:schemeClr val="tx1">
                            <a:lumMod val="65000"/>
                            <a:lumOff val="35000"/>
                            <a:alpha val="98000"/>
                          </a:schemeClr>
                        </a:solidFill>
                        <a:ln>
                          <a:solidFill>
                            <a:schemeClr val="tx1"/>
                          </a:solidFill>
                        </a:ln>
                        <a:effectLst>
                          <a:softEdge rad="31750"/>
                        </a:effectLst>
                      </wps:spPr>
                      <wps:style>
                        <a:lnRef idx="0">
                          <a:schemeClr val="accent1"/>
                        </a:lnRef>
                        <a:fillRef idx="0">
                          <a:schemeClr val="accent1"/>
                        </a:fillRef>
                        <a:effectRef idx="0">
                          <a:schemeClr val="accent1"/>
                        </a:effectRef>
                        <a:fontRef idx="minor">
                          <a:schemeClr val="dk1"/>
                        </a:fontRef>
                      </wps:style>
                      <wps:txbx>
                        <w:txbxContent>
                          <w:p w14:paraId="5A547613" w14:textId="49813EB0" w:rsidR="009D4480" w:rsidRPr="009D4480" w:rsidRDefault="009D4480" w:rsidP="00497769">
                            <w:pPr>
                              <w:spacing w:line="276" w:lineRule="auto"/>
                              <w:jc w:val="center"/>
                              <w:rPr>
                                <w:rFonts w:ascii="Corbel" w:hAnsi="Corbel" w:cs="Tahoma"/>
                                <w:b/>
                                <w:bCs/>
                                <w:color w:val="C45911" w:themeColor="accent2" w:themeShade="BF"/>
                                <w:sz w:val="48"/>
                                <w14:textOutline w14:w="1905" w14:cap="rnd" w14:cmpd="dbl" w14:algn="ctr">
                                  <w14:solidFill>
                                    <w14:schemeClr w14:val="bg1">
                                      <w14:alpha w14:val="56000"/>
                                    </w14:schemeClr>
                                  </w14:solidFill>
                                  <w14:prstDash w14:val="solid"/>
                                  <w14:bevel/>
                                </w14:textOutline>
                              </w:rPr>
                            </w:pPr>
                            <w:r w:rsidRPr="009D4480">
                              <w:rPr>
                                <w:rFonts w:ascii="Corbel" w:hAnsi="Corbel" w:cs="Tahoma"/>
                                <w:b/>
                                <w:bCs/>
                                <w:color w:val="C45911" w:themeColor="accent2" w:themeShade="BF"/>
                                <w:sz w:val="48"/>
                                <w14:textOutline w14:w="1905" w14:cap="rnd" w14:cmpd="dbl" w14:algn="ctr">
                                  <w14:solidFill>
                                    <w14:schemeClr w14:val="bg1">
                                      <w14:alpha w14:val="56000"/>
                                    </w14:schemeClr>
                                  </w14:solidFill>
                                  <w14:prstDash w14:val="solid"/>
                                  <w14:bevel/>
                                </w14:textOutline>
                              </w:rPr>
                              <w:t>Voorbij het getal</w:t>
                            </w:r>
                          </w:p>
                          <w:p w14:paraId="754293F6" w14:textId="77777777" w:rsidR="009D4480" w:rsidRPr="004C63E9" w:rsidRDefault="009D4480" w:rsidP="00497769">
                            <w:pPr>
                              <w:spacing w:line="276" w:lineRule="auto"/>
                              <w:jc w:val="center"/>
                              <w:rPr>
                                <w:rFonts w:ascii="Corbel" w:hAnsi="Corbel" w:cs="Tahoma"/>
                                <w:b/>
                                <w:bCs/>
                                <w:i/>
                                <w:iCs/>
                                <w:color w:val="FFFFFF" w:themeColor="background1"/>
                                <w:sz w:val="28"/>
                              </w:rPr>
                            </w:pPr>
                            <w:r w:rsidRPr="004C63E9">
                              <w:rPr>
                                <w:rFonts w:ascii="Corbel" w:hAnsi="Corbel" w:cs="Tahoma"/>
                                <w:b/>
                                <w:bCs/>
                                <w:i/>
                                <w:iCs/>
                                <w:color w:val="FFFFFF" w:themeColor="background1"/>
                                <w:sz w:val="28"/>
                              </w:rPr>
                              <w:t>Een onderzoek naar risicoanalyses als morele kwestie</w:t>
                            </w:r>
                          </w:p>
                          <w:p w14:paraId="16333523" w14:textId="77777777" w:rsidR="009D4480" w:rsidRPr="00F32E67" w:rsidRDefault="009D4480" w:rsidP="00497769">
                            <w:pPr>
                              <w:spacing w:line="276" w:lineRule="auto"/>
                              <w:jc w:val="center"/>
                              <w:rPr>
                                <w:rFonts w:ascii="Corbel" w:hAnsi="Corbel" w:cs="Tahoma"/>
                                <w:color w:val="FFFFFF" w:themeColor="background1"/>
                              </w:rPr>
                            </w:pPr>
                          </w:p>
                          <w:p w14:paraId="458A416D" w14:textId="77777777" w:rsidR="009D4480" w:rsidRPr="004C63E9" w:rsidRDefault="009D4480" w:rsidP="00497769">
                            <w:pPr>
                              <w:spacing w:line="276" w:lineRule="auto"/>
                              <w:jc w:val="center"/>
                              <w:rPr>
                                <w:rFonts w:ascii="Corbel" w:hAnsi="Corbel" w:cs="Tahoma"/>
                                <w:color w:val="FFFFFF" w:themeColor="background1"/>
                              </w:rPr>
                            </w:pPr>
                            <w:r w:rsidRPr="004C63E9">
                              <w:rPr>
                                <w:rFonts w:ascii="Corbel" w:hAnsi="Corbel" w:cs="Tahoma"/>
                                <w:color w:val="FFFFFF" w:themeColor="background1"/>
                              </w:rPr>
                              <w:t>Masterthesis Bestuurskunde</w:t>
                            </w:r>
                          </w:p>
                          <w:p w14:paraId="63FCD7E6" w14:textId="77777777" w:rsidR="009D4480" w:rsidRPr="00F32E67" w:rsidRDefault="009D4480" w:rsidP="00497769">
                            <w:pPr>
                              <w:spacing w:line="276" w:lineRule="auto"/>
                              <w:jc w:val="center"/>
                              <w:rPr>
                                <w:rFonts w:ascii="Corbel" w:hAnsi="Corbel" w:cs="Tahoma"/>
                                <w:color w:val="FFFFFF" w:themeColor="background1"/>
                              </w:rPr>
                            </w:pPr>
                            <w:r w:rsidRPr="00F32E67">
                              <w:rPr>
                                <w:rFonts w:ascii="Corbel" w:hAnsi="Corbel" w:cs="Tahoma"/>
                                <w:color w:val="FFFFFF" w:themeColor="background1"/>
                              </w:rPr>
                              <w:t>Auteur: Floris-Willem Enzerink</w:t>
                            </w:r>
                          </w:p>
                          <w:p w14:paraId="75F38292" w14:textId="77777777" w:rsidR="009D4480" w:rsidRPr="00F32E67" w:rsidRDefault="009D4480" w:rsidP="00497769">
                            <w:pPr>
                              <w:spacing w:line="276" w:lineRule="auto"/>
                              <w:jc w:val="center"/>
                              <w:rPr>
                                <w:rFonts w:ascii="Corbel" w:hAnsi="Corbel" w:cs="Tahoma"/>
                                <w:color w:val="FFFFFF" w:themeColor="background1"/>
                              </w:rPr>
                            </w:pPr>
                            <w:r w:rsidRPr="00F32E67">
                              <w:rPr>
                                <w:rFonts w:ascii="Corbel" w:hAnsi="Corbel" w:cs="Tahoma"/>
                                <w:color w:val="FFFFFF" w:themeColor="background1"/>
                              </w:rPr>
                              <w:t>Studentnummer: 4133897</w:t>
                            </w:r>
                          </w:p>
                          <w:p w14:paraId="19E50A16" w14:textId="77777777" w:rsidR="009D4480" w:rsidRPr="00F32E67" w:rsidRDefault="009D4480" w:rsidP="00497769">
                            <w:pPr>
                              <w:spacing w:line="276" w:lineRule="auto"/>
                              <w:jc w:val="center"/>
                              <w:rPr>
                                <w:rFonts w:ascii="Corbel" w:hAnsi="Corbel" w:cs="Tahoma"/>
                                <w:color w:val="FFFFFF" w:themeColor="background1"/>
                              </w:rPr>
                            </w:pPr>
                            <w:r w:rsidRPr="00F32E67">
                              <w:rPr>
                                <w:rFonts w:ascii="Corbel" w:hAnsi="Corbel" w:cs="Tahoma"/>
                                <w:color w:val="FFFFFF" w:themeColor="background1"/>
                              </w:rPr>
                              <w:t xml:space="preserve">E-mailadres: </w:t>
                            </w:r>
                            <w:r w:rsidRPr="00F32E67">
                              <w:rPr>
                                <w:rFonts w:ascii="Corbel" w:hAnsi="Corbel" w:cs="Tahoma"/>
                                <w:color w:val="FFFFFF" w:themeColor="background1"/>
                              </w:rPr>
                              <w:tab/>
                              <w:t>fcw.enzerink@student.ru.nl</w:t>
                            </w:r>
                          </w:p>
                          <w:p w14:paraId="02C0A8F7" w14:textId="77777777" w:rsidR="009D4480" w:rsidRDefault="009D4480" w:rsidP="00497769">
                            <w:pPr>
                              <w:spacing w:line="276" w:lineRule="auto"/>
                              <w:jc w:val="center"/>
                              <w:rPr>
                                <w:rFonts w:ascii="Corbel" w:hAnsi="Corbel" w:cs="Tahoma"/>
                                <w:color w:val="FFFFFF" w:themeColor="background1"/>
                              </w:rPr>
                            </w:pPr>
                            <w:r w:rsidRPr="00F32E67">
                              <w:rPr>
                                <w:rFonts w:ascii="Corbel" w:hAnsi="Corbel" w:cs="Tahoma"/>
                                <w:color w:val="FFFFFF" w:themeColor="background1"/>
                              </w:rPr>
                              <w:t>Begeleider: Dr. J.H.M.M. Tholen</w:t>
                            </w:r>
                          </w:p>
                          <w:p w14:paraId="4162C07D" w14:textId="047F52E5" w:rsidR="009D4480" w:rsidRPr="00F32E67" w:rsidRDefault="009D4480" w:rsidP="00497769">
                            <w:pPr>
                              <w:spacing w:line="276" w:lineRule="auto"/>
                              <w:jc w:val="center"/>
                              <w:rPr>
                                <w:rFonts w:ascii="Corbel" w:hAnsi="Corbel" w:cs="Tahoma"/>
                                <w:color w:val="FFFFFF" w:themeColor="background1"/>
                              </w:rPr>
                            </w:pPr>
                            <w:r>
                              <w:rPr>
                                <w:rFonts w:ascii="Corbel" w:hAnsi="Corbel" w:cs="Tahoma"/>
                                <w:color w:val="FFFFFF" w:themeColor="background1"/>
                              </w:rPr>
                              <w:t>Stageinstantie: Inspectie Leefomgeving en Transport</w:t>
                            </w:r>
                          </w:p>
                          <w:p w14:paraId="341EBD56" w14:textId="77777777" w:rsidR="009D4480" w:rsidRPr="00F32E67" w:rsidRDefault="009D4480" w:rsidP="00497769">
                            <w:pPr>
                              <w:spacing w:line="276" w:lineRule="auto"/>
                              <w:jc w:val="center"/>
                              <w:rPr>
                                <w:rFonts w:ascii="Corbel" w:hAnsi="Corbel" w:cs="Tahoma"/>
                                <w:color w:val="FFFFFF" w:themeColor="background1"/>
                              </w:rPr>
                            </w:pPr>
                          </w:p>
                          <w:p w14:paraId="1A52492A" w14:textId="77777777" w:rsidR="009D4480" w:rsidRPr="00F32E67" w:rsidRDefault="009D4480" w:rsidP="00497769">
                            <w:pPr>
                              <w:spacing w:line="276" w:lineRule="auto"/>
                              <w:jc w:val="center"/>
                              <w:rPr>
                                <w:rFonts w:ascii="Corbel" w:hAnsi="Corbel" w:cs="Tahoma"/>
                                <w:color w:val="FFFFFF" w:themeColor="background1"/>
                              </w:rPr>
                            </w:pPr>
                            <w:r w:rsidRPr="00F32E67">
                              <w:rPr>
                                <w:rFonts w:ascii="Corbel" w:hAnsi="Corbel" w:cs="Tahoma"/>
                                <w:color w:val="FFFFFF" w:themeColor="background1"/>
                              </w:rPr>
                              <w:t>Faculteit der Managementwetenschappen</w:t>
                            </w:r>
                          </w:p>
                          <w:p w14:paraId="61CD8E39" w14:textId="77777777" w:rsidR="009D4480" w:rsidRPr="00F32E67" w:rsidRDefault="009D4480" w:rsidP="00497769">
                            <w:pPr>
                              <w:spacing w:line="276" w:lineRule="auto"/>
                              <w:jc w:val="center"/>
                              <w:rPr>
                                <w:rFonts w:ascii="Corbel" w:hAnsi="Corbel" w:cs="Tahoma"/>
                                <w:color w:val="FFFFFF" w:themeColor="background1"/>
                              </w:rPr>
                            </w:pPr>
                            <w:r w:rsidRPr="00F32E67">
                              <w:rPr>
                                <w:rFonts w:ascii="Corbel" w:hAnsi="Corbel" w:cs="Tahoma"/>
                                <w:color w:val="FFFFFF" w:themeColor="background1"/>
                              </w:rPr>
                              <w:t xml:space="preserve">Radboud Universiteit Nijmegen </w:t>
                            </w:r>
                          </w:p>
                          <w:p w14:paraId="25D602DD" w14:textId="77777777" w:rsidR="009D4480" w:rsidRPr="00F32E67" w:rsidRDefault="009D4480" w:rsidP="00B14292">
                            <w:pPr>
                              <w:spacing w:line="276" w:lineRule="auto"/>
                              <w:jc w:val="center"/>
                              <w:rPr>
                                <w:rFonts w:ascii="Corbel" w:hAnsi="Corbel" w:cs="Tahoma"/>
                                <w:color w:val="FFFFFF" w:themeColor="background1"/>
                              </w:rPr>
                            </w:pPr>
                            <w:r>
                              <w:rPr>
                                <w:rFonts w:ascii="Corbel" w:hAnsi="Corbel" w:cs="Tahoma"/>
                                <w:color w:val="FFFFFF" w:themeColor="background1"/>
                              </w:rPr>
                              <w:t xml:space="preserve">Januari – juni </w:t>
                            </w:r>
                            <w:r w:rsidRPr="00F32E67">
                              <w:rPr>
                                <w:rFonts w:ascii="Corbel" w:hAnsi="Corbel" w:cs="Tahoma"/>
                                <w:color w:val="FFFFFF" w:themeColor="background1"/>
                              </w:rPr>
                              <w:t>2017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3B0CAD" id="_x0000_t202" coordsize="21600,21600" o:spt="202" path="m0,0l0,21600,21600,21600,21600,0xe">
                <v:stroke joinstyle="miter"/>
                <v:path gradientshapeok="t" o:connecttype="rect"/>
              </v:shapetype>
              <v:shape id="Tekstvak_x0020_1" o:spid="_x0000_s1026" type="#_x0000_t202" style="position:absolute;left:0;text-align:left;margin-left:73.15pt;margin-top:190.7pt;width:327.65pt;height:303.9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puBrc0CAAA8BgAADgAAAGRycy9lMm9Eb2MueG1srFTfT9swEH6ftP/B8vtIQ1ugFSnqYEyTOkCD&#10;iWfXsduojs+z3Tblr9/ZTkphPIxpL058/u733Xd+0dSKbIR1FeiC5kc9SoTmUFZ6UdCfD9efzihx&#10;numSKdCioDvh6MXk44fzrRmLY1iCKoUlaES78dYUdOm9GWeZ40tRM3cERmh8lGBr5vFqF1lp2Rat&#10;1yo77vVOsi3Y0ljgwjmUXqVHOon2pRTc30rphCeqoBibj6eN5zyc2eScjReWmWXF2zDYP0RRs0qj&#10;072pK+YZWdvqD1N1xS04kP6IQ52BlBUXMQfMJu+9yuZ+yYyIuWBxnNmXyf0/s/xmc2dJVRZ0RIlm&#10;NbboQayc37AVyUN1tsaNEXRvEOabz9Bgl2OmzsyArxxCsgNMUnCIDtVopK3DF/MkqIgN2O2LLhpP&#10;OAoH+UmeD4eUcHzrnw1Hw35sS/asbqzzXwXUJPwU1GJXYwhsM3M+BMDGHSR4c6Cq8rpSKl7CJIlL&#10;ZcmG4Qz4JkWv1vV3KJPsZNjrtZOAYpyXJO4/i5kyS5ako7MWjE7jlAbbMYQXbpX+m0hS7AeKaDRp&#10;iji7mF4yI/2XciGIZdiofn467Cp0AItdSIUP/XB+p0RQVvqHkNjhWP83KsI4F9rHXkfviA4oifV7&#10;j2KLD6opqPco7zWiZ9B+r1xXGmyat5eNLFddyDLh2zls8w4l8M28aSd4DuUOB9hCIgBn+HWFszRj&#10;zt8xixuPo4ks5m/xkAq2BYX2j5Il2Ke35AGPi4ivlGyRQQrqfq2ZFZSobxpXdJQPBoFy4mUwPD3G&#10;iz18mR++6HV9CTigOfKl4fE34L3qfqWF+hHJbhq84hPTHH0XlHvbXS59YjakSy6m0whDmjHMz/S9&#10;4d3mhl15aB6ZNe1CedzFG+jYho1f7VXChtZomK49yCouXShxqmtbeqSouAgtnQYOPLxH1DPpT34D&#10;AAD//wMAUEsDBBQABgAIAAAAIQBE4UuZ3wAAAAsBAAAPAAAAZHJzL2Rvd25yZXYueG1sTI9BT4NA&#10;EIXvJv6HzZh4swNtQyiyNETTxqNWL94Wdgoou0vYheK/dzzZ48t8ee+bfL+YXsw0+s5ZCfEqAkG2&#10;drqzjYSP98NDCsIHZbXqnSUJP+RhX9ze5CrT7mLfaD6FRnCJ9ZmS0IYwZIi+bskov3IDWb6d3WhU&#10;4Dg2qEd14XLT4zqKEjSqs7zQqoGeWqq/T5ORgF8v5+fjZ4Ua/aGcSr89vs5Oyvu7pXwEEWgJ/zD8&#10;6bM6FOxUuclqL3rO22TDqIRNGm9BMJFGcQKikrBLd2vAIsfrH4pfAAAA//8DAFBLAQItABQABgAI&#10;AAAAIQDkmcPA+wAAAOEBAAATAAAAAAAAAAAAAAAAAAAAAABbQ29udGVudF9UeXBlc10ueG1sUEsB&#10;Ai0AFAAGAAgAAAAhACOyauHXAAAAlAEAAAsAAAAAAAAAAAAAAAAALAEAAF9yZWxzLy5yZWxzUEsB&#10;Ai0AFAAGAAgAAAAhAO6bga3NAgAAPAYAAA4AAAAAAAAAAAAAAAAALAIAAGRycy9lMm9Eb2MueG1s&#10;UEsBAi0AFAAGAAgAAAAhAEThS5nfAAAACwEAAA8AAAAAAAAAAAAAAAAAJQUAAGRycy9kb3ducmV2&#10;LnhtbFBLBQYAAAAABAAEAPMAAAAxBgAAAAA=&#10;" fillcolor="#5a5a5a [2109]" strokecolor="black [3213]">
                <v:fill opacity="64250f"/>
                <v:path arrowok="t"/>
                <v:textbox>
                  <w:txbxContent>
                    <w:p w14:paraId="5A547613" w14:textId="49813EB0" w:rsidR="009D4480" w:rsidRPr="009D4480" w:rsidRDefault="009D4480" w:rsidP="00497769">
                      <w:pPr>
                        <w:spacing w:line="276" w:lineRule="auto"/>
                        <w:jc w:val="center"/>
                        <w:rPr>
                          <w:rFonts w:ascii="Corbel" w:hAnsi="Corbel" w:cs="Tahoma"/>
                          <w:b/>
                          <w:bCs/>
                          <w:color w:val="C45911" w:themeColor="accent2" w:themeShade="BF"/>
                          <w:sz w:val="48"/>
                          <w14:textOutline w14:w="1905" w14:cap="rnd" w14:cmpd="dbl" w14:algn="ctr">
                            <w14:solidFill>
                              <w14:schemeClr w14:val="bg1">
                                <w14:alpha w14:val="56000"/>
                              </w14:schemeClr>
                            </w14:solidFill>
                            <w14:prstDash w14:val="solid"/>
                            <w14:bevel/>
                          </w14:textOutline>
                        </w:rPr>
                      </w:pPr>
                      <w:r w:rsidRPr="009D4480">
                        <w:rPr>
                          <w:rFonts w:ascii="Corbel" w:hAnsi="Corbel" w:cs="Tahoma"/>
                          <w:b/>
                          <w:bCs/>
                          <w:color w:val="C45911" w:themeColor="accent2" w:themeShade="BF"/>
                          <w:sz w:val="48"/>
                          <w14:textOutline w14:w="1905" w14:cap="rnd" w14:cmpd="dbl" w14:algn="ctr">
                            <w14:solidFill>
                              <w14:schemeClr w14:val="bg1">
                                <w14:alpha w14:val="56000"/>
                              </w14:schemeClr>
                            </w14:solidFill>
                            <w14:prstDash w14:val="solid"/>
                            <w14:bevel/>
                          </w14:textOutline>
                        </w:rPr>
                        <w:t>Voorbij het getal</w:t>
                      </w:r>
                    </w:p>
                    <w:p w14:paraId="754293F6" w14:textId="77777777" w:rsidR="009D4480" w:rsidRPr="004C63E9" w:rsidRDefault="009D4480" w:rsidP="00497769">
                      <w:pPr>
                        <w:spacing w:line="276" w:lineRule="auto"/>
                        <w:jc w:val="center"/>
                        <w:rPr>
                          <w:rFonts w:ascii="Corbel" w:hAnsi="Corbel" w:cs="Tahoma"/>
                          <w:b/>
                          <w:bCs/>
                          <w:i/>
                          <w:iCs/>
                          <w:color w:val="FFFFFF" w:themeColor="background1"/>
                          <w:sz w:val="28"/>
                        </w:rPr>
                      </w:pPr>
                      <w:r w:rsidRPr="004C63E9">
                        <w:rPr>
                          <w:rFonts w:ascii="Corbel" w:hAnsi="Corbel" w:cs="Tahoma"/>
                          <w:b/>
                          <w:bCs/>
                          <w:i/>
                          <w:iCs/>
                          <w:color w:val="FFFFFF" w:themeColor="background1"/>
                          <w:sz w:val="28"/>
                        </w:rPr>
                        <w:t>Een onderzoek naar risicoanalyses als morele kwestie</w:t>
                      </w:r>
                    </w:p>
                    <w:p w14:paraId="16333523" w14:textId="77777777" w:rsidR="009D4480" w:rsidRPr="00F32E67" w:rsidRDefault="009D4480" w:rsidP="00497769">
                      <w:pPr>
                        <w:spacing w:line="276" w:lineRule="auto"/>
                        <w:jc w:val="center"/>
                        <w:rPr>
                          <w:rFonts w:ascii="Corbel" w:hAnsi="Corbel" w:cs="Tahoma"/>
                          <w:color w:val="FFFFFF" w:themeColor="background1"/>
                        </w:rPr>
                      </w:pPr>
                    </w:p>
                    <w:p w14:paraId="458A416D" w14:textId="77777777" w:rsidR="009D4480" w:rsidRPr="004C63E9" w:rsidRDefault="009D4480" w:rsidP="00497769">
                      <w:pPr>
                        <w:spacing w:line="276" w:lineRule="auto"/>
                        <w:jc w:val="center"/>
                        <w:rPr>
                          <w:rFonts w:ascii="Corbel" w:hAnsi="Corbel" w:cs="Tahoma"/>
                          <w:color w:val="FFFFFF" w:themeColor="background1"/>
                        </w:rPr>
                      </w:pPr>
                      <w:r w:rsidRPr="004C63E9">
                        <w:rPr>
                          <w:rFonts w:ascii="Corbel" w:hAnsi="Corbel" w:cs="Tahoma"/>
                          <w:color w:val="FFFFFF" w:themeColor="background1"/>
                        </w:rPr>
                        <w:t>Masterthesis Bestuurskunde</w:t>
                      </w:r>
                    </w:p>
                    <w:p w14:paraId="63FCD7E6" w14:textId="77777777" w:rsidR="009D4480" w:rsidRPr="00F32E67" w:rsidRDefault="009D4480" w:rsidP="00497769">
                      <w:pPr>
                        <w:spacing w:line="276" w:lineRule="auto"/>
                        <w:jc w:val="center"/>
                        <w:rPr>
                          <w:rFonts w:ascii="Corbel" w:hAnsi="Corbel" w:cs="Tahoma"/>
                          <w:color w:val="FFFFFF" w:themeColor="background1"/>
                        </w:rPr>
                      </w:pPr>
                      <w:r w:rsidRPr="00F32E67">
                        <w:rPr>
                          <w:rFonts w:ascii="Corbel" w:hAnsi="Corbel" w:cs="Tahoma"/>
                          <w:color w:val="FFFFFF" w:themeColor="background1"/>
                        </w:rPr>
                        <w:t>Auteur: Floris-Willem Enzerink</w:t>
                      </w:r>
                    </w:p>
                    <w:p w14:paraId="75F38292" w14:textId="77777777" w:rsidR="009D4480" w:rsidRPr="00F32E67" w:rsidRDefault="009D4480" w:rsidP="00497769">
                      <w:pPr>
                        <w:spacing w:line="276" w:lineRule="auto"/>
                        <w:jc w:val="center"/>
                        <w:rPr>
                          <w:rFonts w:ascii="Corbel" w:hAnsi="Corbel" w:cs="Tahoma"/>
                          <w:color w:val="FFFFFF" w:themeColor="background1"/>
                        </w:rPr>
                      </w:pPr>
                      <w:r w:rsidRPr="00F32E67">
                        <w:rPr>
                          <w:rFonts w:ascii="Corbel" w:hAnsi="Corbel" w:cs="Tahoma"/>
                          <w:color w:val="FFFFFF" w:themeColor="background1"/>
                        </w:rPr>
                        <w:t>Studentnummer: 4133897</w:t>
                      </w:r>
                    </w:p>
                    <w:p w14:paraId="19E50A16" w14:textId="77777777" w:rsidR="009D4480" w:rsidRPr="00F32E67" w:rsidRDefault="009D4480" w:rsidP="00497769">
                      <w:pPr>
                        <w:spacing w:line="276" w:lineRule="auto"/>
                        <w:jc w:val="center"/>
                        <w:rPr>
                          <w:rFonts w:ascii="Corbel" w:hAnsi="Corbel" w:cs="Tahoma"/>
                          <w:color w:val="FFFFFF" w:themeColor="background1"/>
                        </w:rPr>
                      </w:pPr>
                      <w:r w:rsidRPr="00F32E67">
                        <w:rPr>
                          <w:rFonts w:ascii="Corbel" w:hAnsi="Corbel" w:cs="Tahoma"/>
                          <w:color w:val="FFFFFF" w:themeColor="background1"/>
                        </w:rPr>
                        <w:t xml:space="preserve">E-mailadres: </w:t>
                      </w:r>
                      <w:r w:rsidRPr="00F32E67">
                        <w:rPr>
                          <w:rFonts w:ascii="Corbel" w:hAnsi="Corbel" w:cs="Tahoma"/>
                          <w:color w:val="FFFFFF" w:themeColor="background1"/>
                        </w:rPr>
                        <w:tab/>
                        <w:t>fcw.enzerink@student.ru.nl</w:t>
                      </w:r>
                    </w:p>
                    <w:p w14:paraId="02C0A8F7" w14:textId="77777777" w:rsidR="009D4480" w:rsidRDefault="009D4480" w:rsidP="00497769">
                      <w:pPr>
                        <w:spacing w:line="276" w:lineRule="auto"/>
                        <w:jc w:val="center"/>
                        <w:rPr>
                          <w:rFonts w:ascii="Corbel" w:hAnsi="Corbel" w:cs="Tahoma"/>
                          <w:color w:val="FFFFFF" w:themeColor="background1"/>
                        </w:rPr>
                      </w:pPr>
                      <w:r w:rsidRPr="00F32E67">
                        <w:rPr>
                          <w:rFonts w:ascii="Corbel" w:hAnsi="Corbel" w:cs="Tahoma"/>
                          <w:color w:val="FFFFFF" w:themeColor="background1"/>
                        </w:rPr>
                        <w:t>Begeleider: Dr. J.H.M.M. Tholen</w:t>
                      </w:r>
                    </w:p>
                    <w:p w14:paraId="4162C07D" w14:textId="047F52E5" w:rsidR="009D4480" w:rsidRPr="00F32E67" w:rsidRDefault="009D4480" w:rsidP="00497769">
                      <w:pPr>
                        <w:spacing w:line="276" w:lineRule="auto"/>
                        <w:jc w:val="center"/>
                        <w:rPr>
                          <w:rFonts w:ascii="Corbel" w:hAnsi="Corbel" w:cs="Tahoma"/>
                          <w:color w:val="FFFFFF" w:themeColor="background1"/>
                        </w:rPr>
                      </w:pPr>
                      <w:r>
                        <w:rPr>
                          <w:rFonts w:ascii="Corbel" w:hAnsi="Corbel" w:cs="Tahoma"/>
                          <w:color w:val="FFFFFF" w:themeColor="background1"/>
                        </w:rPr>
                        <w:t>Stageinstantie: Inspectie Leefomgeving en Transport</w:t>
                      </w:r>
                    </w:p>
                    <w:p w14:paraId="341EBD56" w14:textId="77777777" w:rsidR="009D4480" w:rsidRPr="00F32E67" w:rsidRDefault="009D4480" w:rsidP="00497769">
                      <w:pPr>
                        <w:spacing w:line="276" w:lineRule="auto"/>
                        <w:jc w:val="center"/>
                        <w:rPr>
                          <w:rFonts w:ascii="Corbel" w:hAnsi="Corbel" w:cs="Tahoma"/>
                          <w:color w:val="FFFFFF" w:themeColor="background1"/>
                        </w:rPr>
                      </w:pPr>
                    </w:p>
                    <w:p w14:paraId="1A52492A" w14:textId="77777777" w:rsidR="009D4480" w:rsidRPr="00F32E67" w:rsidRDefault="009D4480" w:rsidP="00497769">
                      <w:pPr>
                        <w:spacing w:line="276" w:lineRule="auto"/>
                        <w:jc w:val="center"/>
                        <w:rPr>
                          <w:rFonts w:ascii="Corbel" w:hAnsi="Corbel" w:cs="Tahoma"/>
                          <w:color w:val="FFFFFF" w:themeColor="background1"/>
                        </w:rPr>
                      </w:pPr>
                      <w:r w:rsidRPr="00F32E67">
                        <w:rPr>
                          <w:rFonts w:ascii="Corbel" w:hAnsi="Corbel" w:cs="Tahoma"/>
                          <w:color w:val="FFFFFF" w:themeColor="background1"/>
                        </w:rPr>
                        <w:t>Faculteit der Managementwetenschappen</w:t>
                      </w:r>
                    </w:p>
                    <w:p w14:paraId="61CD8E39" w14:textId="77777777" w:rsidR="009D4480" w:rsidRPr="00F32E67" w:rsidRDefault="009D4480" w:rsidP="00497769">
                      <w:pPr>
                        <w:spacing w:line="276" w:lineRule="auto"/>
                        <w:jc w:val="center"/>
                        <w:rPr>
                          <w:rFonts w:ascii="Corbel" w:hAnsi="Corbel" w:cs="Tahoma"/>
                          <w:color w:val="FFFFFF" w:themeColor="background1"/>
                        </w:rPr>
                      </w:pPr>
                      <w:r w:rsidRPr="00F32E67">
                        <w:rPr>
                          <w:rFonts w:ascii="Corbel" w:hAnsi="Corbel" w:cs="Tahoma"/>
                          <w:color w:val="FFFFFF" w:themeColor="background1"/>
                        </w:rPr>
                        <w:t xml:space="preserve">Radboud Universiteit Nijmegen </w:t>
                      </w:r>
                    </w:p>
                    <w:p w14:paraId="25D602DD" w14:textId="77777777" w:rsidR="009D4480" w:rsidRPr="00F32E67" w:rsidRDefault="009D4480" w:rsidP="00B14292">
                      <w:pPr>
                        <w:spacing w:line="276" w:lineRule="auto"/>
                        <w:jc w:val="center"/>
                        <w:rPr>
                          <w:rFonts w:ascii="Corbel" w:hAnsi="Corbel" w:cs="Tahoma"/>
                          <w:color w:val="FFFFFF" w:themeColor="background1"/>
                        </w:rPr>
                      </w:pPr>
                      <w:r>
                        <w:rPr>
                          <w:rFonts w:ascii="Corbel" w:hAnsi="Corbel" w:cs="Tahoma"/>
                          <w:color w:val="FFFFFF" w:themeColor="background1"/>
                        </w:rPr>
                        <w:t xml:space="preserve">Januari – juni </w:t>
                      </w:r>
                      <w:r w:rsidRPr="00F32E67">
                        <w:rPr>
                          <w:rFonts w:ascii="Corbel" w:hAnsi="Corbel" w:cs="Tahoma"/>
                          <w:color w:val="FFFFFF" w:themeColor="background1"/>
                        </w:rPr>
                        <w:t>2017</w:t>
                      </w:r>
                    </w:p>
                  </w:txbxContent>
                </v:textbox>
                <w10:wrap type="square" anchorx="margin" anchory="margin"/>
              </v:shape>
            </w:pict>
          </mc:Fallback>
        </mc:AlternateContent>
      </w:r>
    </w:p>
    <w:p w14:paraId="378CE076" w14:textId="77777777" w:rsidR="007564F8" w:rsidRPr="00371492" w:rsidRDefault="007564F8" w:rsidP="00497769">
      <w:pPr>
        <w:spacing w:line="360" w:lineRule="auto"/>
        <w:jc w:val="both"/>
        <w:rPr>
          <w:rFonts w:ascii="Corbel" w:hAnsi="Corbel" w:cs="Tahoma"/>
          <w:b/>
          <w:sz w:val="20"/>
        </w:rPr>
      </w:pPr>
    </w:p>
    <w:p w14:paraId="328BD873" w14:textId="6CDA65FC" w:rsidR="007564F8" w:rsidRPr="00371492" w:rsidRDefault="007564F8" w:rsidP="00497769">
      <w:pPr>
        <w:spacing w:line="360" w:lineRule="auto"/>
        <w:jc w:val="both"/>
        <w:rPr>
          <w:rFonts w:ascii="Corbel" w:hAnsi="Corbel" w:cs="Tahoma"/>
          <w:b/>
          <w:sz w:val="20"/>
        </w:rPr>
      </w:pPr>
    </w:p>
    <w:p w14:paraId="39FB757D" w14:textId="77777777" w:rsidR="007564F8" w:rsidRPr="00371492" w:rsidRDefault="007564F8" w:rsidP="00497769">
      <w:pPr>
        <w:spacing w:line="360" w:lineRule="auto"/>
        <w:jc w:val="both"/>
        <w:rPr>
          <w:rFonts w:ascii="Corbel" w:hAnsi="Corbel" w:cs="Tahoma"/>
          <w:b/>
          <w:sz w:val="20"/>
        </w:rPr>
      </w:pPr>
    </w:p>
    <w:p w14:paraId="7ED721B6" w14:textId="77777777" w:rsidR="007564F8" w:rsidRPr="00371492" w:rsidRDefault="007564F8" w:rsidP="00497769">
      <w:pPr>
        <w:spacing w:line="360" w:lineRule="auto"/>
        <w:jc w:val="both"/>
        <w:rPr>
          <w:rFonts w:ascii="Corbel" w:hAnsi="Corbel" w:cs="Tahoma"/>
          <w:b/>
          <w:sz w:val="20"/>
        </w:rPr>
      </w:pPr>
    </w:p>
    <w:p w14:paraId="1E353323" w14:textId="77777777" w:rsidR="007564F8" w:rsidRPr="00371492" w:rsidRDefault="007564F8" w:rsidP="00497769">
      <w:pPr>
        <w:spacing w:line="360" w:lineRule="auto"/>
        <w:jc w:val="both"/>
        <w:rPr>
          <w:rFonts w:ascii="Corbel" w:hAnsi="Corbel" w:cs="Tahoma"/>
          <w:b/>
          <w:sz w:val="20"/>
        </w:rPr>
      </w:pPr>
    </w:p>
    <w:p w14:paraId="79F78E78" w14:textId="77777777" w:rsidR="007564F8" w:rsidRPr="00371492" w:rsidRDefault="007564F8" w:rsidP="00497769">
      <w:pPr>
        <w:spacing w:line="360" w:lineRule="auto"/>
        <w:jc w:val="both"/>
        <w:rPr>
          <w:rFonts w:ascii="Corbel" w:hAnsi="Corbel" w:cs="Tahoma"/>
          <w:b/>
          <w:sz w:val="20"/>
        </w:rPr>
      </w:pPr>
    </w:p>
    <w:p w14:paraId="292179BF" w14:textId="77777777" w:rsidR="007564F8" w:rsidRPr="00371492" w:rsidRDefault="007564F8" w:rsidP="00497769">
      <w:pPr>
        <w:spacing w:line="360" w:lineRule="auto"/>
        <w:jc w:val="both"/>
        <w:rPr>
          <w:rFonts w:ascii="Corbel" w:hAnsi="Corbel" w:cs="Tahoma"/>
          <w:b/>
          <w:sz w:val="20"/>
        </w:rPr>
      </w:pPr>
    </w:p>
    <w:p w14:paraId="04485A73" w14:textId="77777777" w:rsidR="007564F8" w:rsidRPr="00371492" w:rsidRDefault="007564F8" w:rsidP="00497769">
      <w:pPr>
        <w:spacing w:line="360" w:lineRule="auto"/>
        <w:jc w:val="both"/>
        <w:rPr>
          <w:rFonts w:ascii="Corbel" w:hAnsi="Corbel" w:cs="Tahoma"/>
          <w:b/>
          <w:sz w:val="20"/>
        </w:rPr>
      </w:pPr>
    </w:p>
    <w:p w14:paraId="66C29AE2" w14:textId="77777777" w:rsidR="007564F8" w:rsidRPr="00371492" w:rsidRDefault="007564F8" w:rsidP="00497769">
      <w:pPr>
        <w:spacing w:line="360" w:lineRule="auto"/>
        <w:jc w:val="both"/>
        <w:rPr>
          <w:rFonts w:ascii="Corbel" w:hAnsi="Corbel" w:cs="Tahoma"/>
          <w:b/>
          <w:sz w:val="20"/>
        </w:rPr>
      </w:pPr>
    </w:p>
    <w:p w14:paraId="52BCB747" w14:textId="5CD8C45E" w:rsidR="001C783F" w:rsidRPr="00371492" w:rsidRDefault="00B14292" w:rsidP="00B14292">
      <w:pPr>
        <w:tabs>
          <w:tab w:val="left" w:pos="5063"/>
        </w:tabs>
        <w:spacing w:line="360" w:lineRule="auto"/>
        <w:jc w:val="both"/>
        <w:rPr>
          <w:rFonts w:ascii="Corbel" w:hAnsi="Corbel" w:cs="Tahoma"/>
          <w:b/>
          <w:sz w:val="20"/>
        </w:rPr>
      </w:pPr>
      <w:r w:rsidRPr="00371492">
        <w:rPr>
          <w:rFonts w:ascii="Corbel" w:eastAsia="Times New Roman" w:hAnsi="Corbel"/>
          <w:noProof/>
          <w:sz w:val="22"/>
        </w:rPr>
        <w:drawing>
          <wp:anchor distT="0" distB="0" distL="114300" distR="114300" simplePos="0" relativeHeight="251656189" behindDoc="0" locked="0" layoutInCell="1" allowOverlap="1" wp14:anchorId="4E6202D7" wp14:editId="210A73AD">
            <wp:simplePos x="0" y="0"/>
            <wp:positionH relativeFrom="margin">
              <wp:posOffset>-962660</wp:posOffset>
            </wp:positionH>
            <wp:positionV relativeFrom="margin">
              <wp:posOffset>5388610</wp:posOffset>
            </wp:positionV>
            <wp:extent cx="7862570" cy="4453255"/>
            <wp:effectExtent l="50800" t="0" r="36830" b="67945"/>
            <wp:wrapSquare wrapText="bothSides"/>
            <wp:docPr id="5" name="Afbeelding 5" descr="inaire, Computing, Computerprogrammering, Cod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inaire, Computing, Computerprogrammering, Cod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862570" cy="4453255"/>
                    </a:xfrm>
                    <a:prstGeom prst="rect">
                      <a:avLst/>
                    </a:prstGeom>
                    <a:noFill/>
                    <a:ln>
                      <a:noFill/>
                    </a:ln>
                    <a:effectLst>
                      <a:outerShdw blurRad="50800" dist="50800" dir="5400000" algn="ctr" rotWithShape="0">
                        <a:srgbClr val="000000"/>
                      </a:outerShdw>
                    </a:effectLst>
                  </pic:spPr>
                </pic:pic>
              </a:graphicData>
            </a:graphic>
          </wp:anchor>
        </w:drawing>
      </w:r>
      <w:r w:rsidRPr="00371492">
        <w:rPr>
          <w:rFonts w:ascii="Corbel" w:hAnsi="Corbel" w:cs="Tahoma"/>
          <w:b/>
          <w:sz w:val="20"/>
        </w:rPr>
        <w:tab/>
      </w:r>
    </w:p>
    <w:p w14:paraId="516151E2" w14:textId="5FFAA627" w:rsidR="00F81707" w:rsidRPr="00B609D8" w:rsidRDefault="001C783F" w:rsidP="00B609D8">
      <w:pPr>
        <w:pStyle w:val="Stijl1"/>
        <w:numPr>
          <w:ilvl w:val="0"/>
          <w:numId w:val="0"/>
        </w:numPr>
        <w:rPr>
          <w:szCs w:val="24"/>
        </w:rPr>
      </w:pPr>
      <w:bookmarkStart w:id="0" w:name="_Toc473720598"/>
      <w:bookmarkStart w:id="1" w:name="_Toc480363448"/>
      <w:bookmarkStart w:id="2" w:name="_Toc485990845"/>
      <w:r w:rsidRPr="00371492">
        <w:rPr>
          <w:szCs w:val="24"/>
        </w:rPr>
        <w:lastRenderedPageBreak/>
        <w:t>Voorwoord</w:t>
      </w:r>
      <w:bookmarkEnd w:id="0"/>
      <w:bookmarkEnd w:id="1"/>
      <w:bookmarkEnd w:id="2"/>
    </w:p>
    <w:p w14:paraId="1182A53A" w14:textId="77777777" w:rsidR="00994757" w:rsidRDefault="00994757" w:rsidP="004D1DE2">
      <w:pPr>
        <w:spacing w:line="480" w:lineRule="auto"/>
        <w:jc w:val="both"/>
        <w:rPr>
          <w:rFonts w:ascii="Corbel" w:eastAsia="Tahoma,Tahoma,Times New Roman" w:hAnsi="Corbel" w:cs="Tahoma"/>
          <w:color w:val="000000" w:themeColor="text1"/>
          <w:sz w:val="20"/>
        </w:rPr>
      </w:pPr>
    </w:p>
    <w:p w14:paraId="0BBCBEA0" w14:textId="64280329" w:rsidR="00371492" w:rsidRPr="00371492" w:rsidRDefault="002B1A5C" w:rsidP="004D1DE2">
      <w:pPr>
        <w:spacing w:line="480" w:lineRule="auto"/>
        <w:jc w:val="both"/>
        <w:rPr>
          <w:rFonts w:ascii="Corbel" w:eastAsia="Tahoma,Tahoma,Times New Roman" w:hAnsi="Corbel" w:cs="Tahoma"/>
          <w:color w:val="000000" w:themeColor="text1"/>
          <w:sz w:val="20"/>
        </w:rPr>
      </w:pPr>
      <w:r>
        <w:rPr>
          <w:rFonts w:ascii="Corbel" w:eastAsia="Tahoma,Tahoma,Times New Roman" w:hAnsi="Corbel" w:cs="Tahoma"/>
          <w:color w:val="000000" w:themeColor="text1"/>
          <w:sz w:val="20"/>
        </w:rPr>
        <w:t>Voor u ligt de scriptie ‘</w:t>
      </w:r>
      <w:r w:rsidR="009A4355" w:rsidRPr="002B1A5C">
        <w:rPr>
          <w:rFonts w:ascii="Corbel" w:eastAsia="Tahoma,Tahoma,Times New Roman" w:hAnsi="Corbel" w:cs="Tahoma"/>
          <w:b/>
          <w:i/>
          <w:color w:val="000000" w:themeColor="text1"/>
          <w:sz w:val="20"/>
        </w:rPr>
        <w:t>Voorbij het getal</w:t>
      </w:r>
      <w:r w:rsidR="009A4355" w:rsidRPr="002B1A5C">
        <w:rPr>
          <w:rFonts w:ascii="Corbel" w:eastAsia="Tahoma,Tahoma,Times New Roman" w:hAnsi="Corbel" w:cs="Tahoma"/>
          <w:i/>
          <w:color w:val="000000" w:themeColor="text1"/>
          <w:sz w:val="20"/>
        </w:rPr>
        <w:t>: een onderzoek naar ri</w:t>
      </w:r>
      <w:r w:rsidRPr="002B1A5C">
        <w:rPr>
          <w:rFonts w:ascii="Corbel" w:eastAsia="Tahoma,Tahoma,Times New Roman" w:hAnsi="Corbel" w:cs="Tahoma"/>
          <w:i/>
          <w:color w:val="000000" w:themeColor="text1"/>
          <w:sz w:val="20"/>
        </w:rPr>
        <w:t>sicoanalyses als morele kwestie</w:t>
      </w:r>
      <w:r>
        <w:rPr>
          <w:rFonts w:ascii="Corbel" w:eastAsia="Tahoma,Tahoma,Times New Roman" w:hAnsi="Corbel" w:cs="Tahoma"/>
          <w:i/>
          <w:color w:val="000000" w:themeColor="text1"/>
          <w:sz w:val="20"/>
        </w:rPr>
        <w:t>’</w:t>
      </w:r>
      <w:r w:rsidR="009A4355" w:rsidRPr="00371492">
        <w:rPr>
          <w:rFonts w:ascii="Corbel" w:eastAsia="Tahoma,Tahoma,Times New Roman" w:hAnsi="Corbel" w:cs="Tahoma"/>
          <w:color w:val="000000" w:themeColor="text1"/>
          <w:sz w:val="20"/>
        </w:rPr>
        <w:t xml:space="preserve">. </w:t>
      </w:r>
      <w:r w:rsidR="00905C12" w:rsidRPr="00371492">
        <w:rPr>
          <w:rFonts w:ascii="Corbel" w:eastAsia="Tahoma,Tahoma,Times New Roman" w:hAnsi="Corbel" w:cs="Tahoma"/>
          <w:color w:val="000000" w:themeColor="text1"/>
          <w:sz w:val="20"/>
        </w:rPr>
        <w:t>Het onderzoek voor deze scriptie heeft plaatsgevonden bij de Inspectie Leefomgeving en Transport (ILT). Het vormt het slotstuk van mijn afstuderen bij de masteropleiding Bestuurskunde</w:t>
      </w:r>
      <w:r w:rsidR="008836D1">
        <w:rPr>
          <w:rFonts w:ascii="Corbel" w:eastAsia="Tahoma,Tahoma,Times New Roman" w:hAnsi="Corbel" w:cs="Tahoma"/>
          <w:color w:val="000000" w:themeColor="text1"/>
          <w:sz w:val="20"/>
        </w:rPr>
        <w:t xml:space="preserve"> (specialisatie: beleid &amp; advies)</w:t>
      </w:r>
      <w:r w:rsidR="00905C12" w:rsidRPr="00371492">
        <w:rPr>
          <w:rFonts w:ascii="Corbel" w:eastAsia="Tahoma,Tahoma,Times New Roman" w:hAnsi="Corbel" w:cs="Tahoma"/>
          <w:color w:val="000000" w:themeColor="text1"/>
          <w:sz w:val="20"/>
        </w:rPr>
        <w:t xml:space="preserve"> aan de Radboud Universiteit Nijmegen. Van januari 2017 tot en met juni 2017 heb ik onderzoek gedaan naar de ILT-brede risicoanalyse</w:t>
      </w:r>
      <w:r w:rsidR="00371492" w:rsidRPr="00371492">
        <w:rPr>
          <w:rFonts w:ascii="Corbel" w:eastAsia="Tahoma,Tahoma,Times New Roman" w:hAnsi="Corbel" w:cs="Tahoma"/>
          <w:color w:val="000000" w:themeColor="text1"/>
          <w:sz w:val="20"/>
        </w:rPr>
        <w:t xml:space="preserve"> (IBRA)</w:t>
      </w:r>
      <w:r w:rsidR="00905C12" w:rsidRPr="00371492">
        <w:rPr>
          <w:rFonts w:ascii="Corbel" w:eastAsia="Tahoma,Tahoma,Times New Roman" w:hAnsi="Corbel" w:cs="Tahoma"/>
          <w:color w:val="000000" w:themeColor="text1"/>
          <w:sz w:val="20"/>
        </w:rPr>
        <w:t xml:space="preserve"> en in diezelfde periode is de scriptie geschreven. </w:t>
      </w:r>
    </w:p>
    <w:p w14:paraId="3D7BCB83" w14:textId="77777777" w:rsidR="00371492" w:rsidRPr="00371492" w:rsidRDefault="00371492" w:rsidP="004D1DE2">
      <w:pPr>
        <w:spacing w:line="480" w:lineRule="auto"/>
        <w:jc w:val="both"/>
        <w:rPr>
          <w:rFonts w:ascii="Corbel" w:eastAsia="Tahoma,Tahoma,Times New Roman" w:hAnsi="Corbel" w:cs="Tahoma"/>
          <w:color w:val="000000" w:themeColor="text1"/>
          <w:sz w:val="20"/>
        </w:rPr>
      </w:pPr>
    </w:p>
    <w:p w14:paraId="0EB6F666" w14:textId="523CEA4B" w:rsidR="00905C12" w:rsidRPr="00371492" w:rsidRDefault="00905C12" w:rsidP="004D1DE2">
      <w:pPr>
        <w:spacing w:line="480" w:lineRule="auto"/>
        <w:jc w:val="both"/>
        <w:rPr>
          <w:rFonts w:ascii="Corbel" w:eastAsia="Tahoma,Tahoma,Times New Roman" w:hAnsi="Corbel" w:cs="Tahoma"/>
          <w:color w:val="000000" w:themeColor="text1"/>
          <w:sz w:val="20"/>
        </w:rPr>
      </w:pPr>
      <w:r w:rsidRPr="00371492">
        <w:rPr>
          <w:rFonts w:ascii="Corbel" w:eastAsia="Tahoma,Tahoma,Times New Roman" w:hAnsi="Corbel" w:cs="Tahoma"/>
          <w:color w:val="000000" w:themeColor="text1"/>
          <w:sz w:val="20"/>
        </w:rPr>
        <w:t xml:space="preserve">De voorbereidingen van deze thesis begonnen in 2016 met het zoeken van een afstudeerplek. Dit verliep niet geheel vlekkeloos, maar in januari 2017 kon ik gelukkig starten bij </w:t>
      </w:r>
      <w:r w:rsidR="00F77BD1">
        <w:rPr>
          <w:rFonts w:ascii="Corbel" w:eastAsia="Tahoma,Tahoma,Times New Roman" w:hAnsi="Corbel" w:cs="Tahoma"/>
          <w:color w:val="000000" w:themeColor="text1"/>
          <w:sz w:val="20"/>
        </w:rPr>
        <w:t xml:space="preserve">de ILT </w:t>
      </w:r>
      <w:r w:rsidRPr="00371492">
        <w:rPr>
          <w:rFonts w:ascii="Corbel" w:eastAsia="Tahoma,Tahoma,Times New Roman" w:hAnsi="Corbel" w:cs="Tahoma"/>
          <w:color w:val="000000" w:themeColor="text1"/>
          <w:sz w:val="20"/>
        </w:rPr>
        <w:t xml:space="preserve">op een </w:t>
      </w:r>
      <w:r w:rsidR="00F77BD1">
        <w:rPr>
          <w:rFonts w:ascii="Corbel" w:eastAsia="Tahoma,Tahoma,Times New Roman" w:hAnsi="Corbel" w:cs="Tahoma"/>
          <w:color w:val="000000" w:themeColor="text1"/>
          <w:sz w:val="20"/>
        </w:rPr>
        <w:t xml:space="preserve">interessant </w:t>
      </w:r>
      <w:r w:rsidRPr="00371492">
        <w:rPr>
          <w:rFonts w:ascii="Corbel" w:eastAsia="Tahoma,Tahoma,Times New Roman" w:hAnsi="Corbel" w:cs="Tahoma"/>
          <w:color w:val="000000" w:themeColor="text1"/>
          <w:sz w:val="20"/>
        </w:rPr>
        <w:t>onderwerp</w:t>
      </w:r>
      <w:r w:rsidR="00F77BD1">
        <w:rPr>
          <w:rFonts w:ascii="Corbel" w:eastAsia="Tahoma,Tahoma,Times New Roman" w:hAnsi="Corbel" w:cs="Tahoma"/>
          <w:color w:val="000000" w:themeColor="text1"/>
          <w:sz w:val="20"/>
        </w:rPr>
        <w:t xml:space="preserve">. </w:t>
      </w:r>
      <w:r w:rsidRPr="00371492">
        <w:rPr>
          <w:rFonts w:ascii="Corbel" w:hAnsi="Corbel" w:cs="Times"/>
          <w:sz w:val="20"/>
          <w:szCs w:val="20"/>
          <w:lang w:eastAsia="en-US"/>
        </w:rPr>
        <w:t xml:space="preserve">Mijn begeleiders verdienen </w:t>
      </w:r>
      <w:r w:rsidR="00371492" w:rsidRPr="00371492">
        <w:rPr>
          <w:rFonts w:ascii="Corbel" w:hAnsi="Corbel" w:cs="Times"/>
          <w:sz w:val="20"/>
          <w:szCs w:val="20"/>
          <w:lang w:eastAsia="en-US"/>
        </w:rPr>
        <w:t xml:space="preserve">in dit licht </w:t>
      </w:r>
      <w:r w:rsidRPr="00371492">
        <w:rPr>
          <w:rFonts w:ascii="Corbel" w:hAnsi="Corbel" w:cs="Times"/>
          <w:sz w:val="20"/>
          <w:szCs w:val="20"/>
          <w:lang w:eastAsia="en-US"/>
        </w:rPr>
        <w:t xml:space="preserve">een dankwoord. </w:t>
      </w:r>
      <w:r w:rsidRPr="00371492">
        <w:rPr>
          <w:rFonts w:ascii="Corbel" w:eastAsia="Tahoma,Tahoma,Times New Roman" w:hAnsi="Corbel" w:cs="Tahoma"/>
          <w:color w:val="000000" w:themeColor="text1"/>
          <w:sz w:val="20"/>
          <w:szCs w:val="20"/>
        </w:rPr>
        <w:t xml:space="preserve">Bij dezen wil ik Jasper van Vliet bedanken voor de kans die hij me geboden heeft om het onderzoek uit te voeren bij de ILT. De begeleiding die hij me binnen de organisatie heeft geboden heb ik als zeer leerzaam en constructief ervaren. </w:t>
      </w:r>
      <w:r w:rsidR="00371492" w:rsidRPr="00371492">
        <w:rPr>
          <w:rFonts w:ascii="Corbel" w:eastAsia="Tahoma,Tahoma,Times New Roman" w:hAnsi="Corbel" w:cs="Tahoma"/>
          <w:color w:val="000000" w:themeColor="text1"/>
          <w:sz w:val="20"/>
          <w:szCs w:val="20"/>
        </w:rPr>
        <w:t>Tevens wil ik alle collega’s die ik in mijn tijd bij de ILT heb mogen leren kennen bedanken voor de prettige samenwerking.</w:t>
      </w:r>
      <w:r w:rsidR="00371492" w:rsidRPr="00371492">
        <w:rPr>
          <w:rFonts w:ascii="Corbel" w:eastAsia="Tahoma,Tahoma,Times New Roman" w:hAnsi="Corbel" w:cs="Tahoma"/>
          <w:color w:val="000000" w:themeColor="text1"/>
          <w:sz w:val="20"/>
        </w:rPr>
        <w:t xml:space="preserve"> </w:t>
      </w:r>
      <w:r w:rsidR="00371492" w:rsidRPr="00371492">
        <w:rPr>
          <w:rFonts w:ascii="Corbel" w:eastAsia="Tahoma,Tahoma,Times New Roman" w:hAnsi="Corbel" w:cs="Tahoma"/>
          <w:color w:val="000000" w:themeColor="text1"/>
          <w:sz w:val="20"/>
          <w:szCs w:val="20"/>
        </w:rPr>
        <w:t xml:space="preserve">Mijn begeleider vanuit </w:t>
      </w:r>
      <w:r w:rsidR="00F77BD1">
        <w:rPr>
          <w:rFonts w:ascii="Corbel" w:eastAsia="Tahoma,Tahoma,Times New Roman" w:hAnsi="Corbel" w:cs="Tahoma"/>
          <w:color w:val="000000" w:themeColor="text1"/>
          <w:sz w:val="20"/>
          <w:szCs w:val="20"/>
        </w:rPr>
        <w:t xml:space="preserve">de </w:t>
      </w:r>
      <w:r w:rsidR="00371492" w:rsidRPr="00371492">
        <w:rPr>
          <w:rFonts w:ascii="Corbel" w:eastAsia="Tahoma,Tahoma,Times New Roman" w:hAnsi="Corbel" w:cs="Tahoma"/>
          <w:color w:val="000000" w:themeColor="text1"/>
          <w:sz w:val="20"/>
          <w:szCs w:val="20"/>
        </w:rPr>
        <w:t xml:space="preserve">universiteit, verzorgd Berry Tholen, ben ik tevens zeer dankbaar. </w:t>
      </w:r>
      <w:r w:rsidR="00371492" w:rsidRPr="00371492">
        <w:rPr>
          <w:rFonts w:ascii="Corbel" w:hAnsi="Corbel" w:cs="Times"/>
          <w:sz w:val="20"/>
          <w:szCs w:val="20"/>
          <w:lang w:eastAsia="en-US"/>
        </w:rPr>
        <w:t xml:space="preserve">Zijn enthousiaste en tegelijkertijd kritische blik op het onderwerp hebben mij zeer geholpen. </w:t>
      </w:r>
    </w:p>
    <w:p w14:paraId="72E2E143" w14:textId="053BC595" w:rsidR="00371492" w:rsidRPr="00371492" w:rsidRDefault="00371492" w:rsidP="004D1DE2">
      <w:pPr>
        <w:spacing w:line="480" w:lineRule="auto"/>
        <w:jc w:val="both"/>
        <w:rPr>
          <w:rFonts w:ascii="Corbel" w:eastAsia="Tahoma,Tahoma,Times New Roman" w:hAnsi="Corbel" w:cs="Tahoma"/>
          <w:color w:val="000000" w:themeColor="text1"/>
          <w:sz w:val="20"/>
        </w:rPr>
      </w:pPr>
    </w:p>
    <w:p w14:paraId="058B7890" w14:textId="62D69E7C" w:rsidR="009A4355" w:rsidRPr="00371492" w:rsidRDefault="00905C12" w:rsidP="004D1DE2">
      <w:pPr>
        <w:spacing w:line="480" w:lineRule="auto"/>
        <w:jc w:val="both"/>
        <w:rPr>
          <w:rFonts w:ascii="Corbel" w:eastAsia="Tahoma,Tahoma,Times New Roman" w:hAnsi="Corbel" w:cs="Tahoma"/>
          <w:color w:val="000000" w:themeColor="text1"/>
          <w:sz w:val="20"/>
        </w:rPr>
      </w:pPr>
      <w:r w:rsidRPr="00371492">
        <w:rPr>
          <w:rFonts w:ascii="Corbel" w:eastAsia="Tahoma,Tahoma,Times New Roman" w:hAnsi="Corbel" w:cs="Tahoma"/>
          <w:color w:val="000000" w:themeColor="text1"/>
          <w:sz w:val="20"/>
        </w:rPr>
        <w:t xml:space="preserve">Deze woorden </w:t>
      </w:r>
      <w:r w:rsidR="00371492" w:rsidRPr="00371492">
        <w:rPr>
          <w:rFonts w:ascii="Corbel" w:eastAsia="Tahoma,Tahoma,Times New Roman" w:hAnsi="Corbel" w:cs="Tahoma"/>
          <w:color w:val="000000" w:themeColor="text1"/>
          <w:sz w:val="20"/>
        </w:rPr>
        <w:t>zijn de eerste die u leest, m</w:t>
      </w:r>
      <w:r w:rsidR="00B25B4B">
        <w:rPr>
          <w:rFonts w:ascii="Corbel" w:eastAsia="Tahoma,Tahoma,Times New Roman" w:hAnsi="Corbel" w:cs="Tahoma"/>
          <w:color w:val="000000" w:themeColor="text1"/>
          <w:sz w:val="20"/>
        </w:rPr>
        <w:t>aar de laatste die ik schrijf. I</w:t>
      </w:r>
      <w:r w:rsidR="00371492" w:rsidRPr="00371492">
        <w:rPr>
          <w:rFonts w:ascii="Corbel" w:eastAsia="Tahoma,Tahoma,Times New Roman" w:hAnsi="Corbel" w:cs="Tahoma"/>
          <w:color w:val="000000" w:themeColor="text1"/>
          <w:sz w:val="20"/>
        </w:rPr>
        <w:t>k wens</w:t>
      </w:r>
      <w:r w:rsidR="004D1DE2">
        <w:rPr>
          <w:rFonts w:ascii="Corbel" w:eastAsia="Tahoma,Tahoma,Times New Roman" w:hAnsi="Corbel" w:cs="Tahoma"/>
          <w:color w:val="000000" w:themeColor="text1"/>
          <w:sz w:val="20"/>
        </w:rPr>
        <w:t xml:space="preserve"> u hierbij veel leesplezier toe!</w:t>
      </w:r>
      <w:r w:rsidR="00371492" w:rsidRPr="00371492">
        <w:rPr>
          <w:rFonts w:ascii="Corbel" w:eastAsia="Tahoma,Tahoma,Times New Roman" w:hAnsi="Corbel" w:cs="Tahoma"/>
          <w:color w:val="000000" w:themeColor="text1"/>
          <w:sz w:val="20"/>
        </w:rPr>
        <w:t xml:space="preserve"> </w:t>
      </w:r>
    </w:p>
    <w:p w14:paraId="7805265A" w14:textId="36619F62" w:rsidR="00B609D8" w:rsidRDefault="00B609D8" w:rsidP="004D1DE2">
      <w:pPr>
        <w:spacing w:line="480" w:lineRule="auto"/>
        <w:jc w:val="both"/>
        <w:rPr>
          <w:rFonts w:ascii="Corbel" w:eastAsia="Tahoma,Tahoma,Times New Roman" w:hAnsi="Corbel" w:cs="Tahoma"/>
          <w:color w:val="000000" w:themeColor="text1"/>
          <w:sz w:val="20"/>
        </w:rPr>
      </w:pPr>
    </w:p>
    <w:p w14:paraId="129F6FC8" w14:textId="09DA1B0C" w:rsidR="00371492" w:rsidRPr="00371492" w:rsidRDefault="00371492" w:rsidP="004D1DE2">
      <w:pPr>
        <w:spacing w:line="480" w:lineRule="auto"/>
        <w:jc w:val="both"/>
        <w:rPr>
          <w:rFonts w:ascii="Corbel" w:eastAsia="Tahoma,Tahoma,Times New Roman" w:hAnsi="Corbel" w:cs="Tahoma"/>
          <w:color w:val="000000" w:themeColor="text1"/>
          <w:sz w:val="20"/>
        </w:rPr>
      </w:pPr>
      <w:r w:rsidRPr="00371492">
        <w:rPr>
          <w:rFonts w:ascii="Corbel" w:eastAsia="Tahoma,Tahoma,Times New Roman" w:hAnsi="Corbel" w:cs="Tahoma"/>
          <w:color w:val="000000" w:themeColor="text1"/>
          <w:sz w:val="20"/>
        </w:rPr>
        <w:t>Floris-Willem Enzerink</w:t>
      </w:r>
    </w:p>
    <w:p w14:paraId="74162EB4" w14:textId="758F4C13" w:rsidR="00371492" w:rsidRPr="00371492" w:rsidRDefault="00371492" w:rsidP="004D1DE2">
      <w:pPr>
        <w:spacing w:line="480" w:lineRule="auto"/>
        <w:jc w:val="both"/>
        <w:rPr>
          <w:rFonts w:ascii="Corbel" w:eastAsia="Tahoma,Tahoma,Times New Roman" w:hAnsi="Corbel" w:cs="Tahoma"/>
          <w:color w:val="000000" w:themeColor="text1"/>
          <w:sz w:val="20"/>
        </w:rPr>
      </w:pPr>
    </w:p>
    <w:p w14:paraId="1951B80F" w14:textId="54850216" w:rsidR="009A4355" w:rsidRDefault="008957AC" w:rsidP="004D1DE2">
      <w:pPr>
        <w:spacing w:line="480" w:lineRule="auto"/>
        <w:jc w:val="both"/>
        <w:rPr>
          <w:color w:val="FF0000"/>
        </w:rPr>
      </w:pPr>
      <w:r>
        <w:rPr>
          <w:rFonts w:ascii="Corbel" w:eastAsia="Tahoma,Tahoma,Times New Roman" w:hAnsi="Corbel" w:cs="Tahoma"/>
          <w:color w:val="000000" w:themeColor="text1"/>
          <w:sz w:val="20"/>
        </w:rPr>
        <w:t>Nijmegen, 28</w:t>
      </w:r>
      <w:r w:rsidR="00371492" w:rsidRPr="00371492">
        <w:rPr>
          <w:rFonts w:ascii="Corbel" w:eastAsia="Tahoma,Tahoma,Times New Roman" w:hAnsi="Corbel" w:cs="Tahoma"/>
          <w:color w:val="000000" w:themeColor="text1"/>
          <w:sz w:val="20"/>
        </w:rPr>
        <w:t xml:space="preserve"> juni 2017</w:t>
      </w:r>
      <w:r w:rsidR="009A4355" w:rsidRPr="00371492">
        <w:rPr>
          <w:color w:val="FF0000"/>
        </w:rPr>
        <w:t xml:space="preserve"> </w:t>
      </w:r>
    </w:p>
    <w:p w14:paraId="52D49959" w14:textId="3D868BB0" w:rsidR="00FA34F8" w:rsidRDefault="00FA34F8" w:rsidP="00FA34F8">
      <w:pPr>
        <w:rPr>
          <w:rFonts w:eastAsia="Times New Roman"/>
        </w:rPr>
      </w:pPr>
      <w:r>
        <w:rPr>
          <w:rFonts w:eastAsia="Times New Roman"/>
          <w:noProof/>
        </w:rPr>
        <w:drawing>
          <wp:anchor distT="0" distB="0" distL="114300" distR="114300" simplePos="0" relativeHeight="251670528" behindDoc="0" locked="0" layoutInCell="1" allowOverlap="1" wp14:anchorId="2A7502F0" wp14:editId="45DFA001">
            <wp:simplePos x="0" y="0"/>
            <wp:positionH relativeFrom="column">
              <wp:posOffset>2922905</wp:posOffset>
            </wp:positionH>
            <wp:positionV relativeFrom="paragraph">
              <wp:posOffset>107315</wp:posOffset>
            </wp:positionV>
            <wp:extent cx="1548765" cy="1052195"/>
            <wp:effectExtent l="0" t="0" r="635" b="0"/>
            <wp:wrapThrough wrapText="bothSides">
              <wp:wrapPolygon edited="0">
                <wp:start x="0" y="0"/>
                <wp:lineTo x="0" y="20857"/>
                <wp:lineTo x="21255" y="20857"/>
                <wp:lineTo x="21255" y="0"/>
                <wp:lineTo x="0" y="0"/>
              </wp:wrapPolygon>
            </wp:wrapThrough>
            <wp:docPr id="16" name="Afbeelding 16" descr="ttp://kwaaii.nl/wp-content/uploads/2016/02/Radboud-University-Nijmegen-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tp://kwaaii.nl/wp-content/uploads/2016/02/Radboud-University-Nijmegen-logo.pn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6830" b="25258"/>
                    <a:stretch/>
                  </pic:blipFill>
                  <pic:spPr bwMode="auto">
                    <a:xfrm>
                      <a:off x="0" y="0"/>
                      <a:ext cx="1548765" cy="1052195"/>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5B69DE32" w14:textId="4DF4A5B9" w:rsidR="00FA34F8" w:rsidRPr="00FA34F8" w:rsidRDefault="00FA34F8" w:rsidP="00FA34F8">
      <w:pPr>
        <w:rPr>
          <w:rFonts w:eastAsia="Times New Roman"/>
        </w:rPr>
      </w:pPr>
      <w:r>
        <w:rPr>
          <w:rFonts w:eastAsia="Times New Roman"/>
          <w:noProof/>
        </w:rPr>
        <w:drawing>
          <wp:inline distT="0" distB="0" distL="0" distR="0" wp14:anchorId="4781C442" wp14:editId="20A783D6">
            <wp:extent cx="2235167" cy="1119819"/>
            <wp:effectExtent l="0" t="0" r="635" b="0"/>
            <wp:docPr id="14" name="Afbeelding 14" descr="ttps://www.nehgroup.com/images/bt_media/images/large/2569139a7f72837bf68361f985dbb8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tps://www.nehgroup.com/images/bt_media/images/large/2569139a7f72837bf68361f985dbb84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72012" cy="1138278"/>
                    </a:xfrm>
                    <a:prstGeom prst="rect">
                      <a:avLst/>
                    </a:prstGeom>
                    <a:noFill/>
                    <a:ln>
                      <a:noFill/>
                    </a:ln>
                  </pic:spPr>
                </pic:pic>
              </a:graphicData>
            </a:graphic>
          </wp:inline>
        </w:drawing>
      </w:r>
    </w:p>
    <w:p w14:paraId="44AF50D7" w14:textId="7B676CD9" w:rsidR="00FA34F8" w:rsidRDefault="00FA34F8" w:rsidP="00FA34F8">
      <w:pPr>
        <w:rPr>
          <w:rFonts w:eastAsia="Times New Roman"/>
        </w:rPr>
      </w:pPr>
    </w:p>
    <w:p w14:paraId="2D36EB04" w14:textId="38F71B95" w:rsidR="00FA34F8" w:rsidRDefault="00FA34F8" w:rsidP="00FA34F8">
      <w:pPr>
        <w:rPr>
          <w:rFonts w:eastAsia="Times New Roman"/>
        </w:rPr>
      </w:pPr>
    </w:p>
    <w:p w14:paraId="5B02E681" w14:textId="6C7F331E" w:rsidR="009A4355" w:rsidRPr="00371492" w:rsidRDefault="009A4355" w:rsidP="00AC70D7">
      <w:pPr>
        <w:spacing w:line="360" w:lineRule="auto"/>
        <w:ind w:firstLine="709"/>
        <w:jc w:val="both"/>
        <w:rPr>
          <w:rFonts w:ascii="Corbel" w:eastAsia="Tahoma,Tahoma,Times New Roman" w:hAnsi="Corbel" w:cs="Tahoma"/>
          <w:color w:val="FF0000"/>
          <w:sz w:val="20"/>
        </w:rPr>
      </w:pPr>
    </w:p>
    <w:p w14:paraId="3F0D709D" w14:textId="77777777" w:rsidR="0047450A" w:rsidRDefault="0047450A" w:rsidP="0047450A">
      <w:bookmarkStart w:id="3" w:name="_Toc473720599"/>
      <w:bookmarkStart w:id="4" w:name="_Toc480363449"/>
    </w:p>
    <w:p w14:paraId="1890508A" w14:textId="21F0735D" w:rsidR="001C783F" w:rsidRPr="008957AC" w:rsidRDefault="00136120" w:rsidP="00665D58">
      <w:pPr>
        <w:pStyle w:val="Stijl1"/>
        <w:numPr>
          <w:ilvl w:val="0"/>
          <w:numId w:val="0"/>
        </w:numPr>
        <w:rPr>
          <w:color w:val="000000" w:themeColor="text1"/>
        </w:rPr>
      </w:pPr>
      <w:bookmarkStart w:id="5" w:name="_Toc485990846"/>
      <w:r w:rsidRPr="008957AC">
        <w:rPr>
          <w:color w:val="000000" w:themeColor="text1"/>
        </w:rPr>
        <w:lastRenderedPageBreak/>
        <w:t>Algemene s</w:t>
      </w:r>
      <w:r w:rsidR="001C783F" w:rsidRPr="008957AC">
        <w:rPr>
          <w:color w:val="000000" w:themeColor="text1"/>
        </w:rPr>
        <w:t>amenvatting</w:t>
      </w:r>
      <w:bookmarkEnd w:id="3"/>
      <w:bookmarkEnd w:id="4"/>
      <w:bookmarkEnd w:id="5"/>
    </w:p>
    <w:p w14:paraId="22638693" w14:textId="3CB57818" w:rsidR="009417EE" w:rsidRPr="008957AC" w:rsidRDefault="009C51CA" w:rsidP="009C51CA">
      <w:pPr>
        <w:spacing w:line="360" w:lineRule="auto"/>
        <w:jc w:val="both"/>
        <w:rPr>
          <w:rFonts w:ascii="Corbel" w:eastAsia="Tahoma" w:hAnsi="Corbel" w:cs="Tahoma"/>
          <w:color w:val="000000" w:themeColor="text1"/>
          <w:sz w:val="20"/>
        </w:rPr>
      </w:pPr>
      <w:r w:rsidRPr="008957AC">
        <w:rPr>
          <w:rFonts w:ascii="Corbel" w:eastAsia="Tahoma" w:hAnsi="Corbel" w:cs="Tahoma"/>
          <w:color w:val="000000" w:themeColor="text1"/>
          <w:sz w:val="20"/>
        </w:rPr>
        <w:t xml:space="preserve">Het uitvoeren van een risicoanalyse past bij de in het Nederlandse toezichtsdomein steeds vaker gehoorde ambitie om </w:t>
      </w:r>
      <w:r w:rsidRPr="008957AC">
        <w:rPr>
          <w:rFonts w:ascii="Corbel" w:eastAsia="Tahoma" w:hAnsi="Corbel" w:cs="Tahoma"/>
          <w:i/>
          <w:iCs/>
          <w:color w:val="000000" w:themeColor="text1"/>
          <w:sz w:val="20"/>
        </w:rPr>
        <w:t>risicogestuurd</w:t>
      </w:r>
      <w:r w:rsidRPr="008957AC">
        <w:rPr>
          <w:rFonts w:ascii="Corbel" w:eastAsia="Tahoma" w:hAnsi="Corbel" w:cs="Tahoma"/>
          <w:color w:val="000000" w:themeColor="text1"/>
          <w:sz w:val="20"/>
        </w:rPr>
        <w:t xml:space="preserve"> te opereren (Helsloot &amp; Scholtens, 2014). Een toezichthouder, geconfronteerd met een beperkte toezichtscapaciteit, </w:t>
      </w:r>
      <w:r w:rsidR="008957AC" w:rsidRPr="008957AC">
        <w:rPr>
          <w:rFonts w:ascii="Corbel" w:eastAsia="Tahoma" w:hAnsi="Corbel" w:cs="Tahoma"/>
          <w:color w:val="000000" w:themeColor="text1"/>
          <w:sz w:val="20"/>
        </w:rPr>
        <w:t>is genoodzaakt</w:t>
      </w:r>
      <w:r w:rsidRPr="008957AC">
        <w:rPr>
          <w:rFonts w:ascii="Corbel" w:eastAsia="Tahoma" w:hAnsi="Corbel" w:cs="Tahoma"/>
          <w:color w:val="000000" w:themeColor="text1"/>
          <w:sz w:val="20"/>
        </w:rPr>
        <w:t xml:space="preserve"> de toewijzing van toezicht als een keuzevraagstuk benaderen. </w:t>
      </w:r>
      <w:r w:rsidR="00F77BD1" w:rsidRPr="008957AC">
        <w:rPr>
          <w:rFonts w:ascii="Corbel" w:eastAsia="Tahoma" w:hAnsi="Corbel" w:cs="Tahoma"/>
          <w:color w:val="000000" w:themeColor="text1"/>
          <w:sz w:val="20"/>
        </w:rPr>
        <w:t xml:space="preserve">Het is in feite een nulsomspel: ergens toezicht intensiveren betekent elders een afname van mankracht. </w:t>
      </w:r>
      <w:r w:rsidRPr="008957AC">
        <w:rPr>
          <w:rFonts w:ascii="Corbel" w:eastAsia="Tahoma" w:hAnsi="Corbel" w:cs="Tahoma"/>
          <w:color w:val="000000" w:themeColor="text1"/>
          <w:sz w:val="20"/>
        </w:rPr>
        <w:t xml:space="preserve">Vanuit het gedachtegoed van risicogestuurd toezicht, waarbij de grootste risico’s het vertrekpunt voor toezichtsprioriteiten zijn, vormt een risicoanalyse een logische start. Een risicoanalyse is een hulpmiddel bij het onderzoeken en waarderen van risico’s. Relevante informatie wordt gerangschikt en gewogen om een objectieve uitspraak te kunnen doen over de frequentie van gevaar en de omvang van de bijbehorende effecten. Een risicoanalyse draagt in deze vorm bij aan een onderbouwde prioritering en toewijzing van toezichtscapaciteit (Velders &amp; Brunia, 2013, p. 82). In de </w:t>
      </w:r>
      <w:r w:rsidR="00F77BD1" w:rsidRPr="008957AC">
        <w:rPr>
          <w:rFonts w:ascii="Corbel" w:eastAsia="Tahoma" w:hAnsi="Corbel" w:cs="Tahoma"/>
          <w:color w:val="000000" w:themeColor="text1"/>
          <w:sz w:val="20"/>
        </w:rPr>
        <w:t>uitvoering</w:t>
      </w:r>
      <w:r w:rsidRPr="008957AC">
        <w:rPr>
          <w:rFonts w:ascii="Corbel" w:eastAsia="Tahoma" w:hAnsi="Corbel" w:cs="Tahoma"/>
          <w:color w:val="000000" w:themeColor="text1"/>
          <w:sz w:val="20"/>
        </w:rPr>
        <w:t xml:space="preserve"> komt een risicoanalyse veelal neer op een cijfermatige risicoanalyse in de vorm van een kosten-batenanalyse. </w:t>
      </w:r>
      <w:r w:rsidR="00F77BD1" w:rsidRPr="008957AC">
        <w:rPr>
          <w:rFonts w:ascii="Corbel" w:eastAsia="Tahoma" w:hAnsi="Corbel" w:cs="Tahoma"/>
          <w:color w:val="000000" w:themeColor="text1"/>
          <w:sz w:val="20"/>
        </w:rPr>
        <w:t>Dit</w:t>
      </w:r>
      <w:r w:rsidRPr="008957AC">
        <w:rPr>
          <w:rFonts w:ascii="Corbel" w:eastAsia="Tahoma" w:hAnsi="Corbel" w:cs="Tahoma"/>
          <w:color w:val="000000" w:themeColor="text1"/>
          <w:sz w:val="20"/>
        </w:rPr>
        <w:t xml:space="preserve"> wordt</w:t>
      </w:r>
      <w:r w:rsidR="00F77BD1" w:rsidRPr="008957AC">
        <w:rPr>
          <w:rFonts w:ascii="Corbel" w:eastAsia="Tahoma" w:hAnsi="Corbel" w:cs="Tahoma"/>
          <w:color w:val="000000" w:themeColor="text1"/>
          <w:sz w:val="20"/>
        </w:rPr>
        <w:t xml:space="preserve"> in de literatuur</w:t>
      </w:r>
      <w:r w:rsidRPr="008957AC">
        <w:rPr>
          <w:rFonts w:ascii="Corbel" w:eastAsia="Tahoma" w:hAnsi="Corbel" w:cs="Tahoma"/>
          <w:color w:val="000000" w:themeColor="text1"/>
          <w:sz w:val="20"/>
        </w:rPr>
        <w:t xml:space="preserve"> ook wel</w:t>
      </w:r>
      <w:r w:rsidR="00F77BD1" w:rsidRPr="008957AC">
        <w:rPr>
          <w:rFonts w:ascii="Corbel" w:eastAsia="Tahoma" w:hAnsi="Corbel" w:cs="Tahoma"/>
          <w:color w:val="000000" w:themeColor="text1"/>
          <w:sz w:val="20"/>
        </w:rPr>
        <w:t xml:space="preserve"> een</w:t>
      </w:r>
      <w:r w:rsidRPr="008957AC">
        <w:rPr>
          <w:rFonts w:ascii="Corbel" w:eastAsia="Tahoma" w:hAnsi="Corbel" w:cs="Tahoma"/>
          <w:color w:val="000000" w:themeColor="text1"/>
          <w:sz w:val="20"/>
        </w:rPr>
        <w:t xml:space="preserve"> </w:t>
      </w:r>
      <w:r w:rsidRPr="008957AC">
        <w:rPr>
          <w:rFonts w:ascii="Corbel" w:eastAsia="Tahoma" w:hAnsi="Corbel" w:cs="Tahoma"/>
          <w:i/>
          <w:color w:val="000000" w:themeColor="text1"/>
          <w:sz w:val="20"/>
        </w:rPr>
        <w:t>risk-benefit analysis</w:t>
      </w:r>
      <w:r w:rsidRPr="008957AC">
        <w:rPr>
          <w:rFonts w:ascii="Corbel" w:eastAsia="Tahoma" w:hAnsi="Corbel" w:cs="Tahoma"/>
          <w:color w:val="000000" w:themeColor="text1"/>
          <w:sz w:val="20"/>
        </w:rPr>
        <w:t xml:space="preserve"> genoemd (Fischer, 1995).</w:t>
      </w:r>
      <w:r w:rsidR="009417EE" w:rsidRPr="008957AC">
        <w:rPr>
          <w:rFonts w:ascii="Corbel" w:eastAsia="Tahoma" w:hAnsi="Corbel" w:cs="Tahoma"/>
          <w:color w:val="000000" w:themeColor="text1"/>
          <w:sz w:val="20"/>
        </w:rPr>
        <w:t xml:space="preserve"> Deze vorm van analyse presenteert louter informatie over de omvang van een risico, zonder enige normatieve </w:t>
      </w:r>
      <w:r w:rsidR="00F77BD1" w:rsidRPr="008957AC">
        <w:rPr>
          <w:rFonts w:ascii="Corbel" w:eastAsia="Tahoma" w:hAnsi="Corbel" w:cs="Tahoma"/>
          <w:color w:val="000000" w:themeColor="text1"/>
          <w:sz w:val="20"/>
        </w:rPr>
        <w:t>aanknopingspunten</w:t>
      </w:r>
      <w:r w:rsidR="009417EE" w:rsidRPr="008957AC">
        <w:rPr>
          <w:rFonts w:ascii="Corbel" w:eastAsia="Tahoma" w:hAnsi="Corbel" w:cs="Tahoma"/>
          <w:color w:val="000000" w:themeColor="text1"/>
          <w:sz w:val="20"/>
        </w:rPr>
        <w:t xml:space="preserve">. Dit onderzoek richt zich op het probleem dat een risicoanalyse op basis van kwantitatieve (utilistische) informatie onvoldoende houvast biedt voor een houdbare en legitieme argumentatie: er is een verbreding van het concept ‘risicoanalyse’ nodig. </w:t>
      </w:r>
    </w:p>
    <w:p w14:paraId="14D5F641" w14:textId="77777777" w:rsidR="009417EE" w:rsidRPr="008957AC" w:rsidRDefault="009417EE" w:rsidP="009C51CA">
      <w:pPr>
        <w:spacing w:line="360" w:lineRule="auto"/>
        <w:jc w:val="both"/>
        <w:rPr>
          <w:rFonts w:ascii="Corbel" w:eastAsia="Tahoma" w:hAnsi="Corbel" w:cs="Tahoma"/>
          <w:color w:val="000000" w:themeColor="text1"/>
          <w:sz w:val="20"/>
        </w:rPr>
      </w:pPr>
    </w:p>
    <w:p w14:paraId="2343F712" w14:textId="0E8056EE" w:rsidR="009417EE" w:rsidRPr="008957AC" w:rsidRDefault="009417EE" w:rsidP="009417EE">
      <w:pPr>
        <w:spacing w:line="360" w:lineRule="auto"/>
        <w:jc w:val="both"/>
        <w:rPr>
          <w:rFonts w:ascii="Corbel" w:eastAsia="Tahoma" w:hAnsi="Corbel" w:cs="Tahoma"/>
          <w:i/>
          <w:color w:val="000000" w:themeColor="text1"/>
          <w:sz w:val="20"/>
        </w:rPr>
      </w:pPr>
      <w:r w:rsidRPr="008957AC">
        <w:rPr>
          <w:rFonts w:ascii="Corbel" w:eastAsia="Tahoma" w:hAnsi="Corbel" w:cs="Tahoma"/>
          <w:color w:val="000000" w:themeColor="text1"/>
          <w:sz w:val="20"/>
        </w:rPr>
        <w:t xml:space="preserve">In een verbrede risicoanalyse is in ieder geval aandacht vereist voor meer dan alleen utilistische argumentatie. Een verbreding omvat </w:t>
      </w:r>
      <w:r w:rsidR="008C4C2A" w:rsidRPr="008957AC">
        <w:rPr>
          <w:rFonts w:ascii="Corbel" w:eastAsia="Tahoma" w:hAnsi="Corbel" w:cs="Tahoma"/>
          <w:color w:val="000000" w:themeColor="text1"/>
          <w:sz w:val="20"/>
        </w:rPr>
        <w:t>argumentatie</w:t>
      </w:r>
      <w:r w:rsidRPr="008957AC">
        <w:rPr>
          <w:rFonts w:ascii="Corbel" w:eastAsia="Tahoma" w:hAnsi="Corbel" w:cs="Tahoma"/>
          <w:color w:val="000000" w:themeColor="text1"/>
          <w:sz w:val="20"/>
        </w:rPr>
        <w:t xml:space="preserve"> uit alle drie de </w:t>
      </w:r>
      <w:r w:rsidR="008C4C2A" w:rsidRPr="008957AC">
        <w:rPr>
          <w:rFonts w:ascii="Corbel" w:eastAsia="Tahoma" w:hAnsi="Corbel" w:cs="Tahoma"/>
          <w:color w:val="000000" w:themeColor="text1"/>
          <w:sz w:val="20"/>
        </w:rPr>
        <w:t>ethische</w:t>
      </w:r>
      <w:r w:rsidRPr="008957AC">
        <w:rPr>
          <w:rFonts w:ascii="Corbel" w:eastAsia="Tahoma" w:hAnsi="Corbel" w:cs="Tahoma"/>
          <w:color w:val="000000" w:themeColor="text1"/>
          <w:sz w:val="20"/>
        </w:rPr>
        <w:t xml:space="preserve"> stromingen (nl. utilisme, deontologie en deugdethiek), waardoor niet-kwantificeerbare informatie een plek krijgt naast een kosten-batenafweging. Dit onderzoek laat conceptueel en meer praktisch zien wat een bredere risicoanalyse omvat naast utiliteitsoverwegingen. Met dit in het achterhoofd brengt dit onderzoek ten slotte in kaart welke aanpassingen en/of toevoegingen gedaan moeten worden aan IBRA. Dit onderzoek gaat op zoek naar een antwoord op de volgende hoofdvraag: </w:t>
      </w:r>
      <w:r w:rsidRPr="008957AC">
        <w:rPr>
          <w:rFonts w:ascii="Corbel" w:eastAsia="Tahoma" w:hAnsi="Corbel" w:cs="Tahoma"/>
          <w:i/>
          <w:color w:val="000000" w:themeColor="text1"/>
          <w:sz w:val="20"/>
        </w:rPr>
        <w:t>Welke aspecten horen bij een brede risicoanalyse en hoe kunnen die toegepast worden?</w:t>
      </w:r>
    </w:p>
    <w:p w14:paraId="2D825E48" w14:textId="15FB2108" w:rsidR="009417EE" w:rsidRPr="008957AC" w:rsidRDefault="009417EE" w:rsidP="009C51CA">
      <w:pPr>
        <w:spacing w:line="360" w:lineRule="auto"/>
        <w:jc w:val="both"/>
        <w:rPr>
          <w:rFonts w:ascii="Corbel" w:eastAsia="Tahoma" w:hAnsi="Corbel" w:cs="Tahoma"/>
          <w:color w:val="000000" w:themeColor="text1"/>
          <w:sz w:val="20"/>
        </w:rPr>
      </w:pPr>
    </w:p>
    <w:p w14:paraId="75661F4E" w14:textId="3DC4DB66" w:rsidR="00C66332" w:rsidRPr="008957AC" w:rsidRDefault="008C4C2A" w:rsidP="009C51CA">
      <w:pPr>
        <w:spacing w:line="360" w:lineRule="auto"/>
        <w:jc w:val="both"/>
        <w:rPr>
          <w:rFonts w:ascii="Corbel" w:eastAsia="Tahoma" w:hAnsi="Corbel" w:cs="Tahoma"/>
          <w:color w:val="000000" w:themeColor="text1"/>
          <w:sz w:val="20"/>
        </w:rPr>
      </w:pPr>
      <w:r w:rsidRPr="008957AC">
        <w:rPr>
          <w:rFonts w:ascii="Corbel" w:eastAsia="Tahoma" w:hAnsi="Corbel" w:cs="Tahoma"/>
          <w:color w:val="000000" w:themeColor="text1"/>
          <w:sz w:val="20"/>
        </w:rPr>
        <w:t xml:space="preserve">Dit onderzoek is geschreven gedurende een stageperiode bij de Inspectie Leefomgeving en Transport (ILT). Bij de ILT is de ILT-brede risicoanalyse (IBRA) onderzocht. </w:t>
      </w:r>
      <w:r w:rsidR="00C66332" w:rsidRPr="008957AC">
        <w:rPr>
          <w:rFonts w:ascii="Corbel" w:eastAsia="Tahoma" w:hAnsi="Corbel" w:cs="Tahoma"/>
          <w:color w:val="000000" w:themeColor="text1"/>
          <w:sz w:val="20"/>
        </w:rPr>
        <w:t xml:space="preserve">Het doel van IBRA is het inzichtelijk maken op welke risico’s de ILT toeziet en hoe groot die risico’s zijn. Dit gebeurt door middel van een risicoanalyse, waarin een methodiek ontwikkeld is voor het beoordelen en vergelijken van de risico’s waarop de ILT toeziet. Dit heeft uiteindelijk als doel de allocatie van toezicht te arrangeren volgens de principes van risicogestuurd toezicht. De ILT erkent hierbij expliciet dat er meer is dan kosten en baten in meetbare zin en hecht belang aan het verkennen van de ethische dimensie achter een risicoanalyse. Dit onderzoek richt zich op de eerste ronde van IBRA (i.e. IBRA 1.0), waarin de risicoanalyse louter op utiliteit is uitgewerkt. Om hier onderzoek naar te doen is het belangrijk voor de relevante ethische stromingen na te gaan hoe deze van toepassing zijn op de praktijk van risicoanalyses. Hierbij is het noodzakelijk per stroming te onderzoeken wat de kenmerkende elementen zijn die terug moeten komen in een risicoanalyse opdat besloten kan worden tot welke ethische stroming een onderbouwing behoort. Door relevante casuïstiek (i.e. risico’s uit IBRA) te onderzoeken vanuit deze bestudering </w:t>
      </w:r>
      <w:r w:rsidR="00C66332" w:rsidRPr="008957AC">
        <w:rPr>
          <w:rFonts w:ascii="Corbel" w:eastAsia="Tahoma" w:hAnsi="Corbel" w:cs="Tahoma"/>
          <w:color w:val="000000" w:themeColor="text1"/>
          <w:sz w:val="20"/>
        </w:rPr>
        <w:lastRenderedPageBreak/>
        <w:t>van de ethische theorie kan (a) in kaart gebracht worden welke (ethische) onderbouwingen (niet) gebruikt worden en (b) een advies gedaan worden over de uitwerking van een breder afwegingskader.</w:t>
      </w:r>
      <w:r w:rsidRPr="008957AC">
        <w:rPr>
          <w:rFonts w:ascii="Corbel" w:eastAsia="Tahoma" w:hAnsi="Corbel" w:cs="Tahoma"/>
          <w:color w:val="000000" w:themeColor="text1"/>
          <w:sz w:val="20"/>
        </w:rPr>
        <w:t xml:space="preserve">  </w:t>
      </w:r>
    </w:p>
    <w:p w14:paraId="6B4040E8" w14:textId="77777777" w:rsidR="005710B4" w:rsidRPr="008957AC" w:rsidRDefault="005710B4" w:rsidP="009C51CA">
      <w:pPr>
        <w:spacing w:line="360" w:lineRule="auto"/>
        <w:jc w:val="both"/>
        <w:rPr>
          <w:rFonts w:ascii="Corbel" w:eastAsia="Tahoma" w:hAnsi="Corbel" w:cs="Tahoma"/>
          <w:color w:val="000000" w:themeColor="text1"/>
          <w:sz w:val="20"/>
        </w:rPr>
      </w:pPr>
    </w:p>
    <w:p w14:paraId="1FEFABAB" w14:textId="177C17A6" w:rsidR="009C4592" w:rsidRPr="008957AC" w:rsidRDefault="006B01B8" w:rsidP="006B01B8">
      <w:pPr>
        <w:spacing w:line="360" w:lineRule="auto"/>
        <w:jc w:val="both"/>
        <w:rPr>
          <w:rFonts w:ascii="Corbel" w:eastAsia="Tahoma" w:hAnsi="Corbel" w:cs="Tahoma"/>
          <w:color w:val="000000" w:themeColor="text1"/>
          <w:sz w:val="20"/>
        </w:rPr>
      </w:pPr>
      <w:r w:rsidRPr="008957AC">
        <w:rPr>
          <w:rFonts w:ascii="Corbel" w:eastAsia="Tahoma" w:hAnsi="Corbel" w:cs="Tahoma"/>
          <w:color w:val="000000" w:themeColor="text1"/>
          <w:sz w:val="20"/>
        </w:rPr>
        <w:t xml:space="preserve">De volgende risico’s uit IBRA zijn als cases onderzocht: 1. Overstroming in Nederland, 2. Stank en geluidsoverlast door luchtvaart en 3. Ongewenste verspreiding genetisch gemanipuleerde organismen. Elk risico is primair op basis van utilistische argumentatie uitgewerkt. Dit is niet verwonderlijk, aangezien het IBRA-project zich in de eerste ronde bevindt waarin dit expliciet de bedoeling is (ILT, 2017). </w:t>
      </w:r>
      <w:r w:rsidR="005710B4" w:rsidRPr="008957AC">
        <w:rPr>
          <w:rFonts w:ascii="Corbel" w:eastAsia="Tahoma" w:hAnsi="Corbel" w:cs="Tahoma"/>
          <w:color w:val="000000" w:themeColor="text1"/>
          <w:sz w:val="20"/>
        </w:rPr>
        <w:t>Uit de resultaten</w:t>
      </w:r>
      <w:r w:rsidR="00F77BD1" w:rsidRPr="008957AC">
        <w:rPr>
          <w:rFonts w:ascii="Corbel" w:eastAsia="Tahoma" w:hAnsi="Corbel" w:cs="Tahoma"/>
          <w:color w:val="000000" w:themeColor="text1"/>
          <w:sz w:val="20"/>
        </w:rPr>
        <w:t xml:space="preserve"> van de </w:t>
      </w:r>
      <w:r w:rsidR="003B3AA8" w:rsidRPr="008957AC">
        <w:rPr>
          <w:rFonts w:ascii="Corbel" w:eastAsia="Tahoma" w:hAnsi="Corbel" w:cs="Tahoma"/>
          <w:color w:val="000000" w:themeColor="text1"/>
          <w:sz w:val="20"/>
        </w:rPr>
        <w:t>casestudie</w:t>
      </w:r>
      <w:r w:rsidR="005710B4" w:rsidRPr="008957AC">
        <w:rPr>
          <w:rFonts w:ascii="Corbel" w:eastAsia="Tahoma" w:hAnsi="Corbel" w:cs="Tahoma"/>
          <w:color w:val="000000" w:themeColor="text1"/>
          <w:sz w:val="20"/>
        </w:rPr>
        <w:t xml:space="preserve"> </w:t>
      </w:r>
      <w:r w:rsidRPr="008957AC">
        <w:rPr>
          <w:rFonts w:ascii="Corbel" w:eastAsia="Tahoma" w:hAnsi="Corbel" w:cs="Tahoma"/>
          <w:color w:val="000000" w:themeColor="text1"/>
          <w:sz w:val="20"/>
        </w:rPr>
        <w:t>kome</w:t>
      </w:r>
      <w:r w:rsidR="00F77BD1" w:rsidRPr="008957AC">
        <w:rPr>
          <w:rFonts w:ascii="Corbel" w:eastAsia="Tahoma" w:hAnsi="Corbel" w:cs="Tahoma"/>
          <w:color w:val="000000" w:themeColor="text1"/>
          <w:sz w:val="20"/>
        </w:rPr>
        <w:t xml:space="preserve">n een aantal zaken naar voren. </w:t>
      </w:r>
      <w:r w:rsidRPr="008957AC">
        <w:rPr>
          <w:rFonts w:ascii="Corbel" w:eastAsia="Tahoma" w:hAnsi="Corbel" w:cs="Tahoma"/>
          <w:color w:val="000000" w:themeColor="text1"/>
          <w:sz w:val="20"/>
        </w:rPr>
        <w:t xml:space="preserve">In elke case zijn </w:t>
      </w:r>
      <w:r w:rsidR="00F77BD1" w:rsidRPr="008957AC">
        <w:rPr>
          <w:rFonts w:ascii="Corbel" w:eastAsia="Tahoma" w:hAnsi="Corbel" w:cs="Tahoma"/>
          <w:color w:val="000000" w:themeColor="text1"/>
          <w:sz w:val="20"/>
        </w:rPr>
        <w:t xml:space="preserve">naast utilistische </w:t>
      </w:r>
      <w:r w:rsidRPr="008957AC">
        <w:rPr>
          <w:rFonts w:ascii="Corbel" w:eastAsia="Tahoma" w:hAnsi="Corbel" w:cs="Tahoma"/>
          <w:color w:val="000000" w:themeColor="text1"/>
          <w:sz w:val="20"/>
        </w:rPr>
        <w:t>tevens deontologische en deugdethische elementen te herkennen of is er een uitbreiding van de argumentatie op basis van andere ethische theorieën dan het utilisme mogelijk. De uitwerking in utilitaire termen is in sommige cases zwak gebleken en juist in die gevallen kan een brede ethische onderbouwing uitkomst bieden.</w:t>
      </w:r>
      <w:r w:rsidR="00255536" w:rsidRPr="008957AC">
        <w:rPr>
          <w:rFonts w:ascii="Corbel" w:eastAsia="Tahoma" w:hAnsi="Corbel" w:cs="Tahoma"/>
          <w:color w:val="000000" w:themeColor="text1"/>
          <w:sz w:val="20"/>
        </w:rPr>
        <w:t xml:space="preserve"> Een </w:t>
      </w:r>
      <w:r w:rsidR="009C4592" w:rsidRPr="008957AC">
        <w:rPr>
          <w:rFonts w:ascii="Corbel" w:eastAsia="Tahoma" w:hAnsi="Corbel" w:cs="Tahoma"/>
          <w:color w:val="000000" w:themeColor="text1"/>
          <w:sz w:val="20"/>
        </w:rPr>
        <w:t>deugdethische</w:t>
      </w:r>
      <w:r w:rsidR="00255536" w:rsidRPr="008957AC">
        <w:rPr>
          <w:rFonts w:ascii="Corbel" w:eastAsia="Tahoma" w:hAnsi="Corbel" w:cs="Tahoma"/>
          <w:color w:val="000000" w:themeColor="text1"/>
          <w:sz w:val="20"/>
        </w:rPr>
        <w:t xml:space="preserve"> onderbouwing kan een grote rol spelen in de argumentatie van het perspectief ‘institutionele schade’, wat moeizaam te kwantificeren is.</w:t>
      </w:r>
      <w:r w:rsidR="002667F2" w:rsidRPr="008957AC">
        <w:rPr>
          <w:rFonts w:ascii="Corbel" w:eastAsia="Tahoma" w:hAnsi="Corbel" w:cs="Tahoma"/>
          <w:color w:val="000000" w:themeColor="text1"/>
          <w:sz w:val="20"/>
        </w:rPr>
        <w:t xml:space="preserve"> Tevens komen bij alle drie de onderzochte risico’s overwegingen voor die niet te kwantificeren zijn. Dit is vaak geschaald onder ‘maatschappelijke ontwrichting’. In de analyse is beargumenteerd dat hier zowel een deontologische als deugdethische onderbouwing voor te geven is. In ieder geval schiet de utiliteit in die gevallen te kort, wat leidt tot een versmalling van het risico en afbreuk aan de kwaliteit van de analyse.</w:t>
      </w:r>
      <w:r w:rsidR="00F77BD1" w:rsidRPr="008957AC">
        <w:rPr>
          <w:rFonts w:ascii="Corbel" w:eastAsia="Tahoma" w:hAnsi="Corbel" w:cs="Tahoma"/>
          <w:color w:val="000000" w:themeColor="text1"/>
          <w:sz w:val="20"/>
        </w:rPr>
        <w:t xml:space="preserve"> </w:t>
      </w:r>
      <w:r w:rsidR="00FF2357" w:rsidRPr="008957AC">
        <w:rPr>
          <w:rFonts w:ascii="Corbel" w:eastAsia="Tahoma" w:hAnsi="Corbel" w:cs="Tahoma"/>
          <w:color w:val="000000" w:themeColor="text1"/>
          <w:sz w:val="20"/>
        </w:rPr>
        <w:t xml:space="preserve">Dit onderzoek biedt handvatten om een risicoanalyse op te zetten met een rijke, brede argumentatie. De resultaten laten zien dat de drie ethische </w:t>
      </w:r>
      <w:r w:rsidR="00851F5D" w:rsidRPr="008957AC">
        <w:rPr>
          <w:rFonts w:ascii="Corbel" w:eastAsia="Tahoma" w:hAnsi="Corbel" w:cs="Tahoma"/>
          <w:color w:val="000000" w:themeColor="text1"/>
          <w:sz w:val="20"/>
        </w:rPr>
        <w:t>theorieën</w:t>
      </w:r>
      <w:r w:rsidR="00FF2357" w:rsidRPr="008957AC">
        <w:rPr>
          <w:rFonts w:ascii="Corbel" w:eastAsia="Tahoma" w:hAnsi="Corbel" w:cs="Tahoma"/>
          <w:color w:val="000000" w:themeColor="text1"/>
          <w:sz w:val="20"/>
        </w:rPr>
        <w:t xml:space="preserve"> van toegevoegde waarde zijn voor de risico’s die zijn onderzocht. </w:t>
      </w:r>
      <w:r w:rsidR="00730725" w:rsidRPr="008957AC">
        <w:rPr>
          <w:rFonts w:ascii="Corbel" w:eastAsia="Tahoma,Tahoma,Times New Roman" w:hAnsi="Corbel" w:cs="Tahoma"/>
          <w:color w:val="000000" w:themeColor="text1"/>
          <w:sz w:val="20"/>
        </w:rPr>
        <w:t xml:space="preserve">Na deze samenvatting volgen adviezen voor de ILT in het specifiek. </w:t>
      </w:r>
      <w:r w:rsidR="001F6FD2" w:rsidRPr="008957AC">
        <w:rPr>
          <w:rFonts w:ascii="Corbel" w:eastAsia="Tahoma,Tahoma,Times New Roman" w:hAnsi="Corbel" w:cs="Tahoma"/>
          <w:color w:val="000000" w:themeColor="text1"/>
          <w:sz w:val="20"/>
        </w:rPr>
        <w:t xml:space="preserve">Dit is geschreven is voor beleidsmakers van de ILT. De implicaties van dit onderzoek worden besproken in het licht van </w:t>
      </w:r>
      <w:r w:rsidR="00730725" w:rsidRPr="008957AC">
        <w:rPr>
          <w:rFonts w:ascii="Corbel" w:eastAsia="Tahoma,Tahoma,Times New Roman" w:hAnsi="Corbel" w:cs="Tahoma"/>
          <w:color w:val="000000" w:themeColor="text1"/>
          <w:sz w:val="20"/>
        </w:rPr>
        <w:t>de</w:t>
      </w:r>
      <w:r w:rsidR="001F6FD2" w:rsidRPr="008957AC">
        <w:rPr>
          <w:rFonts w:ascii="Corbel" w:eastAsia="Tahoma,Tahoma,Times New Roman" w:hAnsi="Corbel" w:cs="Tahoma"/>
          <w:color w:val="000000" w:themeColor="text1"/>
          <w:sz w:val="20"/>
        </w:rPr>
        <w:t xml:space="preserve"> recent </w:t>
      </w:r>
      <w:r w:rsidR="00730725" w:rsidRPr="008957AC">
        <w:rPr>
          <w:rFonts w:ascii="Corbel" w:eastAsia="Tahoma,Tahoma,Times New Roman" w:hAnsi="Corbel" w:cs="Tahoma"/>
          <w:color w:val="000000" w:themeColor="text1"/>
          <w:sz w:val="20"/>
        </w:rPr>
        <w:t>verschenen memo</w:t>
      </w:r>
      <w:r w:rsidR="001F6FD2" w:rsidRPr="008957AC">
        <w:rPr>
          <w:rFonts w:ascii="Corbel" w:eastAsia="Tahoma,Tahoma,Times New Roman" w:hAnsi="Corbel" w:cs="Tahoma"/>
          <w:color w:val="000000" w:themeColor="text1"/>
          <w:sz w:val="20"/>
        </w:rPr>
        <w:t xml:space="preserve"> op basis van IBRA 1.0. Het document dat hierbij centraal staat is de notitie die is aangeboden aan het directieteam (DT) van de ILT. Deze notitie is op 3 mei 2017 besproken in het DT. </w:t>
      </w:r>
      <w:r w:rsidR="00EB08DB" w:rsidRPr="008957AC">
        <w:rPr>
          <w:rFonts w:ascii="Corbel" w:eastAsia="Tahoma" w:hAnsi="Corbel" w:cs="Tahoma"/>
          <w:color w:val="000000" w:themeColor="text1"/>
          <w:sz w:val="20"/>
        </w:rPr>
        <w:t>Op basis hiervan doet dit onderzoek een aantal adviezen, specifiek voor de ILT.</w:t>
      </w:r>
    </w:p>
    <w:p w14:paraId="489984CE" w14:textId="77777777" w:rsidR="009C4592" w:rsidRPr="008957AC" w:rsidRDefault="009C4592" w:rsidP="006B01B8">
      <w:pPr>
        <w:spacing w:line="360" w:lineRule="auto"/>
        <w:jc w:val="both"/>
        <w:rPr>
          <w:rFonts w:ascii="Corbel" w:eastAsia="Tahoma" w:hAnsi="Corbel" w:cs="Tahoma"/>
          <w:color w:val="000000" w:themeColor="text1"/>
          <w:sz w:val="20"/>
        </w:rPr>
      </w:pPr>
    </w:p>
    <w:p w14:paraId="36ED4DA0" w14:textId="07A530A5" w:rsidR="009C4592" w:rsidRPr="008957AC" w:rsidRDefault="00DE17C1" w:rsidP="0055055D">
      <w:pPr>
        <w:spacing w:line="360" w:lineRule="auto"/>
        <w:jc w:val="both"/>
        <w:rPr>
          <w:rFonts w:ascii="Corbel" w:eastAsia="Tahoma,Tahoma,Times New Roman" w:hAnsi="Corbel" w:cs="Tahoma"/>
          <w:color w:val="000000" w:themeColor="text1"/>
          <w:sz w:val="20"/>
        </w:rPr>
      </w:pPr>
      <w:r w:rsidRPr="008957AC">
        <w:rPr>
          <w:rFonts w:ascii="Corbel" w:eastAsia="Tahoma" w:hAnsi="Corbel" w:cs="Tahoma"/>
          <w:color w:val="000000" w:themeColor="text1"/>
          <w:sz w:val="20"/>
        </w:rPr>
        <w:t xml:space="preserve">Een suggestie voor verder onderzoek met betrekking op het onderzoeksontwerp is om het aantal cases uit te breiden. </w:t>
      </w:r>
      <w:r w:rsidR="00EA58BE" w:rsidRPr="008957AC">
        <w:rPr>
          <w:rFonts w:ascii="Corbel" w:eastAsia="Tahoma" w:hAnsi="Corbel" w:cs="Tahoma"/>
          <w:color w:val="000000" w:themeColor="text1"/>
          <w:sz w:val="20"/>
        </w:rPr>
        <w:t xml:space="preserve">Eventueel vervolgonderzoek zou zich </w:t>
      </w:r>
      <w:r w:rsidRPr="008957AC">
        <w:rPr>
          <w:rFonts w:ascii="Corbel" w:eastAsia="Tahoma" w:hAnsi="Corbel" w:cs="Tahoma"/>
          <w:color w:val="000000" w:themeColor="text1"/>
          <w:sz w:val="20"/>
        </w:rPr>
        <w:t xml:space="preserve">namelijk </w:t>
      </w:r>
      <w:r w:rsidR="00EA58BE" w:rsidRPr="008957AC">
        <w:rPr>
          <w:rFonts w:ascii="Corbel" w:eastAsia="Tahoma" w:hAnsi="Corbel" w:cs="Tahoma"/>
          <w:color w:val="000000" w:themeColor="text1"/>
          <w:sz w:val="20"/>
        </w:rPr>
        <w:t>kunnen richten op</w:t>
      </w:r>
      <w:r w:rsidR="00FF2357" w:rsidRPr="008957AC">
        <w:rPr>
          <w:rFonts w:ascii="Corbel" w:eastAsia="Tahoma" w:hAnsi="Corbel" w:cs="Tahoma"/>
          <w:color w:val="000000" w:themeColor="text1"/>
          <w:sz w:val="20"/>
        </w:rPr>
        <w:t xml:space="preserve"> een uitbreiding van het aantal risico’s.</w:t>
      </w:r>
      <w:r w:rsidR="00040A75" w:rsidRPr="008957AC">
        <w:rPr>
          <w:rFonts w:ascii="Corbel" w:eastAsia="Tahoma" w:hAnsi="Corbel" w:cs="Tahoma"/>
          <w:color w:val="000000" w:themeColor="text1"/>
          <w:sz w:val="20"/>
        </w:rPr>
        <w:t xml:space="preserve"> In dit onderzoek zijn namelijk slechts drie risico’s uit IBRA geanalyseerd.</w:t>
      </w:r>
      <w:r w:rsidR="00FF2357" w:rsidRPr="008957AC">
        <w:rPr>
          <w:rFonts w:ascii="Corbel" w:eastAsia="Tahoma" w:hAnsi="Corbel" w:cs="Tahoma"/>
          <w:color w:val="000000" w:themeColor="text1"/>
          <w:sz w:val="20"/>
        </w:rPr>
        <w:t xml:space="preserve"> </w:t>
      </w:r>
      <w:r w:rsidRPr="008957AC">
        <w:rPr>
          <w:rFonts w:ascii="Corbel" w:eastAsia="Tahoma" w:hAnsi="Corbel" w:cs="Tahoma"/>
          <w:color w:val="000000" w:themeColor="text1"/>
          <w:sz w:val="20"/>
        </w:rPr>
        <w:t xml:space="preserve">Hiermee is slechts een deel van de risicoanalyse van de ILT onderzocht. Het is interessant om een gehele risicoanalyse te analyseren, omdat op die manier een compleet beeld verkregen kan worden van de risicoanalyse. Dit hangt samen met een </w:t>
      </w:r>
      <w:r w:rsidR="000B3E7E" w:rsidRPr="008957AC">
        <w:rPr>
          <w:rFonts w:ascii="Corbel" w:eastAsia="Tahoma" w:hAnsi="Corbel" w:cs="Tahoma"/>
          <w:color w:val="000000" w:themeColor="text1"/>
          <w:sz w:val="20"/>
        </w:rPr>
        <w:t xml:space="preserve">tweede suggestie voor vervolgonderzoek. De allocatie van toezichtscapaciteit </w:t>
      </w:r>
      <w:r w:rsidR="00EB08DB" w:rsidRPr="008957AC">
        <w:rPr>
          <w:rFonts w:ascii="Corbel" w:eastAsia="Tahoma" w:hAnsi="Corbel" w:cs="Tahoma"/>
          <w:color w:val="000000" w:themeColor="text1"/>
          <w:sz w:val="20"/>
        </w:rPr>
        <w:t xml:space="preserve">moet benaderd worden als een </w:t>
      </w:r>
      <w:r w:rsidR="006059B8" w:rsidRPr="008957AC">
        <w:rPr>
          <w:rFonts w:ascii="Corbel" w:eastAsia="Tahoma" w:hAnsi="Corbel" w:cs="Tahoma"/>
          <w:color w:val="000000" w:themeColor="text1"/>
          <w:sz w:val="20"/>
        </w:rPr>
        <w:t>nulsomspel</w:t>
      </w:r>
      <w:r w:rsidR="00EB08DB" w:rsidRPr="008957AC">
        <w:rPr>
          <w:rFonts w:ascii="Corbel" w:eastAsia="Tahoma" w:hAnsi="Corbel" w:cs="Tahoma"/>
          <w:color w:val="000000" w:themeColor="text1"/>
          <w:sz w:val="20"/>
        </w:rPr>
        <w:t xml:space="preserve">. </w:t>
      </w:r>
      <w:r w:rsidR="00396EAA" w:rsidRPr="008957AC">
        <w:rPr>
          <w:rFonts w:ascii="Corbel" w:eastAsia="Tahoma" w:hAnsi="Corbel" w:cs="Tahoma"/>
          <w:color w:val="000000" w:themeColor="text1"/>
          <w:sz w:val="20"/>
        </w:rPr>
        <w:t xml:space="preserve">Dit is een concept uit de speltheorie, </w:t>
      </w:r>
      <w:r w:rsidR="006059B8" w:rsidRPr="008957AC">
        <w:rPr>
          <w:rFonts w:ascii="Corbel" w:eastAsia="Tahoma" w:hAnsi="Corbel" w:cs="Tahoma"/>
          <w:color w:val="000000" w:themeColor="text1"/>
          <w:sz w:val="20"/>
        </w:rPr>
        <w:t>waarbij de winst voor actor A gelijk moet zijn aan het verlies van actor B. In andere woorden: er is enkel één taart te verdelen. Dit geldt ook</w:t>
      </w:r>
      <w:r w:rsidR="00F77BD1" w:rsidRPr="008957AC">
        <w:rPr>
          <w:rFonts w:ascii="Corbel" w:eastAsia="Tahoma" w:hAnsi="Corbel" w:cs="Tahoma"/>
          <w:color w:val="000000" w:themeColor="text1"/>
          <w:sz w:val="20"/>
        </w:rPr>
        <w:t xml:space="preserve"> voor</w:t>
      </w:r>
      <w:r w:rsidR="006059B8" w:rsidRPr="008957AC">
        <w:rPr>
          <w:rFonts w:ascii="Corbel" w:eastAsia="Tahoma" w:hAnsi="Corbel" w:cs="Tahoma"/>
          <w:color w:val="000000" w:themeColor="text1"/>
          <w:sz w:val="20"/>
        </w:rPr>
        <w:t xml:space="preserve"> de toewijzing van toezichtscapaciteit binnen de ILT. Deze is van nature beperkt en om risicogestuurd toezicht te implementeren betekent dit dat sommige risico’s minder (tot geen) aandacht krijgen in vergelijking met andere risico’s. </w:t>
      </w:r>
      <w:r w:rsidR="00727D5C" w:rsidRPr="008957AC">
        <w:rPr>
          <w:rFonts w:ascii="Corbel" w:eastAsia="Tahoma" w:hAnsi="Corbel" w:cs="Tahoma"/>
          <w:color w:val="000000" w:themeColor="text1"/>
          <w:sz w:val="20"/>
        </w:rPr>
        <w:t xml:space="preserve">Om een overzicht te krijgen van de grootte van deze risico’s is IBRA gestart. Dit onderzoek wijst uit dat non-utilitaire overwegingen een rol spelen bij de risico’s in de catalogus. Dit heeft gevolgen voor de verdeling van toezichtscapaciteit. Een aanbeveling voor verder onderzoek is dan ook om deze gevolgen in kaart te brengen en om een omgang te vinden met dit nulsomspel. </w:t>
      </w:r>
    </w:p>
    <w:p w14:paraId="48604C35" w14:textId="5E8B0DDA" w:rsidR="00322EEB" w:rsidRPr="008957AC" w:rsidRDefault="008D40DB" w:rsidP="00322EEB">
      <w:pPr>
        <w:pStyle w:val="Stijl1"/>
        <w:numPr>
          <w:ilvl w:val="0"/>
          <w:numId w:val="0"/>
        </w:numPr>
        <w:rPr>
          <w:color w:val="000000" w:themeColor="text1"/>
        </w:rPr>
      </w:pPr>
      <w:bookmarkStart w:id="6" w:name="_Toc485990847"/>
      <w:r w:rsidRPr="008957AC">
        <w:rPr>
          <w:color w:val="000000" w:themeColor="text1"/>
        </w:rPr>
        <w:lastRenderedPageBreak/>
        <w:t>Adviezen ILT</w:t>
      </w:r>
      <w:bookmarkEnd w:id="6"/>
    </w:p>
    <w:p w14:paraId="310EE241" w14:textId="17F2C249" w:rsidR="00170549" w:rsidRPr="008957AC" w:rsidRDefault="006E26C8" w:rsidP="00265ABE">
      <w:pPr>
        <w:spacing w:line="360" w:lineRule="auto"/>
        <w:jc w:val="both"/>
        <w:rPr>
          <w:rFonts w:ascii="Corbel" w:hAnsi="Corbel"/>
          <w:color w:val="000000" w:themeColor="text1"/>
          <w:sz w:val="20"/>
          <w:szCs w:val="20"/>
        </w:rPr>
      </w:pPr>
      <w:r w:rsidRPr="008957AC">
        <w:rPr>
          <w:rFonts w:ascii="Corbel" w:hAnsi="Corbel"/>
          <w:color w:val="000000" w:themeColor="text1"/>
          <w:sz w:val="20"/>
          <w:szCs w:val="20"/>
        </w:rPr>
        <w:t>Op 3 mei 2017 heeft het IBRA-projectteam gerapporteerd aan het DT van de ILT. In deze memo worden de uitkomsten van de eerste ronde van IBRA (IBRA 1.o) gepresenteerd, alsmede adviezen voor de benutting van deze resultaten</w:t>
      </w:r>
      <w:r w:rsidR="009F7B6B" w:rsidRPr="008957AC">
        <w:rPr>
          <w:rFonts w:ascii="Corbel" w:hAnsi="Corbel"/>
          <w:color w:val="000000" w:themeColor="text1"/>
          <w:sz w:val="20"/>
          <w:szCs w:val="20"/>
        </w:rPr>
        <w:t xml:space="preserve"> (IBRA 1.0, 2017)</w:t>
      </w:r>
      <w:r w:rsidRPr="008957AC">
        <w:rPr>
          <w:rFonts w:ascii="Corbel" w:hAnsi="Corbel"/>
          <w:color w:val="000000" w:themeColor="text1"/>
          <w:sz w:val="20"/>
          <w:szCs w:val="20"/>
        </w:rPr>
        <w:t xml:space="preserve">. De uitkomsten van IBRA 1.0 worden besproken met de minister (9 mei), staatssecretaris (10 mei) en de bestuursraad van het ministerie van Infrastructuur en Milieu (29 mei). </w:t>
      </w:r>
      <w:r w:rsidR="008D40DB" w:rsidRPr="008957AC">
        <w:rPr>
          <w:rFonts w:ascii="Corbel" w:hAnsi="Corbel"/>
          <w:color w:val="000000" w:themeColor="text1"/>
          <w:sz w:val="20"/>
          <w:szCs w:val="20"/>
        </w:rPr>
        <w:t xml:space="preserve">In dit hoofdstuk </w:t>
      </w:r>
      <w:r w:rsidR="00F04A04" w:rsidRPr="008957AC">
        <w:rPr>
          <w:rFonts w:ascii="Corbel" w:hAnsi="Corbel"/>
          <w:color w:val="000000" w:themeColor="text1"/>
          <w:sz w:val="20"/>
          <w:szCs w:val="20"/>
        </w:rPr>
        <w:t xml:space="preserve">worden deze adviezen besproken in het licht van de resultaten van dit onderzoek. </w:t>
      </w:r>
    </w:p>
    <w:p w14:paraId="7BE5738D" w14:textId="77777777" w:rsidR="00170549" w:rsidRPr="008957AC" w:rsidRDefault="00730725" w:rsidP="00265ABE">
      <w:pPr>
        <w:spacing w:line="360" w:lineRule="auto"/>
        <w:ind w:firstLine="709"/>
        <w:jc w:val="both"/>
        <w:rPr>
          <w:rFonts w:ascii="Corbel" w:hAnsi="Corbel"/>
          <w:color w:val="000000" w:themeColor="text1"/>
          <w:sz w:val="20"/>
          <w:szCs w:val="20"/>
        </w:rPr>
      </w:pPr>
      <w:r w:rsidRPr="008957AC">
        <w:rPr>
          <w:rFonts w:ascii="Corbel" w:hAnsi="Corbel"/>
          <w:color w:val="000000" w:themeColor="text1"/>
          <w:sz w:val="20"/>
          <w:szCs w:val="20"/>
        </w:rPr>
        <w:t xml:space="preserve">Op basis van IBRA 1.0 volgt het eerste advies om een plan van aanpak te maken voor de verdere ontwikkeling van IBRA 2.0 en verder. De uitkomsten van deze masterscriptie laten zien dat </w:t>
      </w:r>
      <w:r w:rsidR="00170549" w:rsidRPr="008957AC">
        <w:rPr>
          <w:rFonts w:ascii="Corbel" w:hAnsi="Corbel"/>
          <w:color w:val="000000" w:themeColor="text1"/>
          <w:sz w:val="20"/>
          <w:szCs w:val="20"/>
        </w:rPr>
        <w:t>een uitbreiding van de scope van de risicoanalyse noodzakelijk en mogelijk is. Verder kijken dan utiliteit is mogelijk en heeft een toegevoegde waarde voor de onderbouwing in de risicoprioritering. Dit onderzoek biedt handvatten om dit in de praktijk te brengen door de ethische tradities te operationaliseren en systematisch toe te passen.</w:t>
      </w:r>
    </w:p>
    <w:p w14:paraId="3E0DD316" w14:textId="12FA05B9" w:rsidR="00170549" w:rsidRPr="008957AC" w:rsidRDefault="00170549" w:rsidP="00265ABE">
      <w:pPr>
        <w:spacing w:line="360" w:lineRule="auto"/>
        <w:ind w:firstLine="709"/>
        <w:jc w:val="both"/>
        <w:rPr>
          <w:rFonts w:ascii="Corbel" w:hAnsi="Corbel"/>
          <w:color w:val="000000" w:themeColor="text1"/>
          <w:sz w:val="20"/>
          <w:szCs w:val="20"/>
        </w:rPr>
      </w:pPr>
      <w:r w:rsidRPr="008957AC">
        <w:rPr>
          <w:rFonts w:ascii="Corbel" w:hAnsi="Corbel"/>
          <w:color w:val="000000" w:themeColor="text1"/>
          <w:sz w:val="20"/>
          <w:szCs w:val="20"/>
        </w:rPr>
        <w:t>Het tweede advies op basis van IBRA 1.0 is meer inhoudelijk. De uitkomst van IBRA 1.0 is dat d</w:t>
      </w:r>
      <w:r w:rsidR="00A8691D" w:rsidRPr="008957AC">
        <w:rPr>
          <w:rFonts w:ascii="Corbel" w:hAnsi="Corbel"/>
          <w:color w:val="000000" w:themeColor="text1"/>
          <w:sz w:val="20"/>
          <w:szCs w:val="20"/>
        </w:rPr>
        <w:t>e maatschappelijke schades aan de perspectieven van ‘g</w:t>
      </w:r>
      <w:r w:rsidRPr="008957AC">
        <w:rPr>
          <w:rFonts w:ascii="Corbel" w:hAnsi="Corbel"/>
          <w:color w:val="000000" w:themeColor="text1"/>
          <w:sz w:val="20"/>
          <w:szCs w:val="20"/>
        </w:rPr>
        <w:t>ezondheid</w:t>
      </w:r>
      <w:r w:rsidR="00A8691D" w:rsidRPr="008957AC">
        <w:rPr>
          <w:rFonts w:ascii="Corbel" w:hAnsi="Corbel"/>
          <w:color w:val="000000" w:themeColor="text1"/>
          <w:sz w:val="20"/>
          <w:szCs w:val="20"/>
        </w:rPr>
        <w:t>’</w:t>
      </w:r>
      <w:r w:rsidRPr="008957AC">
        <w:rPr>
          <w:rFonts w:ascii="Corbel" w:hAnsi="Corbel"/>
          <w:color w:val="000000" w:themeColor="text1"/>
          <w:sz w:val="20"/>
          <w:szCs w:val="20"/>
        </w:rPr>
        <w:t xml:space="preserve"> en </w:t>
      </w:r>
      <w:r w:rsidR="00A8691D" w:rsidRPr="008957AC">
        <w:rPr>
          <w:rFonts w:ascii="Corbel" w:hAnsi="Corbel"/>
          <w:color w:val="000000" w:themeColor="text1"/>
          <w:sz w:val="20"/>
          <w:szCs w:val="20"/>
        </w:rPr>
        <w:t>‘m</w:t>
      </w:r>
      <w:r w:rsidRPr="008957AC">
        <w:rPr>
          <w:rFonts w:ascii="Corbel" w:hAnsi="Corbel"/>
          <w:color w:val="000000" w:themeColor="text1"/>
          <w:sz w:val="20"/>
          <w:szCs w:val="20"/>
        </w:rPr>
        <w:t>ilieu</w:t>
      </w:r>
      <w:r w:rsidR="00A8691D" w:rsidRPr="008957AC">
        <w:rPr>
          <w:rFonts w:ascii="Corbel" w:hAnsi="Corbel"/>
          <w:color w:val="000000" w:themeColor="text1"/>
          <w:sz w:val="20"/>
          <w:szCs w:val="20"/>
        </w:rPr>
        <w:t>’</w:t>
      </w:r>
      <w:r w:rsidRPr="008957AC">
        <w:rPr>
          <w:rFonts w:ascii="Corbel" w:hAnsi="Corbel"/>
          <w:color w:val="000000" w:themeColor="text1"/>
          <w:sz w:val="20"/>
          <w:szCs w:val="20"/>
        </w:rPr>
        <w:t xml:space="preserve"> aanme</w:t>
      </w:r>
      <w:r w:rsidR="00A8691D" w:rsidRPr="008957AC">
        <w:rPr>
          <w:rFonts w:ascii="Corbel" w:hAnsi="Corbel"/>
          <w:color w:val="000000" w:themeColor="text1"/>
          <w:sz w:val="20"/>
          <w:szCs w:val="20"/>
        </w:rPr>
        <w:t>rkelijk hoger zijn dan die aan ‘f</w:t>
      </w:r>
      <w:r w:rsidRPr="008957AC">
        <w:rPr>
          <w:rFonts w:ascii="Corbel" w:hAnsi="Corbel"/>
          <w:color w:val="000000" w:themeColor="text1"/>
          <w:sz w:val="20"/>
          <w:szCs w:val="20"/>
        </w:rPr>
        <w:t xml:space="preserve">ysieke </w:t>
      </w:r>
      <w:r w:rsidR="00A8691D" w:rsidRPr="008957AC">
        <w:rPr>
          <w:rFonts w:ascii="Corbel" w:hAnsi="Corbel"/>
          <w:color w:val="000000" w:themeColor="text1"/>
          <w:sz w:val="20"/>
          <w:szCs w:val="20"/>
        </w:rPr>
        <w:t>v</w:t>
      </w:r>
      <w:r w:rsidRPr="008957AC">
        <w:rPr>
          <w:rFonts w:ascii="Corbel" w:hAnsi="Corbel"/>
          <w:color w:val="000000" w:themeColor="text1"/>
          <w:sz w:val="20"/>
          <w:szCs w:val="20"/>
        </w:rPr>
        <w:t>eiligheid</w:t>
      </w:r>
      <w:r w:rsidR="00A8691D" w:rsidRPr="008957AC">
        <w:rPr>
          <w:rFonts w:ascii="Corbel" w:hAnsi="Corbel"/>
          <w:color w:val="000000" w:themeColor="text1"/>
          <w:sz w:val="20"/>
          <w:szCs w:val="20"/>
        </w:rPr>
        <w:t>’ en ‘t</w:t>
      </w:r>
      <w:r w:rsidRPr="008957AC">
        <w:rPr>
          <w:rFonts w:ascii="Corbel" w:hAnsi="Corbel"/>
          <w:color w:val="000000" w:themeColor="text1"/>
          <w:sz w:val="20"/>
          <w:szCs w:val="20"/>
        </w:rPr>
        <w:t>ransportnet</w:t>
      </w:r>
      <w:r w:rsidR="00A8691D" w:rsidRPr="008957AC">
        <w:rPr>
          <w:rFonts w:ascii="Corbel" w:hAnsi="Corbel"/>
          <w:color w:val="000000" w:themeColor="text1"/>
          <w:sz w:val="20"/>
          <w:szCs w:val="20"/>
        </w:rPr>
        <w:t>’</w:t>
      </w:r>
      <w:r w:rsidRPr="008957AC">
        <w:rPr>
          <w:rFonts w:ascii="Corbel" w:hAnsi="Corbel"/>
          <w:color w:val="000000" w:themeColor="text1"/>
          <w:sz w:val="20"/>
          <w:szCs w:val="20"/>
        </w:rPr>
        <w:t>. Onderstaand is dat in de eerste diagram weergegeven:</w:t>
      </w:r>
    </w:p>
    <w:p w14:paraId="304C12C2" w14:textId="77777777" w:rsidR="0025363E" w:rsidRPr="008957AC" w:rsidRDefault="0025363E" w:rsidP="00265ABE">
      <w:pPr>
        <w:spacing w:line="360" w:lineRule="auto"/>
        <w:ind w:firstLine="709"/>
        <w:jc w:val="both"/>
        <w:rPr>
          <w:rFonts w:ascii="Corbel" w:hAnsi="Corbel"/>
          <w:color w:val="000000" w:themeColor="text1"/>
          <w:sz w:val="20"/>
          <w:szCs w:val="20"/>
        </w:rPr>
      </w:pPr>
    </w:p>
    <w:p w14:paraId="4C68E2AD" w14:textId="7C1557E5" w:rsidR="00265ABE" w:rsidRPr="008957AC" w:rsidRDefault="00265ABE" w:rsidP="00265ABE">
      <w:pPr>
        <w:pStyle w:val="Bijschrift"/>
        <w:keepNext/>
        <w:jc w:val="center"/>
        <w:rPr>
          <w:rFonts w:ascii="Corbel" w:hAnsi="Corbel"/>
          <w:color w:val="000000" w:themeColor="text1"/>
          <w:sz w:val="20"/>
          <w:szCs w:val="20"/>
        </w:rPr>
      </w:pPr>
      <w:r w:rsidRPr="008957AC">
        <w:rPr>
          <w:rFonts w:ascii="Corbel" w:hAnsi="Corbel"/>
          <w:color w:val="000000" w:themeColor="text1"/>
          <w:sz w:val="20"/>
          <w:szCs w:val="20"/>
        </w:rPr>
        <w:t xml:space="preserve">Tabel </w:t>
      </w:r>
      <w:r w:rsidR="00640E13" w:rsidRPr="008957AC">
        <w:rPr>
          <w:rFonts w:ascii="Corbel" w:hAnsi="Corbel"/>
          <w:color w:val="000000" w:themeColor="text1"/>
          <w:sz w:val="20"/>
          <w:szCs w:val="20"/>
        </w:rPr>
        <w:fldChar w:fldCharType="begin"/>
      </w:r>
      <w:r w:rsidR="00640E13" w:rsidRPr="008957AC">
        <w:rPr>
          <w:rFonts w:ascii="Corbel" w:hAnsi="Corbel"/>
          <w:color w:val="000000" w:themeColor="text1"/>
          <w:sz w:val="20"/>
          <w:szCs w:val="20"/>
        </w:rPr>
        <w:instrText xml:space="preserve"> SEQ Tabel \* ARABIC </w:instrText>
      </w:r>
      <w:r w:rsidR="00640E13" w:rsidRPr="008957AC">
        <w:rPr>
          <w:rFonts w:ascii="Corbel" w:hAnsi="Corbel"/>
          <w:color w:val="000000" w:themeColor="text1"/>
          <w:sz w:val="20"/>
          <w:szCs w:val="20"/>
        </w:rPr>
        <w:fldChar w:fldCharType="separate"/>
      </w:r>
      <w:r w:rsidR="00BA122C" w:rsidRPr="008957AC">
        <w:rPr>
          <w:rFonts w:ascii="Corbel" w:hAnsi="Corbel"/>
          <w:noProof/>
          <w:color w:val="000000" w:themeColor="text1"/>
          <w:sz w:val="20"/>
          <w:szCs w:val="20"/>
        </w:rPr>
        <w:t>1</w:t>
      </w:r>
      <w:r w:rsidR="00640E13" w:rsidRPr="008957AC">
        <w:rPr>
          <w:rFonts w:ascii="Corbel" w:hAnsi="Corbel"/>
          <w:noProof/>
          <w:color w:val="000000" w:themeColor="text1"/>
          <w:sz w:val="20"/>
          <w:szCs w:val="20"/>
        </w:rPr>
        <w:fldChar w:fldCharType="end"/>
      </w:r>
      <w:r w:rsidRPr="008957AC">
        <w:rPr>
          <w:rFonts w:ascii="Corbel" w:hAnsi="Corbel"/>
          <w:color w:val="000000" w:themeColor="text1"/>
          <w:sz w:val="20"/>
          <w:szCs w:val="20"/>
        </w:rPr>
        <w:t xml:space="preserve"> - overzicht schade en fte per risico (</w:t>
      </w:r>
      <w:r w:rsidR="00F77BD1" w:rsidRPr="008957AC">
        <w:rPr>
          <w:rFonts w:ascii="Corbel" w:hAnsi="Corbel"/>
          <w:color w:val="000000" w:themeColor="text1"/>
          <w:sz w:val="20"/>
          <w:szCs w:val="20"/>
        </w:rPr>
        <w:t xml:space="preserve">bron: </w:t>
      </w:r>
      <w:r w:rsidR="00A8691D" w:rsidRPr="008957AC">
        <w:rPr>
          <w:rFonts w:ascii="Corbel" w:hAnsi="Corbel"/>
          <w:color w:val="000000" w:themeColor="text1"/>
          <w:sz w:val="20"/>
          <w:szCs w:val="20"/>
        </w:rPr>
        <w:t xml:space="preserve">memo </w:t>
      </w:r>
      <w:r w:rsidRPr="008957AC">
        <w:rPr>
          <w:rFonts w:ascii="Corbel" w:hAnsi="Corbel"/>
          <w:color w:val="000000" w:themeColor="text1"/>
          <w:sz w:val="20"/>
          <w:szCs w:val="20"/>
        </w:rPr>
        <w:t>IBRA 1.0, 2017)</w:t>
      </w:r>
    </w:p>
    <w:p w14:paraId="28AE7A5A" w14:textId="5D5EEDDE" w:rsidR="00170549" w:rsidRPr="008957AC" w:rsidRDefault="00170549" w:rsidP="00265ABE">
      <w:pPr>
        <w:spacing w:line="360" w:lineRule="auto"/>
        <w:jc w:val="center"/>
        <w:rPr>
          <w:rFonts w:ascii="Corbel" w:hAnsi="Corbel"/>
          <w:color w:val="000000" w:themeColor="text1"/>
          <w:sz w:val="20"/>
          <w:szCs w:val="20"/>
        </w:rPr>
      </w:pPr>
      <w:r w:rsidRPr="008957AC">
        <w:rPr>
          <w:rFonts w:cstheme="minorHAnsi"/>
          <w:noProof/>
          <w:color w:val="000000" w:themeColor="text1"/>
          <w:sz w:val="20"/>
          <w:szCs w:val="20"/>
        </w:rPr>
        <w:drawing>
          <wp:inline distT="0" distB="0" distL="0" distR="0" wp14:anchorId="084C479A" wp14:editId="4CE91884">
            <wp:extent cx="4177146" cy="3420745"/>
            <wp:effectExtent l="0" t="0" r="0" b="8255"/>
            <wp:docPr id="13" name="Afbeelding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r="4719"/>
                    <a:stretch/>
                  </pic:blipFill>
                  <pic:spPr bwMode="auto">
                    <a:xfrm>
                      <a:off x="0" y="0"/>
                      <a:ext cx="4177146" cy="3420745"/>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a:graphicData>
            </a:graphic>
          </wp:inline>
        </w:drawing>
      </w:r>
    </w:p>
    <w:p w14:paraId="717870EB" w14:textId="77777777" w:rsidR="0025363E" w:rsidRPr="008957AC" w:rsidRDefault="0025363E" w:rsidP="00265ABE">
      <w:pPr>
        <w:spacing w:line="360" w:lineRule="auto"/>
        <w:jc w:val="both"/>
        <w:rPr>
          <w:rFonts w:ascii="Corbel" w:hAnsi="Corbel" w:cstheme="minorHAnsi"/>
          <w:color w:val="000000" w:themeColor="text1"/>
          <w:sz w:val="20"/>
          <w:szCs w:val="20"/>
        </w:rPr>
      </w:pPr>
    </w:p>
    <w:p w14:paraId="41A405E4" w14:textId="61E9C4AB" w:rsidR="005A7F37" w:rsidRPr="008957AC" w:rsidRDefault="00170549" w:rsidP="00265ABE">
      <w:pPr>
        <w:spacing w:line="360" w:lineRule="auto"/>
        <w:jc w:val="both"/>
        <w:rPr>
          <w:rFonts w:ascii="Corbel" w:hAnsi="Corbel" w:cstheme="minorHAnsi"/>
          <w:color w:val="000000" w:themeColor="text1"/>
          <w:sz w:val="20"/>
          <w:szCs w:val="20"/>
        </w:rPr>
      </w:pPr>
      <w:r w:rsidRPr="008957AC">
        <w:rPr>
          <w:rFonts w:ascii="Corbel" w:hAnsi="Corbel" w:cstheme="minorHAnsi"/>
          <w:color w:val="000000" w:themeColor="text1"/>
          <w:sz w:val="20"/>
          <w:szCs w:val="20"/>
        </w:rPr>
        <w:t>In de tweede diagram is de totale ILT inzet (in fte) per risico weergegeven. Wat opvalt is dat er een discrepantie is tussen de totale schade van fysiek, gezondheid en milieu en het aantal fte dat ingezet wordt op die risico’s. Het merendeel van het aantal fte wordt ingezet op fysieke schade, terwijl gezondheid- en milieurisico’s voor de grootste schadepost tellen.</w:t>
      </w:r>
      <w:r w:rsidR="00F77BD1" w:rsidRPr="008957AC">
        <w:rPr>
          <w:rFonts w:ascii="Corbel" w:hAnsi="Corbel" w:cstheme="minorHAnsi"/>
          <w:color w:val="000000" w:themeColor="text1"/>
          <w:sz w:val="20"/>
          <w:szCs w:val="20"/>
        </w:rPr>
        <w:t xml:space="preserve"> Dit lijkt niet overeen te komen met het principe van risicogestuurd toezicht.</w:t>
      </w:r>
      <w:r w:rsidRPr="008957AC">
        <w:rPr>
          <w:rFonts w:ascii="Corbel" w:hAnsi="Corbel" w:cstheme="minorHAnsi"/>
          <w:color w:val="000000" w:themeColor="text1"/>
          <w:sz w:val="20"/>
          <w:szCs w:val="20"/>
        </w:rPr>
        <w:t xml:space="preserve"> Vandaar dat een aandachtsverschuiving wordt voorgeste</w:t>
      </w:r>
      <w:r w:rsidR="00F77BD1" w:rsidRPr="008957AC">
        <w:rPr>
          <w:rFonts w:ascii="Corbel" w:hAnsi="Corbel" w:cstheme="minorHAnsi"/>
          <w:color w:val="000000" w:themeColor="text1"/>
          <w:sz w:val="20"/>
          <w:szCs w:val="20"/>
        </w:rPr>
        <w:t>ld van fysieke veiligheid naar g</w:t>
      </w:r>
      <w:r w:rsidRPr="008957AC">
        <w:rPr>
          <w:rFonts w:ascii="Corbel" w:hAnsi="Corbel" w:cstheme="minorHAnsi"/>
          <w:color w:val="000000" w:themeColor="text1"/>
          <w:sz w:val="20"/>
          <w:szCs w:val="20"/>
        </w:rPr>
        <w:t xml:space="preserve">ezondheid en </w:t>
      </w:r>
      <w:r w:rsidR="00F77BD1" w:rsidRPr="008957AC">
        <w:rPr>
          <w:rFonts w:ascii="Corbel" w:hAnsi="Corbel" w:cstheme="minorHAnsi"/>
          <w:color w:val="000000" w:themeColor="text1"/>
          <w:sz w:val="20"/>
          <w:szCs w:val="20"/>
        </w:rPr>
        <w:t>m</w:t>
      </w:r>
      <w:r w:rsidRPr="008957AC">
        <w:rPr>
          <w:rFonts w:ascii="Corbel" w:hAnsi="Corbel" w:cstheme="minorHAnsi"/>
          <w:color w:val="000000" w:themeColor="text1"/>
          <w:sz w:val="20"/>
          <w:szCs w:val="20"/>
        </w:rPr>
        <w:t xml:space="preserve">ilieu. Maar, zoals dit onderzoek heeft uitgewezen, </w:t>
      </w:r>
      <w:r w:rsidR="00AF7C72" w:rsidRPr="008957AC">
        <w:rPr>
          <w:rFonts w:ascii="Corbel" w:hAnsi="Corbel" w:cstheme="minorHAnsi"/>
          <w:color w:val="000000" w:themeColor="text1"/>
          <w:sz w:val="20"/>
          <w:szCs w:val="20"/>
        </w:rPr>
        <w:t xml:space="preserve">is </w:t>
      </w:r>
      <w:r w:rsidRPr="008957AC">
        <w:rPr>
          <w:rFonts w:ascii="Corbel" w:hAnsi="Corbel" w:cstheme="minorHAnsi"/>
          <w:color w:val="000000" w:themeColor="text1"/>
          <w:sz w:val="20"/>
          <w:szCs w:val="20"/>
        </w:rPr>
        <w:t xml:space="preserve">niet alle argumentatie is compleet. Het advies op basis van dit </w:t>
      </w:r>
      <w:r w:rsidRPr="008957AC">
        <w:rPr>
          <w:rFonts w:ascii="Corbel" w:hAnsi="Corbel" w:cstheme="minorHAnsi"/>
          <w:color w:val="000000" w:themeColor="text1"/>
          <w:sz w:val="20"/>
          <w:szCs w:val="20"/>
        </w:rPr>
        <w:lastRenderedPageBreak/>
        <w:t>onderzoek is om all</w:t>
      </w:r>
      <w:r w:rsidR="00265ABE" w:rsidRPr="008957AC">
        <w:rPr>
          <w:rFonts w:ascii="Corbel" w:hAnsi="Corbel" w:cstheme="minorHAnsi"/>
          <w:color w:val="000000" w:themeColor="text1"/>
          <w:sz w:val="20"/>
          <w:szCs w:val="20"/>
        </w:rPr>
        <w:t xml:space="preserve">e ethische overwegingen een plek te geven om zo een evenwichtiger afweging te kunnen maken in de toedeling van toezichtscapaciteit. </w:t>
      </w:r>
    </w:p>
    <w:p w14:paraId="11CCB9BF" w14:textId="59F90790" w:rsidR="005A7F37" w:rsidRPr="008957AC" w:rsidRDefault="005A7F37" w:rsidP="00265ABE">
      <w:pPr>
        <w:jc w:val="both"/>
        <w:rPr>
          <w:rFonts w:ascii="Corbel" w:hAnsi="Corbel"/>
          <w:color w:val="000000" w:themeColor="text1"/>
          <w:sz w:val="20"/>
          <w:szCs w:val="20"/>
        </w:rPr>
      </w:pPr>
    </w:p>
    <w:p w14:paraId="1050A751" w14:textId="395679E0" w:rsidR="005A7F37" w:rsidRPr="008957AC" w:rsidRDefault="00265ABE" w:rsidP="00265ABE">
      <w:pPr>
        <w:spacing w:line="360" w:lineRule="auto"/>
        <w:jc w:val="both"/>
        <w:rPr>
          <w:rFonts w:ascii="Corbel" w:hAnsi="Corbel" w:cstheme="minorHAnsi"/>
          <w:color w:val="000000" w:themeColor="text1"/>
          <w:sz w:val="20"/>
          <w:szCs w:val="20"/>
        </w:rPr>
      </w:pPr>
      <w:r w:rsidRPr="008957AC">
        <w:rPr>
          <w:rFonts w:ascii="Corbel" w:hAnsi="Corbel"/>
          <w:color w:val="000000" w:themeColor="text1"/>
          <w:sz w:val="20"/>
          <w:szCs w:val="20"/>
        </w:rPr>
        <w:t>Het derde advies dat inhaakt op de resultaten van dit onderzoek is dat de w</w:t>
      </w:r>
      <w:r w:rsidR="005A7F37" w:rsidRPr="008957AC">
        <w:rPr>
          <w:rFonts w:ascii="Corbel" w:hAnsi="Corbel" w:cstheme="minorHAnsi"/>
          <w:color w:val="000000" w:themeColor="text1"/>
          <w:sz w:val="20"/>
          <w:szCs w:val="20"/>
        </w:rPr>
        <w:t>erving van nieuwe medewerkers gebruikt</w:t>
      </w:r>
      <w:r w:rsidRPr="008957AC">
        <w:rPr>
          <w:rFonts w:ascii="Corbel" w:hAnsi="Corbel" w:cstheme="minorHAnsi"/>
          <w:color w:val="000000" w:themeColor="text1"/>
          <w:sz w:val="20"/>
          <w:szCs w:val="20"/>
        </w:rPr>
        <w:t xml:space="preserve"> moet worden</w:t>
      </w:r>
      <w:r w:rsidR="005A7F37" w:rsidRPr="008957AC">
        <w:rPr>
          <w:rFonts w:ascii="Corbel" w:hAnsi="Corbel" w:cstheme="minorHAnsi"/>
          <w:color w:val="000000" w:themeColor="text1"/>
          <w:sz w:val="20"/>
          <w:szCs w:val="20"/>
        </w:rPr>
        <w:t xml:space="preserve"> om kennis binnen te halen die in de organisatie niet of schaars aanwezig is</w:t>
      </w:r>
      <w:r w:rsidRPr="008957AC">
        <w:rPr>
          <w:rFonts w:ascii="Corbel" w:hAnsi="Corbel" w:cstheme="minorHAnsi"/>
          <w:color w:val="000000" w:themeColor="text1"/>
          <w:sz w:val="20"/>
          <w:szCs w:val="20"/>
        </w:rPr>
        <w:t>. Dit onderzoek heeft een aantal keer het voorstel gedaan om ethische commissies, ervaringsexperts of bijvoorbeeld juristen in te zetten bij de beoordeling van ethische argumentati</w:t>
      </w:r>
      <w:r w:rsidR="00F77BD1" w:rsidRPr="008957AC">
        <w:rPr>
          <w:rFonts w:ascii="Corbel" w:hAnsi="Corbel" w:cstheme="minorHAnsi"/>
          <w:color w:val="000000" w:themeColor="text1"/>
          <w:sz w:val="20"/>
          <w:szCs w:val="20"/>
        </w:rPr>
        <w:t xml:space="preserve">e in de risicoanalyse. Het IBRA-team </w:t>
      </w:r>
      <w:r w:rsidRPr="008957AC">
        <w:rPr>
          <w:rFonts w:ascii="Corbel" w:hAnsi="Corbel" w:cstheme="minorHAnsi"/>
          <w:color w:val="000000" w:themeColor="text1"/>
          <w:sz w:val="20"/>
          <w:szCs w:val="20"/>
        </w:rPr>
        <w:t xml:space="preserve">heeft nu expertise opgebouwd met risicoanalisten (of uitvoerders van maatschappelijke kostenbaten analyses). Dit gremium zal aangevuld moeten worden om zo tot een verbreding van het concept risicoanalyse te komen. </w:t>
      </w:r>
    </w:p>
    <w:p w14:paraId="5BE378C8" w14:textId="77777777" w:rsidR="005A7F37" w:rsidRPr="008957AC" w:rsidRDefault="005A7F37" w:rsidP="00180D3D">
      <w:pPr>
        <w:rPr>
          <w:rFonts w:ascii="Corbel" w:hAnsi="Corbel"/>
          <w:color w:val="000000" w:themeColor="text1"/>
          <w:sz w:val="20"/>
          <w:szCs w:val="20"/>
        </w:rPr>
      </w:pPr>
    </w:p>
    <w:p w14:paraId="52E5037B" w14:textId="458E574C" w:rsidR="000451D3" w:rsidRPr="008957AC" w:rsidRDefault="000451D3" w:rsidP="00B3386D">
      <w:pPr>
        <w:spacing w:line="360" w:lineRule="auto"/>
        <w:jc w:val="both"/>
        <w:rPr>
          <w:rFonts w:ascii="Corbel" w:hAnsi="Corbel"/>
          <w:color w:val="000000" w:themeColor="text1"/>
          <w:sz w:val="20"/>
          <w:szCs w:val="20"/>
        </w:rPr>
      </w:pPr>
      <w:r w:rsidRPr="008957AC">
        <w:rPr>
          <w:rFonts w:ascii="Corbel" w:hAnsi="Corbel"/>
          <w:color w:val="000000" w:themeColor="text1"/>
          <w:sz w:val="20"/>
          <w:szCs w:val="20"/>
        </w:rPr>
        <w:t xml:space="preserve">Ten slotte bevat de memo nog een aanknopingspunt. </w:t>
      </w:r>
      <w:r w:rsidR="00A8691D" w:rsidRPr="008957AC">
        <w:rPr>
          <w:rFonts w:ascii="Corbel" w:hAnsi="Corbel"/>
          <w:color w:val="000000" w:themeColor="text1"/>
          <w:sz w:val="20"/>
          <w:szCs w:val="20"/>
        </w:rPr>
        <w:t xml:space="preserve">In de tabel op de vorige is de risicocategorie ‘vertrouwen in instituties’ niet uitgewerkt. Op basis van een utilitaire benadering is dat namelijk ook erg lastig. De kwetsbaarheden binnen deze risicocategorie zijn lastig te kwantificeren en er is sprake van </w:t>
      </w:r>
      <w:r w:rsidR="00EC19CE" w:rsidRPr="008957AC">
        <w:rPr>
          <w:rFonts w:ascii="Corbel" w:hAnsi="Corbel"/>
          <w:color w:val="000000" w:themeColor="text1"/>
          <w:sz w:val="20"/>
          <w:szCs w:val="20"/>
        </w:rPr>
        <w:t xml:space="preserve">niet-utilitaire overwegingen. </w:t>
      </w:r>
      <w:r w:rsidR="00B3386D" w:rsidRPr="008957AC">
        <w:rPr>
          <w:rFonts w:ascii="Corbel" w:hAnsi="Corbel"/>
          <w:color w:val="000000" w:themeColor="text1"/>
          <w:sz w:val="20"/>
          <w:szCs w:val="20"/>
        </w:rPr>
        <w:t xml:space="preserve">Deze risicocategorie zagen we terug bij twee van de drie cases in dit onderzoek, namelijk hoogwaterveiligheid en ongewenste verspreiding van genetische gemanipuleerde organismen. In de memo wordt deze categorie als ‘een relevant thema in de samenleving’ gezien, maar het ‘is nog niet mogelijk gebleken deze categorie invulling te geven. Dit onderzoek heeft een eerste uitwerking gedaan om hier mee om te gaan. In de memo wordt voorgesteld om de risicocategorie te bundelen over de risico’s heen om zo te verkennen hoe er mee omgegaan moet worden. Op basis van dit onderzoek is aan te bevelen om meer aandacht te geven aan deze risicocategorie. Dit zou kunnen door te bundelen, maar ook bijvoorbeeld door gesprekken aan te gaan met andere gremia. Hierbij kan gedacht worden aan ethische commissies of burgerpanels. Het kan namelijk maar zo zijn dat een risico erg belangrijk gevonden wordt vanwege deze risicocategorie (op basis van deugdethische overwegingen bijvoorbeeld), terwijl het op utilitaire gronden geen ‘groot’ risico te noemen is. Voor de ILT is het belangrijk dat zij een weg vinden om met het nulsomspel van de toezicht allocatie omgaan, zeker bezien de reden waarom men überhaupt gestart is met IBRA (risicogestuurd toezicht, FYRA-nasleep etc.).  </w:t>
      </w:r>
      <w:r w:rsidR="000961CA" w:rsidRPr="008957AC">
        <w:rPr>
          <w:rFonts w:ascii="Corbel" w:hAnsi="Corbel"/>
          <w:color w:val="000000" w:themeColor="text1"/>
          <w:sz w:val="20"/>
          <w:szCs w:val="20"/>
        </w:rPr>
        <w:t xml:space="preserve">Dit onderzoek laat zien waarom een verbreding van het begrip risicoanalyse nodig is en hoe dit eruit kan zien. Tegelijkertijd laat de toepassing de implicaties zien voor drie specifieke risico’s uit IBRA: 1. </w:t>
      </w:r>
      <w:r w:rsidR="000961CA" w:rsidRPr="008957AC">
        <w:rPr>
          <w:rFonts w:ascii="Corbel" w:eastAsia="Tahoma" w:hAnsi="Corbel" w:cs="Tahoma"/>
          <w:color w:val="000000" w:themeColor="text1"/>
          <w:sz w:val="20"/>
        </w:rPr>
        <w:t>Overstroming in Nederland, 2. Stank en geluidsoverlast door luchtvaart en 3. Ongewenste verspreiding genetisch gemanipuleerde organismen.</w:t>
      </w:r>
    </w:p>
    <w:p w14:paraId="610322FE" w14:textId="77777777" w:rsidR="005A7F37" w:rsidRPr="008957AC" w:rsidRDefault="005A7F37" w:rsidP="00180D3D">
      <w:pPr>
        <w:rPr>
          <w:rFonts w:ascii="Corbel" w:hAnsi="Corbel"/>
          <w:color w:val="000000" w:themeColor="text1"/>
          <w:sz w:val="20"/>
          <w:szCs w:val="20"/>
        </w:rPr>
      </w:pPr>
    </w:p>
    <w:p w14:paraId="654159AE" w14:textId="77777777" w:rsidR="00510131" w:rsidRPr="008957AC" w:rsidRDefault="00510131" w:rsidP="00640E7E">
      <w:pPr>
        <w:spacing w:line="360" w:lineRule="auto"/>
        <w:ind w:firstLine="709"/>
        <w:jc w:val="both"/>
        <w:rPr>
          <w:rFonts w:ascii="Corbel" w:eastAsia="Tahoma,Tahoma,Times New Roman" w:hAnsi="Corbel" w:cs="Tahoma"/>
          <w:color w:val="000000" w:themeColor="text1"/>
          <w:sz w:val="20"/>
        </w:rPr>
      </w:pPr>
    </w:p>
    <w:p w14:paraId="2D9A8DAC" w14:textId="77777777" w:rsidR="00B3386D" w:rsidRPr="00CB5716" w:rsidRDefault="00B3386D" w:rsidP="00640E7E">
      <w:pPr>
        <w:spacing w:line="360" w:lineRule="auto"/>
        <w:ind w:firstLine="709"/>
        <w:jc w:val="both"/>
        <w:rPr>
          <w:rFonts w:ascii="Corbel" w:eastAsia="Tahoma,Tahoma,Times New Roman" w:hAnsi="Corbel" w:cs="Tahoma"/>
          <w:color w:val="FF0000"/>
          <w:sz w:val="20"/>
        </w:rPr>
      </w:pPr>
    </w:p>
    <w:p w14:paraId="1D39D7AD" w14:textId="77777777" w:rsidR="00B3386D" w:rsidRPr="00CB5716" w:rsidRDefault="00B3386D" w:rsidP="00640E7E">
      <w:pPr>
        <w:spacing w:line="360" w:lineRule="auto"/>
        <w:ind w:firstLine="709"/>
        <w:jc w:val="both"/>
        <w:rPr>
          <w:rFonts w:ascii="Corbel" w:eastAsia="Tahoma,Tahoma,Times New Roman" w:hAnsi="Corbel" w:cs="Tahoma"/>
          <w:color w:val="FF0000"/>
          <w:sz w:val="20"/>
        </w:rPr>
      </w:pPr>
    </w:p>
    <w:p w14:paraId="4F13D9AB" w14:textId="77777777" w:rsidR="00B3386D" w:rsidRPr="00CB5716" w:rsidRDefault="00B3386D" w:rsidP="00640E7E">
      <w:pPr>
        <w:spacing w:line="360" w:lineRule="auto"/>
        <w:ind w:firstLine="709"/>
        <w:jc w:val="both"/>
        <w:rPr>
          <w:rFonts w:ascii="Corbel" w:eastAsia="Tahoma,Tahoma,Times New Roman" w:hAnsi="Corbel" w:cs="Tahoma"/>
          <w:color w:val="FF0000"/>
          <w:sz w:val="20"/>
        </w:rPr>
      </w:pPr>
    </w:p>
    <w:p w14:paraId="3E9C67B1" w14:textId="77777777" w:rsidR="00A039A9" w:rsidRPr="00CB5716" w:rsidRDefault="00A039A9" w:rsidP="00640E7E">
      <w:pPr>
        <w:spacing w:line="360" w:lineRule="auto"/>
        <w:ind w:firstLine="709"/>
        <w:jc w:val="both"/>
        <w:rPr>
          <w:rFonts w:ascii="Corbel" w:eastAsia="Tahoma,Tahoma,Times New Roman" w:hAnsi="Corbel" w:cs="Tahoma"/>
          <w:color w:val="FF0000"/>
          <w:sz w:val="20"/>
        </w:rPr>
      </w:pPr>
    </w:p>
    <w:p w14:paraId="47925C72" w14:textId="77777777" w:rsidR="00B3386D" w:rsidRPr="00CB5716" w:rsidRDefault="00B3386D" w:rsidP="00640E7E">
      <w:pPr>
        <w:spacing w:line="360" w:lineRule="auto"/>
        <w:ind w:firstLine="709"/>
        <w:jc w:val="both"/>
        <w:rPr>
          <w:rFonts w:ascii="Corbel" w:eastAsia="Tahoma,Tahoma,Times New Roman" w:hAnsi="Corbel" w:cs="Tahoma"/>
          <w:color w:val="FF0000"/>
          <w:sz w:val="20"/>
        </w:rPr>
      </w:pPr>
    </w:p>
    <w:p w14:paraId="07165813" w14:textId="77777777" w:rsidR="00136120" w:rsidRPr="00CB5716" w:rsidRDefault="00136120" w:rsidP="0055055D">
      <w:pPr>
        <w:spacing w:line="360" w:lineRule="auto"/>
        <w:jc w:val="both"/>
        <w:rPr>
          <w:rFonts w:ascii="Corbel" w:eastAsia="Tahoma,Tahoma,Times New Roman" w:hAnsi="Corbel" w:cs="Tahoma"/>
          <w:color w:val="FF0000"/>
          <w:sz w:val="20"/>
        </w:rPr>
      </w:pPr>
    </w:p>
    <w:bookmarkStart w:id="7" w:name="_Toc485990848" w:displacedByCustomXml="next"/>
    <w:sdt>
      <w:sdtPr>
        <w:rPr>
          <w:rFonts w:ascii="Times New Roman" w:eastAsiaTheme="minorHAnsi" w:hAnsi="Times New Roman" w:cs="Times New Roman"/>
          <w:b w:val="0"/>
          <w:bCs w:val="0"/>
          <w:color w:val="auto"/>
          <w:sz w:val="20"/>
          <w:szCs w:val="20"/>
        </w:rPr>
        <w:id w:val="1459306251"/>
        <w:docPartObj>
          <w:docPartGallery w:val="Table of Contents"/>
          <w:docPartUnique/>
        </w:docPartObj>
      </w:sdtPr>
      <w:sdtEndPr>
        <w:rPr>
          <w:rFonts w:cs="Tahoma"/>
          <w:noProof/>
        </w:rPr>
      </w:sdtEndPr>
      <w:sdtContent>
        <w:p w14:paraId="7F3D7371" w14:textId="77777777" w:rsidR="00F2603E" w:rsidRPr="007F0506" w:rsidRDefault="00F2603E" w:rsidP="00173270">
          <w:pPr>
            <w:pStyle w:val="Stijl1"/>
            <w:numPr>
              <w:ilvl w:val="0"/>
              <w:numId w:val="0"/>
            </w:numPr>
            <w:spacing w:line="276" w:lineRule="auto"/>
            <w:jc w:val="both"/>
            <w:rPr>
              <w:rFonts w:eastAsia="Tahoma"/>
              <w:sz w:val="20"/>
              <w:szCs w:val="20"/>
            </w:rPr>
          </w:pPr>
          <w:r w:rsidRPr="007F0506">
            <w:rPr>
              <w:rFonts w:eastAsia="Tahoma"/>
              <w:szCs w:val="20"/>
            </w:rPr>
            <w:t>Inhoudsopgave</w:t>
          </w:r>
          <w:bookmarkEnd w:id="7"/>
        </w:p>
        <w:p w14:paraId="69B0ECDD" w14:textId="77777777" w:rsidR="007F0506" w:rsidRPr="00B02A8D" w:rsidRDefault="00A61297" w:rsidP="00173270">
          <w:pPr>
            <w:pStyle w:val="Inhopg1"/>
            <w:spacing w:line="276" w:lineRule="auto"/>
            <w:rPr>
              <w:rFonts w:eastAsiaTheme="minorEastAsia" w:cstheme="minorBidi"/>
              <w:b w:val="0"/>
              <w:color w:val="000000" w:themeColor="text1"/>
              <w:sz w:val="24"/>
              <w:szCs w:val="24"/>
            </w:rPr>
          </w:pPr>
          <w:r w:rsidRPr="007F0506">
            <w:fldChar w:fldCharType="begin"/>
          </w:r>
          <w:r w:rsidR="00F2603E" w:rsidRPr="007F0506">
            <w:instrText>TOC \o "1-3" \h \z \u</w:instrText>
          </w:r>
          <w:r w:rsidRPr="007F0506">
            <w:fldChar w:fldCharType="separate"/>
          </w:r>
          <w:hyperlink w:anchor="_Toc485990845" w:history="1">
            <w:r w:rsidR="007F0506" w:rsidRPr="00B02A8D">
              <w:rPr>
                <w:rStyle w:val="Hyperlink"/>
                <w:color w:val="000000" w:themeColor="text1"/>
              </w:rPr>
              <w:t>Voorwoord</w:t>
            </w:r>
            <w:r w:rsidR="007F0506" w:rsidRPr="00B02A8D">
              <w:rPr>
                <w:webHidden/>
                <w:color w:val="000000" w:themeColor="text1"/>
              </w:rPr>
              <w:tab/>
            </w:r>
            <w:r w:rsidR="007F0506" w:rsidRPr="00B02A8D">
              <w:rPr>
                <w:webHidden/>
                <w:color w:val="000000" w:themeColor="text1"/>
              </w:rPr>
              <w:fldChar w:fldCharType="begin"/>
            </w:r>
            <w:r w:rsidR="007F0506" w:rsidRPr="00B02A8D">
              <w:rPr>
                <w:webHidden/>
                <w:color w:val="000000" w:themeColor="text1"/>
              </w:rPr>
              <w:instrText xml:space="preserve"> PAGEREF _Toc485990845 \h </w:instrText>
            </w:r>
            <w:r w:rsidR="007F0506" w:rsidRPr="00B02A8D">
              <w:rPr>
                <w:webHidden/>
                <w:color w:val="000000" w:themeColor="text1"/>
              </w:rPr>
            </w:r>
            <w:r w:rsidR="007F0506" w:rsidRPr="00B02A8D">
              <w:rPr>
                <w:webHidden/>
                <w:color w:val="000000" w:themeColor="text1"/>
              </w:rPr>
              <w:fldChar w:fldCharType="separate"/>
            </w:r>
            <w:r w:rsidR="00B02A8D">
              <w:rPr>
                <w:webHidden/>
                <w:color w:val="000000" w:themeColor="text1"/>
              </w:rPr>
              <w:t>2</w:t>
            </w:r>
            <w:r w:rsidR="007F0506" w:rsidRPr="00B02A8D">
              <w:rPr>
                <w:webHidden/>
                <w:color w:val="000000" w:themeColor="text1"/>
              </w:rPr>
              <w:fldChar w:fldCharType="end"/>
            </w:r>
          </w:hyperlink>
        </w:p>
        <w:p w14:paraId="437BD2C5" w14:textId="77777777" w:rsidR="007F0506" w:rsidRPr="00B02A8D" w:rsidRDefault="009D4480" w:rsidP="00173270">
          <w:pPr>
            <w:pStyle w:val="Inhopg1"/>
            <w:spacing w:line="276" w:lineRule="auto"/>
            <w:rPr>
              <w:rFonts w:eastAsiaTheme="minorEastAsia" w:cstheme="minorBidi"/>
              <w:b w:val="0"/>
              <w:color w:val="000000" w:themeColor="text1"/>
              <w:sz w:val="24"/>
              <w:szCs w:val="24"/>
            </w:rPr>
          </w:pPr>
          <w:hyperlink w:anchor="_Toc485990846" w:history="1">
            <w:r w:rsidR="007F0506" w:rsidRPr="00B02A8D">
              <w:rPr>
                <w:rStyle w:val="Hyperlink"/>
                <w:color w:val="000000" w:themeColor="text1"/>
              </w:rPr>
              <w:t>Algemene samenvatting</w:t>
            </w:r>
            <w:r w:rsidR="007F0506" w:rsidRPr="00B02A8D">
              <w:rPr>
                <w:webHidden/>
                <w:color w:val="000000" w:themeColor="text1"/>
              </w:rPr>
              <w:tab/>
            </w:r>
            <w:r w:rsidR="007F0506" w:rsidRPr="00B02A8D">
              <w:rPr>
                <w:webHidden/>
                <w:color w:val="000000" w:themeColor="text1"/>
              </w:rPr>
              <w:fldChar w:fldCharType="begin"/>
            </w:r>
            <w:r w:rsidR="007F0506" w:rsidRPr="00B02A8D">
              <w:rPr>
                <w:webHidden/>
                <w:color w:val="000000" w:themeColor="text1"/>
              </w:rPr>
              <w:instrText xml:space="preserve"> PAGEREF _Toc485990846 \h </w:instrText>
            </w:r>
            <w:r w:rsidR="007F0506" w:rsidRPr="00B02A8D">
              <w:rPr>
                <w:webHidden/>
                <w:color w:val="000000" w:themeColor="text1"/>
              </w:rPr>
            </w:r>
            <w:r w:rsidR="007F0506" w:rsidRPr="00B02A8D">
              <w:rPr>
                <w:webHidden/>
                <w:color w:val="000000" w:themeColor="text1"/>
              </w:rPr>
              <w:fldChar w:fldCharType="separate"/>
            </w:r>
            <w:r w:rsidR="00B02A8D">
              <w:rPr>
                <w:webHidden/>
                <w:color w:val="000000" w:themeColor="text1"/>
              </w:rPr>
              <w:t>3</w:t>
            </w:r>
            <w:r w:rsidR="007F0506" w:rsidRPr="00B02A8D">
              <w:rPr>
                <w:webHidden/>
                <w:color w:val="000000" w:themeColor="text1"/>
              </w:rPr>
              <w:fldChar w:fldCharType="end"/>
            </w:r>
          </w:hyperlink>
        </w:p>
        <w:p w14:paraId="0051AC68" w14:textId="77777777" w:rsidR="007F0506" w:rsidRPr="00B02A8D" w:rsidRDefault="009D4480" w:rsidP="00173270">
          <w:pPr>
            <w:pStyle w:val="Inhopg1"/>
            <w:spacing w:line="276" w:lineRule="auto"/>
            <w:rPr>
              <w:rFonts w:eastAsiaTheme="minorEastAsia" w:cstheme="minorBidi"/>
              <w:b w:val="0"/>
              <w:color w:val="000000" w:themeColor="text1"/>
              <w:sz w:val="24"/>
              <w:szCs w:val="24"/>
            </w:rPr>
          </w:pPr>
          <w:hyperlink w:anchor="_Toc485990847" w:history="1">
            <w:r w:rsidR="007F0506" w:rsidRPr="00B02A8D">
              <w:rPr>
                <w:rStyle w:val="Hyperlink"/>
                <w:color w:val="000000" w:themeColor="text1"/>
              </w:rPr>
              <w:t>Adviezen ILT</w:t>
            </w:r>
            <w:r w:rsidR="007F0506" w:rsidRPr="00B02A8D">
              <w:rPr>
                <w:webHidden/>
                <w:color w:val="000000" w:themeColor="text1"/>
              </w:rPr>
              <w:tab/>
            </w:r>
            <w:r w:rsidR="007F0506" w:rsidRPr="00B02A8D">
              <w:rPr>
                <w:webHidden/>
                <w:color w:val="000000" w:themeColor="text1"/>
              </w:rPr>
              <w:fldChar w:fldCharType="begin"/>
            </w:r>
            <w:r w:rsidR="007F0506" w:rsidRPr="00B02A8D">
              <w:rPr>
                <w:webHidden/>
                <w:color w:val="000000" w:themeColor="text1"/>
              </w:rPr>
              <w:instrText xml:space="preserve"> PAGEREF _Toc485990847 \h </w:instrText>
            </w:r>
            <w:r w:rsidR="007F0506" w:rsidRPr="00B02A8D">
              <w:rPr>
                <w:webHidden/>
                <w:color w:val="000000" w:themeColor="text1"/>
              </w:rPr>
            </w:r>
            <w:r w:rsidR="007F0506" w:rsidRPr="00B02A8D">
              <w:rPr>
                <w:webHidden/>
                <w:color w:val="000000" w:themeColor="text1"/>
              </w:rPr>
              <w:fldChar w:fldCharType="separate"/>
            </w:r>
            <w:r w:rsidR="00B02A8D">
              <w:rPr>
                <w:webHidden/>
                <w:color w:val="000000" w:themeColor="text1"/>
              </w:rPr>
              <w:t>5</w:t>
            </w:r>
            <w:r w:rsidR="007F0506" w:rsidRPr="00B02A8D">
              <w:rPr>
                <w:webHidden/>
                <w:color w:val="000000" w:themeColor="text1"/>
              </w:rPr>
              <w:fldChar w:fldCharType="end"/>
            </w:r>
          </w:hyperlink>
        </w:p>
        <w:p w14:paraId="584FC747" w14:textId="77777777" w:rsidR="007F0506" w:rsidRPr="007F0506" w:rsidRDefault="009D4480" w:rsidP="00173270">
          <w:pPr>
            <w:pStyle w:val="Inhopg1"/>
            <w:spacing w:line="276" w:lineRule="auto"/>
            <w:rPr>
              <w:rFonts w:eastAsiaTheme="minorEastAsia" w:cstheme="minorBidi"/>
              <w:b w:val="0"/>
              <w:color w:val="auto"/>
              <w:sz w:val="24"/>
              <w:szCs w:val="24"/>
            </w:rPr>
          </w:pPr>
          <w:hyperlink w:anchor="_Toc485990848" w:history="1">
            <w:r w:rsidR="007F0506" w:rsidRPr="00B02A8D">
              <w:rPr>
                <w:rStyle w:val="Hyperlink"/>
                <w:color w:val="000000" w:themeColor="text1"/>
              </w:rPr>
              <w:t>Inhoudsopgave</w:t>
            </w:r>
            <w:r w:rsidR="007F0506" w:rsidRPr="00B02A8D">
              <w:rPr>
                <w:webHidden/>
                <w:color w:val="000000" w:themeColor="text1"/>
              </w:rPr>
              <w:tab/>
            </w:r>
            <w:r w:rsidR="007F0506" w:rsidRPr="00B02A8D">
              <w:rPr>
                <w:webHidden/>
                <w:color w:val="000000" w:themeColor="text1"/>
              </w:rPr>
              <w:fldChar w:fldCharType="begin"/>
            </w:r>
            <w:r w:rsidR="007F0506" w:rsidRPr="00B02A8D">
              <w:rPr>
                <w:webHidden/>
                <w:color w:val="000000" w:themeColor="text1"/>
              </w:rPr>
              <w:instrText xml:space="preserve"> PAGEREF _Toc485990848 \h </w:instrText>
            </w:r>
            <w:r w:rsidR="007F0506" w:rsidRPr="00B02A8D">
              <w:rPr>
                <w:webHidden/>
                <w:color w:val="000000" w:themeColor="text1"/>
              </w:rPr>
            </w:r>
            <w:r w:rsidR="007F0506" w:rsidRPr="00B02A8D">
              <w:rPr>
                <w:webHidden/>
                <w:color w:val="000000" w:themeColor="text1"/>
              </w:rPr>
              <w:fldChar w:fldCharType="separate"/>
            </w:r>
            <w:r w:rsidR="00B02A8D">
              <w:rPr>
                <w:webHidden/>
                <w:color w:val="000000" w:themeColor="text1"/>
              </w:rPr>
              <w:t>7</w:t>
            </w:r>
            <w:r w:rsidR="007F0506" w:rsidRPr="00B02A8D">
              <w:rPr>
                <w:webHidden/>
                <w:color w:val="000000" w:themeColor="text1"/>
              </w:rPr>
              <w:fldChar w:fldCharType="end"/>
            </w:r>
          </w:hyperlink>
        </w:p>
        <w:p w14:paraId="079CE329" w14:textId="77777777" w:rsidR="007F0506" w:rsidRPr="007F0506" w:rsidRDefault="009D4480" w:rsidP="00173270">
          <w:pPr>
            <w:pStyle w:val="Inhopg1"/>
            <w:spacing w:line="276" w:lineRule="auto"/>
            <w:rPr>
              <w:rFonts w:eastAsiaTheme="minorEastAsia" w:cstheme="minorBidi"/>
              <w:b w:val="0"/>
              <w:color w:val="auto"/>
              <w:sz w:val="24"/>
              <w:szCs w:val="24"/>
            </w:rPr>
          </w:pPr>
          <w:hyperlink w:anchor="_Toc485990849" w:history="1">
            <w:r w:rsidR="007F0506" w:rsidRPr="007F0506">
              <w:rPr>
                <w:rStyle w:val="Hyperlink"/>
              </w:rPr>
              <w:t>1.</w:t>
            </w:r>
            <w:r w:rsidR="007F0506" w:rsidRPr="007F0506">
              <w:rPr>
                <w:rFonts w:eastAsiaTheme="minorEastAsia" w:cstheme="minorBidi"/>
                <w:b w:val="0"/>
                <w:color w:val="auto"/>
                <w:sz w:val="24"/>
                <w:szCs w:val="24"/>
              </w:rPr>
              <w:tab/>
            </w:r>
            <w:r w:rsidR="007F0506" w:rsidRPr="007F0506">
              <w:rPr>
                <w:rStyle w:val="Hyperlink"/>
              </w:rPr>
              <w:t>Inleiding</w:t>
            </w:r>
            <w:r w:rsidR="007F0506" w:rsidRPr="007F0506">
              <w:rPr>
                <w:webHidden/>
              </w:rPr>
              <w:tab/>
            </w:r>
            <w:r w:rsidR="007F0506" w:rsidRPr="007F0506">
              <w:rPr>
                <w:webHidden/>
              </w:rPr>
              <w:fldChar w:fldCharType="begin"/>
            </w:r>
            <w:r w:rsidR="007F0506" w:rsidRPr="007F0506">
              <w:rPr>
                <w:webHidden/>
              </w:rPr>
              <w:instrText xml:space="preserve"> PAGEREF _Toc485990849 \h </w:instrText>
            </w:r>
            <w:r w:rsidR="007F0506" w:rsidRPr="007F0506">
              <w:rPr>
                <w:webHidden/>
              </w:rPr>
            </w:r>
            <w:r w:rsidR="007F0506" w:rsidRPr="007F0506">
              <w:rPr>
                <w:webHidden/>
              </w:rPr>
              <w:fldChar w:fldCharType="separate"/>
            </w:r>
            <w:r w:rsidR="00B02A8D">
              <w:rPr>
                <w:webHidden/>
              </w:rPr>
              <w:t>9</w:t>
            </w:r>
            <w:r w:rsidR="007F0506" w:rsidRPr="007F0506">
              <w:rPr>
                <w:webHidden/>
              </w:rPr>
              <w:fldChar w:fldCharType="end"/>
            </w:r>
          </w:hyperlink>
        </w:p>
        <w:p w14:paraId="28C36121" w14:textId="77777777" w:rsidR="007F0506" w:rsidRPr="007F0506" w:rsidRDefault="009D4480" w:rsidP="00173270">
          <w:pPr>
            <w:pStyle w:val="Inhopg2"/>
            <w:rPr>
              <w:rFonts w:eastAsiaTheme="minorEastAsia" w:cstheme="minorBidi"/>
              <w:sz w:val="24"/>
              <w:szCs w:val="24"/>
            </w:rPr>
          </w:pPr>
          <w:hyperlink w:anchor="_Toc485990850" w:history="1">
            <w:r w:rsidR="007F0506" w:rsidRPr="007F0506">
              <w:rPr>
                <w:rStyle w:val="Hyperlink"/>
                <w:rFonts w:eastAsia="Tahoma"/>
                <w:i w:val="0"/>
              </w:rPr>
              <w:t>1.1</w:t>
            </w:r>
            <w:r w:rsidR="007F0506" w:rsidRPr="007F0506">
              <w:rPr>
                <w:rFonts w:eastAsiaTheme="minorEastAsia" w:cstheme="minorBidi"/>
                <w:sz w:val="24"/>
                <w:szCs w:val="24"/>
              </w:rPr>
              <w:tab/>
            </w:r>
            <w:r w:rsidR="007F0506" w:rsidRPr="007F0506">
              <w:rPr>
                <w:rStyle w:val="Hyperlink"/>
                <w:rFonts w:eastAsia="Tahoma"/>
                <w:i w:val="0"/>
              </w:rPr>
              <w:t>Aanleiding</w:t>
            </w:r>
            <w:r w:rsidR="007F0506" w:rsidRPr="007F0506">
              <w:rPr>
                <w:webHidden/>
              </w:rPr>
              <w:tab/>
            </w:r>
            <w:r w:rsidR="007F0506" w:rsidRPr="007F0506">
              <w:rPr>
                <w:webHidden/>
              </w:rPr>
              <w:fldChar w:fldCharType="begin"/>
            </w:r>
            <w:r w:rsidR="007F0506" w:rsidRPr="007F0506">
              <w:rPr>
                <w:webHidden/>
              </w:rPr>
              <w:instrText xml:space="preserve"> PAGEREF _Toc485990850 \h </w:instrText>
            </w:r>
            <w:r w:rsidR="007F0506" w:rsidRPr="007F0506">
              <w:rPr>
                <w:webHidden/>
              </w:rPr>
            </w:r>
            <w:r w:rsidR="007F0506" w:rsidRPr="007F0506">
              <w:rPr>
                <w:webHidden/>
              </w:rPr>
              <w:fldChar w:fldCharType="separate"/>
            </w:r>
            <w:r w:rsidR="00B02A8D">
              <w:rPr>
                <w:webHidden/>
              </w:rPr>
              <w:t>9</w:t>
            </w:r>
            <w:r w:rsidR="007F0506" w:rsidRPr="007F0506">
              <w:rPr>
                <w:webHidden/>
              </w:rPr>
              <w:fldChar w:fldCharType="end"/>
            </w:r>
          </w:hyperlink>
        </w:p>
        <w:p w14:paraId="6A720288" w14:textId="77777777" w:rsidR="007F0506" w:rsidRPr="007F0506" w:rsidRDefault="009D4480" w:rsidP="00173270">
          <w:pPr>
            <w:pStyle w:val="Inhopg2"/>
            <w:rPr>
              <w:rFonts w:eastAsiaTheme="minorEastAsia" w:cstheme="minorBidi"/>
              <w:sz w:val="24"/>
              <w:szCs w:val="24"/>
            </w:rPr>
          </w:pPr>
          <w:hyperlink w:anchor="_Toc485990851" w:history="1">
            <w:r w:rsidR="007F0506" w:rsidRPr="007F0506">
              <w:rPr>
                <w:rStyle w:val="Hyperlink"/>
                <w:rFonts w:eastAsia="Tahoma"/>
                <w:i w:val="0"/>
              </w:rPr>
              <w:t>1.2</w:t>
            </w:r>
            <w:r w:rsidR="007F0506" w:rsidRPr="007F0506">
              <w:rPr>
                <w:rFonts w:eastAsiaTheme="minorEastAsia" w:cstheme="minorBidi"/>
                <w:sz w:val="24"/>
                <w:szCs w:val="24"/>
              </w:rPr>
              <w:tab/>
            </w:r>
            <w:r w:rsidR="007F0506" w:rsidRPr="007F0506">
              <w:rPr>
                <w:rStyle w:val="Hyperlink"/>
                <w:rFonts w:eastAsia="Tahoma"/>
                <w:i w:val="0"/>
              </w:rPr>
              <w:t>Inspectiebrede risicoanalyse van de ILT</w:t>
            </w:r>
            <w:r w:rsidR="007F0506" w:rsidRPr="007F0506">
              <w:rPr>
                <w:webHidden/>
              </w:rPr>
              <w:tab/>
            </w:r>
            <w:r w:rsidR="007F0506" w:rsidRPr="007F0506">
              <w:rPr>
                <w:webHidden/>
              </w:rPr>
              <w:fldChar w:fldCharType="begin"/>
            </w:r>
            <w:r w:rsidR="007F0506" w:rsidRPr="007F0506">
              <w:rPr>
                <w:webHidden/>
              </w:rPr>
              <w:instrText xml:space="preserve"> PAGEREF _Toc485990851 \h </w:instrText>
            </w:r>
            <w:r w:rsidR="007F0506" w:rsidRPr="007F0506">
              <w:rPr>
                <w:webHidden/>
              </w:rPr>
            </w:r>
            <w:r w:rsidR="007F0506" w:rsidRPr="007F0506">
              <w:rPr>
                <w:webHidden/>
              </w:rPr>
              <w:fldChar w:fldCharType="separate"/>
            </w:r>
            <w:r w:rsidR="00B02A8D">
              <w:rPr>
                <w:webHidden/>
              </w:rPr>
              <w:t>11</w:t>
            </w:r>
            <w:r w:rsidR="007F0506" w:rsidRPr="007F0506">
              <w:rPr>
                <w:webHidden/>
              </w:rPr>
              <w:fldChar w:fldCharType="end"/>
            </w:r>
          </w:hyperlink>
        </w:p>
        <w:p w14:paraId="32D8098D" w14:textId="77777777" w:rsidR="007F0506" w:rsidRPr="007F0506" w:rsidRDefault="009D4480" w:rsidP="00173270">
          <w:pPr>
            <w:pStyle w:val="Inhopg2"/>
            <w:rPr>
              <w:rFonts w:eastAsiaTheme="minorEastAsia" w:cstheme="minorBidi"/>
              <w:sz w:val="24"/>
              <w:szCs w:val="24"/>
            </w:rPr>
          </w:pPr>
          <w:hyperlink w:anchor="_Toc485990852" w:history="1">
            <w:r w:rsidR="007F0506" w:rsidRPr="007F0506">
              <w:rPr>
                <w:rStyle w:val="Hyperlink"/>
                <w:rFonts w:eastAsia="Tahoma"/>
                <w:i w:val="0"/>
              </w:rPr>
              <w:t>1.3</w:t>
            </w:r>
            <w:r w:rsidR="007F0506" w:rsidRPr="007F0506">
              <w:rPr>
                <w:rFonts w:eastAsiaTheme="minorEastAsia" w:cstheme="minorBidi"/>
                <w:sz w:val="24"/>
                <w:szCs w:val="24"/>
              </w:rPr>
              <w:tab/>
            </w:r>
            <w:r w:rsidR="007F0506" w:rsidRPr="007F0506">
              <w:rPr>
                <w:rStyle w:val="Hyperlink"/>
                <w:rFonts w:eastAsia="Tahoma"/>
                <w:i w:val="0"/>
              </w:rPr>
              <w:t>Probleem- en doelstelling</w:t>
            </w:r>
            <w:r w:rsidR="007F0506" w:rsidRPr="007F0506">
              <w:rPr>
                <w:webHidden/>
              </w:rPr>
              <w:tab/>
            </w:r>
            <w:r w:rsidR="007F0506" w:rsidRPr="007F0506">
              <w:rPr>
                <w:webHidden/>
              </w:rPr>
              <w:fldChar w:fldCharType="begin"/>
            </w:r>
            <w:r w:rsidR="007F0506" w:rsidRPr="007F0506">
              <w:rPr>
                <w:webHidden/>
              </w:rPr>
              <w:instrText xml:space="preserve"> PAGEREF _Toc485990852 \h </w:instrText>
            </w:r>
            <w:r w:rsidR="007F0506" w:rsidRPr="007F0506">
              <w:rPr>
                <w:webHidden/>
              </w:rPr>
            </w:r>
            <w:r w:rsidR="007F0506" w:rsidRPr="007F0506">
              <w:rPr>
                <w:webHidden/>
              </w:rPr>
              <w:fldChar w:fldCharType="separate"/>
            </w:r>
            <w:r w:rsidR="00B02A8D">
              <w:rPr>
                <w:webHidden/>
              </w:rPr>
              <w:t>11</w:t>
            </w:r>
            <w:r w:rsidR="007F0506" w:rsidRPr="007F0506">
              <w:rPr>
                <w:webHidden/>
              </w:rPr>
              <w:fldChar w:fldCharType="end"/>
            </w:r>
          </w:hyperlink>
        </w:p>
        <w:p w14:paraId="24F34083" w14:textId="77777777" w:rsidR="007F0506" w:rsidRPr="007F0506" w:rsidRDefault="009D4480" w:rsidP="00173270">
          <w:pPr>
            <w:pStyle w:val="Inhopg2"/>
            <w:rPr>
              <w:rFonts w:eastAsiaTheme="minorEastAsia" w:cstheme="minorBidi"/>
              <w:sz w:val="24"/>
              <w:szCs w:val="24"/>
            </w:rPr>
          </w:pPr>
          <w:hyperlink w:anchor="_Toc485990853" w:history="1">
            <w:r w:rsidR="007F0506" w:rsidRPr="007F0506">
              <w:rPr>
                <w:rStyle w:val="Hyperlink"/>
                <w:rFonts w:eastAsia="Tahoma"/>
                <w:i w:val="0"/>
              </w:rPr>
              <w:t>1.4</w:t>
            </w:r>
            <w:r w:rsidR="007F0506" w:rsidRPr="007F0506">
              <w:rPr>
                <w:rFonts w:eastAsiaTheme="minorEastAsia" w:cstheme="minorBidi"/>
                <w:sz w:val="24"/>
                <w:szCs w:val="24"/>
              </w:rPr>
              <w:tab/>
            </w:r>
            <w:r w:rsidR="007F0506" w:rsidRPr="007F0506">
              <w:rPr>
                <w:rStyle w:val="Hyperlink"/>
                <w:rFonts w:eastAsia="Tahoma"/>
                <w:i w:val="0"/>
              </w:rPr>
              <w:t>Hoofd- en deelvragen</w:t>
            </w:r>
            <w:r w:rsidR="007F0506" w:rsidRPr="007F0506">
              <w:rPr>
                <w:webHidden/>
              </w:rPr>
              <w:tab/>
            </w:r>
            <w:r w:rsidR="007F0506" w:rsidRPr="007F0506">
              <w:rPr>
                <w:webHidden/>
              </w:rPr>
              <w:fldChar w:fldCharType="begin"/>
            </w:r>
            <w:r w:rsidR="007F0506" w:rsidRPr="007F0506">
              <w:rPr>
                <w:webHidden/>
              </w:rPr>
              <w:instrText xml:space="preserve"> PAGEREF _Toc485990853 \h </w:instrText>
            </w:r>
            <w:r w:rsidR="007F0506" w:rsidRPr="007F0506">
              <w:rPr>
                <w:webHidden/>
              </w:rPr>
            </w:r>
            <w:r w:rsidR="007F0506" w:rsidRPr="007F0506">
              <w:rPr>
                <w:webHidden/>
              </w:rPr>
              <w:fldChar w:fldCharType="separate"/>
            </w:r>
            <w:r w:rsidR="00B02A8D">
              <w:rPr>
                <w:webHidden/>
              </w:rPr>
              <w:t>12</w:t>
            </w:r>
            <w:r w:rsidR="007F0506" w:rsidRPr="007F0506">
              <w:rPr>
                <w:webHidden/>
              </w:rPr>
              <w:fldChar w:fldCharType="end"/>
            </w:r>
          </w:hyperlink>
        </w:p>
        <w:p w14:paraId="22FEB6B6" w14:textId="77777777" w:rsidR="007F0506" w:rsidRPr="007F0506" w:rsidRDefault="009D4480" w:rsidP="00173270">
          <w:pPr>
            <w:pStyle w:val="Inhopg2"/>
            <w:rPr>
              <w:rFonts w:eastAsiaTheme="minorEastAsia" w:cstheme="minorBidi"/>
              <w:sz w:val="24"/>
              <w:szCs w:val="24"/>
            </w:rPr>
          </w:pPr>
          <w:hyperlink w:anchor="_Toc485990854" w:history="1">
            <w:r w:rsidR="007F0506" w:rsidRPr="007F0506">
              <w:rPr>
                <w:rStyle w:val="Hyperlink"/>
                <w:rFonts w:eastAsia="Tahoma"/>
                <w:i w:val="0"/>
              </w:rPr>
              <w:t>1.5</w:t>
            </w:r>
            <w:r w:rsidR="007F0506" w:rsidRPr="007F0506">
              <w:rPr>
                <w:rFonts w:eastAsiaTheme="minorEastAsia" w:cstheme="minorBidi"/>
                <w:sz w:val="24"/>
                <w:szCs w:val="24"/>
              </w:rPr>
              <w:tab/>
            </w:r>
            <w:r w:rsidR="007F0506" w:rsidRPr="007F0506">
              <w:rPr>
                <w:rStyle w:val="Hyperlink"/>
                <w:rFonts w:eastAsia="Tahoma"/>
                <w:i w:val="0"/>
              </w:rPr>
              <w:t>Maatschappelijk en wetenschappelijk belang</w:t>
            </w:r>
            <w:r w:rsidR="007F0506" w:rsidRPr="007F0506">
              <w:rPr>
                <w:webHidden/>
              </w:rPr>
              <w:tab/>
            </w:r>
            <w:r w:rsidR="007F0506" w:rsidRPr="007F0506">
              <w:rPr>
                <w:webHidden/>
              </w:rPr>
              <w:fldChar w:fldCharType="begin"/>
            </w:r>
            <w:r w:rsidR="007F0506" w:rsidRPr="007F0506">
              <w:rPr>
                <w:webHidden/>
              </w:rPr>
              <w:instrText xml:space="preserve"> PAGEREF _Toc485990854 \h </w:instrText>
            </w:r>
            <w:r w:rsidR="007F0506" w:rsidRPr="007F0506">
              <w:rPr>
                <w:webHidden/>
              </w:rPr>
            </w:r>
            <w:r w:rsidR="007F0506" w:rsidRPr="007F0506">
              <w:rPr>
                <w:webHidden/>
              </w:rPr>
              <w:fldChar w:fldCharType="separate"/>
            </w:r>
            <w:r w:rsidR="00B02A8D">
              <w:rPr>
                <w:webHidden/>
              </w:rPr>
              <w:t>12</w:t>
            </w:r>
            <w:r w:rsidR="007F0506" w:rsidRPr="007F0506">
              <w:rPr>
                <w:webHidden/>
              </w:rPr>
              <w:fldChar w:fldCharType="end"/>
            </w:r>
          </w:hyperlink>
        </w:p>
        <w:p w14:paraId="20B424C8" w14:textId="77777777" w:rsidR="007F0506" w:rsidRPr="007F0506" w:rsidRDefault="009D4480" w:rsidP="00173270">
          <w:pPr>
            <w:pStyle w:val="Inhopg2"/>
            <w:rPr>
              <w:rFonts w:eastAsiaTheme="minorEastAsia" w:cstheme="minorBidi"/>
              <w:sz w:val="24"/>
              <w:szCs w:val="24"/>
            </w:rPr>
          </w:pPr>
          <w:hyperlink w:anchor="_Toc485990855" w:history="1">
            <w:r w:rsidR="007F0506" w:rsidRPr="007F0506">
              <w:rPr>
                <w:rStyle w:val="Hyperlink"/>
                <w:rFonts w:eastAsia="Tahoma"/>
                <w:i w:val="0"/>
              </w:rPr>
              <w:t>1.6</w:t>
            </w:r>
            <w:r w:rsidR="007F0506" w:rsidRPr="007F0506">
              <w:rPr>
                <w:rFonts w:eastAsiaTheme="minorEastAsia" w:cstheme="minorBidi"/>
                <w:sz w:val="24"/>
                <w:szCs w:val="24"/>
              </w:rPr>
              <w:tab/>
            </w:r>
            <w:r w:rsidR="007F0506" w:rsidRPr="007F0506">
              <w:rPr>
                <w:rStyle w:val="Hyperlink"/>
                <w:rFonts w:eastAsia="Tahoma"/>
                <w:i w:val="0"/>
              </w:rPr>
              <w:t>Voorbeschouwing theoretisch kader</w:t>
            </w:r>
            <w:r w:rsidR="007F0506" w:rsidRPr="007F0506">
              <w:rPr>
                <w:webHidden/>
              </w:rPr>
              <w:tab/>
            </w:r>
            <w:r w:rsidR="007F0506" w:rsidRPr="007F0506">
              <w:rPr>
                <w:webHidden/>
              </w:rPr>
              <w:fldChar w:fldCharType="begin"/>
            </w:r>
            <w:r w:rsidR="007F0506" w:rsidRPr="007F0506">
              <w:rPr>
                <w:webHidden/>
              </w:rPr>
              <w:instrText xml:space="preserve"> PAGEREF _Toc485990855 \h </w:instrText>
            </w:r>
            <w:r w:rsidR="007F0506" w:rsidRPr="007F0506">
              <w:rPr>
                <w:webHidden/>
              </w:rPr>
            </w:r>
            <w:r w:rsidR="007F0506" w:rsidRPr="007F0506">
              <w:rPr>
                <w:webHidden/>
              </w:rPr>
              <w:fldChar w:fldCharType="separate"/>
            </w:r>
            <w:r w:rsidR="00B02A8D">
              <w:rPr>
                <w:webHidden/>
              </w:rPr>
              <w:t>12</w:t>
            </w:r>
            <w:r w:rsidR="007F0506" w:rsidRPr="007F0506">
              <w:rPr>
                <w:webHidden/>
              </w:rPr>
              <w:fldChar w:fldCharType="end"/>
            </w:r>
          </w:hyperlink>
        </w:p>
        <w:p w14:paraId="39F3DD21" w14:textId="77777777" w:rsidR="007F0506" w:rsidRPr="007F0506" w:rsidRDefault="009D4480" w:rsidP="00173270">
          <w:pPr>
            <w:pStyle w:val="Inhopg2"/>
            <w:rPr>
              <w:rFonts w:eastAsiaTheme="minorEastAsia" w:cstheme="minorBidi"/>
              <w:sz w:val="24"/>
              <w:szCs w:val="24"/>
            </w:rPr>
          </w:pPr>
          <w:hyperlink w:anchor="_Toc485990856" w:history="1">
            <w:r w:rsidR="007F0506" w:rsidRPr="007F0506">
              <w:rPr>
                <w:rStyle w:val="Hyperlink"/>
                <w:rFonts w:eastAsia="Tahoma"/>
                <w:i w:val="0"/>
              </w:rPr>
              <w:t>1.7</w:t>
            </w:r>
            <w:r w:rsidR="007F0506" w:rsidRPr="007F0506">
              <w:rPr>
                <w:rFonts w:eastAsiaTheme="minorEastAsia" w:cstheme="minorBidi"/>
                <w:sz w:val="24"/>
                <w:szCs w:val="24"/>
              </w:rPr>
              <w:tab/>
            </w:r>
            <w:r w:rsidR="007F0506" w:rsidRPr="007F0506">
              <w:rPr>
                <w:rStyle w:val="Hyperlink"/>
                <w:rFonts w:eastAsia="Tahoma"/>
                <w:i w:val="0"/>
              </w:rPr>
              <w:t>Voorbeschouwing methodologisch kader</w:t>
            </w:r>
            <w:r w:rsidR="007F0506" w:rsidRPr="007F0506">
              <w:rPr>
                <w:webHidden/>
              </w:rPr>
              <w:tab/>
            </w:r>
            <w:r w:rsidR="007F0506" w:rsidRPr="007F0506">
              <w:rPr>
                <w:webHidden/>
              </w:rPr>
              <w:fldChar w:fldCharType="begin"/>
            </w:r>
            <w:r w:rsidR="007F0506" w:rsidRPr="007F0506">
              <w:rPr>
                <w:webHidden/>
              </w:rPr>
              <w:instrText xml:space="preserve"> PAGEREF _Toc485990856 \h </w:instrText>
            </w:r>
            <w:r w:rsidR="007F0506" w:rsidRPr="007F0506">
              <w:rPr>
                <w:webHidden/>
              </w:rPr>
            </w:r>
            <w:r w:rsidR="007F0506" w:rsidRPr="007F0506">
              <w:rPr>
                <w:webHidden/>
              </w:rPr>
              <w:fldChar w:fldCharType="separate"/>
            </w:r>
            <w:r w:rsidR="00B02A8D">
              <w:rPr>
                <w:webHidden/>
              </w:rPr>
              <w:t>13</w:t>
            </w:r>
            <w:r w:rsidR="007F0506" w:rsidRPr="007F0506">
              <w:rPr>
                <w:webHidden/>
              </w:rPr>
              <w:fldChar w:fldCharType="end"/>
            </w:r>
          </w:hyperlink>
        </w:p>
        <w:p w14:paraId="5B7717F9" w14:textId="77777777" w:rsidR="007F0506" w:rsidRPr="007F0506" w:rsidRDefault="009D4480" w:rsidP="00173270">
          <w:pPr>
            <w:pStyle w:val="Inhopg2"/>
            <w:rPr>
              <w:rFonts w:eastAsiaTheme="minorEastAsia" w:cstheme="minorBidi"/>
              <w:sz w:val="24"/>
              <w:szCs w:val="24"/>
            </w:rPr>
          </w:pPr>
          <w:hyperlink w:anchor="_Toc485990857" w:history="1">
            <w:r w:rsidR="007F0506" w:rsidRPr="007F0506">
              <w:rPr>
                <w:rStyle w:val="Hyperlink"/>
                <w:rFonts w:eastAsia="Tahoma"/>
                <w:i w:val="0"/>
              </w:rPr>
              <w:t>1.8</w:t>
            </w:r>
            <w:r w:rsidR="007F0506" w:rsidRPr="007F0506">
              <w:rPr>
                <w:rFonts w:eastAsiaTheme="minorEastAsia" w:cstheme="minorBidi"/>
                <w:sz w:val="24"/>
                <w:szCs w:val="24"/>
              </w:rPr>
              <w:tab/>
            </w:r>
            <w:r w:rsidR="007F0506" w:rsidRPr="007F0506">
              <w:rPr>
                <w:rStyle w:val="Hyperlink"/>
                <w:rFonts w:eastAsia="Tahoma"/>
                <w:i w:val="0"/>
              </w:rPr>
              <w:t>Leeswijzer</w:t>
            </w:r>
            <w:r w:rsidR="007F0506" w:rsidRPr="007F0506">
              <w:rPr>
                <w:webHidden/>
              </w:rPr>
              <w:tab/>
            </w:r>
            <w:r w:rsidR="007F0506" w:rsidRPr="007F0506">
              <w:rPr>
                <w:webHidden/>
              </w:rPr>
              <w:fldChar w:fldCharType="begin"/>
            </w:r>
            <w:r w:rsidR="007F0506" w:rsidRPr="007F0506">
              <w:rPr>
                <w:webHidden/>
              </w:rPr>
              <w:instrText xml:space="preserve"> PAGEREF _Toc485990857 \h </w:instrText>
            </w:r>
            <w:r w:rsidR="007F0506" w:rsidRPr="007F0506">
              <w:rPr>
                <w:webHidden/>
              </w:rPr>
            </w:r>
            <w:r w:rsidR="007F0506" w:rsidRPr="007F0506">
              <w:rPr>
                <w:webHidden/>
              </w:rPr>
              <w:fldChar w:fldCharType="separate"/>
            </w:r>
            <w:r w:rsidR="00B02A8D">
              <w:rPr>
                <w:webHidden/>
              </w:rPr>
              <w:t>13</w:t>
            </w:r>
            <w:r w:rsidR="007F0506" w:rsidRPr="007F0506">
              <w:rPr>
                <w:webHidden/>
              </w:rPr>
              <w:fldChar w:fldCharType="end"/>
            </w:r>
          </w:hyperlink>
        </w:p>
        <w:p w14:paraId="02DF9543" w14:textId="77777777" w:rsidR="007F0506" w:rsidRPr="007F0506" w:rsidRDefault="009D4480" w:rsidP="00173270">
          <w:pPr>
            <w:pStyle w:val="Inhopg1"/>
            <w:spacing w:line="276" w:lineRule="auto"/>
            <w:rPr>
              <w:rFonts w:eastAsiaTheme="minorEastAsia" w:cstheme="minorBidi"/>
              <w:b w:val="0"/>
              <w:color w:val="auto"/>
              <w:sz w:val="24"/>
              <w:szCs w:val="24"/>
            </w:rPr>
          </w:pPr>
          <w:hyperlink w:anchor="_Toc485990858" w:history="1">
            <w:r w:rsidR="007F0506" w:rsidRPr="007F0506">
              <w:rPr>
                <w:rStyle w:val="Hyperlink"/>
              </w:rPr>
              <w:t>2</w:t>
            </w:r>
            <w:r w:rsidR="007F0506" w:rsidRPr="007F0506">
              <w:rPr>
                <w:rFonts w:eastAsiaTheme="minorEastAsia" w:cstheme="minorBidi"/>
                <w:b w:val="0"/>
                <w:color w:val="auto"/>
                <w:sz w:val="24"/>
                <w:szCs w:val="24"/>
              </w:rPr>
              <w:tab/>
            </w:r>
            <w:r w:rsidR="007F0506" w:rsidRPr="007F0506">
              <w:rPr>
                <w:rStyle w:val="Hyperlink"/>
              </w:rPr>
              <w:t>Wat is het probleem?</w:t>
            </w:r>
            <w:r w:rsidR="007F0506" w:rsidRPr="007F0506">
              <w:rPr>
                <w:webHidden/>
              </w:rPr>
              <w:tab/>
            </w:r>
            <w:r w:rsidR="007F0506" w:rsidRPr="007F0506">
              <w:rPr>
                <w:webHidden/>
              </w:rPr>
              <w:fldChar w:fldCharType="begin"/>
            </w:r>
            <w:r w:rsidR="007F0506" w:rsidRPr="007F0506">
              <w:rPr>
                <w:webHidden/>
              </w:rPr>
              <w:instrText xml:space="preserve"> PAGEREF _Toc485990858 \h </w:instrText>
            </w:r>
            <w:r w:rsidR="007F0506" w:rsidRPr="007F0506">
              <w:rPr>
                <w:webHidden/>
              </w:rPr>
            </w:r>
            <w:r w:rsidR="007F0506" w:rsidRPr="007F0506">
              <w:rPr>
                <w:webHidden/>
              </w:rPr>
              <w:fldChar w:fldCharType="separate"/>
            </w:r>
            <w:r w:rsidR="00B02A8D">
              <w:rPr>
                <w:webHidden/>
              </w:rPr>
              <w:t>14</w:t>
            </w:r>
            <w:r w:rsidR="007F0506" w:rsidRPr="007F0506">
              <w:rPr>
                <w:webHidden/>
              </w:rPr>
              <w:fldChar w:fldCharType="end"/>
            </w:r>
          </w:hyperlink>
        </w:p>
        <w:p w14:paraId="566DCABC" w14:textId="77777777" w:rsidR="007F0506" w:rsidRPr="007F0506" w:rsidRDefault="009D4480" w:rsidP="00173270">
          <w:pPr>
            <w:pStyle w:val="Inhopg2"/>
            <w:rPr>
              <w:rFonts w:eastAsiaTheme="minorEastAsia" w:cstheme="minorBidi"/>
              <w:sz w:val="24"/>
              <w:szCs w:val="24"/>
            </w:rPr>
          </w:pPr>
          <w:hyperlink w:anchor="_Toc485990859" w:history="1">
            <w:r w:rsidR="007F0506" w:rsidRPr="007F0506">
              <w:rPr>
                <w:rStyle w:val="Hyperlink"/>
                <w:rFonts w:eastAsia="Tahoma"/>
                <w:i w:val="0"/>
              </w:rPr>
              <w:t>2.1</w:t>
            </w:r>
            <w:r w:rsidR="007F0506" w:rsidRPr="007F0506">
              <w:rPr>
                <w:rFonts w:eastAsiaTheme="minorEastAsia" w:cstheme="minorBidi"/>
                <w:sz w:val="24"/>
                <w:szCs w:val="24"/>
              </w:rPr>
              <w:tab/>
            </w:r>
            <w:r w:rsidR="007F0506" w:rsidRPr="007F0506">
              <w:rPr>
                <w:rStyle w:val="Hyperlink"/>
                <w:rFonts w:eastAsia="Tahoma"/>
                <w:i w:val="0"/>
              </w:rPr>
              <w:t>Evidence based policy en het analyseren van risico’s</w:t>
            </w:r>
            <w:r w:rsidR="007F0506" w:rsidRPr="007F0506">
              <w:rPr>
                <w:webHidden/>
              </w:rPr>
              <w:tab/>
            </w:r>
            <w:r w:rsidR="007F0506" w:rsidRPr="007F0506">
              <w:rPr>
                <w:webHidden/>
              </w:rPr>
              <w:fldChar w:fldCharType="begin"/>
            </w:r>
            <w:r w:rsidR="007F0506" w:rsidRPr="007F0506">
              <w:rPr>
                <w:webHidden/>
              </w:rPr>
              <w:instrText xml:space="preserve"> PAGEREF _Toc485990859 \h </w:instrText>
            </w:r>
            <w:r w:rsidR="007F0506" w:rsidRPr="007F0506">
              <w:rPr>
                <w:webHidden/>
              </w:rPr>
            </w:r>
            <w:r w:rsidR="007F0506" w:rsidRPr="007F0506">
              <w:rPr>
                <w:webHidden/>
              </w:rPr>
              <w:fldChar w:fldCharType="separate"/>
            </w:r>
            <w:r w:rsidR="00B02A8D">
              <w:rPr>
                <w:webHidden/>
              </w:rPr>
              <w:t>14</w:t>
            </w:r>
            <w:r w:rsidR="007F0506" w:rsidRPr="007F0506">
              <w:rPr>
                <w:webHidden/>
              </w:rPr>
              <w:fldChar w:fldCharType="end"/>
            </w:r>
          </w:hyperlink>
        </w:p>
        <w:p w14:paraId="4D076C42" w14:textId="77777777" w:rsidR="007F0506" w:rsidRPr="007F0506" w:rsidRDefault="009D4480" w:rsidP="00173270">
          <w:pPr>
            <w:pStyle w:val="Inhopg2"/>
            <w:rPr>
              <w:rFonts w:eastAsiaTheme="minorEastAsia" w:cstheme="minorBidi"/>
              <w:sz w:val="24"/>
              <w:szCs w:val="24"/>
            </w:rPr>
          </w:pPr>
          <w:hyperlink w:anchor="_Toc485990860" w:history="1">
            <w:r w:rsidR="007F0506" w:rsidRPr="007F0506">
              <w:rPr>
                <w:rStyle w:val="Hyperlink"/>
                <w:rFonts w:eastAsia="Tahoma"/>
                <w:i w:val="0"/>
              </w:rPr>
              <w:t xml:space="preserve">2.2 </w:t>
            </w:r>
            <w:r w:rsidR="007F0506" w:rsidRPr="007F0506">
              <w:rPr>
                <w:rFonts w:eastAsiaTheme="minorEastAsia" w:cstheme="minorBidi"/>
                <w:sz w:val="24"/>
                <w:szCs w:val="24"/>
              </w:rPr>
              <w:tab/>
            </w:r>
            <w:r w:rsidR="007F0506" w:rsidRPr="007F0506">
              <w:rPr>
                <w:rStyle w:val="Hyperlink"/>
                <w:rFonts w:eastAsia="Tahoma"/>
                <w:i w:val="0"/>
              </w:rPr>
              <w:t>De uitvoering van een risicoanalyse</w:t>
            </w:r>
            <w:r w:rsidR="007F0506" w:rsidRPr="007F0506">
              <w:rPr>
                <w:webHidden/>
              </w:rPr>
              <w:tab/>
            </w:r>
            <w:r w:rsidR="007F0506" w:rsidRPr="007F0506">
              <w:rPr>
                <w:webHidden/>
              </w:rPr>
              <w:fldChar w:fldCharType="begin"/>
            </w:r>
            <w:r w:rsidR="007F0506" w:rsidRPr="007F0506">
              <w:rPr>
                <w:webHidden/>
              </w:rPr>
              <w:instrText xml:space="preserve"> PAGEREF _Toc485990860 \h </w:instrText>
            </w:r>
            <w:r w:rsidR="007F0506" w:rsidRPr="007F0506">
              <w:rPr>
                <w:webHidden/>
              </w:rPr>
            </w:r>
            <w:r w:rsidR="007F0506" w:rsidRPr="007F0506">
              <w:rPr>
                <w:webHidden/>
              </w:rPr>
              <w:fldChar w:fldCharType="separate"/>
            </w:r>
            <w:r w:rsidR="00B02A8D">
              <w:rPr>
                <w:webHidden/>
              </w:rPr>
              <w:t>17</w:t>
            </w:r>
            <w:r w:rsidR="007F0506" w:rsidRPr="007F0506">
              <w:rPr>
                <w:webHidden/>
              </w:rPr>
              <w:fldChar w:fldCharType="end"/>
            </w:r>
          </w:hyperlink>
        </w:p>
        <w:p w14:paraId="30D10847" w14:textId="77777777" w:rsidR="007F0506" w:rsidRPr="007F0506" w:rsidRDefault="009D4480" w:rsidP="00173270">
          <w:pPr>
            <w:pStyle w:val="Inhopg2"/>
            <w:rPr>
              <w:rFonts w:eastAsiaTheme="minorEastAsia" w:cstheme="minorBidi"/>
              <w:sz w:val="24"/>
              <w:szCs w:val="24"/>
            </w:rPr>
          </w:pPr>
          <w:hyperlink w:anchor="_Toc485990861" w:history="1">
            <w:r w:rsidR="007F0506" w:rsidRPr="007F0506">
              <w:rPr>
                <w:rStyle w:val="Hyperlink"/>
                <w:rFonts w:eastAsia="Tahoma"/>
                <w:i w:val="0"/>
              </w:rPr>
              <w:t xml:space="preserve">2.3 </w:t>
            </w:r>
            <w:r w:rsidR="007F0506" w:rsidRPr="007F0506">
              <w:rPr>
                <w:rFonts w:eastAsiaTheme="minorEastAsia" w:cstheme="minorBidi"/>
                <w:sz w:val="24"/>
                <w:szCs w:val="24"/>
              </w:rPr>
              <w:tab/>
            </w:r>
            <w:r w:rsidR="007F0506" w:rsidRPr="007F0506">
              <w:rPr>
                <w:rStyle w:val="Hyperlink"/>
                <w:rFonts w:eastAsia="Tahoma"/>
                <w:i w:val="0"/>
              </w:rPr>
              <w:t>Risico’s als morele kwestie</w:t>
            </w:r>
            <w:r w:rsidR="007F0506" w:rsidRPr="007F0506">
              <w:rPr>
                <w:webHidden/>
              </w:rPr>
              <w:tab/>
            </w:r>
            <w:r w:rsidR="007F0506" w:rsidRPr="007F0506">
              <w:rPr>
                <w:webHidden/>
              </w:rPr>
              <w:fldChar w:fldCharType="begin"/>
            </w:r>
            <w:r w:rsidR="007F0506" w:rsidRPr="007F0506">
              <w:rPr>
                <w:webHidden/>
              </w:rPr>
              <w:instrText xml:space="preserve"> PAGEREF _Toc485990861 \h </w:instrText>
            </w:r>
            <w:r w:rsidR="007F0506" w:rsidRPr="007F0506">
              <w:rPr>
                <w:webHidden/>
              </w:rPr>
            </w:r>
            <w:r w:rsidR="007F0506" w:rsidRPr="007F0506">
              <w:rPr>
                <w:webHidden/>
              </w:rPr>
              <w:fldChar w:fldCharType="separate"/>
            </w:r>
            <w:r w:rsidR="00B02A8D">
              <w:rPr>
                <w:webHidden/>
              </w:rPr>
              <w:t>18</w:t>
            </w:r>
            <w:r w:rsidR="007F0506" w:rsidRPr="007F0506">
              <w:rPr>
                <w:webHidden/>
              </w:rPr>
              <w:fldChar w:fldCharType="end"/>
            </w:r>
          </w:hyperlink>
        </w:p>
        <w:p w14:paraId="5E375FA3" w14:textId="77777777" w:rsidR="007F0506" w:rsidRPr="007F0506" w:rsidRDefault="009D4480" w:rsidP="00173270">
          <w:pPr>
            <w:pStyle w:val="Inhopg2"/>
            <w:rPr>
              <w:rFonts w:eastAsiaTheme="minorEastAsia" w:cstheme="minorBidi"/>
              <w:sz w:val="24"/>
              <w:szCs w:val="24"/>
            </w:rPr>
          </w:pPr>
          <w:hyperlink w:anchor="_Toc485990862" w:history="1">
            <w:r w:rsidR="007F0506" w:rsidRPr="007F0506">
              <w:rPr>
                <w:rStyle w:val="Hyperlink"/>
                <w:rFonts w:eastAsia="Tahoma"/>
                <w:i w:val="0"/>
              </w:rPr>
              <w:t xml:space="preserve">2.4 </w:t>
            </w:r>
            <w:r w:rsidR="007F0506" w:rsidRPr="007F0506">
              <w:rPr>
                <w:rFonts w:eastAsiaTheme="minorEastAsia" w:cstheme="minorBidi"/>
                <w:sz w:val="24"/>
                <w:szCs w:val="24"/>
              </w:rPr>
              <w:tab/>
            </w:r>
            <w:r w:rsidR="007F0506" w:rsidRPr="007F0506">
              <w:rPr>
                <w:rStyle w:val="Hyperlink"/>
                <w:rFonts w:eastAsia="Tahoma"/>
                <w:i w:val="0"/>
              </w:rPr>
              <w:t>Deelconclusie</w:t>
            </w:r>
            <w:r w:rsidR="007F0506" w:rsidRPr="007F0506">
              <w:rPr>
                <w:webHidden/>
              </w:rPr>
              <w:tab/>
            </w:r>
            <w:r w:rsidR="007F0506" w:rsidRPr="007F0506">
              <w:rPr>
                <w:webHidden/>
              </w:rPr>
              <w:fldChar w:fldCharType="begin"/>
            </w:r>
            <w:r w:rsidR="007F0506" w:rsidRPr="007F0506">
              <w:rPr>
                <w:webHidden/>
              </w:rPr>
              <w:instrText xml:space="preserve"> PAGEREF _Toc485990862 \h </w:instrText>
            </w:r>
            <w:r w:rsidR="007F0506" w:rsidRPr="007F0506">
              <w:rPr>
                <w:webHidden/>
              </w:rPr>
            </w:r>
            <w:r w:rsidR="007F0506" w:rsidRPr="007F0506">
              <w:rPr>
                <w:webHidden/>
              </w:rPr>
              <w:fldChar w:fldCharType="separate"/>
            </w:r>
            <w:r w:rsidR="00B02A8D">
              <w:rPr>
                <w:webHidden/>
              </w:rPr>
              <w:t>20</w:t>
            </w:r>
            <w:r w:rsidR="007F0506" w:rsidRPr="007F0506">
              <w:rPr>
                <w:webHidden/>
              </w:rPr>
              <w:fldChar w:fldCharType="end"/>
            </w:r>
          </w:hyperlink>
        </w:p>
        <w:p w14:paraId="0D5CD3DF" w14:textId="77777777" w:rsidR="007F0506" w:rsidRPr="007F0506" w:rsidRDefault="009D4480" w:rsidP="00173270">
          <w:pPr>
            <w:pStyle w:val="Inhopg1"/>
            <w:spacing w:line="276" w:lineRule="auto"/>
            <w:rPr>
              <w:rFonts w:eastAsiaTheme="minorEastAsia" w:cstheme="minorBidi"/>
              <w:b w:val="0"/>
              <w:color w:val="auto"/>
              <w:sz w:val="24"/>
              <w:szCs w:val="24"/>
            </w:rPr>
          </w:pPr>
          <w:hyperlink w:anchor="_Toc485990863" w:history="1">
            <w:r w:rsidR="007F0506" w:rsidRPr="007F0506">
              <w:rPr>
                <w:rStyle w:val="Hyperlink"/>
              </w:rPr>
              <w:t>3</w:t>
            </w:r>
            <w:r w:rsidR="007F0506" w:rsidRPr="007F0506">
              <w:rPr>
                <w:rFonts w:eastAsiaTheme="minorEastAsia" w:cstheme="minorBidi"/>
                <w:b w:val="0"/>
                <w:color w:val="auto"/>
                <w:sz w:val="24"/>
                <w:szCs w:val="24"/>
              </w:rPr>
              <w:tab/>
            </w:r>
            <w:r w:rsidR="007F0506" w:rsidRPr="007F0506">
              <w:rPr>
                <w:rStyle w:val="Hyperlink"/>
              </w:rPr>
              <w:t>Theoretisch kader: normatieve ethiek</w:t>
            </w:r>
            <w:r w:rsidR="007F0506" w:rsidRPr="007F0506">
              <w:rPr>
                <w:webHidden/>
              </w:rPr>
              <w:tab/>
            </w:r>
            <w:r w:rsidR="007F0506" w:rsidRPr="007F0506">
              <w:rPr>
                <w:webHidden/>
              </w:rPr>
              <w:fldChar w:fldCharType="begin"/>
            </w:r>
            <w:r w:rsidR="007F0506" w:rsidRPr="007F0506">
              <w:rPr>
                <w:webHidden/>
              </w:rPr>
              <w:instrText xml:space="preserve"> PAGEREF _Toc485990863 \h </w:instrText>
            </w:r>
            <w:r w:rsidR="007F0506" w:rsidRPr="007F0506">
              <w:rPr>
                <w:webHidden/>
              </w:rPr>
            </w:r>
            <w:r w:rsidR="007F0506" w:rsidRPr="007F0506">
              <w:rPr>
                <w:webHidden/>
              </w:rPr>
              <w:fldChar w:fldCharType="separate"/>
            </w:r>
            <w:r w:rsidR="00B02A8D">
              <w:rPr>
                <w:webHidden/>
              </w:rPr>
              <w:t>22</w:t>
            </w:r>
            <w:r w:rsidR="007F0506" w:rsidRPr="007F0506">
              <w:rPr>
                <w:webHidden/>
              </w:rPr>
              <w:fldChar w:fldCharType="end"/>
            </w:r>
          </w:hyperlink>
        </w:p>
        <w:p w14:paraId="3D38DBD1" w14:textId="77777777" w:rsidR="007F0506" w:rsidRPr="007F0506" w:rsidRDefault="009D4480" w:rsidP="00173270">
          <w:pPr>
            <w:pStyle w:val="Inhopg2"/>
            <w:rPr>
              <w:rFonts w:eastAsiaTheme="minorEastAsia" w:cstheme="minorBidi"/>
              <w:sz w:val="24"/>
              <w:szCs w:val="24"/>
            </w:rPr>
          </w:pPr>
          <w:hyperlink w:anchor="_Toc485990864" w:history="1">
            <w:r w:rsidR="007F0506" w:rsidRPr="007F0506">
              <w:rPr>
                <w:rStyle w:val="Hyperlink"/>
                <w:rFonts w:eastAsia="Tahoma"/>
                <w:i w:val="0"/>
              </w:rPr>
              <w:t xml:space="preserve">3.1 </w:t>
            </w:r>
            <w:r w:rsidR="007F0506" w:rsidRPr="007F0506">
              <w:rPr>
                <w:rFonts w:eastAsiaTheme="minorEastAsia" w:cstheme="minorBidi"/>
                <w:sz w:val="24"/>
                <w:szCs w:val="24"/>
              </w:rPr>
              <w:tab/>
            </w:r>
            <w:r w:rsidR="007F0506" w:rsidRPr="007F0506">
              <w:rPr>
                <w:rStyle w:val="Hyperlink"/>
                <w:rFonts w:eastAsia="Tahoma"/>
                <w:i w:val="0"/>
              </w:rPr>
              <w:t>Introductie</w:t>
            </w:r>
            <w:r w:rsidR="007F0506" w:rsidRPr="007F0506">
              <w:rPr>
                <w:webHidden/>
              </w:rPr>
              <w:tab/>
            </w:r>
            <w:r w:rsidR="007F0506" w:rsidRPr="007F0506">
              <w:rPr>
                <w:webHidden/>
              </w:rPr>
              <w:fldChar w:fldCharType="begin"/>
            </w:r>
            <w:r w:rsidR="007F0506" w:rsidRPr="007F0506">
              <w:rPr>
                <w:webHidden/>
              </w:rPr>
              <w:instrText xml:space="preserve"> PAGEREF _Toc485990864 \h </w:instrText>
            </w:r>
            <w:r w:rsidR="007F0506" w:rsidRPr="007F0506">
              <w:rPr>
                <w:webHidden/>
              </w:rPr>
            </w:r>
            <w:r w:rsidR="007F0506" w:rsidRPr="007F0506">
              <w:rPr>
                <w:webHidden/>
              </w:rPr>
              <w:fldChar w:fldCharType="separate"/>
            </w:r>
            <w:r w:rsidR="00B02A8D">
              <w:rPr>
                <w:webHidden/>
              </w:rPr>
              <w:t>22</w:t>
            </w:r>
            <w:r w:rsidR="007F0506" w:rsidRPr="007F0506">
              <w:rPr>
                <w:webHidden/>
              </w:rPr>
              <w:fldChar w:fldCharType="end"/>
            </w:r>
          </w:hyperlink>
        </w:p>
        <w:p w14:paraId="4955B78B" w14:textId="77777777" w:rsidR="007F0506" w:rsidRPr="007F0506" w:rsidRDefault="009D4480" w:rsidP="00173270">
          <w:pPr>
            <w:pStyle w:val="Inhopg2"/>
            <w:rPr>
              <w:rFonts w:eastAsiaTheme="minorEastAsia" w:cstheme="minorBidi"/>
              <w:sz w:val="24"/>
              <w:szCs w:val="24"/>
            </w:rPr>
          </w:pPr>
          <w:hyperlink w:anchor="_Toc485990865" w:history="1">
            <w:r w:rsidR="007F0506" w:rsidRPr="007F0506">
              <w:rPr>
                <w:rStyle w:val="Hyperlink"/>
                <w:rFonts w:eastAsia="Tahoma"/>
                <w:i w:val="0"/>
              </w:rPr>
              <w:t xml:space="preserve">3.2 </w:t>
            </w:r>
            <w:r w:rsidR="007F0506" w:rsidRPr="007F0506">
              <w:rPr>
                <w:rFonts w:eastAsiaTheme="minorEastAsia" w:cstheme="minorBidi"/>
                <w:sz w:val="24"/>
                <w:szCs w:val="24"/>
              </w:rPr>
              <w:tab/>
            </w:r>
            <w:r w:rsidR="007F0506" w:rsidRPr="007F0506">
              <w:rPr>
                <w:rStyle w:val="Hyperlink"/>
                <w:rFonts w:eastAsia="Tahoma"/>
                <w:i w:val="0"/>
              </w:rPr>
              <w:t>Utilisme</w:t>
            </w:r>
            <w:r w:rsidR="007F0506" w:rsidRPr="007F0506">
              <w:rPr>
                <w:webHidden/>
              </w:rPr>
              <w:tab/>
            </w:r>
            <w:r w:rsidR="007F0506" w:rsidRPr="007F0506">
              <w:rPr>
                <w:webHidden/>
              </w:rPr>
              <w:fldChar w:fldCharType="begin"/>
            </w:r>
            <w:r w:rsidR="007F0506" w:rsidRPr="007F0506">
              <w:rPr>
                <w:webHidden/>
              </w:rPr>
              <w:instrText xml:space="preserve"> PAGEREF _Toc485990865 \h </w:instrText>
            </w:r>
            <w:r w:rsidR="007F0506" w:rsidRPr="007F0506">
              <w:rPr>
                <w:webHidden/>
              </w:rPr>
            </w:r>
            <w:r w:rsidR="007F0506" w:rsidRPr="007F0506">
              <w:rPr>
                <w:webHidden/>
              </w:rPr>
              <w:fldChar w:fldCharType="separate"/>
            </w:r>
            <w:r w:rsidR="00B02A8D">
              <w:rPr>
                <w:webHidden/>
              </w:rPr>
              <w:t>23</w:t>
            </w:r>
            <w:r w:rsidR="007F0506" w:rsidRPr="007F0506">
              <w:rPr>
                <w:webHidden/>
              </w:rPr>
              <w:fldChar w:fldCharType="end"/>
            </w:r>
          </w:hyperlink>
        </w:p>
        <w:p w14:paraId="786F286F" w14:textId="77777777" w:rsidR="007F0506" w:rsidRPr="007F0506" w:rsidRDefault="009D4480" w:rsidP="00173270">
          <w:pPr>
            <w:pStyle w:val="Inhopg2"/>
            <w:rPr>
              <w:rFonts w:eastAsiaTheme="minorEastAsia" w:cstheme="minorBidi"/>
              <w:sz w:val="24"/>
              <w:szCs w:val="24"/>
            </w:rPr>
          </w:pPr>
          <w:hyperlink w:anchor="_Toc485990866" w:history="1">
            <w:r w:rsidR="007F0506" w:rsidRPr="007F0506">
              <w:rPr>
                <w:rStyle w:val="Hyperlink"/>
                <w:rFonts w:eastAsia="Tahoma"/>
                <w:i w:val="0"/>
              </w:rPr>
              <w:t xml:space="preserve">3.3 </w:t>
            </w:r>
            <w:r w:rsidR="007F0506" w:rsidRPr="007F0506">
              <w:rPr>
                <w:rFonts w:eastAsiaTheme="minorEastAsia" w:cstheme="minorBidi"/>
                <w:sz w:val="24"/>
                <w:szCs w:val="24"/>
              </w:rPr>
              <w:tab/>
            </w:r>
            <w:r w:rsidR="007F0506" w:rsidRPr="007F0506">
              <w:rPr>
                <w:rStyle w:val="Hyperlink"/>
                <w:rFonts w:eastAsia="Tahoma"/>
                <w:i w:val="0"/>
              </w:rPr>
              <w:t>Deontologie</w:t>
            </w:r>
            <w:r w:rsidR="007F0506" w:rsidRPr="007F0506">
              <w:rPr>
                <w:webHidden/>
              </w:rPr>
              <w:tab/>
            </w:r>
            <w:r w:rsidR="007F0506" w:rsidRPr="007F0506">
              <w:rPr>
                <w:webHidden/>
              </w:rPr>
              <w:fldChar w:fldCharType="begin"/>
            </w:r>
            <w:r w:rsidR="007F0506" w:rsidRPr="007F0506">
              <w:rPr>
                <w:webHidden/>
              </w:rPr>
              <w:instrText xml:space="preserve"> PAGEREF _Toc485990866 \h </w:instrText>
            </w:r>
            <w:r w:rsidR="007F0506" w:rsidRPr="007F0506">
              <w:rPr>
                <w:webHidden/>
              </w:rPr>
            </w:r>
            <w:r w:rsidR="007F0506" w:rsidRPr="007F0506">
              <w:rPr>
                <w:webHidden/>
              </w:rPr>
              <w:fldChar w:fldCharType="separate"/>
            </w:r>
            <w:r w:rsidR="00B02A8D">
              <w:rPr>
                <w:webHidden/>
              </w:rPr>
              <w:t>24</w:t>
            </w:r>
            <w:r w:rsidR="007F0506" w:rsidRPr="007F0506">
              <w:rPr>
                <w:webHidden/>
              </w:rPr>
              <w:fldChar w:fldCharType="end"/>
            </w:r>
          </w:hyperlink>
        </w:p>
        <w:p w14:paraId="5B6F1B77" w14:textId="77777777" w:rsidR="007F0506" w:rsidRPr="007F0506" w:rsidRDefault="009D4480" w:rsidP="00173270">
          <w:pPr>
            <w:pStyle w:val="Inhopg2"/>
            <w:rPr>
              <w:rFonts w:eastAsiaTheme="minorEastAsia" w:cstheme="minorBidi"/>
              <w:sz w:val="24"/>
              <w:szCs w:val="24"/>
            </w:rPr>
          </w:pPr>
          <w:hyperlink w:anchor="_Toc485990867" w:history="1">
            <w:r w:rsidR="007F0506" w:rsidRPr="007F0506">
              <w:rPr>
                <w:rStyle w:val="Hyperlink"/>
                <w:rFonts w:eastAsia="Tahoma"/>
                <w:i w:val="0"/>
              </w:rPr>
              <w:t xml:space="preserve">3.4 </w:t>
            </w:r>
            <w:r w:rsidR="007F0506" w:rsidRPr="007F0506">
              <w:rPr>
                <w:rFonts w:eastAsiaTheme="minorEastAsia" w:cstheme="minorBidi"/>
                <w:sz w:val="24"/>
                <w:szCs w:val="24"/>
              </w:rPr>
              <w:tab/>
            </w:r>
            <w:r w:rsidR="007F0506" w:rsidRPr="007F0506">
              <w:rPr>
                <w:rStyle w:val="Hyperlink"/>
                <w:rFonts w:eastAsia="Tahoma"/>
                <w:i w:val="0"/>
              </w:rPr>
              <w:t>Deugdethiek</w:t>
            </w:r>
            <w:r w:rsidR="007F0506" w:rsidRPr="007F0506">
              <w:rPr>
                <w:webHidden/>
              </w:rPr>
              <w:tab/>
            </w:r>
            <w:r w:rsidR="007F0506" w:rsidRPr="007F0506">
              <w:rPr>
                <w:webHidden/>
              </w:rPr>
              <w:fldChar w:fldCharType="begin"/>
            </w:r>
            <w:r w:rsidR="007F0506" w:rsidRPr="007F0506">
              <w:rPr>
                <w:webHidden/>
              </w:rPr>
              <w:instrText xml:space="preserve"> PAGEREF _Toc485990867 \h </w:instrText>
            </w:r>
            <w:r w:rsidR="007F0506" w:rsidRPr="007F0506">
              <w:rPr>
                <w:webHidden/>
              </w:rPr>
            </w:r>
            <w:r w:rsidR="007F0506" w:rsidRPr="007F0506">
              <w:rPr>
                <w:webHidden/>
              </w:rPr>
              <w:fldChar w:fldCharType="separate"/>
            </w:r>
            <w:r w:rsidR="00B02A8D">
              <w:rPr>
                <w:webHidden/>
              </w:rPr>
              <w:t>25</w:t>
            </w:r>
            <w:r w:rsidR="007F0506" w:rsidRPr="007F0506">
              <w:rPr>
                <w:webHidden/>
              </w:rPr>
              <w:fldChar w:fldCharType="end"/>
            </w:r>
          </w:hyperlink>
        </w:p>
        <w:p w14:paraId="507D88DC" w14:textId="77777777" w:rsidR="007F0506" w:rsidRPr="007F0506" w:rsidRDefault="009D4480" w:rsidP="00173270">
          <w:pPr>
            <w:pStyle w:val="Inhopg2"/>
            <w:rPr>
              <w:rFonts w:eastAsiaTheme="minorEastAsia" w:cstheme="minorBidi"/>
              <w:sz w:val="24"/>
              <w:szCs w:val="24"/>
            </w:rPr>
          </w:pPr>
          <w:hyperlink w:anchor="_Toc485990868" w:history="1">
            <w:r w:rsidR="007F0506" w:rsidRPr="007F0506">
              <w:rPr>
                <w:rStyle w:val="Hyperlink"/>
                <w:rFonts w:eastAsia="Garamond,Calibri"/>
                <w:i w:val="0"/>
              </w:rPr>
              <w:t xml:space="preserve">3.5 </w:t>
            </w:r>
            <w:r w:rsidR="007F0506" w:rsidRPr="007F0506">
              <w:rPr>
                <w:rFonts w:eastAsiaTheme="minorEastAsia" w:cstheme="minorBidi"/>
                <w:sz w:val="24"/>
                <w:szCs w:val="24"/>
              </w:rPr>
              <w:tab/>
            </w:r>
            <w:r w:rsidR="007F0506" w:rsidRPr="007F0506">
              <w:rPr>
                <w:rStyle w:val="Hyperlink"/>
                <w:rFonts w:eastAsia="Garamond,Calibri"/>
                <w:i w:val="0"/>
              </w:rPr>
              <w:t>Deelconclusie</w:t>
            </w:r>
            <w:r w:rsidR="007F0506" w:rsidRPr="007F0506">
              <w:rPr>
                <w:webHidden/>
              </w:rPr>
              <w:tab/>
            </w:r>
            <w:r w:rsidR="007F0506" w:rsidRPr="007F0506">
              <w:rPr>
                <w:webHidden/>
              </w:rPr>
              <w:fldChar w:fldCharType="begin"/>
            </w:r>
            <w:r w:rsidR="007F0506" w:rsidRPr="007F0506">
              <w:rPr>
                <w:webHidden/>
              </w:rPr>
              <w:instrText xml:space="preserve"> PAGEREF _Toc485990868 \h </w:instrText>
            </w:r>
            <w:r w:rsidR="007F0506" w:rsidRPr="007F0506">
              <w:rPr>
                <w:webHidden/>
              </w:rPr>
            </w:r>
            <w:r w:rsidR="007F0506" w:rsidRPr="007F0506">
              <w:rPr>
                <w:webHidden/>
              </w:rPr>
              <w:fldChar w:fldCharType="separate"/>
            </w:r>
            <w:r w:rsidR="00B02A8D">
              <w:rPr>
                <w:webHidden/>
              </w:rPr>
              <w:t>27</w:t>
            </w:r>
            <w:r w:rsidR="007F0506" w:rsidRPr="007F0506">
              <w:rPr>
                <w:webHidden/>
              </w:rPr>
              <w:fldChar w:fldCharType="end"/>
            </w:r>
          </w:hyperlink>
        </w:p>
        <w:p w14:paraId="7AF83796" w14:textId="77777777" w:rsidR="007F0506" w:rsidRPr="007F0506" w:rsidRDefault="009D4480" w:rsidP="00173270">
          <w:pPr>
            <w:pStyle w:val="Inhopg1"/>
            <w:spacing w:line="276" w:lineRule="auto"/>
            <w:rPr>
              <w:rFonts w:eastAsiaTheme="minorEastAsia" w:cstheme="minorBidi"/>
              <w:b w:val="0"/>
              <w:color w:val="auto"/>
              <w:sz w:val="24"/>
              <w:szCs w:val="24"/>
            </w:rPr>
          </w:pPr>
          <w:hyperlink w:anchor="_Toc485990869" w:history="1">
            <w:r w:rsidR="007F0506" w:rsidRPr="007F0506">
              <w:rPr>
                <w:rStyle w:val="Hyperlink"/>
              </w:rPr>
              <w:t>4</w:t>
            </w:r>
            <w:r w:rsidR="007F0506" w:rsidRPr="007F0506">
              <w:rPr>
                <w:rFonts w:eastAsiaTheme="minorEastAsia" w:cstheme="minorBidi"/>
                <w:b w:val="0"/>
                <w:color w:val="auto"/>
                <w:sz w:val="24"/>
                <w:szCs w:val="24"/>
              </w:rPr>
              <w:tab/>
            </w:r>
            <w:r w:rsidR="007F0506" w:rsidRPr="007F0506">
              <w:rPr>
                <w:rStyle w:val="Hyperlink"/>
              </w:rPr>
              <w:t>Praktische toepassing ethisch risicokader</w:t>
            </w:r>
            <w:r w:rsidR="007F0506" w:rsidRPr="007F0506">
              <w:rPr>
                <w:webHidden/>
              </w:rPr>
              <w:tab/>
            </w:r>
            <w:r w:rsidR="007F0506" w:rsidRPr="007F0506">
              <w:rPr>
                <w:webHidden/>
              </w:rPr>
              <w:fldChar w:fldCharType="begin"/>
            </w:r>
            <w:r w:rsidR="007F0506" w:rsidRPr="007F0506">
              <w:rPr>
                <w:webHidden/>
              </w:rPr>
              <w:instrText xml:space="preserve"> PAGEREF _Toc485990869 \h </w:instrText>
            </w:r>
            <w:r w:rsidR="007F0506" w:rsidRPr="007F0506">
              <w:rPr>
                <w:webHidden/>
              </w:rPr>
            </w:r>
            <w:r w:rsidR="007F0506" w:rsidRPr="007F0506">
              <w:rPr>
                <w:webHidden/>
              </w:rPr>
              <w:fldChar w:fldCharType="separate"/>
            </w:r>
            <w:r w:rsidR="00B02A8D">
              <w:rPr>
                <w:webHidden/>
              </w:rPr>
              <w:t>29</w:t>
            </w:r>
            <w:r w:rsidR="007F0506" w:rsidRPr="007F0506">
              <w:rPr>
                <w:webHidden/>
              </w:rPr>
              <w:fldChar w:fldCharType="end"/>
            </w:r>
          </w:hyperlink>
        </w:p>
        <w:p w14:paraId="1F796344" w14:textId="77777777" w:rsidR="007F0506" w:rsidRPr="007F0506" w:rsidRDefault="009D4480" w:rsidP="00173270">
          <w:pPr>
            <w:pStyle w:val="Inhopg2"/>
            <w:rPr>
              <w:rFonts w:eastAsiaTheme="minorEastAsia" w:cstheme="minorBidi"/>
              <w:sz w:val="24"/>
              <w:szCs w:val="24"/>
            </w:rPr>
          </w:pPr>
          <w:hyperlink w:anchor="_Toc485990870" w:history="1">
            <w:r w:rsidR="007F0506" w:rsidRPr="007F0506">
              <w:rPr>
                <w:rStyle w:val="Hyperlink"/>
                <w:i w:val="0"/>
              </w:rPr>
              <w:t>4.1</w:t>
            </w:r>
            <w:r w:rsidR="007F0506" w:rsidRPr="007F0506">
              <w:rPr>
                <w:rFonts w:eastAsiaTheme="minorEastAsia" w:cstheme="minorBidi"/>
                <w:sz w:val="24"/>
                <w:szCs w:val="24"/>
              </w:rPr>
              <w:tab/>
            </w:r>
            <w:r w:rsidR="007F0506" w:rsidRPr="007F0506">
              <w:rPr>
                <w:rStyle w:val="Hyperlink"/>
                <w:i w:val="0"/>
              </w:rPr>
              <w:t>Toepassing utilisme: kwantiteit</w:t>
            </w:r>
            <w:r w:rsidR="007F0506" w:rsidRPr="007F0506">
              <w:rPr>
                <w:webHidden/>
              </w:rPr>
              <w:tab/>
            </w:r>
            <w:r w:rsidR="007F0506" w:rsidRPr="007F0506">
              <w:rPr>
                <w:webHidden/>
              </w:rPr>
              <w:fldChar w:fldCharType="begin"/>
            </w:r>
            <w:r w:rsidR="007F0506" w:rsidRPr="007F0506">
              <w:rPr>
                <w:webHidden/>
              </w:rPr>
              <w:instrText xml:space="preserve"> PAGEREF _Toc485990870 \h </w:instrText>
            </w:r>
            <w:r w:rsidR="007F0506" w:rsidRPr="007F0506">
              <w:rPr>
                <w:webHidden/>
              </w:rPr>
            </w:r>
            <w:r w:rsidR="007F0506" w:rsidRPr="007F0506">
              <w:rPr>
                <w:webHidden/>
              </w:rPr>
              <w:fldChar w:fldCharType="separate"/>
            </w:r>
            <w:r w:rsidR="00B02A8D">
              <w:rPr>
                <w:webHidden/>
              </w:rPr>
              <w:t>29</w:t>
            </w:r>
            <w:r w:rsidR="007F0506" w:rsidRPr="007F0506">
              <w:rPr>
                <w:webHidden/>
              </w:rPr>
              <w:fldChar w:fldCharType="end"/>
            </w:r>
          </w:hyperlink>
        </w:p>
        <w:p w14:paraId="0EE1DF3A" w14:textId="77777777" w:rsidR="007F0506" w:rsidRPr="007F0506" w:rsidRDefault="009D4480" w:rsidP="00173270">
          <w:pPr>
            <w:pStyle w:val="Inhopg2"/>
            <w:rPr>
              <w:rFonts w:eastAsiaTheme="minorEastAsia" w:cstheme="minorBidi"/>
              <w:sz w:val="24"/>
              <w:szCs w:val="24"/>
            </w:rPr>
          </w:pPr>
          <w:hyperlink w:anchor="_Toc485990871" w:history="1">
            <w:r w:rsidR="007F0506" w:rsidRPr="007F0506">
              <w:rPr>
                <w:rStyle w:val="Hyperlink"/>
                <w:i w:val="0"/>
              </w:rPr>
              <w:t>4.2</w:t>
            </w:r>
            <w:r w:rsidR="007F0506" w:rsidRPr="007F0506">
              <w:rPr>
                <w:rFonts w:eastAsiaTheme="minorEastAsia" w:cstheme="minorBidi"/>
                <w:sz w:val="24"/>
                <w:szCs w:val="24"/>
              </w:rPr>
              <w:tab/>
            </w:r>
            <w:r w:rsidR="007F0506" w:rsidRPr="007F0506">
              <w:rPr>
                <w:rStyle w:val="Hyperlink"/>
                <w:i w:val="0"/>
              </w:rPr>
              <w:t>Toepassing deontologie: onvervreemdbare waarden</w:t>
            </w:r>
            <w:r w:rsidR="007F0506" w:rsidRPr="007F0506">
              <w:rPr>
                <w:webHidden/>
              </w:rPr>
              <w:tab/>
            </w:r>
            <w:r w:rsidR="007F0506" w:rsidRPr="007F0506">
              <w:rPr>
                <w:webHidden/>
              </w:rPr>
              <w:fldChar w:fldCharType="begin"/>
            </w:r>
            <w:r w:rsidR="007F0506" w:rsidRPr="007F0506">
              <w:rPr>
                <w:webHidden/>
              </w:rPr>
              <w:instrText xml:space="preserve"> PAGEREF _Toc485990871 \h </w:instrText>
            </w:r>
            <w:r w:rsidR="007F0506" w:rsidRPr="007F0506">
              <w:rPr>
                <w:webHidden/>
              </w:rPr>
            </w:r>
            <w:r w:rsidR="007F0506" w:rsidRPr="007F0506">
              <w:rPr>
                <w:webHidden/>
              </w:rPr>
              <w:fldChar w:fldCharType="separate"/>
            </w:r>
            <w:r w:rsidR="00B02A8D">
              <w:rPr>
                <w:webHidden/>
              </w:rPr>
              <w:t>31</w:t>
            </w:r>
            <w:r w:rsidR="007F0506" w:rsidRPr="007F0506">
              <w:rPr>
                <w:webHidden/>
              </w:rPr>
              <w:fldChar w:fldCharType="end"/>
            </w:r>
          </w:hyperlink>
        </w:p>
        <w:p w14:paraId="0A3D7E67" w14:textId="77777777" w:rsidR="007F0506" w:rsidRPr="007F0506" w:rsidRDefault="009D4480" w:rsidP="00173270">
          <w:pPr>
            <w:pStyle w:val="Inhopg2"/>
            <w:rPr>
              <w:rFonts w:eastAsiaTheme="minorEastAsia" w:cstheme="minorBidi"/>
              <w:sz w:val="24"/>
              <w:szCs w:val="24"/>
            </w:rPr>
          </w:pPr>
          <w:hyperlink w:anchor="_Toc485990872" w:history="1">
            <w:r w:rsidR="007F0506" w:rsidRPr="007F0506">
              <w:rPr>
                <w:rStyle w:val="Hyperlink"/>
                <w:i w:val="0"/>
              </w:rPr>
              <w:t>4.3</w:t>
            </w:r>
            <w:r w:rsidR="007F0506" w:rsidRPr="007F0506">
              <w:rPr>
                <w:rFonts w:eastAsiaTheme="minorEastAsia" w:cstheme="minorBidi"/>
                <w:sz w:val="24"/>
                <w:szCs w:val="24"/>
              </w:rPr>
              <w:tab/>
            </w:r>
            <w:r w:rsidR="007F0506" w:rsidRPr="007F0506">
              <w:rPr>
                <w:rStyle w:val="Hyperlink"/>
                <w:i w:val="0"/>
              </w:rPr>
              <w:t>Toepassing deugdethiek: kwaliteit</w:t>
            </w:r>
            <w:r w:rsidR="007F0506" w:rsidRPr="007F0506">
              <w:rPr>
                <w:webHidden/>
              </w:rPr>
              <w:tab/>
            </w:r>
            <w:r w:rsidR="007F0506" w:rsidRPr="007F0506">
              <w:rPr>
                <w:webHidden/>
              </w:rPr>
              <w:fldChar w:fldCharType="begin"/>
            </w:r>
            <w:r w:rsidR="007F0506" w:rsidRPr="007F0506">
              <w:rPr>
                <w:webHidden/>
              </w:rPr>
              <w:instrText xml:space="preserve"> PAGEREF _Toc485990872 \h </w:instrText>
            </w:r>
            <w:r w:rsidR="007F0506" w:rsidRPr="007F0506">
              <w:rPr>
                <w:webHidden/>
              </w:rPr>
            </w:r>
            <w:r w:rsidR="007F0506" w:rsidRPr="007F0506">
              <w:rPr>
                <w:webHidden/>
              </w:rPr>
              <w:fldChar w:fldCharType="separate"/>
            </w:r>
            <w:r w:rsidR="00B02A8D">
              <w:rPr>
                <w:webHidden/>
              </w:rPr>
              <w:t>34</w:t>
            </w:r>
            <w:r w:rsidR="007F0506" w:rsidRPr="007F0506">
              <w:rPr>
                <w:webHidden/>
              </w:rPr>
              <w:fldChar w:fldCharType="end"/>
            </w:r>
          </w:hyperlink>
        </w:p>
        <w:p w14:paraId="7426F015" w14:textId="77777777" w:rsidR="007F0506" w:rsidRPr="007F0506" w:rsidRDefault="009D4480" w:rsidP="00173270">
          <w:pPr>
            <w:pStyle w:val="Inhopg2"/>
            <w:rPr>
              <w:rFonts w:eastAsiaTheme="minorEastAsia" w:cstheme="minorBidi"/>
              <w:sz w:val="24"/>
              <w:szCs w:val="24"/>
            </w:rPr>
          </w:pPr>
          <w:hyperlink w:anchor="_Toc485990873" w:history="1">
            <w:r w:rsidR="007F0506" w:rsidRPr="007F0506">
              <w:rPr>
                <w:rStyle w:val="Hyperlink"/>
                <w:i w:val="0"/>
              </w:rPr>
              <w:t>4.4</w:t>
            </w:r>
            <w:r w:rsidR="007F0506" w:rsidRPr="007F0506">
              <w:rPr>
                <w:rFonts w:eastAsiaTheme="minorEastAsia" w:cstheme="minorBidi"/>
                <w:sz w:val="24"/>
                <w:szCs w:val="24"/>
              </w:rPr>
              <w:tab/>
            </w:r>
            <w:r w:rsidR="007F0506" w:rsidRPr="007F0506">
              <w:rPr>
                <w:rStyle w:val="Hyperlink"/>
                <w:i w:val="0"/>
              </w:rPr>
              <w:t>Deelconclusie</w:t>
            </w:r>
            <w:r w:rsidR="007F0506" w:rsidRPr="007F0506">
              <w:rPr>
                <w:webHidden/>
              </w:rPr>
              <w:tab/>
            </w:r>
            <w:r w:rsidR="007F0506" w:rsidRPr="007F0506">
              <w:rPr>
                <w:webHidden/>
              </w:rPr>
              <w:fldChar w:fldCharType="begin"/>
            </w:r>
            <w:r w:rsidR="007F0506" w:rsidRPr="007F0506">
              <w:rPr>
                <w:webHidden/>
              </w:rPr>
              <w:instrText xml:space="preserve"> PAGEREF _Toc485990873 \h </w:instrText>
            </w:r>
            <w:r w:rsidR="007F0506" w:rsidRPr="007F0506">
              <w:rPr>
                <w:webHidden/>
              </w:rPr>
            </w:r>
            <w:r w:rsidR="007F0506" w:rsidRPr="007F0506">
              <w:rPr>
                <w:webHidden/>
              </w:rPr>
              <w:fldChar w:fldCharType="separate"/>
            </w:r>
            <w:r w:rsidR="00B02A8D">
              <w:rPr>
                <w:webHidden/>
              </w:rPr>
              <w:t>36</w:t>
            </w:r>
            <w:r w:rsidR="007F0506" w:rsidRPr="007F0506">
              <w:rPr>
                <w:webHidden/>
              </w:rPr>
              <w:fldChar w:fldCharType="end"/>
            </w:r>
          </w:hyperlink>
        </w:p>
        <w:p w14:paraId="14D55E73" w14:textId="77777777" w:rsidR="007F0506" w:rsidRPr="007F0506" w:rsidRDefault="009D4480" w:rsidP="00173270">
          <w:pPr>
            <w:pStyle w:val="Inhopg1"/>
            <w:spacing w:line="276" w:lineRule="auto"/>
            <w:rPr>
              <w:rFonts w:eastAsiaTheme="minorEastAsia" w:cstheme="minorBidi"/>
              <w:b w:val="0"/>
              <w:color w:val="auto"/>
              <w:sz w:val="24"/>
              <w:szCs w:val="24"/>
            </w:rPr>
          </w:pPr>
          <w:hyperlink w:anchor="_Toc485990874" w:history="1">
            <w:r w:rsidR="007F0506" w:rsidRPr="007F0506">
              <w:rPr>
                <w:rStyle w:val="Hyperlink"/>
              </w:rPr>
              <w:t xml:space="preserve">5 </w:t>
            </w:r>
            <w:r w:rsidR="007F0506" w:rsidRPr="007F0506">
              <w:rPr>
                <w:rFonts w:eastAsiaTheme="minorEastAsia" w:cstheme="minorBidi"/>
                <w:b w:val="0"/>
                <w:color w:val="auto"/>
                <w:sz w:val="24"/>
                <w:szCs w:val="24"/>
              </w:rPr>
              <w:tab/>
            </w:r>
            <w:r w:rsidR="007F0506" w:rsidRPr="007F0506">
              <w:rPr>
                <w:rStyle w:val="Hyperlink"/>
              </w:rPr>
              <w:t>Methodologisch kader</w:t>
            </w:r>
            <w:r w:rsidR="007F0506" w:rsidRPr="007F0506">
              <w:rPr>
                <w:webHidden/>
              </w:rPr>
              <w:tab/>
            </w:r>
            <w:r w:rsidR="007F0506" w:rsidRPr="007F0506">
              <w:rPr>
                <w:webHidden/>
              </w:rPr>
              <w:fldChar w:fldCharType="begin"/>
            </w:r>
            <w:r w:rsidR="007F0506" w:rsidRPr="007F0506">
              <w:rPr>
                <w:webHidden/>
              </w:rPr>
              <w:instrText xml:space="preserve"> PAGEREF _Toc485990874 \h </w:instrText>
            </w:r>
            <w:r w:rsidR="007F0506" w:rsidRPr="007F0506">
              <w:rPr>
                <w:webHidden/>
              </w:rPr>
            </w:r>
            <w:r w:rsidR="007F0506" w:rsidRPr="007F0506">
              <w:rPr>
                <w:webHidden/>
              </w:rPr>
              <w:fldChar w:fldCharType="separate"/>
            </w:r>
            <w:r w:rsidR="00B02A8D">
              <w:rPr>
                <w:webHidden/>
              </w:rPr>
              <w:t>37</w:t>
            </w:r>
            <w:r w:rsidR="007F0506" w:rsidRPr="007F0506">
              <w:rPr>
                <w:webHidden/>
              </w:rPr>
              <w:fldChar w:fldCharType="end"/>
            </w:r>
          </w:hyperlink>
        </w:p>
        <w:p w14:paraId="58952F54" w14:textId="50F34755" w:rsidR="007F0506" w:rsidRPr="007F0506" w:rsidRDefault="009D4480" w:rsidP="00173270">
          <w:pPr>
            <w:pStyle w:val="Inhopg2"/>
            <w:rPr>
              <w:rFonts w:eastAsiaTheme="minorEastAsia" w:cstheme="minorBidi"/>
              <w:sz w:val="24"/>
              <w:szCs w:val="24"/>
            </w:rPr>
          </w:pPr>
          <w:hyperlink w:anchor="_Toc485990875" w:history="1">
            <w:r w:rsidR="007F0506" w:rsidRPr="007F0506">
              <w:rPr>
                <w:rStyle w:val="Hyperlink"/>
                <w:i w:val="0"/>
              </w:rPr>
              <w:t>5.1</w:t>
            </w:r>
            <w:r w:rsidR="00B02A8D">
              <w:rPr>
                <w:rStyle w:val="Hyperlink"/>
                <w:i w:val="0"/>
              </w:rPr>
              <w:t xml:space="preserve">         </w:t>
            </w:r>
            <w:r w:rsidR="007F0506" w:rsidRPr="007F0506">
              <w:rPr>
                <w:rStyle w:val="Hyperlink"/>
                <w:i w:val="0"/>
              </w:rPr>
              <w:t xml:space="preserve"> Onderzoeksaanpak</w:t>
            </w:r>
            <w:r w:rsidR="007F0506" w:rsidRPr="007F0506">
              <w:rPr>
                <w:webHidden/>
              </w:rPr>
              <w:tab/>
            </w:r>
            <w:r w:rsidR="007F0506" w:rsidRPr="007F0506">
              <w:rPr>
                <w:webHidden/>
              </w:rPr>
              <w:fldChar w:fldCharType="begin"/>
            </w:r>
            <w:r w:rsidR="007F0506" w:rsidRPr="007F0506">
              <w:rPr>
                <w:webHidden/>
              </w:rPr>
              <w:instrText xml:space="preserve"> PAGEREF _Toc485990875 \h </w:instrText>
            </w:r>
            <w:r w:rsidR="007F0506" w:rsidRPr="007F0506">
              <w:rPr>
                <w:webHidden/>
              </w:rPr>
            </w:r>
            <w:r w:rsidR="007F0506" w:rsidRPr="007F0506">
              <w:rPr>
                <w:webHidden/>
              </w:rPr>
              <w:fldChar w:fldCharType="separate"/>
            </w:r>
            <w:r w:rsidR="00B02A8D">
              <w:rPr>
                <w:webHidden/>
              </w:rPr>
              <w:t>37</w:t>
            </w:r>
            <w:r w:rsidR="007F0506" w:rsidRPr="007F0506">
              <w:rPr>
                <w:webHidden/>
              </w:rPr>
              <w:fldChar w:fldCharType="end"/>
            </w:r>
          </w:hyperlink>
        </w:p>
        <w:p w14:paraId="6E458347" w14:textId="5B82164E" w:rsidR="007F0506" w:rsidRPr="007F0506" w:rsidRDefault="009D4480" w:rsidP="00173270">
          <w:pPr>
            <w:pStyle w:val="Inhopg2"/>
            <w:rPr>
              <w:rFonts w:eastAsiaTheme="minorEastAsia" w:cstheme="minorBidi"/>
              <w:sz w:val="24"/>
              <w:szCs w:val="24"/>
            </w:rPr>
          </w:pPr>
          <w:hyperlink w:anchor="_Toc485990876" w:history="1">
            <w:r w:rsidR="007F0506" w:rsidRPr="007F0506">
              <w:rPr>
                <w:rStyle w:val="Hyperlink"/>
                <w:i w:val="0"/>
              </w:rPr>
              <w:t xml:space="preserve">5.2 </w:t>
            </w:r>
            <w:r w:rsidR="00B02A8D" w:rsidRPr="00B02A8D">
              <w:rPr>
                <w:rStyle w:val="Hyperlink"/>
                <w:i w:val="0"/>
              </w:rPr>
              <w:t xml:space="preserve">         </w:t>
            </w:r>
            <w:r w:rsidR="007F0506" w:rsidRPr="007F0506">
              <w:rPr>
                <w:rStyle w:val="Hyperlink"/>
                <w:i w:val="0"/>
              </w:rPr>
              <w:t>Selectie van cases</w:t>
            </w:r>
            <w:r w:rsidR="007F0506" w:rsidRPr="007F0506">
              <w:rPr>
                <w:webHidden/>
              </w:rPr>
              <w:tab/>
            </w:r>
            <w:r w:rsidR="007F0506" w:rsidRPr="007F0506">
              <w:rPr>
                <w:webHidden/>
              </w:rPr>
              <w:fldChar w:fldCharType="begin"/>
            </w:r>
            <w:r w:rsidR="007F0506" w:rsidRPr="007F0506">
              <w:rPr>
                <w:webHidden/>
              </w:rPr>
              <w:instrText xml:space="preserve"> PAGEREF _Toc485990876 \h </w:instrText>
            </w:r>
            <w:r w:rsidR="007F0506" w:rsidRPr="007F0506">
              <w:rPr>
                <w:webHidden/>
              </w:rPr>
            </w:r>
            <w:r w:rsidR="007F0506" w:rsidRPr="007F0506">
              <w:rPr>
                <w:webHidden/>
              </w:rPr>
              <w:fldChar w:fldCharType="separate"/>
            </w:r>
            <w:r w:rsidR="00B02A8D">
              <w:rPr>
                <w:webHidden/>
              </w:rPr>
              <w:t>39</w:t>
            </w:r>
            <w:r w:rsidR="007F0506" w:rsidRPr="007F0506">
              <w:rPr>
                <w:webHidden/>
              </w:rPr>
              <w:fldChar w:fldCharType="end"/>
            </w:r>
          </w:hyperlink>
        </w:p>
        <w:p w14:paraId="7BCA2BDB" w14:textId="00715222" w:rsidR="007F0506" w:rsidRPr="007F0506" w:rsidRDefault="009D4480" w:rsidP="00173270">
          <w:pPr>
            <w:pStyle w:val="Inhopg2"/>
            <w:rPr>
              <w:rFonts w:eastAsiaTheme="minorEastAsia" w:cstheme="minorBidi"/>
              <w:sz w:val="24"/>
              <w:szCs w:val="24"/>
            </w:rPr>
          </w:pPr>
          <w:hyperlink w:anchor="_Toc485990877" w:history="1">
            <w:r w:rsidR="007F0506" w:rsidRPr="007F0506">
              <w:rPr>
                <w:rStyle w:val="Hyperlink"/>
                <w:i w:val="0"/>
              </w:rPr>
              <w:t xml:space="preserve">5.3 </w:t>
            </w:r>
            <w:r w:rsidR="00B02A8D" w:rsidRPr="00B02A8D">
              <w:rPr>
                <w:rStyle w:val="Hyperlink"/>
                <w:i w:val="0"/>
              </w:rPr>
              <w:t xml:space="preserve">         </w:t>
            </w:r>
            <w:r w:rsidR="007F0506" w:rsidRPr="007F0506">
              <w:rPr>
                <w:rStyle w:val="Hyperlink"/>
                <w:i w:val="0"/>
              </w:rPr>
              <w:t>Datacollectie</w:t>
            </w:r>
            <w:r w:rsidR="007F0506" w:rsidRPr="007F0506">
              <w:rPr>
                <w:webHidden/>
              </w:rPr>
              <w:tab/>
            </w:r>
            <w:r w:rsidR="007F0506" w:rsidRPr="007F0506">
              <w:rPr>
                <w:webHidden/>
              </w:rPr>
              <w:fldChar w:fldCharType="begin"/>
            </w:r>
            <w:r w:rsidR="007F0506" w:rsidRPr="007F0506">
              <w:rPr>
                <w:webHidden/>
              </w:rPr>
              <w:instrText xml:space="preserve"> PAGEREF _Toc485990877 \h </w:instrText>
            </w:r>
            <w:r w:rsidR="007F0506" w:rsidRPr="007F0506">
              <w:rPr>
                <w:webHidden/>
              </w:rPr>
            </w:r>
            <w:r w:rsidR="007F0506" w:rsidRPr="007F0506">
              <w:rPr>
                <w:webHidden/>
              </w:rPr>
              <w:fldChar w:fldCharType="separate"/>
            </w:r>
            <w:r w:rsidR="00B02A8D">
              <w:rPr>
                <w:webHidden/>
              </w:rPr>
              <w:t>39</w:t>
            </w:r>
            <w:r w:rsidR="007F0506" w:rsidRPr="007F0506">
              <w:rPr>
                <w:webHidden/>
              </w:rPr>
              <w:fldChar w:fldCharType="end"/>
            </w:r>
          </w:hyperlink>
        </w:p>
        <w:p w14:paraId="16017483" w14:textId="29875974" w:rsidR="007F0506" w:rsidRPr="007F0506" w:rsidRDefault="009D4480" w:rsidP="00173270">
          <w:pPr>
            <w:pStyle w:val="Inhopg2"/>
            <w:rPr>
              <w:rFonts w:eastAsiaTheme="minorEastAsia" w:cstheme="minorBidi"/>
              <w:sz w:val="24"/>
              <w:szCs w:val="24"/>
            </w:rPr>
          </w:pPr>
          <w:hyperlink w:anchor="_Toc485990878" w:history="1">
            <w:r w:rsidR="007F0506" w:rsidRPr="007F0506">
              <w:rPr>
                <w:rStyle w:val="Hyperlink"/>
                <w:i w:val="0"/>
              </w:rPr>
              <w:t xml:space="preserve">5.4 </w:t>
            </w:r>
            <w:r w:rsidR="00B02A8D" w:rsidRPr="00B02A8D">
              <w:rPr>
                <w:rStyle w:val="Hyperlink"/>
                <w:i w:val="0"/>
              </w:rPr>
              <w:t xml:space="preserve">         </w:t>
            </w:r>
            <w:r w:rsidR="007F0506" w:rsidRPr="007F0506">
              <w:rPr>
                <w:rStyle w:val="Hyperlink"/>
                <w:i w:val="0"/>
              </w:rPr>
              <w:t>Kwaliteitscriteria: validiteit en betrouwbaarheid</w:t>
            </w:r>
            <w:r w:rsidR="007F0506" w:rsidRPr="007F0506">
              <w:rPr>
                <w:webHidden/>
              </w:rPr>
              <w:tab/>
            </w:r>
            <w:r w:rsidR="007F0506" w:rsidRPr="007F0506">
              <w:rPr>
                <w:webHidden/>
              </w:rPr>
              <w:fldChar w:fldCharType="begin"/>
            </w:r>
            <w:r w:rsidR="007F0506" w:rsidRPr="007F0506">
              <w:rPr>
                <w:webHidden/>
              </w:rPr>
              <w:instrText xml:space="preserve"> PAGEREF _Toc485990878 \h </w:instrText>
            </w:r>
            <w:r w:rsidR="007F0506" w:rsidRPr="007F0506">
              <w:rPr>
                <w:webHidden/>
              </w:rPr>
            </w:r>
            <w:r w:rsidR="007F0506" w:rsidRPr="007F0506">
              <w:rPr>
                <w:webHidden/>
              </w:rPr>
              <w:fldChar w:fldCharType="separate"/>
            </w:r>
            <w:r w:rsidR="00B02A8D">
              <w:rPr>
                <w:webHidden/>
              </w:rPr>
              <w:t>40</w:t>
            </w:r>
            <w:r w:rsidR="007F0506" w:rsidRPr="007F0506">
              <w:rPr>
                <w:webHidden/>
              </w:rPr>
              <w:fldChar w:fldCharType="end"/>
            </w:r>
          </w:hyperlink>
        </w:p>
        <w:p w14:paraId="50DF741F" w14:textId="228CA693" w:rsidR="007F0506" w:rsidRPr="007F0506" w:rsidRDefault="009D4480" w:rsidP="00173270">
          <w:pPr>
            <w:pStyle w:val="Inhopg2"/>
            <w:rPr>
              <w:rFonts w:eastAsiaTheme="minorEastAsia" w:cstheme="minorBidi"/>
              <w:sz w:val="24"/>
              <w:szCs w:val="24"/>
            </w:rPr>
          </w:pPr>
          <w:hyperlink w:anchor="_Toc485990879" w:history="1">
            <w:r w:rsidR="007F0506" w:rsidRPr="007F0506">
              <w:rPr>
                <w:rStyle w:val="Hyperlink"/>
                <w:i w:val="0"/>
              </w:rPr>
              <w:t xml:space="preserve">5.5 </w:t>
            </w:r>
            <w:r w:rsidR="00B02A8D" w:rsidRPr="00B02A8D">
              <w:rPr>
                <w:rStyle w:val="Hyperlink"/>
                <w:i w:val="0"/>
              </w:rPr>
              <w:t xml:space="preserve">         </w:t>
            </w:r>
            <w:r w:rsidR="007F0506" w:rsidRPr="007F0506">
              <w:rPr>
                <w:rStyle w:val="Hyperlink"/>
                <w:i w:val="0"/>
              </w:rPr>
              <w:t>Werkwijze/protocol</w:t>
            </w:r>
            <w:r w:rsidR="007F0506" w:rsidRPr="007F0506">
              <w:rPr>
                <w:webHidden/>
              </w:rPr>
              <w:tab/>
            </w:r>
            <w:r w:rsidR="007F0506" w:rsidRPr="007F0506">
              <w:rPr>
                <w:webHidden/>
              </w:rPr>
              <w:fldChar w:fldCharType="begin"/>
            </w:r>
            <w:r w:rsidR="007F0506" w:rsidRPr="007F0506">
              <w:rPr>
                <w:webHidden/>
              </w:rPr>
              <w:instrText xml:space="preserve"> PAGEREF _Toc485990879 \h </w:instrText>
            </w:r>
            <w:r w:rsidR="007F0506" w:rsidRPr="007F0506">
              <w:rPr>
                <w:webHidden/>
              </w:rPr>
            </w:r>
            <w:r w:rsidR="007F0506" w:rsidRPr="007F0506">
              <w:rPr>
                <w:webHidden/>
              </w:rPr>
              <w:fldChar w:fldCharType="separate"/>
            </w:r>
            <w:r w:rsidR="00B02A8D">
              <w:rPr>
                <w:webHidden/>
              </w:rPr>
              <w:t>40</w:t>
            </w:r>
            <w:r w:rsidR="007F0506" w:rsidRPr="007F0506">
              <w:rPr>
                <w:webHidden/>
              </w:rPr>
              <w:fldChar w:fldCharType="end"/>
            </w:r>
          </w:hyperlink>
        </w:p>
        <w:p w14:paraId="27769B63" w14:textId="77777777" w:rsidR="007F0506" w:rsidRPr="007F0506" w:rsidRDefault="009D4480" w:rsidP="00173270">
          <w:pPr>
            <w:pStyle w:val="Inhopg1"/>
            <w:spacing w:line="276" w:lineRule="auto"/>
            <w:rPr>
              <w:rFonts w:eastAsiaTheme="minorEastAsia" w:cstheme="minorBidi"/>
              <w:b w:val="0"/>
              <w:color w:val="auto"/>
              <w:sz w:val="24"/>
              <w:szCs w:val="24"/>
            </w:rPr>
          </w:pPr>
          <w:hyperlink w:anchor="_Toc485990880" w:history="1">
            <w:r w:rsidR="007F0506" w:rsidRPr="007F0506">
              <w:rPr>
                <w:rStyle w:val="Hyperlink"/>
              </w:rPr>
              <w:t>6.</w:t>
            </w:r>
            <w:r w:rsidR="007F0506" w:rsidRPr="007F0506">
              <w:rPr>
                <w:rFonts w:eastAsiaTheme="minorEastAsia" w:cstheme="minorBidi"/>
                <w:b w:val="0"/>
                <w:color w:val="auto"/>
                <w:sz w:val="24"/>
                <w:szCs w:val="24"/>
              </w:rPr>
              <w:tab/>
            </w:r>
            <w:r w:rsidR="007F0506" w:rsidRPr="007F0506">
              <w:rPr>
                <w:rStyle w:val="Hyperlink"/>
              </w:rPr>
              <w:t>Empirisch onderzoek: IBRA</w:t>
            </w:r>
            <w:r w:rsidR="007F0506" w:rsidRPr="007F0506">
              <w:rPr>
                <w:webHidden/>
              </w:rPr>
              <w:tab/>
            </w:r>
            <w:r w:rsidR="007F0506" w:rsidRPr="007F0506">
              <w:rPr>
                <w:webHidden/>
              </w:rPr>
              <w:fldChar w:fldCharType="begin"/>
            </w:r>
            <w:r w:rsidR="007F0506" w:rsidRPr="007F0506">
              <w:rPr>
                <w:webHidden/>
              </w:rPr>
              <w:instrText xml:space="preserve"> PAGEREF _Toc485990880 \h </w:instrText>
            </w:r>
            <w:r w:rsidR="007F0506" w:rsidRPr="007F0506">
              <w:rPr>
                <w:webHidden/>
              </w:rPr>
            </w:r>
            <w:r w:rsidR="007F0506" w:rsidRPr="007F0506">
              <w:rPr>
                <w:webHidden/>
              </w:rPr>
              <w:fldChar w:fldCharType="separate"/>
            </w:r>
            <w:r w:rsidR="00B02A8D">
              <w:rPr>
                <w:webHidden/>
              </w:rPr>
              <w:t>42</w:t>
            </w:r>
            <w:r w:rsidR="007F0506" w:rsidRPr="007F0506">
              <w:rPr>
                <w:webHidden/>
              </w:rPr>
              <w:fldChar w:fldCharType="end"/>
            </w:r>
          </w:hyperlink>
        </w:p>
        <w:p w14:paraId="0C33DB71" w14:textId="77777777" w:rsidR="007F0506" w:rsidRPr="00173270" w:rsidRDefault="009D4480" w:rsidP="00173270">
          <w:pPr>
            <w:pStyle w:val="Inhopg2"/>
            <w:rPr>
              <w:rFonts w:eastAsiaTheme="minorEastAsia" w:cstheme="minorBidi"/>
              <w:sz w:val="24"/>
              <w:szCs w:val="24"/>
            </w:rPr>
          </w:pPr>
          <w:hyperlink w:anchor="_Toc485990881" w:history="1">
            <w:r w:rsidR="007F0506" w:rsidRPr="00173270">
              <w:rPr>
                <w:rStyle w:val="Hyperlink"/>
                <w:i w:val="0"/>
              </w:rPr>
              <w:t>6.1</w:t>
            </w:r>
            <w:r w:rsidR="007F0506" w:rsidRPr="00173270">
              <w:rPr>
                <w:rFonts w:eastAsiaTheme="minorEastAsia" w:cstheme="minorBidi"/>
                <w:sz w:val="24"/>
                <w:szCs w:val="24"/>
              </w:rPr>
              <w:tab/>
            </w:r>
            <w:r w:rsidR="007F0506" w:rsidRPr="00173270">
              <w:rPr>
                <w:rStyle w:val="Hyperlink"/>
                <w:i w:val="0"/>
              </w:rPr>
              <w:t>Casus 1: ‘overstroming in Nederland’</w:t>
            </w:r>
            <w:r w:rsidR="007F0506" w:rsidRPr="00173270">
              <w:rPr>
                <w:webHidden/>
              </w:rPr>
              <w:tab/>
            </w:r>
            <w:r w:rsidR="007F0506" w:rsidRPr="00173270">
              <w:rPr>
                <w:webHidden/>
              </w:rPr>
              <w:fldChar w:fldCharType="begin"/>
            </w:r>
            <w:r w:rsidR="007F0506" w:rsidRPr="00173270">
              <w:rPr>
                <w:webHidden/>
              </w:rPr>
              <w:instrText xml:space="preserve"> PAGEREF _Toc485990881 \h </w:instrText>
            </w:r>
            <w:r w:rsidR="007F0506" w:rsidRPr="00173270">
              <w:rPr>
                <w:webHidden/>
              </w:rPr>
            </w:r>
            <w:r w:rsidR="007F0506" w:rsidRPr="00173270">
              <w:rPr>
                <w:webHidden/>
              </w:rPr>
              <w:fldChar w:fldCharType="separate"/>
            </w:r>
            <w:r w:rsidR="00B02A8D" w:rsidRPr="00173270">
              <w:rPr>
                <w:webHidden/>
              </w:rPr>
              <w:t>42</w:t>
            </w:r>
            <w:r w:rsidR="007F0506" w:rsidRPr="00173270">
              <w:rPr>
                <w:webHidden/>
              </w:rPr>
              <w:fldChar w:fldCharType="end"/>
            </w:r>
          </w:hyperlink>
        </w:p>
        <w:p w14:paraId="3C76338D" w14:textId="6A57FAD6" w:rsidR="007F0506" w:rsidRPr="007F0506" w:rsidRDefault="00B02A8D" w:rsidP="00173270">
          <w:pPr>
            <w:pStyle w:val="Inhopg2"/>
            <w:rPr>
              <w:rFonts w:eastAsiaTheme="minorEastAsia" w:cstheme="minorBidi"/>
              <w:sz w:val="24"/>
              <w:szCs w:val="24"/>
            </w:rPr>
          </w:pPr>
          <w:r w:rsidRPr="00B02A8D">
            <w:t xml:space="preserve">                  </w:t>
          </w:r>
          <w:hyperlink w:anchor="_Toc485990882" w:history="1">
            <w:r w:rsidR="007F0506" w:rsidRPr="007F0506">
              <w:rPr>
                <w:rStyle w:val="Hyperlink"/>
                <w:i w:val="0"/>
              </w:rPr>
              <w:t>Ethische aspecten huidige risicoanalyse hoogwaterveiligheid ILT</w:t>
            </w:r>
            <w:r w:rsidR="007F0506" w:rsidRPr="007F0506">
              <w:rPr>
                <w:webHidden/>
              </w:rPr>
              <w:tab/>
            </w:r>
            <w:r w:rsidR="007F0506" w:rsidRPr="007F0506">
              <w:rPr>
                <w:webHidden/>
              </w:rPr>
              <w:fldChar w:fldCharType="begin"/>
            </w:r>
            <w:r w:rsidR="007F0506" w:rsidRPr="007F0506">
              <w:rPr>
                <w:webHidden/>
              </w:rPr>
              <w:instrText xml:space="preserve"> PAGEREF _Toc485990882 \h </w:instrText>
            </w:r>
            <w:r w:rsidR="007F0506" w:rsidRPr="007F0506">
              <w:rPr>
                <w:webHidden/>
              </w:rPr>
            </w:r>
            <w:r w:rsidR="007F0506" w:rsidRPr="007F0506">
              <w:rPr>
                <w:webHidden/>
              </w:rPr>
              <w:fldChar w:fldCharType="separate"/>
            </w:r>
            <w:r>
              <w:rPr>
                <w:webHidden/>
              </w:rPr>
              <w:t>43</w:t>
            </w:r>
            <w:r w:rsidR="007F0506" w:rsidRPr="007F0506">
              <w:rPr>
                <w:webHidden/>
              </w:rPr>
              <w:fldChar w:fldCharType="end"/>
            </w:r>
          </w:hyperlink>
        </w:p>
        <w:p w14:paraId="1DA4763A" w14:textId="3CFC3D06" w:rsidR="007F0506" w:rsidRPr="007F0506" w:rsidRDefault="00B02A8D" w:rsidP="00173270">
          <w:pPr>
            <w:pStyle w:val="Inhopg2"/>
            <w:rPr>
              <w:rFonts w:eastAsiaTheme="minorEastAsia" w:cstheme="minorBidi"/>
              <w:sz w:val="24"/>
              <w:szCs w:val="24"/>
            </w:rPr>
          </w:pPr>
          <w:r w:rsidRPr="00B02A8D">
            <w:t xml:space="preserve">                  </w:t>
          </w:r>
          <w:hyperlink w:anchor="_Toc485990883" w:history="1">
            <w:r w:rsidR="007F0506" w:rsidRPr="007F0506">
              <w:rPr>
                <w:rStyle w:val="Hyperlink"/>
                <w:i w:val="0"/>
              </w:rPr>
              <w:t>Uitbreiding risicoanalyse hoogwaterveiligheid</w:t>
            </w:r>
            <w:r w:rsidR="007F0506" w:rsidRPr="007F0506">
              <w:rPr>
                <w:webHidden/>
              </w:rPr>
              <w:tab/>
            </w:r>
            <w:r w:rsidR="007F0506" w:rsidRPr="007F0506">
              <w:rPr>
                <w:webHidden/>
              </w:rPr>
              <w:fldChar w:fldCharType="begin"/>
            </w:r>
            <w:r w:rsidR="007F0506" w:rsidRPr="007F0506">
              <w:rPr>
                <w:webHidden/>
              </w:rPr>
              <w:instrText xml:space="preserve"> PAGEREF _Toc485990883 \h </w:instrText>
            </w:r>
            <w:r w:rsidR="007F0506" w:rsidRPr="007F0506">
              <w:rPr>
                <w:webHidden/>
              </w:rPr>
            </w:r>
            <w:r w:rsidR="007F0506" w:rsidRPr="007F0506">
              <w:rPr>
                <w:webHidden/>
              </w:rPr>
              <w:fldChar w:fldCharType="separate"/>
            </w:r>
            <w:r>
              <w:rPr>
                <w:webHidden/>
              </w:rPr>
              <w:t>46</w:t>
            </w:r>
            <w:r w:rsidR="007F0506" w:rsidRPr="007F0506">
              <w:rPr>
                <w:webHidden/>
              </w:rPr>
              <w:fldChar w:fldCharType="end"/>
            </w:r>
          </w:hyperlink>
        </w:p>
        <w:p w14:paraId="495845EB" w14:textId="2AD48021" w:rsidR="007F0506" w:rsidRPr="007F0506" w:rsidRDefault="00B02A8D" w:rsidP="00173270">
          <w:pPr>
            <w:pStyle w:val="Inhopg2"/>
            <w:rPr>
              <w:rFonts w:eastAsiaTheme="minorEastAsia" w:cstheme="minorBidi"/>
              <w:sz w:val="24"/>
              <w:szCs w:val="24"/>
            </w:rPr>
          </w:pPr>
          <w:r w:rsidRPr="00B02A8D">
            <w:t xml:space="preserve">                  </w:t>
          </w:r>
          <w:hyperlink w:anchor="_Toc485990884" w:history="1">
            <w:r w:rsidR="007F0506" w:rsidRPr="007F0506">
              <w:rPr>
                <w:rStyle w:val="Hyperlink"/>
                <w:i w:val="0"/>
              </w:rPr>
              <w:t>Deelconclusie</w:t>
            </w:r>
            <w:r w:rsidR="007F0506" w:rsidRPr="007F0506">
              <w:rPr>
                <w:webHidden/>
              </w:rPr>
              <w:tab/>
            </w:r>
            <w:r w:rsidR="007F0506" w:rsidRPr="007F0506">
              <w:rPr>
                <w:webHidden/>
              </w:rPr>
              <w:fldChar w:fldCharType="begin"/>
            </w:r>
            <w:r w:rsidR="007F0506" w:rsidRPr="007F0506">
              <w:rPr>
                <w:webHidden/>
              </w:rPr>
              <w:instrText xml:space="preserve"> PAGEREF _Toc485990884 \h </w:instrText>
            </w:r>
            <w:r w:rsidR="007F0506" w:rsidRPr="007F0506">
              <w:rPr>
                <w:webHidden/>
              </w:rPr>
            </w:r>
            <w:r w:rsidR="007F0506" w:rsidRPr="007F0506">
              <w:rPr>
                <w:webHidden/>
              </w:rPr>
              <w:fldChar w:fldCharType="separate"/>
            </w:r>
            <w:r>
              <w:rPr>
                <w:webHidden/>
              </w:rPr>
              <w:t>47</w:t>
            </w:r>
            <w:r w:rsidR="007F0506" w:rsidRPr="007F0506">
              <w:rPr>
                <w:webHidden/>
              </w:rPr>
              <w:fldChar w:fldCharType="end"/>
            </w:r>
          </w:hyperlink>
        </w:p>
        <w:p w14:paraId="5A7F20B6" w14:textId="77777777" w:rsidR="007F0506" w:rsidRPr="007F0506" w:rsidRDefault="009D4480" w:rsidP="00173270">
          <w:pPr>
            <w:pStyle w:val="Inhopg2"/>
            <w:rPr>
              <w:rFonts w:eastAsiaTheme="minorEastAsia" w:cstheme="minorBidi"/>
              <w:sz w:val="24"/>
              <w:szCs w:val="24"/>
            </w:rPr>
          </w:pPr>
          <w:hyperlink w:anchor="_Toc485990885" w:history="1">
            <w:r w:rsidR="007F0506" w:rsidRPr="007F0506">
              <w:rPr>
                <w:rStyle w:val="Hyperlink"/>
                <w:i w:val="0"/>
              </w:rPr>
              <w:t>6.2</w:t>
            </w:r>
            <w:r w:rsidR="007F0506" w:rsidRPr="007F0506">
              <w:rPr>
                <w:rFonts w:eastAsiaTheme="minorEastAsia" w:cstheme="minorBidi"/>
                <w:sz w:val="24"/>
                <w:szCs w:val="24"/>
              </w:rPr>
              <w:tab/>
            </w:r>
            <w:r w:rsidR="007F0506" w:rsidRPr="007F0506">
              <w:rPr>
                <w:rStyle w:val="Hyperlink"/>
                <w:i w:val="0"/>
              </w:rPr>
              <w:t>Casus 2: ‘stank en geluidsoverlast door luchtvaart’</w:t>
            </w:r>
            <w:r w:rsidR="007F0506" w:rsidRPr="007F0506">
              <w:rPr>
                <w:webHidden/>
              </w:rPr>
              <w:tab/>
            </w:r>
            <w:r w:rsidR="007F0506" w:rsidRPr="007F0506">
              <w:rPr>
                <w:webHidden/>
              </w:rPr>
              <w:fldChar w:fldCharType="begin"/>
            </w:r>
            <w:r w:rsidR="007F0506" w:rsidRPr="007F0506">
              <w:rPr>
                <w:webHidden/>
              </w:rPr>
              <w:instrText xml:space="preserve"> PAGEREF _Toc485990885 \h </w:instrText>
            </w:r>
            <w:r w:rsidR="007F0506" w:rsidRPr="007F0506">
              <w:rPr>
                <w:webHidden/>
              </w:rPr>
            </w:r>
            <w:r w:rsidR="007F0506" w:rsidRPr="007F0506">
              <w:rPr>
                <w:webHidden/>
              </w:rPr>
              <w:fldChar w:fldCharType="separate"/>
            </w:r>
            <w:r w:rsidR="00B02A8D">
              <w:rPr>
                <w:webHidden/>
              </w:rPr>
              <w:t>49</w:t>
            </w:r>
            <w:r w:rsidR="007F0506" w:rsidRPr="007F0506">
              <w:rPr>
                <w:webHidden/>
              </w:rPr>
              <w:fldChar w:fldCharType="end"/>
            </w:r>
          </w:hyperlink>
        </w:p>
        <w:p w14:paraId="5A16C5E0" w14:textId="55976219" w:rsidR="007F0506" w:rsidRPr="007F0506" w:rsidRDefault="00B02A8D" w:rsidP="00173270">
          <w:pPr>
            <w:pStyle w:val="Inhopg2"/>
            <w:rPr>
              <w:rFonts w:eastAsiaTheme="minorEastAsia" w:cstheme="minorBidi"/>
              <w:sz w:val="24"/>
              <w:szCs w:val="24"/>
            </w:rPr>
          </w:pPr>
          <w:r w:rsidRPr="00B02A8D">
            <w:t xml:space="preserve">                  </w:t>
          </w:r>
          <w:hyperlink w:anchor="_Toc485990886" w:history="1">
            <w:r w:rsidR="007F0506" w:rsidRPr="007F0506">
              <w:rPr>
                <w:rStyle w:val="Hyperlink"/>
                <w:i w:val="0"/>
              </w:rPr>
              <w:t>Ethische aspecten huidige risicoanalyse ‘stank en geluidsoverlast door luchtvaart’</w:t>
            </w:r>
            <w:r w:rsidR="007F0506" w:rsidRPr="007F0506">
              <w:rPr>
                <w:webHidden/>
              </w:rPr>
              <w:tab/>
            </w:r>
            <w:r w:rsidR="007F0506" w:rsidRPr="007F0506">
              <w:rPr>
                <w:webHidden/>
              </w:rPr>
              <w:fldChar w:fldCharType="begin"/>
            </w:r>
            <w:r w:rsidR="007F0506" w:rsidRPr="007F0506">
              <w:rPr>
                <w:webHidden/>
              </w:rPr>
              <w:instrText xml:space="preserve"> PAGEREF _Toc485990886 \h </w:instrText>
            </w:r>
            <w:r w:rsidR="007F0506" w:rsidRPr="007F0506">
              <w:rPr>
                <w:webHidden/>
              </w:rPr>
            </w:r>
            <w:r w:rsidR="007F0506" w:rsidRPr="007F0506">
              <w:rPr>
                <w:webHidden/>
              </w:rPr>
              <w:fldChar w:fldCharType="separate"/>
            </w:r>
            <w:r>
              <w:rPr>
                <w:webHidden/>
              </w:rPr>
              <w:t>49</w:t>
            </w:r>
            <w:r w:rsidR="007F0506" w:rsidRPr="007F0506">
              <w:rPr>
                <w:webHidden/>
              </w:rPr>
              <w:fldChar w:fldCharType="end"/>
            </w:r>
          </w:hyperlink>
        </w:p>
        <w:p w14:paraId="36B20176" w14:textId="2576B27A" w:rsidR="007F0506" w:rsidRPr="007F0506" w:rsidRDefault="00B02A8D" w:rsidP="00173270">
          <w:pPr>
            <w:pStyle w:val="Inhopg2"/>
            <w:rPr>
              <w:rFonts w:eastAsiaTheme="minorEastAsia" w:cstheme="minorBidi"/>
              <w:sz w:val="24"/>
              <w:szCs w:val="24"/>
            </w:rPr>
          </w:pPr>
          <w:r w:rsidRPr="00B02A8D">
            <w:t xml:space="preserve">                  </w:t>
          </w:r>
          <w:hyperlink w:anchor="_Toc485990887" w:history="1">
            <w:r w:rsidR="007F0506" w:rsidRPr="007F0506">
              <w:rPr>
                <w:rStyle w:val="Hyperlink"/>
                <w:i w:val="0"/>
              </w:rPr>
              <w:t>Uitbreiding risicoanalyse ‘stank en geluidsoverlast door luchtvaart’</w:t>
            </w:r>
            <w:r w:rsidR="007F0506" w:rsidRPr="007F0506">
              <w:rPr>
                <w:webHidden/>
              </w:rPr>
              <w:tab/>
            </w:r>
            <w:r w:rsidR="007F0506" w:rsidRPr="007F0506">
              <w:rPr>
                <w:webHidden/>
              </w:rPr>
              <w:fldChar w:fldCharType="begin"/>
            </w:r>
            <w:r w:rsidR="007F0506" w:rsidRPr="007F0506">
              <w:rPr>
                <w:webHidden/>
              </w:rPr>
              <w:instrText xml:space="preserve"> PAGEREF _Toc485990887 \h </w:instrText>
            </w:r>
            <w:r w:rsidR="007F0506" w:rsidRPr="007F0506">
              <w:rPr>
                <w:webHidden/>
              </w:rPr>
            </w:r>
            <w:r w:rsidR="007F0506" w:rsidRPr="007F0506">
              <w:rPr>
                <w:webHidden/>
              </w:rPr>
              <w:fldChar w:fldCharType="separate"/>
            </w:r>
            <w:r>
              <w:rPr>
                <w:webHidden/>
              </w:rPr>
              <w:t>51</w:t>
            </w:r>
            <w:r w:rsidR="007F0506" w:rsidRPr="007F0506">
              <w:rPr>
                <w:webHidden/>
              </w:rPr>
              <w:fldChar w:fldCharType="end"/>
            </w:r>
          </w:hyperlink>
        </w:p>
        <w:p w14:paraId="65EED299" w14:textId="25472DC3" w:rsidR="007F0506" w:rsidRPr="007F0506" w:rsidRDefault="00B02A8D" w:rsidP="00173270">
          <w:pPr>
            <w:pStyle w:val="Inhopg2"/>
            <w:rPr>
              <w:rFonts w:eastAsiaTheme="minorEastAsia" w:cstheme="minorBidi"/>
              <w:sz w:val="24"/>
              <w:szCs w:val="24"/>
            </w:rPr>
          </w:pPr>
          <w:r w:rsidRPr="00B02A8D">
            <w:t xml:space="preserve">                  </w:t>
          </w:r>
          <w:hyperlink w:anchor="_Toc485990888" w:history="1">
            <w:r w:rsidR="007F0506" w:rsidRPr="007F0506">
              <w:rPr>
                <w:rStyle w:val="Hyperlink"/>
                <w:i w:val="0"/>
              </w:rPr>
              <w:t>Deelconclusie</w:t>
            </w:r>
            <w:r w:rsidR="007F0506" w:rsidRPr="007F0506">
              <w:rPr>
                <w:webHidden/>
              </w:rPr>
              <w:tab/>
            </w:r>
            <w:r w:rsidR="007F0506" w:rsidRPr="007F0506">
              <w:rPr>
                <w:webHidden/>
              </w:rPr>
              <w:fldChar w:fldCharType="begin"/>
            </w:r>
            <w:r w:rsidR="007F0506" w:rsidRPr="007F0506">
              <w:rPr>
                <w:webHidden/>
              </w:rPr>
              <w:instrText xml:space="preserve"> PAGEREF _Toc485990888 \h </w:instrText>
            </w:r>
            <w:r w:rsidR="007F0506" w:rsidRPr="007F0506">
              <w:rPr>
                <w:webHidden/>
              </w:rPr>
            </w:r>
            <w:r w:rsidR="007F0506" w:rsidRPr="007F0506">
              <w:rPr>
                <w:webHidden/>
              </w:rPr>
              <w:fldChar w:fldCharType="separate"/>
            </w:r>
            <w:r>
              <w:rPr>
                <w:webHidden/>
              </w:rPr>
              <w:t>53</w:t>
            </w:r>
            <w:r w:rsidR="007F0506" w:rsidRPr="007F0506">
              <w:rPr>
                <w:webHidden/>
              </w:rPr>
              <w:fldChar w:fldCharType="end"/>
            </w:r>
          </w:hyperlink>
        </w:p>
        <w:p w14:paraId="16122368" w14:textId="77777777" w:rsidR="007F0506" w:rsidRPr="007F0506" w:rsidRDefault="009D4480" w:rsidP="00173270">
          <w:pPr>
            <w:pStyle w:val="Inhopg2"/>
            <w:rPr>
              <w:rFonts w:eastAsiaTheme="minorEastAsia" w:cstheme="minorBidi"/>
              <w:sz w:val="24"/>
              <w:szCs w:val="24"/>
            </w:rPr>
          </w:pPr>
          <w:hyperlink w:anchor="_Toc485990889" w:history="1">
            <w:r w:rsidR="007F0506" w:rsidRPr="007F0506">
              <w:rPr>
                <w:rStyle w:val="Hyperlink"/>
                <w:i w:val="0"/>
              </w:rPr>
              <w:t>6.3</w:t>
            </w:r>
            <w:r w:rsidR="007F0506" w:rsidRPr="007F0506">
              <w:rPr>
                <w:rFonts w:eastAsiaTheme="minorEastAsia" w:cstheme="minorBidi"/>
                <w:sz w:val="24"/>
                <w:szCs w:val="24"/>
              </w:rPr>
              <w:tab/>
            </w:r>
            <w:r w:rsidR="007F0506" w:rsidRPr="007F0506">
              <w:rPr>
                <w:rStyle w:val="Hyperlink"/>
                <w:i w:val="0"/>
              </w:rPr>
              <w:t>Casus 3: ‘ongewenste verspreiding genetisch gemanipuleerde organismen (GGO’s)’</w:t>
            </w:r>
            <w:r w:rsidR="007F0506" w:rsidRPr="007F0506">
              <w:rPr>
                <w:webHidden/>
              </w:rPr>
              <w:tab/>
            </w:r>
            <w:r w:rsidR="007F0506" w:rsidRPr="007F0506">
              <w:rPr>
                <w:webHidden/>
              </w:rPr>
              <w:fldChar w:fldCharType="begin"/>
            </w:r>
            <w:r w:rsidR="007F0506" w:rsidRPr="007F0506">
              <w:rPr>
                <w:webHidden/>
              </w:rPr>
              <w:instrText xml:space="preserve"> PAGEREF _Toc485990889 \h </w:instrText>
            </w:r>
            <w:r w:rsidR="007F0506" w:rsidRPr="007F0506">
              <w:rPr>
                <w:webHidden/>
              </w:rPr>
            </w:r>
            <w:r w:rsidR="007F0506" w:rsidRPr="007F0506">
              <w:rPr>
                <w:webHidden/>
              </w:rPr>
              <w:fldChar w:fldCharType="separate"/>
            </w:r>
            <w:r w:rsidR="00B02A8D">
              <w:rPr>
                <w:webHidden/>
              </w:rPr>
              <w:t>55</w:t>
            </w:r>
            <w:r w:rsidR="007F0506" w:rsidRPr="007F0506">
              <w:rPr>
                <w:webHidden/>
              </w:rPr>
              <w:fldChar w:fldCharType="end"/>
            </w:r>
          </w:hyperlink>
        </w:p>
        <w:p w14:paraId="50E50EDE" w14:textId="23428D5B" w:rsidR="007F0506" w:rsidRPr="007F0506" w:rsidRDefault="00B02A8D" w:rsidP="00173270">
          <w:pPr>
            <w:pStyle w:val="Inhopg2"/>
            <w:rPr>
              <w:rFonts w:eastAsiaTheme="minorEastAsia" w:cstheme="minorBidi"/>
              <w:sz w:val="24"/>
              <w:szCs w:val="24"/>
            </w:rPr>
          </w:pPr>
          <w:r w:rsidRPr="00B02A8D">
            <w:t xml:space="preserve">                  </w:t>
          </w:r>
          <w:hyperlink w:anchor="_Toc485990890" w:history="1">
            <w:r w:rsidR="007F0506" w:rsidRPr="007F0506">
              <w:rPr>
                <w:rStyle w:val="Hyperlink"/>
                <w:i w:val="0"/>
              </w:rPr>
              <w:t>Ethische aspecten huidige risicoanalyse ‘ongewenste verspreiding genetisch gemanipuleerde organismen (GGO’s)’</w:t>
            </w:r>
            <w:r w:rsidR="007F0506" w:rsidRPr="007F0506">
              <w:rPr>
                <w:webHidden/>
              </w:rPr>
              <w:tab/>
            </w:r>
            <w:r w:rsidR="007F0506" w:rsidRPr="007F0506">
              <w:rPr>
                <w:webHidden/>
              </w:rPr>
              <w:fldChar w:fldCharType="begin"/>
            </w:r>
            <w:r w:rsidR="007F0506" w:rsidRPr="007F0506">
              <w:rPr>
                <w:webHidden/>
              </w:rPr>
              <w:instrText xml:space="preserve"> PAGEREF _Toc485990890 \h </w:instrText>
            </w:r>
            <w:r w:rsidR="007F0506" w:rsidRPr="007F0506">
              <w:rPr>
                <w:webHidden/>
              </w:rPr>
            </w:r>
            <w:r w:rsidR="007F0506" w:rsidRPr="007F0506">
              <w:rPr>
                <w:webHidden/>
              </w:rPr>
              <w:fldChar w:fldCharType="separate"/>
            </w:r>
            <w:r>
              <w:rPr>
                <w:webHidden/>
              </w:rPr>
              <w:t>56</w:t>
            </w:r>
            <w:r w:rsidR="007F0506" w:rsidRPr="007F0506">
              <w:rPr>
                <w:webHidden/>
              </w:rPr>
              <w:fldChar w:fldCharType="end"/>
            </w:r>
          </w:hyperlink>
        </w:p>
        <w:p w14:paraId="7E783C6D" w14:textId="4AF93B17" w:rsidR="007F0506" w:rsidRPr="007F0506" w:rsidRDefault="00B02A8D" w:rsidP="00173270">
          <w:pPr>
            <w:pStyle w:val="Inhopg2"/>
            <w:rPr>
              <w:rFonts w:eastAsiaTheme="minorEastAsia" w:cstheme="minorBidi"/>
              <w:sz w:val="24"/>
              <w:szCs w:val="24"/>
            </w:rPr>
          </w:pPr>
          <w:r w:rsidRPr="00B02A8D">
            <w:t xml:space="preserve">                  </w:t>
          </w:r>
          <w:hyperlink w:anchor="_Toc485990891" w:history="1">
            <w:r w:rsidR="007F0506" w:rsidRPr="007F0506">
              <w:rPr>
                <w:rStyle w:val="Hyperlink"/>
                <w:i w:val="0"/>
              </w:rPr>
              <w:t>Uitbreiding risicoanalyse ‘ongewenste verspreiding genetisch gemanipuleerde organismen (GGO’s)’</w:t>
            </w:r>
            <w:r w:rsidR="007F0506" w:rsidRPr="007F0506">
              <w:rPr>
                <w:webHidden/>
              </w:rPr>
              <w:tab/>
            </w:r>
            <w:r w:rsidR="007F0506" w:rsidRPr="007F0506">
              <w:rPr>
                <w:webHidden/>
              </w:rPr>
              <w:fldChar w:fldCharType="begin"/>
            </w:r>
            <w:r w:rsidR="007F0506" w:rsidRPr="007F0506">
              <w:rPr>
                <w:webHidden/>
              </w:rPr>
              <w:instrText xml:space="preserve"> PAGEREF _Toc485990891 \h </w:instrText>
            </w:r>
            <w:r w:rsidR="007F0506" w:rsidRPr="007F0506">
              <w:rPr>
                <w:webHidden/>
              </w:rPr>
            </w:r>
            <w:r w:rsidR="007F0506" w:rsidRPr="007F0506">
              <w:rPr>
                <w:webHidden/>
              </w:rPr>
              <w:fldChar w:fldCharType="separate"/>
            </w:r>
            <w:r>
              <w:rPr>
                <w:webHidden/>
              </w:rPr>
              <w:t>58</w:t>
            </w:r>
            <w:r w:rsidR="007F0506" w:rsidRPr="007F0506">
              <w:rPr>
                <w:webHidden/>
              </w:rPr>
              <w:fldChar w:fldCharType="end"/>
            </w:r>
          </w:hyperlink>
        </w:p>
        <w:p w14:paraId="65B3235F" w14:textId="5118A8D0" w:rsidR="007F0506" w:rsidRPr="007F0506" w:rsidRDefault="00B02A8D" w:rsidP="00173270">
          <w:pPr>
            <w:pStyle w:val="Inhopg2"/>
            <w:rPr>
              <w:rFonts w:eastAsiaTheme="minorEastAsia" w:cstheme="minorBidi"/>
              <w:sz w:val="24"/>
              <w:szCs w:val="24"/>
            </w:rPr>
          </w:pPr>
          <w:r w:rsidRPr="00B02A8D">
            <w:t xml:space="preserve">                  </w:t>
          </w:r>
          <w:hyperlink w:anchor="_Toc485990892" w:history="1">
            <w:r w:rsidR="007F0506" w:rsidRPr="007F0506">
              <w:rPr>
                <w:rStyle w:val="Hyperlink"/>
                <w:i w:val="0"/>
              </w:rPr>
              <w:t>Deelconclusie</w:t>
            </w:r>
            <w:r w:rsidR="007F0506" w:rsidRPr="007F0506">
              <w:rPr>
                <w:webHidden/>
              </w:rPr>
              <w:tab/>
            </w:r>
            <w:r w:rsidR="007F0506" w:rsidRPr="007F0506">
              <w:rPr>
                <w:webHidden/>
              </w:rPr>
              <w:fldChar w:fldCharType="begin"/>
            </w:r>
            <w:r w:rsidR="007F0506" w:rsidRPr="007F0506">
              <w:rPr>
                <w:webHidden/>
              </w:rPr>
              <w:instrText xml:space="preserve"> PAGEREF _Toc485990892 \h </w:instrText>
            </w:r>
            <w:r w:rsidR="007F0506" w:rsidRPr="007F0506">
              <w:rPr>
                <w:webHidden/>
              </w:rPr>
            </w:r>
            <w:r w:rsidR="007F0506" w:rsidRPr="007F0506">
              <w:rPr>
                <w:webHidden/>
              </w:rPr>
              <w:fldChar w:fldCharType="separate"/>
            </w:r>
            <w:r>
              <w:rPr>
                <w:webHidden/>
              </w:rPr>
              <w:t>59</w:t>
            </w:r>
            <w:r w:rsidR="007F0506" w:rsidRPr="007F0506">
              <w:rPr>
                <w:webHidden/>
              </w:rPr>
              <w:fldChar w:fldCharType="end"/>
            </w:r>
          </w:hyperlink>
        </w:p>
        <w:p w14:paraId="2460E46E" w14:textId="77777777" w:rsidR="007F0506" w:rsidRPr="007F0506" w:rsidRDefault="009D4480" w:rsidP="00173270">
          <w:pPr>
            <w:pStyle w:val="Inhopg2"/>
            <w:rPr>
              <w:rFonts w:eastAsiaTheme="minorEastAsia" w:cstheme="minorBidi"/>
              <w:sz w:val="24"/>
              <w:szCs w:val="24"/>
            </w:rPr>
          </w:pPr>
          <w:hyperlink w:anchor="_Toc485990893" w:history="1">
            <w:r w:rsidR="007F0506" w:rsidRPr="007F0506">
              <w:rPr>
                <w:rStyle w:val="Hyperlink"/>
                <w:i w:val="0"/>
              </w:rPr>
              <w:t>6.4</w:t>
            </w:r>
            <w:r w:rsidR="007F0506" w:rsidRPr="007F0506">
              <w:rPr>
                <w:rFonts w:eastAsiaTheme="minorEastAsia" w:cstheme="minorBidi"/>
                <w:sz w:val="24"/>
                <w:szCs w:val="24"/>
              </w:rPr>
              <w:tab/>
            </w:r>
            <w:r w:rsidR="007F0506" w:rsidRPr="007F0506">
              <w:rPr>
                <w:rStyle w:val="Hyperlink"/>
                <w:i w:val="0"/>
              </w:rPr>
              <w:t>Terugblik cases</w:t>
            </w:r>
            <w:r w:rsidR="007F0506" w:rsidRPr="007F0506">
              <w:rPr>
                <w:webHidden/>
              </w:rPr>
              <w:tab/>
            </w:r>
            <w:r w:rsidR="007F0506" w:rsidRPr="007F0506">
              <w:rPr>
                <w:webHidden/>
              </w:rPr>
              <w:fldChar w:fldCharType="begin"/>
            </w:r>
            <w:r w:rsidR="007F0506" w:rsidRPr="007F0506">
              <w:rPr>
                <w:webHidden/>
              </w:rPr>
              <w:instrText xml:space="preserve"> PAGEREF _Toc485990893 \h </w:instrText>
            </w:r>
            <w:r w:rsidR="007F0506" w:rsidRPr="007F0506">
              <w:rPr>
                <w:webHidden/>
              </w:rPr>
            </w:r>
            <w:r w:rsidR="007F0506" w:rsidRPr="007F0506">
              <w:rPr>
                <w:webHidden/>
              </w:rPr>
              <w:fldChar w:fldCharType="separate"/>
            </w:r>
            <w:r w:rsidR="00B02A8D">
              <w:rPr>
                <w:webHidden/>
              </w:rPr>
              <w:t>60</w:t>
            </w:r>
            <w:r w:rsidR="007F0506" w:rsidRPr="007F0506">
              <w:rPr>
                <w:webHidden/>
              </w:rPr>
              <w:fldChar w:fldCharType="end"/>
            </w:r>
          </w:hyperlink>
        </w:p>
        <w:p w14:paraId="34281F89" w14:textId="77777777" w:rsidR="007F0506" w:rsidRPr="007F0506" w:rsidRDefault="009D4480" w:rsidP="00173270">
          <w:pPr>
            <w:pStyle w:val="Inhopg1"/>
            <w:spacing w:line="276" w:lineRule="auto"/>
            <w:rPr>
              <w:rFonts w:eastAsiaTheme="minorEastAsia" w:cstheme="minorBidi"/>
              <w:b w:val="0"/>
              <w:color w:val="auto"/>
              <w:sz w:val="24"/>
              <w:szCs w:val="24"/>
            </w:rPr>
          </w:pPr>
          <w:hyperlink w:anchor="_Toc485990894" w:history="1">
            <w:r w:rsidR="007F0506" w:rsidRPr="007F0506">
              <w:rPr>
                <w:rStyle w:val="Hyperlink"/>
              </w:rPr>
              <w:t>7.</w:t>
            </w:r>
            <w:r w:rsidR="007F0506" w:rsidRPr="007F0506">
              <w:rPr>
                <w:rFonts w:eastAsiaTheme="minorEastAsia" w:cstheme="minorBidi"/>
                <w:b w:val="0"/>
                <w:color w:val="auto"/>
                <w:sz w:val="24"/>
                <w:szCs w:val="24"/>
              </w:rPr>
              <w:tab/>
            </w:r>
            <w:r w:rsidR="007F0506" w:rsidRPr="007F0506">
              <w:rPr>
                <w:rStyle w:val="Hyperlink"/>
              </w:rPr>
              <w:t>Conclusie</w:t>
            </w:r>
            <w:r w:rsidR="007F0506" w:rsidRPr="007F0506">
              <w:rPr>
                <w:webHidden/>
              </w:rPr>
              <w:tab/>
            </w:r>
            <w:r w:rsidR="007F0506" w:rsidRPr="007F0506">
              <w:rPr>
                <w:webHidden/>
              </w:rPr>
              <w:fldChar w:fldCharType="begin"/>
            </w:r>
            <w:r w:rsidR="007F0506" w:rsidRPr="007F0506">
              <w:rPr>
                <w:webHidden/>
              </w:rPr>
              <w:instrText xml:space="preserve"> PAGEREF _Toc485990894 \h </w:instrText>
            </w:r>
            <w:r w:rsidR="007F0506" w:rsidRPr="007F0506">
              <w:rPr>
                <w:webHidden/>
              </w:rPr>
            </w:r>
            <w:r w:rsidR="007F0506" w:rsidRPr="007F0506">
              <w:rPr>
                <w:webHidden/>
              </w:rPr>
              <w:fldChar w:fldCharType="separate"/>
            </w:r>
            <w:r w:rsidR="00B02A8D">
              <w:rPr>
                <w:webHidden/>
              </w:rPr>
              <w:t>61</w:t>
            </w:r>
            <w:r w:rsidR="007F0506" w:rsidRPr="007F0506">
              <w:rPr>
                <w:webHidden/>
              </w:rPr>
              <w:fldChar w:fldCharType="end"/>
            </w:r>
          </w:hyperlink>
        </w:p>
        <w:p w14:paraId="024EA0DE" w14:textId="77777777" w:rsidR="007F0506" w:rsidRPr="007F0506" w:rsidRDefault="009D4480" w:rsidP="00173270">
          <w:pPr>
            <w:pStyle w:val="Inhopg2"/>
            <w:rPr>
              <w:rFonts w:eastAsiaTheme="minorEastAsia" w:cstheme="minorBidi"/>
              <w:sz w:val="24"/>
              <w:szCs w:val="24"/>
            </w:rPr>
          </w:pPr>
          <w:hyperlink w:anchor="_Toc485990895" w:history="1">
            <w:r w:rsidR="007F0506" w:rsidRPr="007F0506">
              <w:rPr>
                <w:rStyle w:val="Hyperlink"/>
                <w:rFonts w:eastAsia="Tahoma"/>
                <w:i w:val="0"/>
              </w:rPr>
              <w:t>Praktische handvatten ILT</w:t>
            </w:r>
            <w:r w:rsidR="007F0506" w:rsidRPr="007F0506">
              <w:rPr>
                <w:webHidden/>
              </w:rPr>
              <w:tab/>
            </w:r>
            <w:r w:rsidR="007F0506" w:rsidRPr="007F0506">
              <w:rPr>
                <w:webHidden/>
              </w:rPr>
              <w:fldChar w:fldCharType="begin"/>
            </w:r>
            <w:r w:rsidR="007F0506" w:rsidRPr="007F0506">
              <w:rPr>
                <w:webHidden/>
              </w:rPr>
              <w:instrText xml:space="preserve"> PAGEREF _Toc485990895 \h </w:instrText>
            </w:r>
            <w:r w:rsidR="007F0506" w:rsidRPr="007F0506">
              <w:rPr>
                <w:webHidden/>
              </w:rPr>
            </w:r>
            <w:r w:rsidR="007F0506" w:rsidRPr="007F0506">
              <w:rPr>
                <w:webHidden/>
              </w:rPr>
              <w:fldChar w:fldCharType="separate"/>
            </w:r>
            <w:r w:rsidR="00B02A8D">
              <w:rPr>
                <w:webHidden/>
              </w:rPr>
              <w:t>63</w:t>
            </w:r>
            <w:r w:rsidR="007F0506" w:rsidRPr="007F0506">
              <w:rPr>
                <w:webHidden/>
              </w:rPr>
              <w:fldChar w:fldCharType="end"/>
            </w:r>
          </w:hyperlink>
        </w:p>
        <w:p w14:paraId="1D7E0CD0" w14:textId="77777777" w:rsidR="007F0506" w:rsidRPr="007F0506" w:rsidRDefault="009D4480" w:rsidP="00173270">
          <w:pPr>
            <w:pStyle w:val="Inhopg2"/>
            <w:rPr>
              <w:rFonts w:eastAsiaTheme="minorEastAsia" w:cstheme="minorBidi"/>
              <w:sz w:val="24"/>
              <w:szCs w:val="24"/>
            </w:rPr>
          </w:pPr>
          <w:hyperlink w:anchor="_Toc485990896" w:history="1">
            <w:r w:rsidR="007F0506" w:rsidRPr="007F0506">
              <w:rPr>
                <w:rStyle w:val="Hyperlink"/>
                <w:i w:val="0"/>
              </w:rPr>
              <w:t>Discussie en vervolgonderzoek</w:t>
            </w:r>
            <w:r w:rsidR="007F0506" w:rsidRPr="007F0506">
              <w:rPr>
                <w:webHidden/>
              </w:rPr>
              <w:tab/>
            </w:r>
            <w:r w:rsidR="007F0506" w:rsidRPr="007F0506">
              <w:rPr>
                <w:webHidden/>
              </w:rPr>
              <w:fldChar w:fldCharType="begin"/>
            </w:r>
            <w:r w:rsidR="007F0506" w:rsidRPr="007F0506">
              <w:rPr>
                <w:webHidden/>
              </w:rPr>
              <w:instrText xml:space="preserve"> PAGEREF _Toc485990896 \h </w:instrText>
            </w:r>
            <w:r w:rsidR="007F0506" w:rsidRPr="007F0506">
              <w:rPr>
                <w:webHidden/>
              </w:rPr>
            </w:r>
            <w:r w:rsidR="007F0506" w:rsidRPr="007F0506">
              <w:rPr>
                <w:webHidden/>
              </w:rPr>
              <w:fldChar w:fldCharType="separate"/>
            </w:r>
            <w:r w:rsidR="00B02A8D">
              <w:rPr>
                <w:webHidden/>
              </w:rPr>
              <w:t>64</w:t>
            </w:r>
            <w:r w:rsidR="007F0506" w:rsidRPr="007F0506">
              <w:rPr>
                <w:webHidden/>
              </w:rPr>
              <w:fldChar w:fldCharType="end"/>
            </w:r>
          </w:hyperlink>
        </w:p>
        <w:p w14:paraId="07BE48D5" w14:textId="77777777" w:rsidR="007F0506" w:rsidRPr="00B02A8D" w:rsidRDefault="009D4480" w:rsidP="00173270">
          <w:pPr>
            <w:pStyle w:val="Inhopg1"/>
            <w:spacing w:line="276" w:lineRule="auto"/>
            <w:rPr>
              <w:rFonts w:eastAsiaTheme="minorEastAsia" w:cstheme="minorBidi"/>
              <w:b w:val="0"/>
              <w:color w:val="000000" w:themeColor="text1"/>
              <w:sz w:val="24"/>
              <w:szCs w:val="24"/>
            </w:rPr>
          </w:pPr>
          <w:hyperlink w:anchor="_Toc485990897" w:history="1">
            <w:r w:rsidR="007F0506" w:rsidRPr="00B02A8D">
              <w:rPr>
                <w:rStyle w:val="Hyperlink"/>
                <w:color w:val="000000" w:themeColor="text1"/>
              </w:rPr>
              <w:t>Literatuur</w:t>
            </w:r>
            <w:r w:rsidR="007F0506" w:rsidRPr="00B02A8D">
              <w:rPr>
                <w:webHidden/>
                <w:color w:val="000000" w:themeColor="text1"/>
              </w:rPr>
              <w:tab/>
            </w:r>
            <w:r w:rsidR="007F0506" w:rsidRPr="00B02A8D">
              <w:rPr>
                <w:webHidden/>
                <w:color w:val="000000" w:themeColor="text1"/>
              </w:rPr>
              <w:fldChar w:fldCharType="begin"/>
            </w:r>
            <w:r w:rsidR="007F0506" w:rsidRPr="00B02A8D">
              <w:rPr>
                <w:webHidden/>
                <w:color w:val="000000" w:themeColor="text1"/>
              </w:rPr>
              <w:instrText xml:space="preserve"> PAGEREF _Toc485990897 \h </w:instrText>
            </w:r>
            <w:r w:rsidR="007F0506" w:rsidRPr="00B02A8D">
              <w:rPr>
                <w:webHidden/>
                <w:color w:val="000000" w:themeColor="text1"/>
              </w:rPr>
            </w:r>
            <w:r w:rsidR="007F0506" w:rsidRPr="00B02A8D">
              <w:rPr>
                <w:webHidden/>
                <w:color w:val="000000" w:themeColor="text1"/>
              </w:rPr>
              <w:fldChar w:fldCharType="separate"/>
            </w:r>
            <w:r w:rsidR="00B02A8D">
              <w:rPr>
                <w:webHidden/>
                <w:color w:val="000000" w:themeColor="text1"/>
              </w:rPr>
              <w:t>66</w:t>
            </w:r>
            <w:r w:rsidR="007F0506" w:rsidRPr="00B02A8D">
              <w:rPr>
                <w:webHidden/>
                <w:color w:val="000000" w:themeColor="text1"/>
              </w:rPr>
              <w:fldChar w:fldCharType="end"/>
            </w:r>
          </w:hyperlink>
        </w:p>
        <w:p w14:paraId="29FCBF83" w14:textId="77777777" w:rsidR="007F0506" w:rsidRPr="00B02A8D" w:rsidRDefault="009D4480" w:rsidP="00173270">
          <w:pPr>
            <w:pStyle w:val="Inhopg1"/>
            <w:spacing w:line="276" w:lineRule="auto"/>
            <w:rPr>
              <w:rFonts w:eastAsiaTheme="minorEastAsia" w:cstheme="minorBidi"/>
              <w:b w:val="0"/>
              <w:color w:val="000000" w:themeColor="text1"/>
              <w:sz w:val="24"/>
              <w:szCs w:val="24"/>
            </w:rPr>
          </w:pPr>
          <w:hyperlink w:anchor="_Toc485990898" w:history="1">
            <w:r w:rsidR="007F0506" w:rsidRPr="00B02A8D">
              <w:rPr>
                <w:rStyle w:val="Hyperlink"/>
                <w:color w:val="000000" w:themeColor="text1"/>
              </w:rPr>
              <w:t>Bijlagen</w:t>
            </w:r>
            <w:r w:rsidR="007F0506" w:rsidRPr="00B02A8D">
              <w:rPr>
                <w:webHidden/>
                <w:color w:val="000000" w:themeColor="text1"/>
              </w:rPr>
              <w:tab/>
            </w:r>
            <w:r w:rsidR="007F0506" w:rsidRPr="00B02A8D">
              <w:rPr>
                <w:webHidden/>
                <w:color w:val="000000" w:themeColor="text1"/>
              </w:rPr>
              <w:fldChar w:fldCharType="begin"/>
            </w:r>
            <w:r w:rsidR="007F0506" w:rsidRPr="00B02A8D">
              <w:rPr>
                <w:webHidden/>
                <w:color w:val="000000" w:themeColor="text1"/>
              </w:rPr>
              <w:instrText xml:space="preserve"> PAGEREF _Toc485990898 \h </w:instrText>
            </w:r>
            <w:r w:rsidR="007F0506" w:rsidRPr="00B02A8D">
              <w:rPr>
                <w:webHidden/>
                <w:color w:val="000000" w:themeColor="text1"/>
              </w:rPr>
            </w:r>
            <w:r w:rsidR="007F0506" w:rsidRPr="00B02A8D">
              <w:rPr>
                <w:webHidden/>
                <w:color w:val="000000" w:themeColor="text1"/>
              </w:rPr>
              <w:fldChar w:fldCharType="separate"/>
            </w:r>
            <w:r w:rsidR="00B02A8D">
              <w:rPr>
                <w:webHidden/>
                <w:color w:val="000000" w:themeColor="text1"/>
              </w:rPr>
              <w:t>68</w:t>
            </w:r>
            <w:r w:rsidR="007F0506" w:rsidRPr="00B02A8D">
              <w:rPr>
                <w:webHidden/>
                <w:color w:val="000000" w:themeColor="text1"/>
              </w:rPr>
              <w:fldChar w:fldCharType="end"/>
            </w:r>
          </w:hyperlink>
        </w:p>
        <w:p w14:paraId="604BDDE7" w14:textId="77777777" w:rsidR="007F0506" w:rsidRPr="00B02A8D" w:rsidRDefault="009D4480" w:rsidP="00173270">
          <w:pPr>
            <w:pStyle w:val="Inhopg2"/>
            <w:rPr>
              <w:rFonts w:eastAsiaTheme="minorEastAsia" w:cstheme="minorBidi"/>
              <w:sz w:val="24"/>
              <w:szCs w:val="24"/>
            </w:rPr>
          </w:pPr>
          <w:hyperlink w:anchor="_Toc485990899" w:history="1">
            <w:r w:rsidR="007F0506" w:rsidRPr="00B02A8D">
              <w:rPr>
                <w:rStyle w:val="Hyperlink"/>
                <w:rFonts w:eastAsia="Tahoma"/>
                <w:i w:val="0"/>
                <w:color w:val="000000" w:themeColor="text1"/>
              </w:rPr>
              <w:t>1.</w:t>
            </w:r>
            <w:r w:rsidR="007F0506" w:rsidRPr="00B02A8D">
              <w:rPr>
                <w:rFonts w:eastAsiaTheme="minorEastAsia" w:cstheme="minorBidi"/>
                <w:sz w:val="24"/>
                <w:szCs w:val="24"/>
              </w:rPr>
              <w:tab/>
            </w:r>
            <w:r w:rsidR="007F0506" w:rsidRPr="00B02A8D">
              <w:rPr>
                <w:rStyle w:val="Hyperlink"/>
                <w:rFonts w:eastAsia="Tahoma"/>
                <w:i w:val="0"/>
                <w:color w:val="000000" w:themeColor="text1"/>
              </w:rPr>
              <w:t>Risicolijst risicocatalogus Inspectie Leefomgeving en Transport</w:t>
            </w:r>
            <w:r w:rsidR="007F0506" w:rsidRPr="00B02A8D">
              <w:rPr>
                <w:webHidden/>
              </w:rPr>
              <w:tab/>
            </w:r>
            <w:r w:rsidR="007F0506" w:rsidRPr="00B02A8D">
              <w:rPr>
                <w:webHidden/>
              </w:rPr>
              <w:fldChar w:fldCharType="begin"/>
            </w:r>
            <w:r w:rsidR="007F0506" w:rsidRPr="00B02A8D">
              <w:rPr>
                <w:webHidden/>
              </w:rPr>
              <w:instrText xml:space="preserve"> PAGEREF _Toc485990899 \h </w:instrText>
            </w:r>
            <w:r w:rsidR="007F0506" w:rsidRPr="00B02A8D">
              <w:rPr>
                <w:webHidden/>
              </w:rPr>
            </w:r>
            <w:r w:rsidR="007F0506" w:rsidRPr="00B02A8D">
              <w:rPr>
                <w:webHidden/>
              </w:rPr>
              <w:fldChar w:fldCharType="separate"/>
            </w:r>
            <w:r w:rsidR="00B02A8D">
              <w:rPr>
                <w:webHidden/>
              </w:rPr>
              <w:t>68</w:t>
            </w:r>
            <w:r w:rsidR="007F0506" w:rsidRPr="00B02A8D">
              <w:rPr>
                <w:webHidden/>
              </w:rPr>
              <w:fldChar w:fldCharType="end"/>
            </w:r>
          </w:hyperlink>
        </w:p>
        <w:p w14:paraId="598CD489" w14:textId="77777777" w:rsidR="007F0506" w:rsidRPr="00B02A8D" w:rsidRDefault="009D4480" w:rsidP="00173270">
          <w:pPr>
            <w:pStyle w:val="Inhopg2"/>
            <w:rPr>
              <w:rFonts w:eastAsiaTheme="minorEastAsia" w:cstheme="minorBidi"/>
              <w:sz w:val="24"/>
              <w:szCs w:val="24"/>
            </w:rPr>
          </w:pPr>
          <w:hyperlink w:anchor="_Toc485990900" w:history="1">
            <w:r w:rsidR="007F0506" w:rsidRPr="00B02A8D">
              <w:rPr>
                <w:rStyle w:val="Hyperlink"/>
                <w:rFonts w:eastAsia="Tahoma"/>
                <w:i w:val="0"/>
                <w:color w:val="000000" w:themeColor="text1"/>
              </w:rPr>
              <w:t>2.</w:t>
            </w:r>
            <w:r w:rsidR="007F0506" w:rsidRPr="00B02A8D">
              <w:rPr>
                <w:rFonts w:eastAsiaTheme="minorEastAsia" w:cstheme="minorBidi"/>
                <w:sz w:val="24"/>
                <w:szCs w:val="24"/>
              </w:rPr>
              <w:tab/>
            </w:r>
            <w:r w:rsidR="007F0506" w:rsidRPr="00B02A8D">
              <w:rPr>
                <w:rStyle w:val="Hyperlink"/>
                <w:rFonts w:eastAsia="Tahoma"/>
                <w:i w:val="0"/>
                <w:color w:val="000000" w:themeColor="text1"/>
              </w:rPr>
              <w:t>Risicosheet casus 1: overstroming in Nederland</w:t>
            </w:r>
            <w:r w:rsidR="007F0506" w:rsidRPr="00B02A8D">
              <w:rPr>
                <w:webHidden/>
              </w:rPr>
              <w:tab/>
            </w:r>
            <w:r w:rsidR="007F0506" w:rsidRPr="00B02A8D">
              <w:rPr>
                <w:webHidden/>
              </w:rPr>
              <w:fldChar w:fldCharType="begin"/>
            </w:r>
            <w:r w:rsidR="007F0506" w:rsidRPr="00B02A8D">
              <w:rPr>
                <w:webHidden/>
              </w:rPr>
              <w:instrText xml:space="preserve"> PAGEREF _Toc485990900 \h </w:instrText>
            </w:r>
            <w:r w:rsidR="007F0506" w:rsidRPr="00B02A8D">
              <w:rPr>
                <w:webHidden/>
              </w:rPr>
            </w:r>
            <w:r w:rsidR="007F0506" w:rsidRPr="00B02A8D">
              <w:rPr>
                <w:webHidden/>
              </w:rPr>
              <w:fldChar w:fldCharType="separate"/>
            </w:r>
            <w:r w:rsidR="00B02A8D">
              <w:rPr>
                <w:webHidden/>
              </w:rPr>
              <w:t>69</w:t>
            </w:r>
            <w:r w:rsidR="007F0506" w:rsidRPr="00B02A8D">
              <w:rPr>
                <w:webHidden/>
              </w:rPr>
              <w:fldChar w:fldCharType="end"/>
            </w:r>
          </w:hyperlink>
        </w:p>
        <w:p w14:paraId="0AC28203" w14:textId="77777777" w:rsidR="007F0506" w:rsidRPr="00B02A8D" w:rsidRDefault="009D4480" w:rsidP="00173270">
          <w:pPr>
            <w:pStyle w:val="Inhopg2"/>
            <w:rPr>
              <w:rFonts w:eastAsiaTheme="minorEastAsia" w:cstheme="minorBidi"/>
              <w:sz w:val="24"/>
              <w:szCs w:val="24"/>
            </w:rPr>
          </w:pPr>
          <w:hyperlink w:anchor="_Toc485990901" w:history="1">
            <w:r w:rsidR="007F0506" w:rsidRPr="00B02A8D">
              <w:rPr>
                <w:rStyle w:val="Hyperlink"/>
                <w:rFonts w:eastAsia="Tahoma"/>
                <w:i w:val="0"/>
                <w:color w:val="000000" w:themeColor="text1"/>
              </w:rPr>
              <w:t>3.</w:t>
            </w:r>
            <w:r w:rsidR="007F0506" w:rsidRPr="00B02A8D">
              <w:rPr>
                <w:rFonts w:eastAsiaTheme="minorEastAsia" w:cstheme="minorBidi"/>
                <w:sz w:val="24"/>
                <w:szCs w:val="24"/>
              </w:rPr>
              <w:tab/>
            </w:r>
            <w:r w:rsidR="007F0506" w:rsidRPr="00B02A8D">
              <w:rPr>
                <w:rStyle w:val="Hyperlink"/>
                <w:rFonts w:eastAsia="Tahoma"/>
                <w:i w:val="0"/>
                <w:color w:val="000000" w:themeColor="text1"/>
              </w:rPr>
              <w:t>Risicosheet casus 2: ongewenste verspreiding genetisch gemanipuleerde organismen</w:t>
            </w:r>
            <w:r w:rsidR="007F0506" w:rsidRPr="00B02A8D">
              <w:rPr>
                <w:webHidden/>
              </w:rPr>
              <w:tab/>
            </w:r>
            <w:r w:rsidR="007F0506" w:rsidRPr="00B02A8D">
              <w:rPr>
                <w:webHidden/>
              </w:rPr>
              <w:fldChar w:fldCharType="begin"/>
            </w:r>
            <w:r w:rsidR="007F0506" w:rsidRPr="00B02A8D">
              <w:rPr>
                <w:webHidden/>
              </w:rPr>
              <w:instrText xml:space="preserve"> PAGEREF _Toc485990901 \h </w:instrText>
            </w:r>
            <w:r w:rsidR="007F0506" w:rsidRPr="00B02A8D">
              <w:rPr>
                <w:webHidden/>
              </w:rPr>
            </w:r>
            <w:r w:rsidR="007F0506" w:rsidRPr="00B02A8D">
              <w:rPr>
                <w:webHidden/>
              </w:rPr>
              <w:fldChar w:fldCharType="separate"/>
            </w:r>
            <w:r w:rsidR="00B02A8D">
              <w:rPr>
                <w:webHidden/>
              </w:rPr>
              <w:t>70</w:t>
            </w:r>
            <w:r w:rsidR="007F0506" w:rsidRPr="00B02A8D">
              <w:rPr>
                <w:webHidden/>
              </w:rPr>
              <w:fldChar w:fldCharType="end"/>
            </w:r>
          </w:hyperlink>
        </w:p>
        <w:p w14:paraId="63025254" w14:textId="77777777" w:rsidR="007F0506" w:rsidRPr="00B02A8D" w:rsidRDefault="009D4480" w:rsidP="00173270">
          <w:pPr>
            <w:pStyle w:val="Inhopg2"/>
            <w:rPr>
              <w:rFonts w:eastAsiaTheme="minorEastAsia" w:cstheme="minorBidi"/>
              <w:sz w:val="24"/>
              <w:szCs w:val="24"/>
            </w:rPr>
          </w:pPr>
          <w:hyperlink w:anchor="_Toc485990902" w:history="1">
            <w:r w:rsidR="007F0506" w:rsidRPr="00B02A8D">
              <w:rPr>
                <w:rStyle w:val="Hyperlink"/>
                <w:rFonts w:eastAsia="Tahoma"/>
                <w:i w:val="0"/>
                <w:color w:val="000000" w:themeColor="text1"/>
              </w:rPr>
              <w:t>4.</w:t>
            </w:r>
            <w:r w:rsidR="007F0506" w:rsidRPr="00B02A8D">
              <w:rPr>
                <w:rFonts w:eastAsiaTheme="minorEastAsia" w:cstheme="minorBidi"/>
                <w:sz w:val="24"/>
                <w:szCs w:val="24"/>
              </w:rPr>
              <w:tab/>
            </w:r>
            <w:r w:rsidR="007F0506" w:rsidRPr="00B02A8D">
              <w:rPr>
                <w:rStyle w:val="Hyperlink"/>
                <w:rFonts w:eastAsia="Tahoma"/>
                <w:i w:val="0"/>
                <w:color w:val="000000" w:themeColor="text1"/>
              </w:rPr>
              <w:t>Risicosheet casus 3: Stank en overlast door luchtvaart</w:t>
            </w:r>
            <w:r w:rsidR="007F0506" w:rsidRPr="00B02A8D">
              <w:rPr>
                <w:webHidden/>
              </w:rPr>
              <w:tab/>
            </w:r>
            <w:r w:rsidR="007F0506" w:rsidRPr="00B02A8D">
              <w:rPr>
                <w:webHidden/>
              </w:rPr>
              <w:fldChar w:fldCharType="begin"/>
            </w:r>
            <w:r w:rsidR="007F0506" w:rsidRPr="00B02A8D">
              <w:rPr>
                <w:webHidden/>
              </w:rPr>
              <w:instrText xml:space="preserve"> PAGEREF _Toc485990902 \h </w:instrText>
            </w:r>
            <w:r w:rsidR="007F0506" w:rsidRPr="00B02A8D">
              <w:rPr>
                <w:webHidden/>
              </w:rPr>
            </w:r>
            <w:r w:rsidR="007F0506" w:rsidRPr="00B02A8D">
              <w:rPr>
                <w:webHidden/>
              </w:rPr>
              <w:fldChar w:fldCharType="separate"/>
            </w:r>
            <w:r w:rsidR="00B02A8D">
              <w:rPr>
                <w:webHidden/>
              </w:rPr>
              <w:t>72</w:t>
            </w:r>
            <w:r w:rsidR="007F0506" w:rsidRPr="00B02A8D">
              <w:rPr>
                <w:webHidden/>
              </w:rPr>
              <w:fldChar w:fldCharType="end"/>
            </w:r>
          </w:hyperlink>
        </w:p>
        <w:p w14:paraId="2163873B" w14:textId="3C36C81B" w:rsidR="00F2603E" w:rsidRPr="00322EEB" w:rsidRDefault="00A61297" w:rsidP="00173270">
          <w:pPr>
            <w:spacing w:line="276" w:lineRule="auto"/>
            <w:jc w:val="both"/>
            <w:rPr>
              <w:rFonts w:ascii="Corbel" w:hAnsi="Corbel" w:cs="Tahoma"/>
              <w:noProof/>
              <w:sz w:val="20"/>
              <w:szCs w:val="20"/>
            </w:rPr>
          </w:pPr>
          <w:r w:rsidRPr="007F0506">
            <w:rPr>
              <w:rFonts w:ascii="Corbel" w:hAnsi="Corbel" w:cs="Tahoma"/>
              <w:b/>
              <w:bCs/>
              <w:noProof/>
              <w:sz w:val="20"/>
              <w:szCs w:val="20"/>
            </w:rPr>
            <w:fldChar w:fldCharType="end"/>
          </w:r>
        </w:p>
      </w:sdtContent>
    </w:sdt>
    <w:p w14:paraId="024798C3" w14:textId="77777777" w:rsidR="00541B6A" w:rsidRPr="00371492" w:rsidRDefault="00541B6A" w:rsidP="00392A92">
      <w:pPr>
        <w:jc w:val="both"/>
        <w:rPr>
          <w:rFonts w:ascii="Corbel" w:hAnsi="Corbel" w:cs="Tahoma"/>
          <w:noProof/>
          <w:sz w:val="20"/>
          <w:szCs w:val="20"/>
        </w:rPr>
      </w:pPr>
    </w:p>
    <w:p w14:paraId="0FBC1868" w14:textId="77777777" w:rsidR="00541B6A" w:rsidRPr="00371492" w:rsidRDefault="00541B6A" w:rsidP="00392A92">
      <w:pPr>
        <w:jc w:val="both"/>
        <w:rPr>
          <w:rFonts w:ascii="Corbel" w:hAnsi="Corbel" w:cs="Tahoma"/>
          <w:noProof/>
          <w:sz w:val="20"/>
          <w:szCs w:val="20"/>
        </w:rPr>
      </w:pPr>
    </w:p>
    <w:p w14:paraId="3E00FDAA" w14:textId="77777777" w:rsidR="00541B6A" w:rsidRPr="00371492" w:rsidRDefault="00541B6A" w:rsidP="00392A92">
      <w:pPr>
        <w:jc w:val="both"/>
        <w:rPr>
          <w:rFonts w:ascii="Corbel" w:hAnsi="Corbel" w:cs="Tahoma"/>
          <w:noProof/>
          <w:sz w:val="20"/>
          <w:szCs w:val="20"/>
        </w:rPr>
      </w:pPr>
    </w:p>
    <w:p w14:paraId="47102FDC" w14:textId="77777777" w:rsidR="00541B6A" w:rsidRPr="00371492" w:rsidRDefault="00541B6A" w:rsidP="00392A92">
      <w:pPr>
        <w:jc w:val="both"/>
        <w:rPr>
          <w:rFonts w:ascii="Corbel" w:hAnsi="Corbel" w:cs="Tahoma"/>
          <w:noProof/>
          <w:sz w:val="20"/>
          <w:szCs w:val="20"/>
        </w:rPr>
      </w:pPr>
    </w:p>
    <w:p w14:paraId="5308E13D" w14:textId="77777777" w:rsidR="00541B6A" w:rsidRPr="00371492" w:rsidRDefault="00541B6A" w:rsidP="00392A92">
      <w:pPr>
        <w:jc w:val="both"/>
        <w:rPr>
          <w:rFonts w:ascii="Corbel" w:hAnsi="Corbel" w:cs="Tahoma"/>
          <w:noProof/>
          <w:sz w:val="20"/>
          <w:szCs w:val="20"/>
        </w:rPr>
      </w:pPr>
    </w:p>
    <w:p w14:paraId="16B5C498" w14:textId="77777777" w:rsidR="00541B6A" w:rsidRPr="00371492" w:rsidRDefault="00541B6A" w:rsidP="00392A92">
      <w:pPr>
        <w:jc w:val="both"/>
        <w:rPr>
          <w:rFonts w:ascii="Corbel" w:hAnsi="Corbel" w:cs="Tahoma"/>
          <w:noProof/>
          <w:sz w:val="20"/>
          <w:szCs w:val="20"/>
        </w:rPr>
      </w:pPr>
    </w:p>
    <w:p w14:paraId="5643B01E" w14:textId="77777777" w:rsidR="00541B6A" w:rsidRPr="00371492" w:rsidRDefault="00541B6A" w:rsidP="00392A92">
      <w:pPr>
        <w:jc w:val="both"/>
        <w:rPr>
          <w:rFonts w:ascii="Corbel" w:hAnsi="Corbel" w:cs="Tahoma"/>
          <w:noProof/>
          <w:sz w:val="20"/>
          <w:szCs w:val="20"/>
        </w:rPr>
      </w:pPr>
    </w:p>
    <w:p w14:paraId="7DC851E0" w14:textId="77777777" w:rsidR="00541B6A" w:rsidRPr="00371492" w:rsidRDefault="00541B6A" w:rsidP="00392A92">
      <w:pPr>
        <w:jc w:val="both"/>
        <w:rPr>
          <w:rFonts w:ascii="Corbel" w:hAnsi="Corbel" w:cs="Tahoma"/>
          <w:noProof/>
          <w:sz w:val="20"/>
          <w:szCs w:val="20"/>
        </w:rPr>
      </w:pPr>
    </w:p>
    <w:p w14:paraId="08F9FC8F" w14:textId="77777777" w:rsidR="00B83653" w:rsidRDefault="00B83653" w:rsidP="00B83653">
      <w:pPr>
        <w:pStyle w:val="Stijl1"/>
        <w:numPr>
          <w:ilvl w:val="0"/>
          <w:numId w:val="0"/>
        </w:numPr>
        <w:rPr>
          <w:noProof/>
        </w:rPr>
      </w:pPr>
    </w:p>
    <w:p w14:paraId="22BF2AE4" w14:textId="77777777" w:rsidR="000961CA" w:rsidRDefault="000961CA" w:rsidP="00B83653">
      <w:pPr>
        <w:pStyle w:val="Stijl1"/>
        <w:numPr>
          <w:ilvl w:val="0"/>
          <w:numId w:val="0"/>
        </w:numPr>
        <w:rPr>
          <w:noProof/>
        </w:rPr>
      </w:pPr>
    </w:p>
    <w:p w14:paraId="04F694FA" w14:textId="77777777" w:rsidR="000961CA" w:rsidRDefault="000961CA" w:rsidP="00B83653">
      <w:pPr>
        <w:pStyle w:val="Stijl1"/>
        <w:numPr>
          <w:ilvl w:val="0"/>
          <w:numId w:val="0"/>
        </w:numPr>
        <w:rPr>
          <w:noProof/>
        </w:rPr>
      </w:pPr>
    </w:p>
    <w:p w14:paraId="02BDF5B8" w14:textId="77777777" w:rsidR="000961CA" w:rsidRDefault="000961CA" w:rsidP="00B83653">
      <w:pPr>
        <w:pStyle w:val="Stijl1"/>
        <w:numPr>
          <w:ilvl w:val="0"/>
          <w:numId w:val="0"/>
        </w:numPr>
        <w:rPr>
          <w:noProof/>
        </w:rPr>
      </w:pPr>
    </w:p>
    <w:p w14:paraId="4C883E7A" w14:textId="77777777" w:rsidR="000961CA" w:rsidRPr="00371492" w:rsidRDefault="000961CA" w:rsidP="00B83653">
      <w:pPr>
        <w:pStyle w:val="Stijl1"/>
        <w:numPr>
          <w:ilvl w:val="0"/>
          <w:numId w:val="0"/>
        </w:numPr>
        <w:rPr>
          <w:noProof/>
        </w:rPr>
      </w:pPr>
    </w:p>
    <w:p w14:paraId="795AA8ED" w14:textId="77777777" w:rsidR="00B83653" w:rsidRPr="00371492" w:rsidRDefault="00B83653" w:rsidP="00B83653">
      <w:pPr>
        <w:pStyle w:val="Stijl1"/>
        <w:numPr>
          <w:ilvl w:val="0"/>
          <w:numId w:val="0"/>
        </w:numPr>
        <w:rPr>
          <w:noProof/>
        </w:rPr>
      </w:pPr>
    </w:p>
    <w:p w14:paraId="260F8808" w14:textId="77777777" w:rsidR="00B83653" w:rsidRPr="00371492" w:rsidRDefault="00B83653" w:rsidP="00B83653">
      <w:pPr>
        <w:pStyle w:val="Stijl1"/>
        <w:numPr>
          <w:ilvl w:val="0"/>
          <w:numId w:val="0"/>
        </w:numPr>
        <w:rPr>
          <w:noProof/>
        </w:rPr>
      </w:pPr>
    </w:p>
    <w:p w14:paraId="3AB2DBCA" w14:textId="77777777" w:rsidR="00B83653" w:rsidRPr="00371492" w:rsidRDefault="00B83653" w:rsidP="00B83653">
      <w:pPr>
        <w:rPr>
          <w:noProof/>
        </w:rPr>
      </w:pPr>
    </w:p>
    <w:p w14:paraId="593568EF" w14:textId="1A3A7056" w:rsidR="00F2603E" w:rsidRPr="00371492" w:rsidRDefault="00F2603E" w:rsidP="00F2603E">
      <w:pPr>
        <w:pStyle w:val="Stijl1"/>
        <w:spacing w:line="360" w:lineRule="auto"/>
        <w:jc w:val="both"/>
        <w:rPr>
          <w:rFonts w:eastAsia="Tahoma" w:cs="Tahoma"/>
          <w:szCs w:val="24"/>
        </w:rPr>
      </w:pPr>
      <w:bookmarkStart w:id="8" w:name="_Toc485990849"/>
      <w:r w:rsidRPr="00371492">
        <w:rPr>
          <w:rFonts w:eastAsia="Tahoma" w:cs="Tahoma"/>
          <w:szCs w:val="24"/>
        </w:rPr>
        <w:lastRenderedPageBreak/>
        <w:t>Inleiding</w:t>
      </w:r>
      <w:bookmarkEnd w:id="8"/>
    </w:p>
    <w:p w14:paraId="7107768F" w14:textId="77777777" w:rsidR="00F2603E" w:rsidRPr="00371492" w:rsidRDefault="00F2603E" w:rsidP="00F2603E">
      <w:pPr>
        <w:spacing w:line="360" w:lineRule="auto"/>
        <w:jc w:val="both"/>
        <w:rPr>
          <w:rFonts w:ascii="Corbel" w:eastAsia="Tahoma" w:hAnsi="Corbel" w:cs="Tahoma"/>
          <w:sz w:val="20"/>
        </w:rPr>
      </w:pPr>
      <w:r w:rsidRPr="00371492">
        <w:rPr>
          <w:rFonts w:ascii="Corbel" w:eastAsia="Tahoma" w:hAnsi="Corbel" w:cs="Tahoma"/>
          <w:sz w:val="20"/>
        </w:rPr>
        <w:t>In dit eerste hoofdstuk wordt de inleiding op het onderzoeksonderwerp gepresenteerd. Hiertoe wordt eerst de aanleiding tot het onderzoek beschreven (§1.1), waarna de inspectiebrede risicoanalyse (IBRA) van de Inspectie Leefomgeving en Transport (ILT) geïntroduceerd wordt (§1.2). Vervolgens worden de probleem- en doelstelling van dit onderzoek geëxpliciteerd (§1.3), met de bijbehorende hoofd- en deelvragen (§1.4). Daarna volgt een beschrijving van de maatschappelijke en wetenschappelijke relevantie van het onderzoek (§1.5). Na een voorbeschouwing op zowel het theoretisch (§1.6) als het methodologisch kader (§1.7) volgt tot slot de leeswijzer voor de rest van het onderzoek (§1.8).</w:t>
      </w:r>
    </w:p>
    <w:p w14:paraId="465C2EB4" w14:textId="77777777" w:rsidR="00F2603E" w:rsidRPr="00371492" w:rsidRDefault="00F2603E" w:rsidP="00F2603E">
      <w:pPr>
        <w:spacing w:line="360" w:lineRule="auto"/>
        <w:jc w:val="both"/>
        <w:rPr>
          <w:rFonts w:ascii="Corbel" w:eastAsia="Tahoma" w:hAnsi="Corbel" w:cs="Tahoma"/>
          <w:sz w:val="20"/>
        </w:rPr>
      </w:pPr>
    </w:p>
    <w:p w14:paraId="597898D0" w14:textId="0C722A2A" w:rsidR="00F2603E" w:rsidRPr="00371492" w:rsidRDefault="00F2603E" w:rsidP="00510131">
      <w:pPr>
        <w:pStyle w:val="Stijl2"/>
        <w:numPr>
          <w:ilvl w:val="1"/>
          <w:numId w:val="2"/>
        </w:numPr>
        <w:rPr>
          <w:rFonts w:eastAsia="Tahoma"/>
        </w:rPr>
      </w:pPr>
      <w:r w:rsidRPr="00371492">
        <w:rPr>
          <w:rFonts w:eastAsia="Tahoma"/>
        </w:rPr>
        <w:t xml:space="preserve"> </w:t>
      </w:r>
      <w:bookmarkStart w:id="9" w:name="_Toc485990850"/>
      <w:r w:rsidRPr="00371492">
        <w:rPr>
          <w:rFonts w:eastAsia="Tahoma"/>
        </w:rPr>
        <w:t>Aanleiding</w:t>
      </w:r>
      <w:bookmarkEnd w:id="9"/>
    </w:p>
    <w:p w14:paraId="028B5336" w14:textId="7AD382F8" w:rsidR="00F2603E" w:rsidRPr="00371492" w:rsidRDefault="00F2603E" w:rsidP="00F2603E">
      <w:pPr>
        <w:widowControl w:val="0"/>
        <w:autoSpaceDE w:val="0"/>
        <w:autoSpaceDN w:val="0"/>
        <w:adjustRightInd w:val="0"/>
        <w:spacing w:after="240" w:line="360" w:lineRule="auto"/>
        <w:contextualSpacing/>
        <w:jc w:val="both"/>
        <w:rPr>
          <w:rFonts w:ascii="Corbel" w:eastAsia="Tahoma" w:hAnsi="Corbel" w:cs="Tahoma"/>
          <w:color w:val="FF0000"/>
          <w:sz w:val="20"/>
        </w:rPr>
      </w:pPr>
      <w:r w:rsidRPr="00371492">
        <w:rPr>
          <w:rFonts w:ascii="Corbel" w:eastAsia="Tahoma" w:hAnsi="Corbel" w:cs="Tahoma"/>
          <w:sz w:val="20"/>
        </w:rPr>
        <w:t>Toezicht is een veel besproken thema in maatschappelijke en wetenschappelijke discussies, met name in de nasleep van incidenten. Een voorbeeld hiervan is de bezinning op haar werkzaamheden door de Inspectie Leefomgeving en Transport als gevolg van de bevindingen van de parlementaire enquêtecommissie inzake de Fyra in 2015. In deze discussies richt het discours zich met name op de rol van toezichthouders, voor wie de moeilijke taak wacht hoge verwachtingen in evenwicht te brengen met de vanzelfsprekende beperkte capaciteit die zij hebben (Mertens, Muller &amp; Winter, 2015, p. 15).</w:t>
      </w:r>
      <w:r w:rsidRPr="00371492">
        <w:rPr>
          <w:rFonts w:ascii="Corbel" w:eastAsia="Tahoma" w:hAnsi="Corbel" w:cs="Tahoma"/>
          <w:color w:val="FF0000"/>
          <w:sz w:val="20"/>
        </w:rPr>
        <w:t xml:space="preserve"> </w:t>
      </w:r>
      <w:r w:rsidRPr="00371492">
        <w:rPr>
          <w:rFonts w:ascii="Corbel" w:eastAsia="Tahoma" w:hAnsi="Corbel" w:cs="Tahoma"/>
          <w:color w:val="000000" w:themeColor="text1"/>
          <w:sz w:val="20"/>
        </w:rPr>
        <w:t xml:space="preserve">Binnen het toezichtsdomein wordt in toenemende mate gebruik gemaakt van het instrument </w:t>
      </w:r>
      <w:r w:rsidRPr="00371492">
        <w:rPr>
          <w:rFonts w:ascii="Corbel" w:eastAsia="Tahoma" w:hAnsi="Corbel" w:cs="Tahoma"/>
          <w:i/>
          <w:iCs/>
          <w:color w:val="000000" w:themeColor="text1"/>
          <w:sz w:val="20"/>
        </w:rPr>
        <w:t>risicoanalyse</w:t>
      </w:r>
      <w:r w:rsidRPr="00371492">
        <w:rPr>
          <w:rFonts w:ascii="Corbel" w:eastAsia="Tahoma" w:hAnsi="Corbel" w:cs="Tahoma"/>
          <w:sz w:val="20"/>
        </w:rPr>
        <w:t xml:space="preserve"> (Helsloot &amp; Scholtens, 2014, pp. 31-37). Een risicoanalyse is een hulpmiddel bij het onderzoeken</w:t>
      </w:r>
      <w:r w:rsidR="00E136D4" w:rsidRPr="00371492">
        <w:rPr>
          <w:rFonts w:ascii="Corbel" w:eastAsia="Tahoma" w:hAnsi="Corbel" w:cs="Tahoma"/>
          <w:sz w:val="20"/>
        </w:rPr>
        <w:t xml:space="preserve"> en waarderen</w:t>
      </w:r>
      <w:r w:rsidRPr="00371492">
        <w:rPr>
          <w:rFonts w:ascii="Corbel" w:eastAsia="Tahoma" w:hAnsi="Corbel" w:cs="Tahoma"/>
          <w:sz w:val="20"/>
        </w:rPr>
        <w:t xml:space="preserve"> van risico’s. Relevante informatie wordt gerangschikt en gewogen om een objectieve uitspraak te kunnen doen over de frequentie van gevaar en de omvang van de bijbehorende effecten. Een risicoanalyse draagt in deze vorm bij aan een onderbouwde prioritering en toewijzing van toezichtscapaciteit (Velders &amp; Brunia, 2013, p. 82).</w:t>
      </w:r>
    </w:p>
    <w:p w14:paraId="3603E475" w14:textId="1F5461D3" w:rsidR="00F2603E" w:rsidRPr="00371492" w:rsidRDefault="00F77BD1" w:rsidP="00F2603E">
      <w:pPr>
        <w:widowControl w:val="0"/>
        <w:autoSpaceDE w:val="0"/>
        <w:autoSpaceDN w:val="0"/>
        <w:adjustRightInd w:val="0"/>
        <w:spacing w:after="240" w:line="360" w:lineRule="auto"/>
        <w:ind w:firstLine="708"/>
        <w:contextualSpacing/>
        <w:jc w:val="both"/>
        <w:rPr>
          <w:rFonts w:ascii="Corbel" w:eastAsia="Tahoma" w:hAnsi="Corbel" w:cs="Tahoma"/>
          <w:color w:val="000000" w:themeColor="text1"/>
          <w:sz w:val="20"/>
        </w:rPr>
      </w:pPr>
      <w:r>
        <w:rPr>
          <w:rFonts w:ascii="Corbel" w:eastAsia="Tahoma" w:hAnsi="Corbel" w:cs="Tahoma"/>
          <w:noProof/>
          <w:sz w:val="20"/>
        </w:rPr>
        <mc:AlternateContent>
          <mc:Choice Requires="wps">
            <w:drawing>
              <wp:anchor distT="0" distB="0" distL="114300" distR="114300" simplePos="0" relativeHeight="251669504" behindDoc="0" locked="0" layoutInCell="1" allowOverlap="1" wp14:anchorId="3CAA8C43" wp14:editId="1A797B70">
                <wp:simplePos x="0" y="0"/>
                <wp:positionH relativeFrom="column">
                  <wp:posOffset>3942080</wp:posOffset>
                </wp:positionH>
                <wp:positionV relativeFrom="paragraph">
                  <wp:posOffset>19685</wp:posOffset>
                </wp:positionV>
                <wp:extent cx="2515870" cy="1717040"/>
                <wp:effectExtent l="0" t="0" r="24130" b="35560"/>
                <wp:wrapSquare wrapText="bothSides"/>
                <wp:docPr id="12" name="Tekstvak 12"/>
                <wp:cNvGraphicFramePr/>
                <a:graphic xmlns:a="http://schemas.openxmlformats.org/drawingml/2006/main">
                  <a:graphicData uri="http://schemas.microsoft.com/office/word/2010/wordprocessingShape">
                    <wps:wsp>
                      <wps:cNvSpPr txBox="1"/>
                      <wps:spPr>
                        <a:xfrm>
                          <a:off x="0" y="0"/>
                          <a:ext cx="2515870" cy="1717040"/>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29732FA4" w14:textId="5136C462" w:rsidR="009D4480" w:rsidRPr="00F77BD1" w:rsidRDefault="009D4480" w:rsidP="006E7BF9">
                            <w:pPr>
                              <w:jc w:val="both"/>
                            </w:pPr>
                            <w:r w:rsidRPr="00F77BD1">
                              <w:rPr>
                                <w:rFonts w:ascii="Corbel" w:eastAsia="Tahoma" w:hAnsi="Corbel" w:cs="Tahoma"/>
                                <w:color w:val="000000" w:themeColor="text1"/>
                                <w:sz w:val="20"/>
                              </w:rPr>
                              <w:t>De logica is dat een toezichthouder, geconfronteerd met een beperkte toezichtscapaciteit, de toewijzing van toezicht als een keuzevraagstuk moet benaderen. In andere woorden: de toewijzing van toezicht is een nulsomspel Vanuit het gedachtegoed van risicogestuurd toezicht, waarbij de grootste risico’s het vertrekpunt voor toezichtsprioriteiten zijn, vormt een risicoanalyse een logische start.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AA8C43" id="Tekstvak_x0020_12" o:spid="_x0000_s1027" type="#_x0000_t202" style="position:absolute;left:0;text-align:left;margin-left:310.4pt;margin-top:1.55pt;width:198.1pt;height:135.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G66dHQCAAA1BQAADgAAAGRycy9lMm9Eb2MueG1srFTfT9swEH6ftP/B8vtIU8HKKlLUgZgmIUDA&#10;xLPr2DTC9nn2tUn31+/sNIGxPk17Sey7735/57Pzzhq2VSE24CpeHk04U05C3bjniv94vPp0yllE&#10;4WphwKmK71Tk54uPH85aP1dTWIOpVWDkxMV56yu+RvTzoohyrayIR+CVI6WGYAXSNTwXdRAtebem&#10;mE4mn4sWQu0DSBUjSS97JV9k/1oribdaR4XMVJxyw/wN+btK32JxJubPQfh1I/dpiH/IworGUdDR&#10;1aVAwTah+cuVbWSACBqPJNgCtG6kyjVQNeXkXTUPa+FVroWaE/3Ypvj/3Mqb7V1gTU2zm3LmhKUZ&#10;PaqXiFvxwkhE/Wl9nBPswRMQu6/QEXaQRxKmsjsdbPpTQYz01Ond2F3VIZMknJ6UJ6czUknSlbNy&#10;NjnO/S9ezX2I+E2BZelQ8UDjy10V2+uIlApBB0iKZlySpfz6PPIJd0b1ynulqbIUOTvJnFIXJrCt&#10;IDYIKZXDXAm5NY7QyUw3xoyG5SFDMxrtsclMZa6NhpNDhn9GHC1yVHA4GtvGQTjkoH4Z0tU9fqi+&#10;rzmVj92q68c5jGgF9Y4mF6DnfvTyqqHuXouIdyIQ2WkitMB4Sx9toK047E+crSH8OiRPeOIgaTlr&#10;aXkqHn9uRFCcme+O2PmlPKbZMsyX45PZlC7hrWb1VuM29gJoIiU9FV7mY8KjGY46gH2iPV+mqKQS&#10;TlLsiuNwvMB+pemdkGq5zCDaLy/w2j14mVynLifuPHZPIvg9wZC4eQPDmon5O5712GTpYLlB0E0m&#10;Yepz39V9/2k3Mzf370ha/rf3jHp97Ra/AQAA//8DAFBLAwQUAAYACAAAACEA2ZB3894AAAAKAQAA&#10;DwAAAGRycy9kb3ducmV2LnhtbEyPzWrDMBCE74W8g9hAb438Q53geh1KodBDaUjiB9hY6x9qScZS&#10;HPftq5za4zDDzDfFftGDmHlyvTUI8SYCwaa2qjctQnV+f9qBcJ6MosEaRvhhB/ty9VBQruzNHHk+&#10;+VaEEuNyQui8H3MpXd2xJrexI5vgNXbS5IOcWqkmuoVyPcgkijKpqTdhoaOR3zquv09XjUBn/5E2&#10;c1199odDQ5zSsfrKEB/Xy+sLCM+L/wvDHT+gQxmYLvZqlBMDQpZEAd0jpDGIux/F23DugpBs02eQ&#10;ZSH/Xyh/AQAA//8DAFBLAQItABQABgAIAAAAIQDkmcPA+wAAAOEBAAATAAAAAAAAAAAAAAAAAAAA&#10;AABbQ29udGVudF9UeXBlc10ueG1sUEsBAi0AFAAGAAgAAAAhACOyauHXAAAAlAEAAAsAAAAAAAAA&#10;AAAAAAAALAEAAF9yZWxzLy5yZWxzUEsBAi0AFAAGAAgAAAAhAKxuunR0AgAANQUAAA4AAAAAAAAA&#10;AAAAAAAALAIAAGRycy9lMm9Eb2MueG1sUEsBAi0AFAAGAAgAAAAhANmQd/PeAAAACgEAAA8AAAAA&#10;AAAAAAAAAAAAzAQAAGRycy9kb3ducmV2LnhtbFBLBQYAAAAABAAEAPMAAADXBQAAAAA=&#10;" fillcolor="white [3201]" strokecolor="#5b9bd5 [3204]" strokeweight="1pt">
                <v:textbox>
                  <w:txbxContent>
                    <w:p w14:paraId="29732FA4" w14:textId="5136C462" w:rsidR="009D4480" w:rsidRPr="00F77BD1" w:rsidRDefault="009D4480" w:rsidP="006E7BF9">
                      <w:pPr>
                        <w:jc w:val="both"/>
                      </w:pPr>
                      <w:r w:rsidRPr="00F77BD1">
                        <w:rPr>
                          <w:rFonts w:ascii="Corbel" w:eastAsia="Tahoma" w:hAnsi="Corbel" w:cs="Tahoma"/>
                          <w:color w:val="000000" w:themeColor="text1"/>
                          <w:sz w:val="20"/>
                        </w:rPr>
                        <w:t>De logica is dat een toezichthouder, geconfronteerd met een beperkte toezichtscapaciteit, de toewijzing van toezicht als een keuzevraagstuk moet benaderen. In andere woorden: de toewijzing van toezicht is een nulsomspel Vanuit het gedachtegoed van risicogestuurd toezicht, waarbij de grootste risico’s het vertrekpunt voor toezichtsprioriteiten zijn, vormt een risicoanalyse een logische start.</w:t>
                      </w:r>
                    </w:p>
                  </w:txbxContent>
                </v:textbox>
                <w10:wrap type="square"/>
              </v:shape>
            </w:pict>
          </mc:Fallback>
        </mc:AlternateContent>
      </w:r>
      <w:r w:rsidR="00F2603E" w:rsidRPr="00371492">
        <w:rPr>
          <w:rFonts w:ascii="Corbel" w:eastAsia="Tahoma" w:hAnsi="Corbel" w:cs="Tahoma"/>
          <w:sz w:val="20"/>
        </w:rPr>
        <w:t xml:space="preserve">Het uitvoeren van een risicoanalyse past bij de in het Nederlandse toezichtsdomein steeds vaker gehoorde ambitie om </w:t>
      </w:r>
      <w:r w:rsidR="00F2603E" w:rsidRPr="00371492">
        <w:rPr>
          <w:rFonts w:ascii="Corbel" w:eastAsia="Tahoma" w:hAnsi="Corbel" w:cs="Tahoma"/>
          <w:i/>
          <w:iCs/>
          <w:sz w:val="20"/>
        </w:rPr>
        <w:t>risicogestuurd</w:t>
      </w:r>
      <w:r w:rsidR="00F2603E" w:rsidRPr="00371492">
        <w:rPr>
          <w:rFonts w:ascii="Corbel" w:eastAsia="Tahoma" w:hAnsi="Corbel" w:cs="Tahoma"/>
          <w:sz w:val="20"/>
        </w:rPr>
        <w:t xml:space="preserve"> te opereren (Helsloot &amp; Scholtens, 2014). </w:t>
      </w:r>
      <w:r w:rsidR="00F2603E" w:rsidRPr="00371492">
        <w:rPr>
          <w:rFonts w:ascii="Corbel" w:eastAsia="Tahoma" w:hAnsi="Corbel" w:cs="Tahoma"/>
          <w:color w:val="000000" w:themeColor="text1"/>
          <w:sz w:val="20"/>
        </w:rPr>
        <w:t>De logica hierachter is dat een toezichthouder, geconfronteerd met een beperkte toezichtscapaciteit</w:t>
      </w:r>
      <w:r w:rsidR="00490CF8" w:rsidRPr="00371492">
        <w:rPr>
          <w:rFonts w:ascii="Corbel" w:eastAsia="Tahoma" w:hAnsi="Corbel" w:cs="Tahoma"/>
          <w:color w:val="000000" w:themeColor="text1"/>
          <w:sz w:val="20"/>
        </w:rPr>
        <w:t>,</w:t>
      </w:r>
      <w:r w:rsidR="00F2603E" w:rsidRPr="00371492">
        <w:rPr>
          <w:rFonts w:ascii="Corbel" w:eastAsia="Tahoma" w:hAnsi="Corbel" w:cs="Tahoma"/>
          <w:color w:val="000000" w:themeColor="text1"/>
          <w:sz w:val="20"/>
        </w:rPr>
        <w:t xml:space="preserve"> de toewijzing van toezicht als een keuzevraagstuk moet benaderen. </w:t>
      </w:r>
      <w:r w:rsidR="008C7FB4">
        <w:rPr>
          <w:rFonts w:ascii="Corbel" w:eastAsia="Tahoma" w:hAnsi="Corbel" w:cs="Tahoma"/>
          <w:color w:val="000000" w:themeColor="text1"/>
          <w:sz w:val="20"/>
        </w:rPr>
        <w:t xml:space="preserve">In andere woorden: de toewijzing van toezicht is een nulsomspel. </w:t>
      </w:r>
      <w:r w:rsidR="00F2603E" w:rsidRPr="00371492">
        <w:rPr>
          <w:rFonts w:ascii="Corbel" w:eastAsia="Tahoma" w:hAnsi="Corbel" w:cs="Tahoma"/>
          <w:color w:val="000000" w:themeColor="text1"/>
          <w:sz w:val="20"/>
        </w:rPr>
        <w:t>Vanuit het gedachtegoed van risicogestuurd toezicht, waarbij de grootste risico’s het vertrekpunt voor toezichtsprioriteiten zijn, vormt een risicoanalyse een logische start.</w:t>
      </w:r>
      <w:r w:rsidR="00F2603E" w:rsidRPr="00371492">
        <w:rPr>
          <w:rFonts w:ascii="Corbel" w:eastAsia="Tahoma" w:hAnsi="Corbel" w:cs="Tahoma"/>
          <w:color w:val="FF0000"/>
          <w:sz w:val="20"/>
        </w:rPr>
        <w:t xml:space="preserve"> </w:t>
      </w:r>
      <w:r w:rsidR="00F2603E" w:rsidRPr="00371492">
        <w:rPr>
          <w:rFonts w:ascii="Corbel" w:eastAsia="Tahoma" w:hAnsi="Corbel" w:cs="Tahoma"/>
          <w:color w:val="000000" w:themeColor="text1"/>
          <w:sz w:val="20"/>
        </w:rPr>
        <w:t>Bij het uitvoeren van risicoanalyses wordt veelal gebruik gemaakt van de kwantitatieve uitdrukking van risico’s. In ieder geval moet er een maat toegewezen worden aan risico’s, ten behoeve van vergelijkbaarheid en normeerbaarheid van diezelfde risico’s. Dit is namelijk de eerste opzet naar de prioritering van risico’s, waarbij risico’s gerangschikt worden aan de hand van selectiecriteria. Kortom, er wordt gezocht naar de mogelijkheid om risico’s objectief in kaart te brengen en onderling te vergelijken.</w:t>
      </w:r>
      <w:r w:rsidR="006C74E3" w:rsidRPr="00371492">
        <w:rPr>
          <w:rFonts w:ascii="Corbel" w:eastAsia="Tahoma" w:hAnsi="Corbel" w:cs="Tahoma"/>
          <w:color w:val="000000" w:themeColor="text1"/>
          <w:sz w:val="20"/>
        </w:rPr>
        <w:t xml:space="preserve"> </w:t>
      </w:r>
    </w:p>
    <w:p w14:paraId="4E602BEE" w14:textId="06F5F360" w:rsidR="00F2603E" w:rsidRPr="00371492" w:rsidRDefault="00F2603E" w:rsidP="00F2603E">
      <w:pPr>
        <w:widowControl w:val="0"/>
        <w:autoSpaceDE w:val="0"/>
        <w:autoSpaceDN w:val="0"/>
        <w:adjustRightInd w:val="0"/>
        <w:spacing w:after="240" w:line="360" w:lineRule="auto"/>
        <w:ind w:firstLine="708"/>
        <w:contextualSpacing/>
        <w:jc w:val="both"/>
        <w:rPr>
          <w:rFonts w:ascii="Corbel" w:hAnsi="Corbel" w:cs="Symbol"/>
          <w:sz w:val="20"/>
          <w:szCs w:val="22"/>
          <w:lang w:eastAsia="en-US"/>
        </w:rPr>
      </w:pPr>
      <w:r w:rsidRPr="00371492">
        <w:rPr>
          <w:rFonts w:ascii="Corbel" w:eastAsia="Tahoma" w:hAnsi="Corbel" w:cs="Tahoma"/>
          <w:sz w:val="20"/>
        </w:rPr>
        <w:t xml:space="preserve">Maar bij deze doelstelling zijn diverse kanttekeningen te plaatsen. Een algemeen kritiekpunt is dat dit een simplificering is van de morele overwegingen die ten grondslag liggen aan risicoverdeling (Ross &amp; Athanassoulis, 2010, p. 225). Het beschrijven van risico’s vraagt om meer dan alleen objectief meetbare </w:t>
      </w:r>
      <w:r w:rsidRPr="00371492">
        <w:rPr>
          <w:rFonts w:ascii="Corbel" w:eastAsia="Tahoma" w:hAnsi="Corbel" w:cs="Tahoma"/>
          <w:sz w:val="20"/>
        </w:rPr>
        <w:lastRenderedPageBreak/>
        <w:t>constructen.</w:t>
      </w:r>
      <w:r w:rsidRPr="00371492">
        <w:rPr>
          <w:rFonts w:ascii="Corbel" w:hAnsi="Corbel" w:cs="Symbol"/>
          <w:sz w:val="20"/>
          <w:szCs w:val="22"/>
          <w:lang w:eastAsia="en-US"/>
        </w:rPr>
        <w:t xml:space="preserve"> Een risicoanalyse beantwoordt een feitelijke vraag, aangezien het de risico’s in kaart wil brengen. Besluitvorming berust echter nooit op een </w:t>
      </w:r>
      <w:r w:rsidR="00F77BD1" w:rsidRPr="00371492">
        <w:rPr>
          <w:rFonts w:ascii="Corbel" w:hAnsi="Corbel" w:cs="Symbol"/>
          <w:sz w:val="20"/>
          <w:szCs w:val="22"/>
          <w:lang w:eastAsia="en-US"/>
        </w:rPr>
        <w:t xml:space="preserve">louter </w:t>
      </w:r>
      <w:r w:rsidRPr="00371492">
        <w:rPr>
          <w:rFonts w:ascii="Corbel" w:hAnsi="Corbel" w:cs="Symbol"/>
          <w:sz w:val="20"/>
          <w:szCs w:val="22"/>
          <w:lang w:eastAsia="en-US"/>
        </w:rPr>
        <w:t>feitelijk antwoord. Feiten vertellen ons</w:t>
      </w:r>
      <w:r w:rsidR="00F77BD1">
        <w:rPr>
          <w:rFonts w:ascii="Corbel" w:hAnsi="Corbel" w:cs="Symbol"/>
          <w:sz w:val="20"/>
          <w:szCs w:val="22"/>
          <w:lang w:eastAsia="en-US"/>
        </w:rPr>
        <w:t xml:space="preserve"> iets over</w:t>
      </w:r>
      <w:r w:rsidRPr="00371492">
        <w:rPr>
          <w:rFonts w:ascii="Corbel" w:hAnsi="Corbel" w:cs="Symbol"/>
          <w:sz w:val="20"/>
          <w:szCs w:val="22"/>
          <w:lang w:eastAsia="en-US"/>
        </w:rPr>
        <w:t xml:space="preserve"> de situatie, maar geven geen houvast voor handelen (Van </w:t>
      </w:r>
      <w:proofErr w:type="spellStart"/>
      <w:r w:rsidRPr="00371492">
        <w:rPr>
          <w:rFonts w:ascii="Corbel" w:hAnsi="Corbel" w:cs="Symbol"/>
          <w:sz w:val="20"/>
          <w:szCs w:val="22"/>
          <w:lang w:eastAsia="en-US"/>
        </w:rPr>
        <w:t>Eeten</w:t>
      </w:r>
      <w:proofErr w:type="spellEnd"/>
      <w:r w:rsidRPr="00371492">
        <w:rPr>
          <w:rFonts w:ascii="Corbel" w:hAnsi="Corbel" w:cs="Symbol"/>
          <w:sz w:val="20"/>
          <w:szCs w:val="22"/>
          <w:lang w:eastAsia="en-US"/>
        </w:rPr>
        <w:t xml:space="preserve"> et al., 2012, pp. 15-17). Hierbij is sprake van een “</w:t>
      </w:r>
      <w:proofErr w:type="spellStart"/>
      <w:r w:rsidRPr="00371492">
        <w:rPr>
          <w:rFonts w:ascii="Corbel" w:hAnsi="Corbel" w:cs="Symbol"/>
          <w:sz w:val="20"/>
          <w:szCs w:val="22"/>
          <w:lang w:eastAsia="en-US"/>
        </w:rPr>
        <w:t>normative</w:t>
      </w:r>
      <w:proofErr w:type="spellEnd"/>
      <w:r w:rsidRPr="00371492">
        <w:rPr>
          <w:rFonts w:ascii="Corbel" w:hAnsi="Corbel" w:cs="Symbol"/>
          <w:sz w:val="20"/>
          <w:szCs w:val="22"/>
          <w:lang w:eastAsia="en-US"/>
        </w:rPr>
        <w:t xml:space="preserve"> </w:t>
      </w:r>
      <w:proofErr w:type="spellStart"/>
      <w:r w:rsidRPr="00371492">
        <w:rPr>
          <w:rFonts w:ascii="Corbel" w:hAnsi="Corbel" w:cs="Symbol"/>
          <w:sz w:val="20"/>
          <w:szCs w:val="22"/>
          <w:lang w:eastAsia="en-US"/>
        </w:rPr>
        <w:t>leap</w:t>
      </w:r>
      <w:proofErr w:type="spellEnd"/>
      <w:r w:rsidRPr="00371492">
        <w:rPr>
          <w:rFonts w:ascii="Corbel" w:hAnsi="Corbel" w:cs="Symbol"/>
          <w:sz w:val="20"/>
          <w:szCs w:val="22"/>
          <w:lang w:eastAsia="en-US"/>
        </w:rPr>
        <w:t xml:space="preserve">”: een overgang van ‘wat er is’ naar ‘wat er zou moeten zijn’ (Rein &amp; </w:t>
      </w:r>
      <w:proofErr w:type="spellStart"/>
      <w:r w:rsidRPr="00371492">
        <w:rPr>
          <w:rFonts w:ascii="Corbel" w:hAnsi="Corbel" w:cs="Symbol"/>
          <w:sz w:val="20"/>
          <w:szCs w:val="22"/>
          <w:lang w:eastAsia="en-US"/>
        </w:rPr>
        <w:t>Schön</w:t>
      </w:r>
      <w:proofErr w:type="spellEnd"/>
      <w:r w:rsidRPr="00371492">
        <w:rPr>
          <w:rFonts w:ascii="Corbel" w:hAnsi="Corbel" w:cs="Symbol"/>
          <w:sz w:val="20"/>
          <w:szCs w:val="22"/>
          <w:lang w:eastAsia="en-US"/>
        </w:rPr>
        <w:t>, 1977, p. 240). Dit vraagt om normatieve (morele) argumentatie.</w:t>
      </w:r>
    </w:p>
    <w:p w14:paraId="5A82289E" w14:textId="77777777" w:rsidR="00F2603E" w:rsidRPr="00371492" w:rsidRDefault="00F2603E" w:rsidP="00F2603E">
      <w:pPr>
        <w:widowControl w:val="0"/>
        <w:autoSpaceDE w:val="0"/>
        <w:autoSpaceDN w:val="0"/>
        <w:adjustRightInd w:val="0"/>
        <w:spacing w:after="240" w:line="360" w:lineRule="auto"/>
        <w:ind w:firstLine="708"/>
        <w:contextualSpacing/>
        <w:jc w:val="both"/>
        <w:rPr>
          <w:rFonts w:ascii="Corbel" w:eastAsia="Tahoma" w:hAnsi="Corbel" w:cs="Tahoma"/>
          <w:color w:val="FF0000"/>
          <w:sz w:val="20"/>
        </w:rPr>
      </w:pPr>
      <w:r w:rsidRPr="00371492">
        <w:rPr>
          <w:rFonts w:ascii="Corbel" w:eastAsia="Tahoma" w:hAnsi="Corbel" w:cs="Tahoma"/>
          <w:sz w:val="20"/>
        </w:rPr>
        <w:t>Daarbij bemoeilijken technische (beperkte validiteit), methodische (beperkte betrouwbaarheid) en epistemologische onzekerheid (onwetendheid) het op objectieve wijze formuleren van risico’s (</w:t>
      </w:r>
      <w:proofErr w:type="spellStart"/>
      <w:r w:rsidRPr="00371492">
        <w:rPr>
          <w:rFonts w:ascii="Corbel" w:eastAsia="Tahoma" w:hAnsi="Corbel" w:cs="Tahoma"/>
          <w:sz w:val="20"/>
        </w:rPr>
        <w:t>Functowicz</w:t>
      </w:r>
      <w:proofErr w:type="spellEnd"/>
      <w:r w:rsidRPr="00371492">
        <w:rPr>
          <w:rFonts w:ascii="Corbel" w:eastAsia="Tahoma" w:hAnsi="Corbel" w:cs="Tahoma"/>
          <w:sz w:val="20"/>
        </w:rPr>
        <w:t xml:space="preserve"> &amp; </w:t>
      </w:r>
      <w:proofErr w:type="spellStart"/>
      <w:r w:rsidRPr="00371492">
        <w:rPr>
          <w:rFonts w:ascii="Corbel" w:eastAsia="Tahoma" w:hAnsi="Corbel" w:cs="Tahoma"/>
          <w:sz w:val="20"/>
        </w:rPr>
        <w:t>Ravetz</w:t>
      </w:r>
      <w:proofErr w:type="spellEnd"/>
      <w:r w:rsidRPr="00371492">
        <w:rPr>
          <w:rFonts w:ascii="Corbel" w:eastAsia="Tahoma" w:hAnsi="Corbel" w:cs="Tahoma"/>
          <w:sz w:val="20"/>
        </w:rPr>
        <w:t xml:space="preserve">, 1991 in: </w:t>
      </w:r>
      <w:proofErr w:type="spellStart"/>
      <w:r w:rsidRPr="00371492">
        <w:rPr>
          <w:rFonts w:ascii="Corbel" w:eastAsia="Tahoma" w:hAnsi="Corbel" w:cs="Tahoma"/>
          <w:sz w:val="20"/>
        </w:rPr>
        <w:t>Renn</w:t>
      </w:r>
      <w:proofErr w:type="spellEnd"/>
      <w:r w:rsidRPr="00371492">
        <w:rPr>
          <w:rFonts w:ascii="Corbel" w:eastAsia="Tahoma" w:hAnsi="Corbel" w:cs="Tahoma"/>
          <w:sz w:val="20"/>
        </w:rPr>
        <w:t xml:space="preserve">, </w:t>
      </w:r>
      <w:proofErr w:type="spellStart"/>
      <w:r w:rsidRPr="00371492">
        <w:rPr>
          <w:rFonts w:ascii="Corbel" w:eastAsia="Tahoma" w:hAnsi="Corbel" w:cs="Tahoma"/>
          <w:sz w:val="20"/>
        </w:rPr>
        <w:t>Klinke</w:t>
      </w:r>
      <w:proofErr w:type="spellEnd"/>
      <w:r w:rsidRPr="00371492">
        <w:rPr>
          <w:rFonts w:ascii="Corbel" w:eastAsia="Tahoma" w:hAnsi="Corbel" w:cs="Tahoma"/>
          <w:sz w:val="20"/>
        </w:rPr>
        <w:t xml:space="preserve"> &amp; van </w:t>
      </w:r>
      <w:proofErr w:type="spellStart"/>
      <w:r w:rsidRPr="00371492">
        <w:rPr>
          <w:rFonts w:ascii="Corbel" w:eastAsia="Tahoma" w:hAnsi="Corbel" w:cs="Tahoma"/>
          <w:sz w:val="20"/>
        </w:rPr>
        <w:t>Asselt</w:t>
      </w:r>
      <w:proofErr w:type="spellEnd"/>
      <w:r w:rsidRPr="00371492">
        <w:rPr>
          <w:rFonts w:ascii="Corbel" w:eastAsia="Tahoma" w:hAnsi="Corbel" w:cs="Tahoma"/>
          <w:sz w:val="20"/>
        </w:rPr>
        <w:t xml:space="preserve">, 2011). Er heerst in de wetenschap in toenemende mate de overtuiging dat bij het waarderen en rangschikken van risico’s meer </w:t>
      </w:r>
      <w:r w:rsidRPr="00371492">
        <w:rPr>
          <w:rFonts w:ascii="Corbel" w:eastAsia="Tahoma" w:hAnsi="Corbel" w:cs="Tahoma"/>
          <w:color w:val="000000" w:themeColor="text1"/>
          <w:sz w:val="20"/>
        </w:rPr>
        <w:t>aan de orde is dan alleen meetbare zaken. De literatuur (</w:t>
      </w:r>
      <w:proofErr w:type="spellStart"/>
      <w:r w:rsidRPr="00371492">
        <w:rPr>
          <w:rFonts w:ascii="Corbel" w:eastAsia="Tahoma" w:hAnsi="Corbel" w:cs="Tahoma"/>
          <w:color w:val="000000" w:themeColor="text1"/>
          <w:sz w:val="20"/>
        </w:rPr>
        <w:t>Slovic</w:t>
      </w:r>
      <w:proofErr w:type="spellEnd"/>
      <w:r w:rsidRPr="00371492">
        <w:rPr>
          <w:rFonts w:ascii="Corbel" w:eastAsia="Tahoma" w:hAnsi="Corbel" w:cs="Tahoma"/>
          <w:color w:val="000000" w:themeColor="text1"/>
          <w:sz w:val="20"/>
        </w:rPr>
        <w:t xml:space="preserve">, 1987; </w:t>
      </w:r>
      <w:proofErr w:type="spellStart"/>
      <w:r w:rsidRPr="00371492">
        <w:rPr>
          <w:rFonts w:ascii="Corbel" w:eastAsia="Tahoma" w:hAnsi="Corbel" w:cs="Tahoma"/>
          <w:sz w:val="20"/>
        </w:rPr>
        <w:t>Krimsky</w:t>
      </w:r>
      <w:proofErr w:type="spellEnd"/>
      <w:r w:rsidRPr="00371492">
        <w:rPr>
          <w:rFonts w:ascii="Corbel" w:eastAsia="Tahoma" w:hAnsi="Corbel" w:cs="Tahoma"/>
          <w:sz w:val="20"/>
        </w:rPr>
        <w:t xml:space="preserve"> &amp; </w:t>
      </w:r>
      <w:proofErr w:type="spellStart"/>
      <w:r w:rsidRPr="00371492">
        <w:rPr>
          <w:rFonts w:ascii="Corbel" w:eastAsia="Tahoma" w:hAnsi="Corbel" w:cs="Tahoma"/>
          <w:sz w:val="20"/>
        </w:rPr>
        <w:t>Golding</w:t>
      </w:r>
      <w:proofErr w:type="spellEnd"/>
      <w:r w:rsidRPr="00371492">
        <w:rPr>
          <w:rFonts w:ascii="Corbel" w:eastAsia="Tahoma" w:hAnsi="Corbel" w:cs="Tahoma"/>
          <w:sz w:val="20"/>
        </w:rPr>
        <w:t xml:space="preserve"> 1992, </w:t>
      </w:r>
      <w:proofErr w:type="spellStart"/>
      <w:r w:rsidRPr="00371492">
        <w:rPr>
          <w:rFonts w:ascii="Corbel" w:eastAsia="Tahoma" w:hAnsi="Corbel" w:cs="Tahoma"/>
          <w:sz w:val="20"/>
        </w:rPr>
        <w:t>Shrader-Frechette</w:t>
      </w:r>
      <w:proofErr w:type="spellEnd"/>
      <w:r w:rsidRPr="00371492">
        <w:rPr>
          <w:rFonts w:ascii="Corbel" w:eastAsia="Tahoma" w:hAnsi="Corbel" w:cs="Tahoma"/>
          <w:sz w:val="20"/>
        </w:rPr>
        <w:t xml:space="preserve"> 1991, </w:t>
      </w:r>
      <w:proofErr w:type="spellStart"/>
      <w:r w:rsidRPr="00371492">
        <w:rPr>
          <w:rFonts w:ascii="Corbel" w:eastAsia="Tahoma" w:hAnsi="Corbel" w:cs="Tahoma"/>
          <w:sz w:val="20"/>
        </w:rPr>
        <w:t>Hansson</w:t>
      </w:r>
      <w:proofErr w:type="spellEnd"/>
      <w:r w:rsidRPr="00371492">
        <w:rPr>
          <w:rFonts w:ascii="Corbel" w:eastAsia="Tahoma" w:hAnsi="Corbel" w:cs="Tahoma"/>
          <w:sz w:val="20"/>
        </w:rPr>
        <w:t xml:space="preserve"> 2004; </w:t>
      </w:r>
      <w:proofErr w:type="spellStart"/>
      <w:r w:rsidRPr="00371492">
        <w:rPr>
          <w:rFonts w:ascii="Corbel" w:eastAsia="Tahoma" w:hAnsi="Corbel" w:cs="Tahoma"/>
          <w:sz w:val="20"/>
        </w:rPr>
        <w:t>Roeser</w:t>
      </w:r>
      <w:proofErr w:type="spellEnd"/>
      <w:r w:rsidRPr="00371492">
        <w:rPr>
          <w:rFonts w:ascii="Corbel" w:eastAsia="Tahoma" w:hAnsi="Corbel" w:cs="Tahoma"/>
          <w:sz w:val="20"/>
        </w:rPr>
        <w:t xml:space="preserve"> 2013</w:t>
      </w:r>
      <w:r w:rsidRPr="00371492">
        <w:rPr>
          <w:rFonts w:ascii="Corbel" w:eastAsia="Tahoma" w:hAnsi="Corbel" w:cs="Tahoma"/>
          <w:color w:val="000000" w:themeColor="text1"/>
          <w:sz w:val="20"/>
        </w:rPr>
        <w:t>) wijst op de notie van risico’s als sociaal construct. Bij dit begrip van risico’s spelen ook kwalitatieve beoordelingen, zoals ethische afwegingen, een prominente rol. Met dit in het achterhoofd lijkt het onverstandig om uitsluitend gebruik te maken van een cijfermatige risicoanalyse in de vorm van een kosten-batenanalyse.</w:t>
      </w:r>
      <w:r w:rsidRPr="00371492">
        <w:rPr>
          <w:rFonts w:ascii="Corbel" w:eastAsia="Tahoma" w:hAnsi="Corbel" w:cs="Tahoma"/>
          <w:color w:val="FF0000"/>
          <w:sz w:val="20"/>
        </w:rPr>
        <w:t xml:space="preserve"> </w:t>
      </w:r>
      <w:r w:rsidRPr="00371492">
        <w:rPr>
          <w:rFonts w:ascii="Corbel" w:eastAsia="Tahoma" w:hAnsi="Corbel" w:cs="Tahoma"/>
          <w:sz w:val="20"/>
        </w:rPr>
        <w:t xml:space="preserve">Deze vorm van risicoanalyse wordt ook wel </w:t>
      </w:r>
      <w:r w:rsidRPr="00371492">
        <w:rPr>
          <w:rFonts w:ascii="Corbel" w:eastAsia="Tahoma" w:hAnsi="Corbel" w:cs="Tahoma"/>
          <w:i/>
          <w:sz w:val="20"/>
        </w:rPr>
        <w:t>risk-benefit analysis</w:t>
      </w:r>
      <w:r w:rsidRPr="00371492">
        <w:rPr>
          <w:rFonts w:ascii="Corbel" w:eastAsia="Tahoma" w:hAnsi="Corbel" w:cs="Tahoma"/>
          <w:sz w:val="20"/>
        </w:rPr>
        <w:t xml:space="preserve"> genoemd (Fischer, 1995). De kritiek hierop is dat het slechts kijkt naar gekwantificeerde gevolgen van risico’s door middel van een nutscalculus (</w:t>
      </w:r>
      <w:proofErr w:type="spellStart"/>
      <w:r w:rsidRPr="00371492">
        <w:rPr>
          <w:rFonts w:ascii="Corbel" w:eastAsia="Tahoma" w:hAnsi="Corbel" w:cs="Tahoma"/>
          <w:sz w:val="20"/>
        </w:rPr>
        <w:t>Roeser</w:t>
      </w:r>
      <w:proofErr w:type="spellEnd"/>
      <w:r w:rsidRPr="00371492">
        <w:rPr>
          <w:rFonts w:ascii="Corbel" w:eastAsia="Tahoma" w:hAnsi="Corbel" w:cs="Tahoma"/>
          <w:sz w:val="20"/>
        </w:rPr>
        <w:t xml:space="preserve">, 2013). Dit komt overeen met de logica van één stroming binnen de normatieve ethiek, namelijk het utilisme. Andere relevante normatieve overwegingen, zoals </w:t>
      </w:r>
      <w:r w:rsidRPr="00371492">
        <w:rPr>
          <w:rFonts w:ascii="Corbel" w:hAnsi="Corbel" w:cs="Times"/>
          <w:sz w:val="20"/>
          <w:szCs w:val="22"/>
        </w:rPr>
        <w:t>vrijwilligheid, redelijkheid en verwijtbaarheid</w:t>
      </w:r>
      <w:r w:rsidRPr="00371492">
        <w:rPr>
          <w:rFonts w:ascii="Corbel" w:eastAsia="Tahoma" w:hAnsi="Corbel" w:cs="Tahoma"/>
          <w:sz w:val="20"/>
        </w:rPr>
        <w:t xml:space="preserve">, worden achterwege gelaten of juist impliciet aangenomen door gebruik van </w:t>
      </w:r>
      <w:r w:rsidRPr="00371492">
        <w:rPr>
          <w:rFonts w:ascii="Corbel" w:eastAsia="Tahoma" w:hAnsi="Corbel" w:cs="Tahoma"/>
          <w:i/>
          <w:sz w:val="20"/>
        </w:rPr>
        <w:t>risk-benefit analysis</w:t>
      </w:r>
      <w:r w:rsidRPr="00371492">
        <w:rPr>
          <w:rFonts w:ascii="Corbel" w:eastAsia="Tahoma" w:hAnsi="Corbel" w:cs="Tahoma"/>
          <w:sz w:val="20"/>
        </w:rPr>
        <w:t xml:space="preserve"> (ibid.).</w:t>
      </w:r>
      <w:r w:rsidRPr="00371492">
        <w:rPr>
          <w:rFonts w:ascii="Corbel" w:eastAsia="Tahoma" w:hAnsi="Corbel" w:cs="Tahoma"/>
          <w:color w:val="FF0000"/>
          <w:sz w:val="20"/>
        </w:rPr>
        <w:t xml:space="preserve"> </w:t>
      </w:r>
      <w:r w:rsidRPr="00371492">
        <w:rPr>
          <w:rFonts w:ascii="Corbel" w:eastAsia="Tahoma" w:hAnsi="Corbel" w:cs="Tahoma"/>
          <w:color w:val="000000" w:themeColor="text1"/>
          <w:sz w:val="20"/>
        </w:rPr>
        <w:t>Deze vorm van analyse presenteert louter informatie over de omvang van een risico, zonder enige normatieve houvast.</w:t>
      </w:r>
      <w:r w:rsidRPr="00371492">
        <w:rPr>
          <w:rFonts w:ascii="Corbel" w:eastAsia="Tahoma" w:hAnsi="Corbel" w:cs="Tahoma"/>
          <w:color w:val="FF0000"/>
          <w:sz w:val="20"/>
        </w:rPr>
        <w:t xml:space="preserve"> </w:t>
      </w:r>
    </w:p>
    <w:p w14:paraId="4E5D2976" w14:textId="70868C39" w:rsidR="00F2603E" w:rsidRPr="00371492" w:rsidRDefault="00F2603E" w:rsidP="00F2603E">
      <w:pPr>
        <w:widowControl w:val="0"/>
        <w:autoSpaceDE w:val="0"/>
        <w:autoSpaceDN w:val="0"/>
        <w:adjustRightInd w:val="0"/>
        <w:spacing w:after="240" w:line="360" w:lineRule="auto"/>
        <w:ind w:firstLine="708"/>
        <w:contextualSpacing/>
        <w:jc w:val="both"/>
        <w:rPr>
          <w:rFonts w:ascii="Corbel" w:eastAsia="Tahoma" w:hAnsi="Corbel" w:cs="Tahoma"/>
          <w:color w:val="000000" w:themeColor="text1"/>
          <w:sz w:val="20"/>
        </w:rPr>
      </w:pPr>
      <w:r w:rsidRPr="00371492">
        <w:rPr>
          <w:rFonts w:ascii="Corbel" w:eastAsia="Tahoma" w:hAnsi="Corbel" w:cs="Tahoma"/>
          <w:sz w:val="20"/>
        </w:rPr>
        <w:t>De behoefte aan een risicoanalyse met aandacht voor meer dan alleen utilistische argumentatie is tevens te illustreren met voorbeelden uit de maatschappij. Bij vraagstukken omtrent gaswinning in de provincie Groningen en ondergrondse CO</w:t>
      </w:r>
      <w:r w:rsidRPr="00371492">
        <w:rPr>
          <w:rFonts w:ascii="Corbel" w:eastAsia="Tahoma" w:hAnsi="Corbel" w:cs="Tahoma"/>
          <w:sz w:val="20"/>
          <w:vertAlign w:val="superscript"/>
        </w:rPr>
        <w:t>2</w:t>
      </w:r>
      <w:r w:rsidRPr="00371492">
        <w:rPr>
          <w:rFonts w:ascii="Corbel" w:eastAsia="Tahoma" w:hAnsi="Corbel" w:cs="Tahoma"/>
          <w:sz w:val="20"/>
        </w:rPr>
        <w:t xml:space="preserve">-opslag in Barendrecht bijvoorbeeld, </w:t>
      </w:r>
      <w:r w:rsidR="00F77BD1">
        <w:rPr>
          <w:rFonts w:ascii="Corbel" w:eastAsia="Tahoma" w:hAnsi="Corbel" w:cs="Tahoma"/>
          <w:sz w:val="20"/>
        </w:rPr>
        <w:t>waar</w:t>
      </w:r>
      <w:r w:rsidRPr="00371492">
        <w:rPr>
          <w:rFonts w:ascii="Corbel" w:eastAsia="Tahoma" w:hAnsi="Corbel" w:cs="Tahoma"/>
          <w:sz w:val="20"/>
        </w:rPr>
        <w:t xml:space="preserve"> het publiek zich in afnemende mate </w:t>
      </w:r>
      <w:r w:rsidR="00F77BD1">
        <w:rPr>
          <w:rFonts w:ascii="Corbel" w:eastAsia="Tahoma" w:hAnsi="Corbel" w:cs="Tahoma"/>
          <w:sz w:val="20"/>
        </w:rPr>
        <w:t xml:space="preserve">laat </w:t>
      </w:r>
      <w:r w:rsidRPr="00371492">
        <w:rPr>
          <w:rFonts w:ascii="Corbel" w:eastAsia="Tahoma" w:hAnsi="Corbel" w:cs="Tahoma"/>
          <w:sz w:val="20"/>
        </w:rPr>
        <w:t>overtuigen door een analyse van risico’s die grotendeels gestoeld is op het idee van een risk-benefit analysis. De uitgevoerde risicoanalyses</w:t>
      </w:r>
      <w:r w:rsidRPr="00371492">
        <w:rPr>
          <w:rStyle w:val="Voetnootmarkering"/>
          <w:rFonts w:ascii="Corbel" w:eastAsia="Tahoma" w:hAnsi="Corbel" w:cs="Tahoma"/>
          <w:sz w:val="20"/>
        </w:rPr>
        <w:footnoteReference w:id="1"/>
      </w:r>
      <w:r w:rsidRPr="00371492">
        <w:rPr>
          <w:rFonts w:ascii="Corbel" w:eastAsia="Tahoma" w:hAnsi="Corbel" w:cs="Tahoma"/>
          <w:sz w:val="20"/>
        </w:rPr>
        <w:t xml:space="preserve"> bleken juist problematisch en zorgde voor maatschappelijke onrust. Uit de cases blijkt dat ingebrachte (wetenschappelijke) kennis steeds vaker ter discussie gesteld wordt, waardoor een beleidscontroverse</w:t>
      </w:r>
      <w:r w:rsidRPr="00371492">
        <w:rPr>
          <w:rStyle w:val="Voetnootmarkering"/>
          <w:rFonts w:ascii="Corbel" w:eastAsia="Tahoma" w:hAnsi="Corbel" w:cs="Tahoma"/>
          <w:sz w:val="20"/>
        </w:rPr>
        <w:footnoteReference w:id="2"/>
      </w:r>
      <w:r w:rsidRPr="00371492">
        <w:rPr>
          <w:rFonts w:ascii="Corbel" w:eastAsia="Tahoma" w:hAnsi="Corbel" w:cs="Tahoma"/>
          <w:sz w:val="20"/>
        </w:rPr>
        <w:t xml:space="preserve"> kan ontstaan (</w:t>
      </w:r>
      <w:proofErr w:type="spellStart"/>
      <w:r w:rsidRPr="00371492">
        <w:rPr>
          <w:rFonts w:ascii="Corbel" w:eastAsia="Tahoma" w:hAnsi="Corbel" w:cs="Tahoma"/>
          <w:sz w:val="20"/>
        </w:rPr>
        <w:t>Schön</w:t>
      </w:r>
      <w:proofErr w:type="spellEnd"/>
      <w:r w:rsidRPr="00371492">
        <w:rPr>
          <w:rFonts w:ascii="Corbel" w:eastAsia="Tahoma" w:hAnsi="Corbel" w:cs="Tahoma"/>
          <w:sz w:val="20"/>
        </w:rPr>
        <w:t xml:space="preserve"> &amp; Rein, 1996, p. 88). Voorbeelden van beleidscontroverses zijn publieke discussies over vaccinaties, windmolens, megastallen en gasboringen. Binnen deze voorbeelden bestaat er discussie over de objectiviteit van de onderzoeken die door de verschillende actoren aangedragen worden in het debat.</w:t>
      </w:r>
      <w:r w:rsidRPr="00371492">
        <w:rPr>
          <w:rFonts w:ascii="Corbel" w:eastAsia="Tahoma" w:hAnsi="Corbel" w:cs="Tahoma"/>
          <w:color w:val="000000" w:themeColor="text1"/>
          <w:sz w:val="20"/>
        </w:rPr>
        <w:t xml:space="preserve"> In beide beleidscontroverses bleek het concept risicoanalyse niet om te kunnen gaan met de complexe werkelijkheid. Ten behoeve van een correct besluitvormingsproces, waarbij beleidsmaatregelen draagvlak hebben in de samenleving, dient een risicoanalyse dus meer mee te nemen dan louter een utilistisch afwegingskader. </w:t>
      </w:r>
    </w:p>
    <w:p w14:paraId="670C7B91" w14:textId="77777777" w:rsidR="00F2603E" w:rsidRPr="00371492" w:rsidRDefault="00F2603E" w:rsidP="00AA2963">
      <w:pPr>
        <w:widowControl w:val="0"/>
        <w:autoSpaceDE w:val="0"/>
        <w:autoSpaceDN w:val="0"/>
        <w:adjustRightInd w:val="0"/>
        <w:spacing w:after="240" w:line="360" w:lineRule="auto"/>
        <w:ind w:firstLine="708"/>
        <w:contextualSpacing/>
        <w:jc w:val="both"/>
        <w:rPr>
          <w:rFonts w:ascii="Corbel" w:eastAsia="Tahoma" w:hAnsi="Corbel" w:cs="Tahoma"/>
          <w:color w:val="000000" w:themeColor="text1"/>
          <w:sz w:val="20"/>
        </w:rPr>
      </w:pPr>
      <w:r w:rsidRPr="00371492">
        <w:rPr>
          <w:rFonts w:ascii="Corbel" w:eastAsia="Tahoma" w:hAnsi="Corbel" w:cs="Tahoma"/>
          <w:color w:val="000000" w:themeColor="text1"/>
          <w:sz w:val="20"/>
        </w:rPr>
        <w:t>Om deze redenen is voor een adequate risicoanalyse aanvullende argumentatie nodig op basis van een set van normatieve opvattingen (</w:t>
      </w:r>
      <w:proofErr w:type="spellStart"/>
      <w:r w:rsidRPr="00371492">
        <w:rPr>
          <w:rFonts w:ascii="Corbel" w:eastAsia="Tahoma" w:hAnsi="Corbel" w:cs="Tahoma"/>
          <w:color w:val="000000" w:themeColor="text1"/>
          <w:sz w:val="20"/>
        </w:rPr>
        <w:t>Renn</w:t>
      </w:r>
      <w:proofErr w:type="spellEnd"/>
      <w:r w:rsidRPr="00371492">
        <w:rPr>
          <w:rFonts w:ascii="Corbel" w:eastAsia="Tahoma" w:hAnsi="Corbel" w:cs="Tahoma"/>
          <w:color w:val="000000" w:themeColor="text1"/>
          <w:sz w:val="20"/>
        </w:rPr>
        <w:t xml:space="preserve"> &amp; </w:t>
      </w:r>
      <w:proofErr w:type="spellStart"/>
      <w:r w:rsidRPr="00371492">
        <w:rPr>
          <w:rFonts w:ascii="Corbel" w:eastAsia="Tahoma" w:hAnsi="Corbel" w:cs="Tahoma"/>
          <w:color w:val="000000" w:themeColor="text1"/>
          <w:sz w:val="20"/>
        </w:rPr>
        <w:t>Schweizer</w:t>
      </w:r>
      <w:proofErr w:type="spellEnd"/>
      <w:r w:rsidRPr="00371492">
        <w:rPr>
          <w:rFonts w:ascii="Corbel" w:eastAsia="Tahoma" w:hAnsi="Corbel" w:cs="Tahoma"/>
          <w:color w:val="000000" w:themeColor="text1"/>
          <w:sz w:val="20"/>
        </w:rPr>
        <w:t xml:space="preserve">, 2009). Deze noodzaak valt samen met het inzicht dat er een onderscheid valt te maken tussen enerzijds </w:t>
      </w:r>
      <w:r w:rsidRPr="00371492">
        <w:rPr>
          <w:rFonts w:ascii="Corbel" w:eastAsia="Tahoma" w:hAnsi="Corbel" w:cs="Tahoma"/>
          <w:i/>
          <w:color w:val="000000" w:themeColor="text1"/>
          <w:sz w:val="20"/>
        </w:rPr>
        <w:t>simpele</w:t>
      </w:r>
      <w:r w:rsidRPr="00371492">
        <w:rPr>
          <w:rFonts w:ascii="Corbel" w:eastAsia="Tahoma" w:hAnsi="Corbel" w:cs="Tahoma"/>
          <w:color w:val="000000" w:themeColor="text1"/>
          <w:sz w:val="20"/>
        </w:rPr>
        <w:t xml:space="preserve"> en anderzijds </w:t>
      </w:r>
      <w:r w:rsidRPr="00371492">
        <w:rPr>
          <w:rFonts w:ascii="Corbel" w:eastAsia="Tahoma" w:hAnsi="Corbel" w:cs="Tahoma"/>
          <w:i/>
          <w:color w:val="000000" w:themeColor="text1"/>
          <w:sz w:val="20"/>
        </w:rPr>
        <w:t>systemische</w:t>
      </w:r>
      <w:r w:rsidRPr="00371492">
        <w:rPr>
          <w:rFonts w:ascii="Corbel" w:eastAsia="Tahoma" w:hAnsi="Corbel" w:cs="Tahoma"/>
          <w:color w:val="000000" w:themeColor="text1"/>
          <w:sz w:val="20"/>
        </w:rPr>
        <w:t xml:space="preserve"> risico's (</w:t>
      </w:r>
      <w:proofErr w:type="spellStart"/>
      <w:r w:rsidRPr="00371492">
        <w:rPr>
          <w:rFonts w:ascii="Corbel" w:eastAsia="Tahoma" w:hAnsi="Corbel" w:cs="Tahoma"/>
          <w:color w:val="000000" w:themeColor="text1"/>
          <w:sz w:val="20"/>
        </w:rPr>
        <w:t>Renn</w:t>
      </w:r>
      <w:proofErr w:type="spellEnd"/>
      <w:r w:rsidRPr="00371492">
        <w:rPr>
          <w:rFonts w:ascii="Corbel" w:eastAsia="Tahoma" w:hAnsi="Corbel" w:cs="Tahoma"/>
          <w:color w:val="000000" w:themeColor="text1"/>
          <w:sz w:val="20"/>
        </w:rPr>
        <w:t xml:space="preserve"> et al., 2011). </w:t>
      </w:r>
      <w:r w:rsidRPr="00371492">
        <w:rPr>
          <w:rFonts w:ascii="Corbel" w:eastAsia="Tahoma" w:hAnsi="Corbel" w:cs="Tahoma"/>
          <w:color w:val="000000" w:themeColor="text1"/>
          <w:sz w:val="20"/>
        </w:rPr>
        <w:lastRenderedPageBreak/>
        <w:t xml:space="preserve">Simpele risico's zijn relatief goed in kaart te brengen en via het ideaalbeeld van de risicoanalyse als kosten-batenanalyse in kaart te brengen. Systemische risico's worden gekenmerkt door onzekerheid en dienen onderbouwd te worden met meer dan alleen utiliteitsoverwegingen. Dit neemt niet weg dat ook voor simpele risico’s louter een kosten- en batenanalyse onvoldoende is. </w:t>
      </w:r>
    </w:p>
    <w:p w14:paraId="64ED5280" w14:textId="3BAB1037" w:rsidR="00F2603E" w:rsidRPr="00371492" w:rsidRDefault="00F2603E" w:rsidP="00510131">
      <w:pPr>
        <w:pStyle w:val="Stijl2"/>
        <w:numPr>
          <w:ilvl w:val="1"/>
          <w:numId w:val="2"/>
        </w:numPr>
        <w:rPr>
          <w:rFonts w:eastAsia="Tahoma"/>
        </w:rPr>
      </w:pPr>
      <w:r w:rsidRPr="00371492">
        <w:rPr>
          <w:rFonts w:eastAsia="Tahoma"/>
        </w:rPr>
        <w:t xml:space="preserve"> </w:t>
      </w:r>
      <w:bookmarkStart w:id="10" w:name="_Toc485990851"/>
      <w:r w:rsidRPr="00371492">
        <w:rPr>
          <w:rFonts w:eastAsia="Tahoma"/>
        </w:rPr>
        <w:t>Inspectiebrede risicoanalyse van de ILT</w:t>
      </w:r>
      <w:bookmarkEnd w:id="10"/>
    </w:p>
    <w:p w14:paraId="7F82D6C2" w14:textId="136D9BCC" w:rsidR="00F2603E" w:rsidRPr="00371492" w:rsidRDefault="00F2603E" w:rsidP="00F2603E">
      <w:p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 xml:space="preserve">De ILT is momenteel bezig met een koerswijziging in de richting van risicogestuurd </w:t>
      </w:r>
      <w:r w:rsidRPr="00657700">
        <w:rPr>
          <w:rFonts w:ascii="Corbel" w:eastAsia="Tahoma" w:hAnsi="Corbel" w:cs="Tahoma"/>
          <w:color w:val="000000" w:themeColor="text1"/>
          <w:sz w:val="20"/>
        </w:rPr>
        <w:t>toezicht</w:t>
      </w:r>
      <w:r w:rsidR="00DF0603" w:rsidRPr="00657700">
        <w:rPr>
          <w:rFonts w:ascii="Corbel" w:eastAsia="Tahoma" w:hAnsi="Corbel" w:cs="Tahoma"/>
          <w:color w:val="000000" w:themeColor="text1"/>
          <w:sz w:val="20"/>
        </w:rPr>
        <w:t xml:space="preserve"> (</w:t>
      </w:r>
      <w:r w:rsidR="00C9314D" w:rsidRPr="00657700">
        <w:rPr>
          <w:rFonts w:ascii="Corbel" w:eastAsia="Tahoma" w:hAnsi="Corbel" w:cs="Tahoma"/>
          <w:color w:val="000000" w:themeColor="text1"/>
          <w:sz w:val="20"/>
        </w:rPr>
        <w:t>ILT, 2016, p. 33</w:t>
      </w:r>
      <w:r w:rsidR="00DF0603" w:rsidRPr="00657700">
        <w:rPr>
          <w:rFonts w:ascii="Corbel" w:eastAsia="Tahoma" w:hAnsi="Corbel" w:cs="Tahoma"/>
          <w:color w:val="000000" w:themeColor="text1"/>
          <w:sz w:val="20"/>
        </w:rPr>
        <w:t>)</w:t>
      </w:r>
      <w:r w:rsidRPr="00657700">
        <w:rPr>
          <w:rFonts w:ascii="Corbel" w:eastAsia="Tahoma" w:hAnsi="Corbel" w:cs="Tahoma"/>
          <w:color w:val="000000" w:themeColor="text1"/>
          <w:sz w:val="20"/>
        </w:rPr>
        <w:t xml:space="preserve">. </w:t>
      </w:r>
      <w:r w:rsidRPr="00371492">
        <w:rPr>
          <w:rFonts w:ascii="Corbel" w:eastAsia="Tahoma" w:hAnsi="Corbel" w:cs="Tahoma"/>
          <w:color w:val="000000" w:themeColor="text1"/>
          <w:sz w:val="20"/>
        </w:rPr>
        <w:t xml:space="preserve">Waar in het verleden veelal vanuit taakstelling gewerkt werd, hetgeen pijnlijk aan het licht kwam in de parlementaire enquête naar de </w:t>
      </w:r>
      <w:r w:rsidR="00657700">
        <w:rPr>
          <w:rFonts w:ascii="Corbel" w:eastAsia="Tahoma" w:hAnsi="Corbel" w:cs="Tahoma"/>
          <w:color w:val="000000" w:themeColor="text1"/>
          <w:sz w:val="20"/>
        </w:rPr>
        <w:t>FYRA</w:t>
      </w:r>
      <w:r w:rsidRPr="00371492">
        <w:rPr>
          <w:rFonts w:ascii="Corbel" w:eastAsia="Tahoma" w:hAnsi="Corbel" w:cs="Tahoma"/>
          <w:color w:val="000000" w:themeColor="text1"/>
          <w:sz w:val="20"/>
        </w:rPr>
        <w:t xml:space="preserve">, is nu de ambitie uitgesproken om als toezichthouder de (beperkte) capaciteit in te zetten </w:t>
      </w:r>
      <w:r w:rsidRPr="00371492">
        <w:rPr>
          <w:rFonts w:ascii="Corbel" w:eastAsia="Tahoma" w:hAnsi="Corbel" w:cs="Tahoma"/>
          <w:sz w:val="20"/>
        </w:rPr>
        <w:t>op die activiteiten die de meeste publieke waarde leveren (</w:t>
      </w:r>
      <w:r w:rsidR="00657700">
        <w:rPr>
          <w:rFonts w:ascii="Corbel" w:eastAsia="Tahoma" w:hAnsi="Corbel" w:cs="Tahoma"/>
          <w:sz w:val="20"/>
        </w:rPr>
        <w:t>ibid., p. 8</w:t>
      </w:r>
      <w:r w:rsidRPr="00371492">
        <w:rPr>
          <w:rFonts w:ascii="Corbel" w:eastAsia="Tahoma" w:hAnsi="Corbel" w:cs="Tahoma"/>
          <w:sz w:val="20"/>
        </w:rPr>
        <w:t>).</w:t>
      </w:r>
      <w:r w:rsidRPr="00371492">
        <w:rPr>
          <w:rFonts w:ascii="Corbel" w:eastAsia="Tahoma" w:hAnsi="Corbel" w:cs="Tahoma"/>
          <w:color w:val="000000" w:themeColor="text1"/>
          <w:sz w:val="20"/>
        </w:rPr>
        <w:t xml:space="preserve"> Onderdeel van deze koerswijziging is het </w:t>
      </w:r>
      <w:r w:rsidR="00A23C7D">
        <w:rPr>
          <w:rFonts w:ascii="Corbel" w:eastAsia="Tahoma" w:hAnsi="Corbel" w:cs="Tahoma"/>
          <w:color w:val="000000" w:themeColor="text1"/>
          <w:sz w:val="20"/>
        </w:rPr>
        <w:t>uitvoeren</w:t>
      </w:r>
      <w:r w:rsidRPr="00371492">
        <w:rPr>
          <w:rFonts w:ascii="Corbel" w:eastAsia="Tahoma" w:hAnsi="Corbel" w:cs="Tahoma"/>
          <w:color w:val="000000" w:themeColor="text1"/>
          <w:sz w:val="20"/>
        </w:rPr>
        <w:t xml:space="preserve"> van een </w:t>
      </w:r>
      <w:r w:rsidRPr="00371492">
        <w:rPr>
          <w:rFonts w:ascii="Corbel" w:eastAsia="Tahoma" w:hAnsi="Corbel" w:cs="Tahoma"/>
          <w:i/>
          <w:iCs/>
          <w:color w:val="000000" w:themeColor="text1"/>
          <w:sz w:val="20"/>
        </w:rPr>
        <w:t>inspectiebrede risicoanalyse</w:t>
      </w:r>
      <w:r w:rsidRPr="00371492">
        <w:rPr>
          <w:rFonts w:ascii="Corbel" w:eastAsia="Tahoma" w:hAnsi="Corbel" w:cs="Tahoma"/>
          <w:color w:val="000000" w:themeColor="text1"/>
          <w:sz w:val="20"/>
        </w:rPr>
        <w:t xml:space="preserve"> (IBRA). </w:t>
      </w:r>
      <w:r w:rsidRPr="00657700">
        <w:rPr>
          <w:rFonts w:ascii="Corbel" w:eastAsia="Tahoma" w:hAnsi="Corbel" w:cs="Tahoma"/>
          <w:color w:val="000000" w:themeColor="text1"/>
          <w:sz w:val="20"/>
        </w:rPr>
        <w:t xml:space="preserve">Het doel </w:t>
      </w:r>
      <w:r w:rsidR="00DF0603" w:rsidRPr="00657700">
        <w:rPr>
          <w:rFonts w:ascii="Corbel" w:eastAsia="Tahoma" w:hAnsi="Corbel" w:cs="Tahoma"/>
          <w:color w:val="000000" w:themeColor="text1"/>
          <w:sz w:val="20"/>
        </w:rPr>
        <w:t xml:space="preserve">van IBRA </w:t>
      </w:r>
      <w:r w:rsidRPr="00657700">
        <w:rPr>
          <w:rFonts w:ascii="Corbel" w:eastAsia="Tahoma" w:hAnsi="Corbel" w:cs="Tahoma"/>
          <w:color w:val="000000" w:themeColor="text1"/>
          <w:sz w:val="20"/>
        </w:rPr>
        <w:t>is het inzichtelijk maken</w:t>
      </w:r>
      <w:r w:rsidR="009471CC" w:rsidRPr="00657700">
        <w:rPr>
          <w:rFonts w:ascii="Corbel" w:eastAsia="Tahoma" w:hAnsi="Corbel" w:cs="Tahoma"/>
          <w:color w:val="000000" w:themeColor="text1"/>
          <w:sz w:val="20"/>
        </w:rPr>
        <w:t xml:space="preserve"> </w:t>
      </w:r>
      <w:r w:rsidR="00657700" w:rsidRPr="00657700">
        <w:rPr>
          <w:rFonts w:ascii="Corbel" w:eastAsia="Tahoma" w:hAnsi="Corbel" w:cs="Tahoma"/>
          <w:color w:val="000000" w:themeColor="text1"/>
          <w:sz w:val="20"/>
        </w:rPr>
        <w:t>op welke risico’s de ILT toeziet en hoe groot die risico’s zijn</w:t>
      </w:r>
      <w:r w:rsidRPr="00371492">
        <w:rPr>
          <w:rFonts w:ascii="Corbel" w:eastAsia="Tahoma" w:hAnsi="Corbel" w:cs="Tahoma"/>
          <w:color w:val="000000" w:themeColor="text1"/>
          <w:sz w:val="20"/>
        </w:rPr>
        <w:t xml:space="preserve">. Dit gebeurt door middel van een risicoanalyse, waarin een methodiek ontwikkeld is voor het beoordelen en vergelijken van de risico’s waarop de ILT toeziet. Dit heeft </w:t>
      </w:r>
      <w:r w:rsidR="00657700">
        <w:rPr>
          <w:rFonts w:ascii="Corbel" w:eastAsia="Tahoma" w:hAnsi="Corbel" w:cs="Tahoma"/>
          <w:color w:val="000000" w:themeColor="text1"/>
          <w:sz w:val="20"/>
        </w:rPr>
        <w:t xml:space="preserve">uiteindelijk </w:t>
      </w:r>
      <w:r w:rsidRPr="00371492">
        <w:rPr>
          <w:rFonts w:ascii="Corbel" w:eastAsia="Tahoma" w:hAnsi="Corbel" w:cs="Tahoma"/>
          <w:color w:val="000000" w:themeColor="text1"/>
          <w:sz w:val="20"/>
        </w:rPr>
        <w:t xml:space="preserve">als doel de allocatie van toezicht te arrangeren volgens de principes van risicogestuurd toezicht. </w:t>
      </w:r>
    </w:p>
    <w:p w14:paraId="5975BDA5" w14:textId="6C7C80C2" w:rsidR="00F2603E" w:rsidRPr="00371492" w:rsidRDefault="00F2603E" w:rsidP="00F2603E">
      <w:pPr>
        <w:spacing w:line="360" w:lineRule="auto"/>
        <w:ind w:firstLine="708"/>
        <w:jc w:val="both"/>
        <w:rPr>
          <w:rFonts w:ascii="Corbel" w:eastAsia="Tahoma" w:hAnsi="Corbel" w:cs="Tahoma"/>
          <w:color w:val="000000" w:themeColor="text1"/>
          <w:sz w:val="20"/>
        </w:rPr>
      </w:pPr>
      <w:r w:rsidRPr="00371492">
        <w:rPr>
          <w:rFonts w:ascii="Corbel" w:eastAsia="Tahoma" w:hAnsi="Corbel" w:cs="Tahoma"/>
          <w:color w:val="000000" w:themeColor="text1"/>
          <w:sz w:val="20"/>
        </w:rPr>
        <w:t>De ILT erkent hierbij expliciet dat er meer is dan kosten en baten in meetbare zin en hecht belang aan het verkennen van de ethische dimensie achter een risicoanalyse.</w:t>
      </w:r>
      <w:r w:rsidR="00657700">
        <w:rPr>
          <w:rFonts w:ascii="Corbel" w:eastAsia="Tahoma" w:hAnsi="Corbel" w:cs="Tahoma"/>
          <w:color w:val="000000" w:themeColor="text1"/>
          <w:sz w:val="20"/>
        </w:rPr>
        <w:t xml:space="preserve"> Dit onderzoek richt zich op de eerste ronde van IBRA (i.e. IBRA 1.0), waarin de risicoanalyse louter op utiliteit is uitgewerkt.</w:t>
      </w:r>
      <w:r w:rsidRPr="00371492">
        <w:rPr>
          <w:rFonts w:ascii="Corbel" w:eastAsia="Tahoma" w:hAnsi="Corbel" w:cs="Tahoma"/>
          <w:color w:val="000000" w:themeColor="text1"/>
          <w:sz w:val="20"/>
        </w:rPr>
        <w:t xml:space="preserve"> Om hier onderzoek naar te doen is het belangrijk voor de relevante ethische stromingen na te gaan hoe deze van toepassing zijn op de praktijk van risicoanalyses. Hierbij is het </w:t>
      </w:r>
      <w:r w:rsidR="00DF0603">
        <w:rPr>
          <w:rFonts w:ascii="Corbel" w:eastAsia="Tahoma" w:hAnsi="Corbel" w:cs="Tahoma"/>
          <w:color w:val="000000" w:themeColor="text1"/>
          <w:sz w:val="20"/>
        </w:rPr>
        <w:t>noodzakelijk</w:t>
      </w:r>
      <w:r w:rsidRPr="00371492">
        <w:rPr>
          <w:rFonts w:ascii="Corbel" w:eastAsia="Tahoma" w:hAnsi="Corbel" w:cs="Tahoma"/>
          <w:color w:val="000000" w:themeColor="text1"/>
          <w:sz w:val="20"/>
        </w:rPr>
        <w:t xml:space="preserve"> per stroming te onderzoeken wat de kenmerkende elementen zijn die terug moeten komen in een risicoanalyse opdat besloten kan worden tot welke ethische stroming een onderbouwing behoort. Door relevante casuïstiek (i.e. onderdelen van IBRA) te onderzoeken vanuit deze bestudering van de ethische theorie kan (a) in kaart gebracht worden welke (ethische) onderbouwingen (niet) gebruikt worden en (b) een </w:t>
      </w:r>
      <w:r w:rsidR="009471CC">
        <w:rPr>
          <w:rFonts w:ascii="Corbel" w:eastAsia="Tahoma" w:hAnsi="Corbel" w:cs="Tahoma"/>
          <w:color w:val="000000" w:themeColor="text1"/>
          <w:sz w:val="20"/>
        </w:rPr>
        <w:t>advies</w:t>
      </w:r>
      <w:r w:rsidRPr="00371492">
        <w:rPr>
          <w:rFonts w:ascii="Corbel" w:eastAsia="Tahoma" w:hAnsi="Corbel" w:cs="Tahoma"/>
          <w:color w:val="000000" w:themeColor="text1"/>
          <w:sz w:val="20"/>
        </w:rPr>
        <w:t xml:space="preserve"> gedaan worden over de uitwerking van een breder afwegingskader. </w:t>
      </w:r>
    </w:p>
    <w:p w14:paraId="14F955CF" w14:textId="77777777" w:rsidR="00F2603E" w:rsidRPr="00371492" w:rsidRDefault="00F2603E" w:rsidP="00F2603E">
      <w:pPr>
        <w:spacing w:line="360" w:lineRule="auto"/>
        <w:ind w:firstLine="708"/>
        <w:jc w:val="both"/>
        <w:rPr>
          <w:rFonts w:ascii="Corbel" w:hAnsi="Corbel" w:cs="Tahoma"/>
          <w:color w:val="000000" w:themeColor="text1"/>
          <w:sz w:val="20"/>
        </w:rPr>
      </w:pPr>
    </w:p>
    <w:p w14:paraId="3C5DAB22" w14:textId="0C2DA8E7" w:rsidR="00F2603E" w:rsidRPr="00371492" w:rsidRDefault="00F2603E" w:rsidP="00510131">
      <w:pPr>
        <w:pStyle w:val="Stijl2"/>
        <w:numPr>
          <w:ilvl w:val="1"/>
          <w:numId w:val="2"/>
        </w:numPr>
        <w:rPr>
          <w:rFonts w:eastAsia="Tahoma"/>
        </w:rPr>
      </w:pPr>
      <w:r w:rsidRPr="00371492">
        <w:rPr>
          <w:rFonts w:eastAsia="Tahoma"/>
        </w:rPr>
        <w:t xml:space="preserve"> </w:t>
      </w:r>
      <w:bookmarkStart w:id="11" w:name="_Toc485990852"/>
      <w:r w:rsidRPr="00371492">
        <w:rPr>
          <w:rFonts w:eastAsia="Tahoma"/>
        </w:rPr>
        <w:t>Probleem- en doelstelling</w:t>
      </w:r>
      <w:bookmarkEnd w:id="11"/>
    </w:p>
    <w:p w14:paraId="707B1562" w14:textId="74BE54D9" w:rsidR="00F2603E" w:rsidRPr="00371492" w:rsidRDefault="00F2603E" w:rsidP="00F2603E">
      <w:p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 xml:space="preserve">Het vraagstuk dat centraal staat in dit onderzoek begint bij de constatering dat voor een evenwichtig besluitvormingsproces aandacht vereist is voor een veelvoud aan ethische overwegingen. Zoals hierboven beschreven werd, is het analyseren van risico’s in termen van meetbare kosten en baten een gangbare exercitie, maar maakt </w:t>
      </w:r>
      <w:r w:rsidR="00F77BD1">
        <w:rPr>
          <w:rFonts w:ascii="Corbel" w:eastAsia="Tahoma" w:hAnsi="Corbel" w:cs="Tahoma"/>
          <w:color w:val="000000" w:themeColor="text1"/>
          <w:sz w:val="20"/>
        </w:rPr>
        <w:t xml:space="preserve">deze exercitie </w:t>
      </w:r>
      <w:r w:rsidRPr="00371492">
        <w:rPr>
          <w:rFonts w:ascii="Corbel" w:eastAsia="Tahoma" w:hAnsi="Corbel" w:cs="Tahoma"/>
          <w:color w:val="000000" w:themeColor="text1"/>
          <w:sz w:val="20"/>
        </w:rPr>
        <w:t>gebruik van een versmald beoordelingskader met een grote nadruk op utiliteit. Dit onderzoek laat conceptueel en meer praktisch zien wat een bredere risicoanalyse omvat naast utiliteitsoverwegingen. Met dit in het achterhoofd brengt dit onderzoek ten slotte in kaart welke aanpassingen en/of toevoegingen gedaan moeten worden aan IBRA.</w:t>
      </w:r>
    </w:p>
    <w:p w14:paraId="3CF04F3B" w14:textId="77777777" w:rsidR="00F2603E" w:rsidRPr="00371492" w:rsidRDefault="00F2603E" w:rsidP="00F2603E">
      <w:pPr>
        <w:spacing w:line="360" w:lineRule="auto"/>
        <w:jc w:val="both"/>
        <w:rPr>
          <w:rFonts w:ascii="Corbel" w:hAnsi="Corbel" w:cs="Tahoma"/>
          <w:color w:val="000000" w:themeColor="text1"/>
          <w:sz w:val="20"/>
        </w:rPr>
      </w:pPr>
    </w:p>
    <w:p w14:paraId="6A1C635F" w14:textId="3FEE902A" w:rsidR="00F2603E" w:rsidRPr="00371492" w:rsidRDefault="00F2603E" w:rsidP="00510131">
      <w:pPr>
        <w:pStyle w:val="Stijl2"/>
        <w:numPr>
          <w:ilvl w:val="1"/>
          <w:numId w:val="2"/>
        </w:numPr>
        <w:rPr>
          <w:rFonts w:eastAsia="Tahoma"/>
        </w:rPr>
      </w:pPr>
      <w:r w:rsidRPr="00371492">
        <w:rPr>
          <w:rFonts w:eastAsia="Tahoma"/>
        </w:rPr>
        <w:lastRenderedPageBreak/>
        <w:t xml:space="preserve"> </w:t>
      </w:r>
      <w:bookmarkStart w:id="12" w:name="_Toc485990853"/>
      <w:r w:rsidRPr="00371492">
        <w:rPr>
          <w:rFonts w:eastAsia="Tahoma"/>
        </w:rPr>
        <w:t>Hoofd- en deelvragen</w:t>
      </w:r>
      <w:bookmarkEnd w:id="12"/>
    </w:p>
    <w:p w14:paraId="5E1D24A7" w14:textId="77777777" w:rsidR="00F2603E" w:rsidRPr="00371492" w:rsidRDefault="00F2603E" w:rsidP="00F2603E">
      <w:pPr>
        <w:spacing w:line="360" w:lineRule="auto"/>
        <w:jc w:val="both"/>
        <w:rPr>
          <w:rFonts w:ascii="Corbel" w:eastAsia="Tahoma" w:hAnsi="Corbel" w:cs="Tahoma"/>
          <w:i/>
          <w:iCs/>
          <w:color w:val="000000" w:themeColor="text1"/>
          <w:sz w:val="20"/>
        </w:rPr>
      </w:pPr>
      <w:r w:rsidRPr="00371492">
        <w:rPr>
          <w:rFonts w:ascii="Corbel" w:eastAsia="Tahoma" w:hAnsi="Corbel" w:cs="Tahoma"/>
          <w:color w:val="000000" w:themeColor="text1"/>
          <w:sz w:val="20"/>
        </w:rPr>
        <w:t>Dit onderzoek gaat op zoek naar een antwoord op de volgende hoofdvraag:</w:t>
      </w:r>
      <w:r w:rsidRPr="00371492">
        <w:rPr>
          <w:rFonts w:ascii="Corbel" w:eastAsia="Tahoma" w:hAnsi="Corbel" w:cs="Tahoma"/>
          <w:i/>
          <w:iCs/>
          <w:color w:val="000000" w:themeColor="text1"/>
          <w:sz w:val="20"/>
        </w:rPr>
        <w:t xml:space="preserve"> </w:t>
      </w:r>
      <w:r w:rsidR="00D60EE5" w:rsidRPr="00371492">
        <w:rPr>
          <w:rFonts w:ascii="Corbel" w:eastAsia="Tahoma,Tahoma,Times New Roman" w:hAnsi="Corbel" w:cs="Tahoma"/>
          <w:b/>
          <w:i/>
          <w:iCs/>
          <w:color w:val="000000" w:themeColor="text1"/>
          <w:sz w:val="20"/>
        </w:rPr>
        <w:t xml:space="preserve">Welke aspecten horen bij een brede risicoanalyse en hoe </w:t>
      </w:r>
      <w:r w:rsidR="00D77B3B" w:rsidRPr="00371492">
        <w:rPr>
          <w:rFonts w:ascii="Corbel" w:eastAsia="Tahoma,Tahoma,Times New Roman" w:hAnsi="Corbel" w:cs="Tahoma"/>
          <w:b/>
          <w:i/>
          <w:iCs/>
          <w:color w:val="000000" w:themeColor="text1"/>
          <w:sz w:val="20"/>
        </w:rPr>
        <w:t>kunnen die toegepast worden?</w:t>
      </w:r>
      <w:r w:rsidRPr="00371492">
        <w:rPr>
          <w:rFonts w:ascii="Corbel" w:eastAsia="Tahoma" w:hAnsi="Corbel" w:cs="Tahoma"/>
          <w:i/>
          <w:iCs/>
          <w:color w:val="000000" w:themeColor="text1"/>
          <w:sz w:val="20"/>
        </w:rPr>
        <w:t xml:space="preserve"> </w:t>
      </w:r>
      <w:r w:rsidRPr="00371492">
        <w:rPr>
          <w:rFonts w:ascii="Corbel" w:eastAsia="Tahoma" w:hAnsi="Corbel" w:cs="Tahoma"/>
          <w:color w:val="000000" w:themeColor="text1"/>
          <w:sz w:val="20"/>
        </w:rPr>
        <w:t>Om deze hoofdvraag te beantwoorden zijn de volgende deelvragen opgesteld:</w:t>
      </w:r>
    </w:p>
    <w:p w14:paraId="1F13FF26" w14:textId="77777777" w:rsidR="00F2603E" w:rsidRPr="00371492" w:rsidRDefault="00F2603E" w:rsidP="00200C74">
      <w:pPr>
        <w:pStyle w:val="Lijstalinea"/>
        <w:numPr>
          <w:ilvl w:val="0"/>
          <w:numId w:val="4"/>
        </w:num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 xml:space="preserve">Waarom is een verbreding van risicoanalyse nodig? </w:t>
      </w:r>
    </w:p>
    <w:p w14:paraId="5D301E88" w14:textId="77777777" w:rsidR="00F2603E" w:rsidRPr="00371492" w:rsidRDefault="00F2603E" w:rsidP="00200C74">
      <w:pPr>
        <w:pStyle w:val="Lijstalinea"/>
        <w:numPr>
          <w:ilvl w:val="0"/>
          <w:numId w:val="4"/>
        </w:num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Hoe ziet een breed ethisch kader er conceptueel uit?</w:t>
      </w:r>
    </w:p>
    <w:p w14:paraId="1A103D6C" w14:textId="77777777" w:rsidR="00F2603E" w:rsidRPr="00371492" w:rsidRDefault="00F2603E" w:rsidP="00200C74">
      <w:pPr>
        <w:pStyle w:val="Lijstalinea"/>
        <w:numPr>
          <w:ilvl w:val="0"/>
          <w:numId w:val="4"/>
        </w:num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Wat zijn de elementen van een breed ethisch risicokader in praktische zin?</w:t>
      </w:r>
    </w:p>
    <w:p w14:paraId="7C110EEE" w14:textId="77777777" w:rsidR="00F2603E" w:rsidRPr="00371492" w:rsidRDefault="00F2603E" w:rsidP="00200C74">
      <w:pPr>
        <w:pStyle w:val="Lijstalinea"/>
        <w:numPr>
          <w:ilvl w:val="0"/>
          <w:numId w:val="4"/>
        </w:num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Welke elementen uit het brede ethische beoordelingskader komen terug in IBRA?</w:t>
      </w:r>
    </w:p>
    <w:p w14:paraId="3576B13B" w14:textId="77777777" w:rsidR="00F2603E" w:rsidRPr="00371492" w:rsidRDefault="00F2603E" w:rsidP="00200C74">
      <w:pPr>
        <w:pStyle w:val="Lijstalinea"/>
        <w:numPr>
          <w:ilvl w:val="0"/>
          <w:numId w:val="4"/>
        </w:numPr>
        <w:spacing w:line="360" w:lineRule="auto"/>
        <w:jc w:val="both"/>
        <w:rPr>
          <w:rFonts w:ascii="Corbel" w:hAnsi="Corbel" w:cs="Tahoma"/>
          <w:color w:val="000000" w:themeColor="text1"/>
          <w:sz w:val="20"/>
        </w:rPr>
      </w:pPr>
      <w:r w:rsidRPr="00371492">
        <w:rPr>
          <w:rFonts w:ascii="Corbel" w:eastAsia="Tahoma" w:hAnsi="Corbel" w:cs="Tahoma"/>
          <w:color w:val="000000" w:themeColor="text1"/>
          <w:sz w:val="20"/>
        </w:rPr>
        <w:t>Hoe is uitbreiding van de risicoanalyse mogelijk?</w:t>
      </w:r>
    </w:p>
    <w:p w14:paraId="2579E626" w14:textId="77777777" w:rsidR="00F2603E" w:rsidRPr="00371492" w:rsidRDefault="00F2603E" w:rsidP="00F2603E">
      <w:pPr>
        <w:pStyle w:val="Lijstalinea"/>
        <w:spacing w:line="360" w:lineRule="auto"/>
        <w:jc w:val="both"/>
        <w:rPr>
          <w:rFonts w:ascii="Corbel" w:hAnsi="Corbel" w:cs="Tahoma"/>
          <w:color w:val="000000" w:themeColor="text1"/>
          <w:sz w:val="20"/>
        </w:rPr>
      </w:pPr>
    </w:p>
    <w:p w14:paraId="507EFEBE" w14:textId="644AB3A2" w:rsidR="00F2603E" w:rsidRPr="00371492" w:rsidRDefault="00F2603E" w:rsidP="00510131">
      <w:pPr>
        <w:pStyle w:val="Stijl2"/>
        <w:numPr>
          <w:ilvl w:val="1"/>
          <w:numId w:val="2"/>
        </w:numPr>
        <w:rPr>
          <w:rFonts w:eastAsia="Tahoma"/>
        </w:rPr>
      </w:pPr>
      <w:r w:rsidRPr="00371492">
        <w:rPr>
          <w:rFonts w:eastAsia="Tahoma"/>
        </w:rPr>
        <w:t xml:space="preserve"> </w:t>
      </w:r>
      <w:bookmarkStart w:id="13" w:name="_Toc485990854"/>
      <w:r w:rsidRPr="00371492">
        <w:rPr>
          <w:rFonts w:eastAsia="Tahoma"/>
        </w:rPr>
        <w:t>Maatschappelijk en wetenschappelijk belang</w:t>
      </w:r>
      <w:bookmarkEnd w:id="13"/>
    </w:p>
    <w:p w14:paraId="32FFAF0B" w14:textId="15E06EFC" w:rsidR="00F2603E" w:rsidRPr="00371492" w:rsidRDefault="00F2603E" w:rsidP="00F2603E">
      <w:pPr>
        <w:spacing w:line="360" w:lineRule="auto"/>
        <w:jc w:val="both"/>
        <w:rPr>
          <w:rFonts w:ascii="Corbel" w:eastAsia="Tahoma" w:hAnsi="Corbel" w:cs="Tahoma"/>
          <w:color w:val="000000" w:themeColor="text1"/>
          <w:sz w:val="20"/>
        </w:rPr>
      </w:pPr>
      <w:r w:rsidRPr="00371492">
        <w:rPr>
          <w:rFonts w:ascii="Corbel" w:eastAsia="Tahoma,Tahoma,Times New Roman" w:hAnsi="Corbel" w:cs="Tahoma"/>
          <w:sz w:val="20"/>
        </w:rPr>
        <w:t>Het is maatschappelijk van belang dat er geleerd wordt risicoanalyses te maken die meer meenemen dan alleen kosten en baten in meetbare zin.</w:t>
      </w:r>
      <w:r w:rsidRPr="00371492">
        <w:rPr>
          <w:rFonts w:ascii="Corbel" w:eastAsia="Tahoma" w:hAnsi="Corbel" w:cs="Tahoma"/>
          <w:sz w:val="20"/>
        </w:rPr>
        <w:t xml:space="preserve"> De conventionele risicoanalyse, met de nadruk op het kwantificeren van kosten en schade, voorziet steeds minder in de gewenste onderbouwing bij bestuurlijke besluitvorming. Om de aanvaardbaarheid van een risico te beoordelen zijn, naast kwantitatieve informatie uit een kosten-batenanalyse, ook ethische overwegingen van </w:t>
      </w:r>
      <w:r w:rsidR="00F77BD1">
        <w:rPr>
          <w:rFonts w:ascii="Corbel" w:eastAsia="Tahoma" w:hAnsi="Corbel" w:cs="Tahoma"/>
          <w:sz w:val="20"/>
        </w:rPr>
        <w:t>belang</w:t>
      </w:r>
      <w:r w:rsidRPr="00371492">
        <w:rPr>
          <w:rFonts w:ascii="Corbel" w:eastAsia="Tahoma" w:hAnsi="Corbel" w:cs="Tahoma"/>
          <w:sz w:val="20"/>
        </w:rPr>
        <w:t xml:space="preserve"> (</w:t>
      </w:r>
      <w:r w:rsidR="00DF0603">
        <w:rPr>
          <w:rFonts w:ascii="Corbel" w:eastAsia="Tahoma" w:hAnsi="Corbel" w:cs="Tahoma"/>
          <w:sz w:val="20"/>
        </w:rPr>
        <w:t xml:space="preserve">zie </w:t>
      </w:r>
      <w:r w:rsidRPr="00371492">
        <w:rPr>
          <w:rFonts w:ascii="Corbel" w:eastAsia="Tahoma" w:hAnsi="Corbel" w:cs="Tahoma"/>
          <w:sz w:val="20"/>
        </w:rPr>
        <w:t xml:space="preserve">onder andere </w:t>
      </w:r>
      <w:proofErr w:type="spellStart"/>
      <w:r w:rsidRPr="00371492">
        <w:rPr>
          <w:rFonts w:ascii="Corbel" w:eastAsia="Tahoma" w:hAnsi="Corbel" w:cs="Tahoma"/>
          <w:sz w:val="20"/>
        </w:rPr>
        <w:t>Krimsky</w:t>
      </w:r>
      <w:proofErr w:type="spellEnd"/>
      <w:r w:rsidRPr="00371492">
        <w:rPr>
          <w:rFonts w:ascii="Corbel" w:eastAsia="Tahoma" w:hAnsi="Corbel" w:cs="Tahoma"/>
          <w:sz w:val="20"/>
        </w:rPr>
        <w:t xml:space="preserve"> &amp; </w:t>
      </w:r>
      <w:proofErr w:type="spellStart"/>
      <w:r w:rsidRPr="00371492">
        <w:rPr>
          <w:rFonts w:ascii="Corbel" w:eastAsia="Tahoma" w:hAnsi="Corbel" w:cs="Tahoma"/>
          <w:sz w:val="20"/>
        </w:rPr>
        <w:t>Golding</w:t>
      </w:r>
      <w:proofErr w:type="spellEnd"/>
      <w:r w:rsidRPr="00371492">
        <w:rPr>
          <w:rFonts w:ascii="Corbel" w:eastAsia="Tahoma" w:hAnsi="Corbel" w:cs="Tahoma"/>
          <w:sz w:val="20"/>
        </w:rPr>
        <w:t xml:space="preserve"> 1992, </w:t>
      </w:r>
      <w:proofErr w:type="spellStart"/>
      <w:r w:rsidRPr="00371492">
        <w:rPr>
          <w:rFonts w:ascii="Corbel" w:eastAsia="Tahoma" w:hAnsi="Corbel" w:cs="Tahoma"/>
          <w:sz w:val="20"/>
        </w:rPr>
        <w:t>Shrader-Frechette</w:t>
      </w:r>
      <w:proofErr w:type="spellEnd"/>
      <w:r w:rsidRPr="00371492">
        <w:rPr>
          <w:rFonts w:ascii="Corbel" w:eastAsia="Tahoma" w:hAnsi="Corbel" w:cs="Tahoma"/>
          <w:sz w:val="20"/>
        </w:rPr>
        <w:t xml:space="preserve"> 1991, </w:t>
      </w:r>
      <w:proofErr w:type="spellStart"/>
      <w:r w:rsidRPr="00371492">
        <w:rPr>
          <w:rFonts w:ascii="Corbel" w:eastAsia="Tahoma" w:hAnsi="Corbel" w:cs="Tahoma"/>
          <w:sz w:val="20"/>
        </w:rPr>
        <w:t>Hansson</w:t>
      </w:r>
      <w:proofErr w:type="spellEnd"/>
      <w:r w:rsidRPr="00371492">
        <w:rPr>
          <w:rFonts w:ascii="Corbel" w:eastAsia="Tahoma" w:hAnsi="Corbel" w:cs="Tahoma"/>
          <w:sz w:val="20"/>
        </w:rPr>
        <w:t xml:space="preserve"> 2004; </w:t>
      </w:r>
      <w:proofErr w:type="spellStart"/>
      <w:r w:rsidRPr="00371492">
        <w:rPr>
          <w:rFonts w:ascii="Corbel" w:eastAsia="Tahoma" w:hAnsi="Corbel" w:cs="Tahoma"/>
          <w:sz w:val="20"/>
        </w:rPr>
        <w:t>Roeser</w:t>
      </w:r>
      <w:proofErr w:type="spellEnd"/>
      <w:r w:rsidRPr="00371492">
        <w:rPr>
          <w:rFonts w:ascii="Corbel" w:eastAsia="Tahoma" w:hAnsi="Corbel" w:cs="Tahoma"/>
          <w:sz w:val="20"/>
        </w:rPr>
        <w:t xml:space="preserve"> 2013). </w:t>
      </w:r>
      <w:r w:rsidRPr="00371492">
        <w:rPr>
          <w:rFonts w:ascii="Corbel" w:eastAsia="Tahoma" w:hAnsi="Corbel" w:cs="Tahoma"/>
          <w:color w:val="000000" w:themeColor="text1"/>
          <w:sz w:val="20"/>
        </w:rPr>
        <w:t xml:space="preserve">Dit onderzoek draagt hieraan bij door in kaart te brengen hoe er invulling gegeven kan worden aan een completer concept van risicoanalyse. De specifieke toepassing wordt gedaan voor IBRA van de ILT, maar de behoefte aan een breder toetsingskader is aanwezig bij meer organisaties. </w:t>
      </w:r>
    </w:p>
    <w:p w14:paraId="15EB01AE" w14:textId="5E0E78EF" w:rsidR="00F2603E" w:rsidRPr="00371492" w:rsidRDefault="00F2603E" w:rsidP="00F2603E">
      <w:pPr>
        <w:spacing w:line="360" w:lineRule="auto"/>
        <w:ind w:firstLine="360"/>
        <w:jc w:val="both"/>
        <w:rPr>
          <w:rFonts w:ascii="Corbel" w:eastAsia="Tahoma" w:hAnsi="Corbel" w:cs="Tahoma"/>
          <w:sz w:val="20"/>
        </w:rPr>
      </w:pPr>
      <w:r w:rsidRPr="00371492">
        <w:rPr>
          <w:rFonts w:ascii="Corbel" w:eastAsia="Tahoma" w:hAnsi="Corbel" w:cs="Tahoma"/>
          <w:sz w:val="20"/>
        </w:rPr>
        <w:t xml:space="preserve">Wetenschappelijk gezien is het van belang dat er onderzocht wordt hoe er tot een verbreed begrip van risicoanalyse gekomen kan worden. In de literatuur zijn aanwijzingen te vinden die wijzen op de beperkte geldigheid van een technocratisch begrip van risicoanalyse (denk onder andere aan onzekerheid, eenzijdigheid en beperkte legitimiteit van besluitvorming). Deze risicoanalyses richten zich op een feitelijke vraag, namelijk: hoe zien de risico’s eruit? Bij het analyseren van risico’s moet, aldus </w:t>
      </w:r>
      <w:proofErr w:type="spellStart"/>
      <w:r w:rsidRPr="00371492">
        <w:rPr>
          <w:rFonts w:ascii="Corbel" w:eastAsia="Tahoma" w:hAnsi="Corbel" w:cs="Tahoma"/>
          <w:sz w:val="20"/>
        </w:rPr>
        <w:t>Slovic</w:t>
      </w:r>
      <w:proofErr w:type="spellEnd"/>
      <w:r w:rsidRPr="00371492">
        <w:rPr>
          <w:rFonts w:ascii="Corbel" w:eastAsia="Tahoma" w:hAnsi="Corbel" w:cs="Tahoma"/>
          <w:sz w:val="20"/>
        </w:rPr>
        <w:t xml:space="preserve"> (1987), ook rekening gehouden worden met de (kwalitatieve) perceptie van een risico.</w:t>
      </w:r>
      <w:r w:rsidRPr="00371492">
        <w:rPr>
          <w:rFonts w:ascii="Corbel" w:hAnsi="Corbel" w:cs="Times"/>
          <w:sz w:val="22"/>
        </w:rPr>
        <w:t xml:space="preserve"> </w:t>
      </w:r>
      <w:r w:rsidRPr="00371492">
        <w:rPr>
          <w:rFonts w:ascii="Corbel" w:eastAsia="Tahoma" w:hAnsi="Corbel" w:cs="Tahoma"/>
          <w:sz w:val="20"/>
        </w:rPr>
        <w:t>In de afgelopen jaren is er tevens meer aandacht gekomen voor de rol van overwegingen die moeilijk te kwantificeren zijn, onder de noemer risico-emotie of risico-ethiek (</w:t>
      </w:r>
      <w:proofErr w:type="spellStart"/>
      <w:r w:rsidRPr="00371492">
        <w:rPr>
          <w:rFonts w:ascii="Corbel" w:eastAsia="Tahoma" w:hAnsi="Corbel" w:cs="Tahoma"/>
          <w:sz w:val="20"/>
        </w:rPr>
        <w:t>Roeser</w:t>
      </w:r>
      <w:proofErr w:type="spellEnd"/>
      <w:r w:rsidRPr="00371492">
        <w:rPr>
          <w:rFonts w:ascii="Corbel" w:eastAsia="Tahoma" w:hAnsi="Corbel" w:cs="Tahoma"/>
          <w:sz w:val="20"/>
        </w:rPr>
        <w:t xml:space="preserve">, 2013). </w:t>
      </w:r>
      <w:r w:rsidRPr="00371492">
        <w:rPr>
          <w:rFonts w:ascii="Corbel" w:eastAsia="Tahoma" w:hAnsi="Corbel" w:cs="Tahoma"/>
          <w:color w:val="000000" w:themeColor="text1"/>
          <w:sz w:val="20"/>
        </w:rPr>
        <w:t xml:space="preserve">Dit onderzoek draagt hieraan bij door te kijken hoe er in een afwegingskader voor risico’s naast utiliteitsoverwegingen ook andere relevante ethische argumentatie meegenomen kunnen worden. Geconcludeerd kan worden dat het zowel theoretisch als praktisch van belang is dat we leren hoe tot een verbetering van het concept risicoanalyse kunnen komen. </w:t>
      </w:r>
    </w:p>
    <w:p w14:paraId="73AC2B07" w14:textId="77777777" w:rsidR="00F2603E" w:rsidRPr="00371492" w:rsidRDefault="00F2603E" w:rsidP="00F2603E">
      <w:pPr>
        <w:spacing w:line="360" w:lineRule="auto"/>
        <w:ind w:firstLine="360"/>
        <w:jc w:val="both"/>
        <w:rPr>
          <w:rFonts w:ascii="Corbel" w:eastAsia="Tahoma" w:hAnsi="Corbel" w:cs="Tahoma"/>
          <w:color w:val="000000" w:themeColor="text1"/>
          <w:sz w:val="20"/>
        </w:rPr>
      </w:pPr>
    </w:p>
    <w:p w14:paraId="2EFB9BF0" w14:textId="49976162" w:rsidR="00F2603E" w:rsidRPr="00371492" w:rsidRDefault="00F2603E" w:rsidP="00510131">
      <w:pPr>
        <w:pStyle w:val="Stijl2"/>
        <w:numPr>
          <w:ilvl w:val="1"/>
          <w:numId w:val="2"/>
        </w:numPr>
        <w:rPr>
          <w:rFonts w:eastAsia="Tahoma"/>
        </w:rPr>
      </w:pPr>
      <w:r w:rsidRPr="00371492">
        <w:rPr>
          <w:rFonts w:eastAsia="Tahoma"/>
        </w:rPr>
        <w:t xml:space="preserve"> </w:t>
      </w:r>
      <w:bookmarkStart w:id="14" w:name="_Toc485990855"/>
      <w:r w:rsidRPr="00371492">
        <w:rPr>
          <w:rFonts w:eastAsia="Tahoma"/>
        </w:rPr>
        <w:t>Voorbeschouwing theoretisch kader</w:t>
      </w:r>
      <w:bookmarkEnd w:id="14"/>
    </w:p>
    <w:p w14:paraId="059A0B5A" w14:textId="48DB5933" w:rsidR="00F2603E" w:rsidRPr="00371492" w:rsidRDefault="00F2603E" w:rsidP="00F2603E">
      <w:pPr>
        <w:spacing w:line="360" w:lineRule="auto"/>
        <w:jc w:val="both"/>
        <w:rPr>
          <w:rFonts w:ascii="Corbel" w:eastAsia="Tahoma" w:hAnsi="Corbel" w:cs="Tahoma"/>
          <w:sz w:val="20"/>
        </w:rPr>
      </w:pPr>
      <w:r w:rsidRPr="00371492">
        <w:rPr>
          <w:rFonts w:ascii="Corbel" w:eastAsia="Tahoma" w:hAnsi="Corbel" w:cs="Tahoma"/>
          <w:sz w:val="20"/>
        </w:rPr>
        <w:t xml:space="preserve">Het uitgangspunt dat een breder soort risicoanalyse nodig is wordt verder toegelicht in het beleidskader in hoofdstuk twee van dit onderzoek. In een verbrede risicoanalyse is in ieder geval aandacht voor meer dan alleen argumenten op utilistische gronden. Het theoretisch kader in hoofdstuk drie laat op conceptueel niveau zien </w:t>
      </w:r>
      <w:r w:rsidRPr="00371492">
        <w:rPr>
          <w:rFonts w:ascii="Corbel" w:eastAsia="Tahoma" w:hAnsi="Corbel" w:cs="Tahoma"/>
          <w:sz w:val="20"/>
        </w:rPr>
        <w:lastRenderedPageBreak/>
        <w:t xml:space="preserve">wat een risicoanalyse nog meer zou moeten omvatten. Hiertoe is een beschrijving van de drie hoofdstromingen binnen de normatieve ethiek noodzakelijk. Dit zijn respectievelijk de </w:t>
      </w:r>
      <w:proofErr w:type="spellStart"/>
      <w:r w:rsidRPr="00371492">
        <w:rPr>
          <w:rFonts w:ascii="Corbel" w:eastAsia="Tahoma" w:hAnsi="Corbel" w:cs="Tahoma"/>
          <w:sz w:val="20"/>
        </w:rPr>
        <w:t>gevolgethische</w:t>
      </w:r>
      <w:proofErr w:type="spellEnd"/>
      <w:r w:rsidRPr="00371492">
        <w:rPr>
          <w:rFonts w:ascii="Corbel" w:eastAsia="Tahoma" w:hAnsi="Corbel" w:cs="Tahoma"/>
          <w:sz w:val="20"/>
        </w:rPr>
        <w:t xml:space="preserve"> (</w:t>
      </w:r>
      <w:r w:rsidR="00F77BD1">
        <w:rPr>
          <w:rFonts w:ascii="Corbel" w:eastAsia="Tahoma" w:hAnsi="Corbel" w:cs="Tahoma"/>
          <w:sz w:val="20"/>
        </w:rPr>
        <w:t>utilistische</w:t>
      </w:r>
      <w:r w:rsidRPr="00371492">
        <w:rPr>
          <w:rFonts w:ascii="Corbel" w:eastAsia="Tahoma" w:hAnsi="Corbel" w:cs="Tahoma"/>
          <w:sz w:val="20"/>
        </w:rPr>
        <w:t xml:space="preserve">), de </w:t>
      </w:r>
      <w:proofErr w:type="spellStart"/>
      <w:r w:rsidRPr="00371492">
        <w:rPr>
          <w:rFonts w:ascii="Corbel" w:eastAsia="Tahoma" w:hAnsi="Corbel" w:cs="Tahoma"/>
          <w:sz w:val="20"/>
        </w:rPr>
        <w:t>plichtsethische</w:t>
      </w:r>
      <w:proofErr w:type="spellEnd"/>
      <w:r w:rsidRPr="00371492">
        <w:rPr>
          <w:rFonts w:ascii="Corbel" w:eastAsia="Tahoma" w:hAnsi="Corbel" w:cs="Tahoma"/>
          <w:sz w:val="20"/>
        </w:rPr>
        <w:t xml:space="preserve"> (deontologie) en deugdethische stroming. Hierbij zal beschreven worden wat de centrale kenmerken zijn van elk van de ethische benaderingen met als doel dat er voldoende begrip bestaat van de logica die elke stroming presenteert. Vervolgens zal omschreven worden wat er in de praktijk aan bod moet komen om te kunnen besluiten dat deze benaderingen daadwerkelijk gebruikt zijn. Ten slotte zal beschreven worden waarom het van belang is dat alle drie de benaderingen nagevolgd worden.</w:t>
      </w:r>
      <w:r w:rsidR="006C74E3" w:rsidRPr="00371492">
        <w:rPr>
          <w:rFonts w:ascii="Corbel" w:eastAsia="Tahoma" w:hAnsi="Corbel" w:cs="Tahoma"/>
          <w:sz w:val="20"/>
        </w:rPr>
        <w:t xml:space="preserve"> </w:t>
      </w:r>
      <w:r w:rsidRPr="00371492">
        <w:rPr>
          <w:rFonts w:ascii="Corbel" w:eastAsia="Tahoma" w:hAnsi="Corbel" w:cs="Tahoma"/>
          <w:sz w:val="20"/>
        </w:rPr>
        <w:t xml:space="preserve">Deze laatste twee stappen worden in hoofdstuk vier beschreven, waarin de praktische toepassing van de ethische theorie centraal staat. </w:t>
      </w:r>
    </w:p>
    <w:p w14:paraId="01B221EA" w14:textId="77777777" w:rsidR="00F2603E" w:rsidRPr="00371492" w:rsidRDefault="00F2603E" w:rsidP="00F2603E">
      <w:pPr>
        <w:spacing w:line="360" w:lineRule="auto"/>
        <w:jc w:val="both"/>
        <w:rPr>
          <w:rFonts w:ascii="Corbel" w:hAnsi="Corbel" w:cs="Tahoma"/>
          <w:sz w:val="20"/>
        </w:rPr>
      </w:pPr>
    </w:p>
    <w:p w14:paraId="29CBB38C" w14:textId="54B34296" w:rsidR="00F2603E" w:rsidRPr="00371492" w:rsidRDefault="00F2603E" w:rsidP="00510131">
      <w:pPr>
        <w:pStyle w:val="Stijl2"/>
        <w:numPr>
          <w:ilvl w:val="1"/>
          <w:numId w:val="3"/>
        </w:numPr>
        <w:rPr>
          <w:rFonts w:eastAsia="Tahoma"/>
        </w:rPr>
      </w:pPr>
      <w:bookmarkStart w:id="15" w:name="_Toc485990856"/>
      <w:r w:rsidRPr="00371492">
        <w:rPr>
          <w:rFonts w:eastAsia="Tahoma"/>
        </w:rPr>
        <w:t>Voorbeschouwing methodologisch kader</w:t>
      </w:r>
      <w:bookmarkEnd w:id="15"/>
    </w:p>
    <w:p w14:paraId="3D85159B" w14:textId="68D61A78" w:rsidR="00F2603E" w:rsidRDefault="00F2603E" w:rsidP="00374D60">
      <w:pPr>
        <w:spacing w:line="360" w:lineRule="auto"/>
        <w:jc w:val="both"/>
        <w:rPr>
          <w:rFonts w:ascii="Corbel" w:eastAsia="Tahoma" w:hAnsi="Corbel" w:cs="Tahoma"/>
          <w:iCs/>
          <w:color w:val="000000" w:themeColor="text1"/>
          <w:sz w:val="20"/>
        </w:rPr>
      </w:pPr>
      <w:r w:rsidRPr="00371492">
        <w:rPr>
          <w:rFonts w:ascii="Corbel" w:eastAsia="Tahoma" w:hAnsi="Corbel" w:cs="Tahoma"/>
          <w:iCs/>
          <w:color w:val="000000" w:themeColor="text1"/>
          <w:sz w:val="20"/>
        </w:rPr>
        <w:t xml:space="preserve">Tussen hoofdstuk drie en vier vindt een vertaalslag naar de praktijk plaats. Hierin wordt gezocht naar aanknopingspunten voor de toetsing van risicoanalyses aan de hand van een ethisch beoordelingskader. </w:t>
      </w:r>
      <w:r w:rsidR="004D2CC0">
        <w:rPr>
          <w:rFonts w:ascii="Corbel" w:eastAsia="Tahoma" w:hAnsi="Corbel" w:cs="Tahoma"/>
          <w:iCs/>
          <w:color w:val="000000" w:themeColor="text1"/>
          <w:sz w:val="20"/>
        </w:rPr>
        <w:t xml:space="preserve">Dit maakt dit onderzoek een evaluatieve studie. </w:t>
      </w:r>
      <w:r w:rsidRPr="00371492">
        <w:rPr>
          <w:rFonts w:ascii="Corbel" w:eastAsia="Tahoma" w:hAnsi="Corbel" w:cs="Tahoma"/>
          <w:iCs/>
          <w:color w:val="000000" w:themeColor="text1"/>
          <w:sz w:val="20"/>
        </w:rPr>
        <w:t xml:space="preserve">In de </w:t>
      </w:r>
      <w:r w:rsidR="009471CC">
        <w:rPr>
          <w:rFonts w:ascii="Corbel" w:eastAsia="Tahoma" w:hAnsi="Corbel" w:cs="Tahoma"/>
          <w:iCs/>
          <w:color w:val="000000" w:themeColor="text1"/>
          <w:sz w:val="20"/>
        </w:rPr>
        <w:t>de</w:t>
      </w:r>
      <w:r w:rsidRPr="00371492">
        <w:rPr>
          <w:rFonts w:ascii="Corbel" w:eastAsia="Tahoma" w:hAnsi="Corbel" w:cs="Tahoma"/>
          <w:iCs/>
          <w:color w:val="000000" w:themeColor="text1"/>
          <w:sz w:val="20"/>
        </w:rPr>
        <w:t xml:space="preserve"> toetsing staan een aantal onderdelen van </w:t>
      </w:r>
      <w:proofErr w:type="gramStart"/>
      <w:r w:rsidRPr="00371492">
        <w:rPr>
          <w:rFonts w:ascii="Corbel" w:eastAsia="Tahoma" w:hAnsi="Corbel" w:cs="Tahoma"/>
          <w:iCs/>
          <w:color w:val="000000" w:themeColor="text1"/>
          <w:sz w:val="20"/>
        </w:rPr>
        <w:t>IBRA centraal</w:t>
      </w:r>
      <w:proofErr w:type="gramEnd"/>
      <w:r w:rsidRPr="00371492">
        <w:rPr>
          <w:rFonts w:ascii="Corbel" w:eastAsia="Tahoma" w:hAnsi="Corbel" w:cs="Tahoma"/>
          <w:iCs/>
          <w:color w:val="000000" w:themeColor="text1"/>
          <w:sz w:val="20"/>
        </w:rPr>
        <w:t xml:space="preserve">. </w:t>
      </w:r>
      <w:r w:rsidR="00F37AC8">
        <w:rPr>
          <w:rFonts w:ascii="Corbel" w:eastAsia="Tahoma" w:hAnsi="Corbel" w:cs="Tahoma"/>
          <w:iCs/>
          <w:color w:val="000000" w:themeColor="text1"/>
          <w:sz w:val="20"/>
        </w:rPr>
        <w:t xml:space="preserve">Met onderdelen worden specifieke risico’s bedoeld, die als casus dienen in dit onderzoek. </w:t>
      </w:r>
      <w:r w:rsidRPr="00371492">
        <w:rPr>
          <w:rFonts w:ascii="Corbel" w:eastAsia="Tahoma" w:hAnsi="Corbel" w:cs="Tahoma"/>
          <w:iCs/>
          <w:color w:val="000000" w:themeColor="text1"/>
          <w:sz w:val="20"/>
        </w:rPr>
        <w:t xml:space="preserve">Hiermee vormt dit onderzoek een case </w:t>
      </w:r>
      <w:proofErr w:type="spellStart"/>
      <w:r w:rsidRPr="00371492">
        <w:rPr>
          <w:rFonts w:ascii="Corbel" w:eastAsia="Tahoma" w:hAnsi="Corbel" w:cs="Tahoma"/>
          <w:iCs/>
          <w:color w:val="000000" w:themeColor="text1"/>
          <w:sz w:val="20"/>
        </w:rPr>
        <w:t>study</w:t>
      </w:r>
      <w:proofErr w:type="spellEnd"/>
      <w:r w:rsidRPr="00371492">
        <w:rPr>
          <w:rFonts w:ascii="Corbel" w:eastAsia="Tahoma" w:hAnsi="Corbel" w:cs="Tahoma"/>
          <w:iCs/>
          <w:color w:val="000000" w:themeColor="text1"/>
          <w:sz w:val="20"/>
        </w:rPr>
        <w:t xml:space="preserve">. Voor het selecteren van de cases </w:t>
      </w:r>
      <w:r w:rsidR="009471CC">
        <w:rPr>
          <w:rFonts w:ascii="Corbel" w:eastAsia="Tahoma" w:hAnsi="Corbel" w:cs="Tahoma"/>
          <w:iCs/>
          <w:color w:val="000000" w:themeColor="text1"/>
          <w:sz w:val="20"/>
        </w:rPr>
        <w:t>is</w:t>
      </w:r>
      <w:r w:rsidRPr="00371492">
        <w:rPr>
          <w:rFonts w:ascii="Corbel" w:eastAsia="Tahoma" w:hAnsi="Corbel" w:cs="Tahoma"/>
          <w:iCs/>
          <w:color w:val="000000" w:themeColor="text1"/>
          <w:sz w:val="20"/>
        </w:rPr>
        <w:t xml:space="preserve"> gesproken met experts binnen het IBRA-team en de betrokken domeinen en voor het onderzoeken van de cases </w:t>
      </w:r>
      <w:r w:rsidR="009471CC">
        <w:rPr>
          <w:rFonts w:ascii="Corbel" w:eastAsia="Tahoma" w:hAnsi="Corbel" w:cs="Tahoma"/>
          <w:iCs/>
          <w:color w:val="000000" w:themeColor="text1"/>
          <w:sz w:val="20"/>
        </w:rPr>
        <w:t>heeft</w:t>
      </w:r>
      <w:r w:rsidRPr="00371492">
        <w:rPr>
          <w:rFonts w:ascii="Corbel" w:eastAsia="Tahoma" w:hAnsi="Corbel" w:cs="Tahoma"/>
          <w:iCs/>
          <w:color w:val="000000" w:themeColor="text1"/>
          <w:sz w:val="20"/>
        </w:rPr>
        <w:t xml:space="preserve"> er documentanalyse </w:t>
      </w:r>
      <w:r w:rsidR="009471CC">
        <w:rPr>
          <w:rFonts w:ascii="Corbel" w:eastAsia="Tahoma" w:hAnsi="Corbel" w:cs="Tahoma"/>
          <w:iCs/>
          <w:color w:val="000000" w:themeColor="text1"/>
          <w:sz w:val="20"/>
        </w:rPr>
        <w:t>plaats gevonden.</w:t>
      </w:r>
      <w:r w:rsidRPr="00371492">
        <w:rPr>
          <w:rFonts w:ascii="Corbel" w:eastAsia="Tahoma" w:hAnsi="Corbel" w:cs="Tahoma"/>
          <w:iCs/>
          <w:color w:val="000000" w:themeColor="text1"/>
          <w:sz w:val="20"/>
        </w:rPr>
        <w:t xml:space="preserve"> </w:t>
      </w:r>
      <w:r w:rsidRPr="00374D60">
        <w:rPr>
          <w:rFonts w:ascii="Corbel" w:eastAsia="Tahoma" w:hAnsi="Corbel" w:cs="Tahoma"/>
          <w:iCs/>
          <w:color w:val="000000" w:themeColor="text1"/>
          <w:sz w:val="20"/>
        </w:rPr>
        <w:t xml:space="preserve">De analyse richt zich eerst op de vraag of er alleen maar puur utilistische informatie in de risicoanalyse zit. De verwachting is dat er ook deontologische </w:t>
      </w:r>
      <w:r w:rsidR="009471CC" w:rsidRPr="00374D60">
        <w:rPr>
          <w:rFonts w:ascii="Corbel" w:eastAsia="Tahoma" w:hAnsi="Corbel" w:cs="Tahoma"/>
          <w:iCs/>
          <w:color w:val="000000" w:themeColor="text1"/>
          <w:sz w:val="20"/>
        </w:rPr>
        <w:t>e</w:t>
      </w:r>
      <w:r w:rsidRPr="00374D60">
        <w:rPr>
          <w:rFonts w:ascii="Corbel" w:eastAsia="Tahoma" w:hAnsi="Corbel" w:cs="Tahoma"/>
          <w:iCs/>
          <w:color w:val="000000" w:themeColor="text1"/>
          <w:sz w:val="20"/>
        </w:rPr>
        <w:t>n deugdethische kenmerken te vinden zijn. Een eerste stap is om hier een helder beeld van te krijgen en te beoordelen of argumentatie op basis van deontologie of deugdethiek niet onterecht naar de utiliteit wordt getrokken. Dit draait om de vraag welke elementen uit het brede ethische kader dat dit onderzoek schetst terugkomen in IBRA.</w:t>
      </w:r>
      <w:r w:rsidR="00374D60">
        <w:rPr>
          <w:rFonts w:ascii="Corbel" w:eastAsia="Tahoma" w:hAnsi="Corbel" w:cs="Tahoma"/>
          <w:iCs/>
          <w:color w:val="000000" w:themeColor="text1"/>
          <w:sz w:val="20"/>
        </w:rPr>
        <w:t xml:space="preserve"> </w:t>
      </w:r>
      <w:r w:rsidRPr="00374D60">
        <w:rPr>
          <w:rFonts w:ascii="Corbel" w:eastAsia="Tahoma" w:hAnsi="Corbel" w:cs="Tahoma"/>
          <w:iCs/>
          <w:color w:val="000000" w:themeColor="text1"/>
          <w:sz w:val="20"/>
        </w:rPr>
        <w:t xml:space="preserve">Ten tweede zoekt het onderzoek naar uitbreiding van het begrip risicoanalyse. Dit richt zich op de vraag hoe er recht gedaan kan worden aan deontologische en deugdethische overwegingen. </w:t>
      </w:r>
    </w:p>
    <w:p w14:paraId="198D17DD" w14:textId="77777777" w:rsidR="008D48A8" w:rsidRPr="00374D60" w:rsidRDefault="008D48A8" w:rsidP="00374D60">
      <w:pPr>
        <w:spacing w:line="360" w:lineRule="auto"/>
        <w:jc w:val="both"/>
        <w:rPr>
          <w:rFonts w:ascii="Corbel" w:eastAsia="Tahoma" w:hAnsi="Corbel" w:cs="Tahoma"/>
          <w:iCs/>
          <w:color w:val="000000" w:themeColor="text1"/>
          <w:sz w:val="20"/>
        </w:rPr>
      </w:pPr>
    </w:p>
    <w:p w14:paraId="359AAABC" w14:textId="030EEA58" w:rsidR="00F2603E" w:rsidRPr="00371492" w:rsidRDefault="00F2603E" w:rsidP="00510131">
      <w:pPr>
        <w:pStyle w:val="Stijl2"/>
        <w:numPr>
          <w:ilvl w:val="1"/>
          <w:numId w:val="3"/>
        </w:numPr>
        <w:rPr>
          <w:rFonts w:eastAsia="Tahoma"/>
        </w:rPr>
      </w:pPr>
      <w:r w:rsidRPr="00371492">
        <w:rPr>
          <w:rFonts w:eastAsia="Tahoma"/>
        </w:rPr>
        <w:t xml:space="preserve"> </w:t>
      </w:r>
      <w:bookmarkStart w:id="16" w:name="_Toc485990857"/>
      <w:r w:rsidRPr="00371492">
        <w:rPr>
          <w:rFonts w:eastAsia="Tahoma"/>
        </w:rPr>
        <w:t>Leeswijzer</w:t>
      </w:r>
      <w:bookmarkEnd w:id="16"/>
    </w:p>
    <w:p w14:paraId="0994B675" w14:textId="71D1E663" w:rsidR="00F2603E" w:rsidRPr="00371492" w:rsidRDefault="00F2603E" w:rsidP="00F2603E">
      <w:pPr>
        <w:spacing w:line="360" w:lineRule="auto"/>
        <w:jc w:val="both"/>
        <w:rPr>
          <w:rFonts w:ascii="Corbel" w:eastAsia="Tahoma" w:hAnsi="Corbel" w:cs="Tahoma"/>
          <w:sz w:val="20"/>
        </w:rPr>
      </w:pPr>
      <w:r w:rsidRPr="00371492">
        <w:rPr>
          <w:rFonts w:ascii="Corbel" w:eastAsia="Tahoma" w:hAnsi="Corbel" w:cs="Tahoma"/>
          <w:sz w:val="20"/>
        </w:rPr>
        <w:t>In dit eerste hoofdstuk is een korte introductie gegeven op het onderwerp van dit onderzoek. In het volgende hoofdstuk wordt de relevante achtergrondinformatie voor het onderzoek geschetst, waarbij een antwoord wordt gegeven op de vraag waarom een breder soort risicoanalyse nodig is. In het derde hoofdstuk wordt het theoretisch kader van het onderzoek gepresenteerd, waarna in het vierde hoofdstuk de onderzoeksmethode aan bod zal komen. In het vijfde hoofdstuk vindt de analyse plaats en worden de resultaten van het onderzoek gepresenteerd. Aan de hand van deze resultaten worden in hoofdstuk zes de onderzoeksvragen beantwoord en conclusies getrokken</w:t>
      </w:r>
      <w:r w:rsidR="00F77BD1">
        <w:rPr>
          <w:rFonts w:ascii="Corbel" w:eastAsia="Tahoma" w:hAnsi="Corbel" w:cs="Tahoma"/>
          <w:sz w:val="20"/>
        </w:rPr>
        <w:t>. De aanbevelingen op basis van dit onderzoek zijn aan het begin van dit onderzoek geplaatst.</w:t>
      </w:r>
    </w:p>
    <w:p w14:paraId="292856E9" w14:textId="77777777" w:rsidR="00F2603E" w:rsidRPr="00371492" w:rsidRDefault="00F2603E" w:rsidP="00F2603E">
      <w:pPr>
        <w:spacing w:line="360" w:lineRule="auto"/>
        <w:jc w:val="both"/>
        <w:rPr>
          <w:rFonts w:ascii="Corbel" w:eastAsia="Tahoma" w:hAnsi="Corbel" w:cs="Tahoma"/>
          <w:sz w:val="20"/>
        </w:rPr>
      </w:pPr>
    </w:p>
    <w:p w14:paraId="0B9AE929" w14:textId="77777777" w:rsidR="00F2603E" w:rsidRPr="00371492" w:rsidRDefault="00F2603E" w:rsidP="00F2603E">
      <w:pPr>
        <w:spacing w:line="360" w:lineRule="auto"/>
        <w:jc w:val="both"/>
        <w:rPr>
          <w:rFonts w:ascii="Corbel" w:eastAsia="Tahoma" w:hAnsi="Corbel" w:cs="Tahoma"/>
          <w:sz w:val="20"/>
        </w:rPr>
      </w:pPr>
    </w:p>
    <w:p w14:paraId="50EF8C6E" w14:textId="77777777" w:rsidR="00F2603E" w:rsidRPr="00371492" w:rsidRDefault="00F2603E" w:rsidP="00F2603E">
      <w:pPr>
        <w:spacing w:line="360" w:lineRule="auto"/>
        <w:jc w:val="both"/>
        <w:rPr>
          <w:rFonts w:ascii="Corbel" w:eastAsia="Tahoma" w:hAnsi="Corbel" w:cs="Tahoma"/>
          <w:sz w:val="20"/>
        </w:rPr>
      </w:pPr>
    </w:p>
    <w:p w14:paraId="10EB3D31" w14:textId="77777777" w:rsidR="00F2603E" w:rsidRPr="00371492" w:rsidRDefault="00F2603E" w:rsidP="00F2603E">
      <w:pPr>
        <w:spacing w:line="360" w:lineRule="auto"/>
        <w:jc w:val="both"/>
        <w:rPr>
          <w:rFonts w:ascii="Corbel" w:eastAsia="Tahoma" w:hAnsi="Corbel" w:cs="Tahoma"/>
          <w:sz w:val="20"/>
        </w:rPr>
      </w:pPr>
    </w:p>
    <w:p w14:paraId="1E683289" w14:textId="77777777" w:rsidR="000C53CD" w:rsidRPr="00371492" w:rsidRDefault="000C53CD" w:rsidP="00F2603E">
      <w:pPr>
        <w:spacing w:line="360" w:lineRule="auto"/>
        <w:jc w:val="both"/>
        <w:rPr>
          <w:rFonts w:ascii="Corbel" w:eastAsia="Tahoma" w:hAnsi="Corbel" w:cs="Tahoma"/>
          <w:sz w:val="20"/>
        </w:rPr>
      </w:pPr>
    </w:p>
    <w:p w14:paraId="1E677F9F" w14:textId="52F0F8F6" w:rsidR="00F2603E" w:rsidRPr="00371492" w:rsidRDefault="00F2603E" w:rsidP="00200C74">
      <w:pPr>
        <w:pStyle w:val="Stijl1"/>
        <w:numPr>
          <w:ilvl w:val="0"/>
          <w:numId w:val="3"/>
        </w:numPr>
        <w:spacing w:line="360" w:lineRule="auto"/>
        <w:jc w:val="both"/>
        <w:rPr>
          <w:rFonts w:eastAsia="Tahoma" w:cs="Tahoma"/>
          <w:szCs w:val="24"/>
        </w:rPr>
      </w:pPr>
      <w:bookmarkStart w:id="17" w:name="_Toc485990858"/>
      <w:r w:rsidRPr="00371492">
        <w:rPr>
          <w:rFonts w:eastAsia="Tahoma" w:cs="Tahoma"/>
          <w:szCs w:val="24"/>
        </w:rPr>
        <w:t>Wat is het probleem?</w:t>
      </w:r>
      <w:bookmarkEnd w:id="17"/>
    </w:p>
    <w:p w14:paraId="0397C60A" w14:textId="77777777" w:rsidR="00F2603E" w:rsidRPr="00371492" w:rsidRDefault="00F2603E" w:rsidP="00F2603E">
      <w:pPr>
        <w:spacing w:line="360" w:lineRule="auto"/>
        <w:contextualSpacing/>
        <w:jc w:val="both"/>
        <w:rPr>
          <w:rFonts w:ascii="Corbel" w:eastAsia="Tahoma" w:hAnsi="Corbel" w:cs="Tahoma"/>
          <w:color w:val="000000" w:themeColor="text1"/>
          <w:sz w:val="20"/>
        </w:rPr>
      </w:pPr>
      <w:r w:rsidRPr="00371492">
        <w:rPr>
          <w:rFonts w:ascii="Corbel" w:eastAsia="Tahoma" w:hAnsi="Corbel" w:cs="Tahoma"/>
          <w:sz w:val="20"/>
        </w:rPr>
        <w:t xml:space="preserve">Uit het vorige hoofdstuk volgt dat het gebruik van een versmald afwegingskader problematisch is bij het analyseren van risico’s. Maatschappelijk en wetenschappelijk bestaat er de behoefte om meer zaken mee te nemen dan louter utiliteitsoverwegingen. </w:t>
      </w:r>
      <w:r w:rsidRPr="00371492">
        <w:rPr>
          <w:rFonts w:ascii="Corbel" w:eastAsia="Tahoma" w:hAnsi="Corbel" w:cs="Tahoma"/>
          <w:color w:val="000000" w:themeColor="text1"/>
          <w:sz w:val="20"/>
        </w:rPr>
        <w:t>In dit hoofdstuk worden het probleem nader toegelicht en in de context geplaatst ten behoeve van de rest van dit onderzoek. Dit biedt zicht op vragen als: wat doet men nu? En welke commentaar wordt daarop gegeven? In andere woorden: wat is het probleem?</w:t>
      </w:r>
    </w:p>
    <w:p w14:paraId="709527D9" w14:textId="031B10AC" w:rsidR="00F2603E" w:rsidRPr="00371492" w:rsidRDefault="00F2603E" w:rsidP="00F2603E">
      <w:pPr>
        <w:spacing w:line="360" w:lineRule="auto"/>
        <w:ind w:firstLine="709"/>
        <w:contextualSpacing/>
        <w:jc w:val="both"/>
        <w:rPr>
          <w:rFonts w:ascii="Corbel" w:eastAsia="Tahoma" w:hAnsi="Corbel" w:cs="Tahoma"/>
          <w:color w:val="000000" w:themeColor="text1"/>
          <w:sz w:val="20"/>
        </w:rPr>
      </w:pPr>
      <w:r w:rsidRPr="00371492">
        <w:rPr>
          <w:rFonts w:ascii="Corbel" w:eastAsia="Tahoma" w:hAnsi="Corbel" w:cs="Tahoma"/>
          <w:color w:val="000000" w:themeColor="text1"/>
          <w:sz w:val="20"/>
        </w:rPr>
        <w:t>Dit hoofdstuk staat eerste stil bij de ontwikkeling van het analyseren van risico’s zien (§2.1). Daarna zal het begrip ‘risicoanalyse’ verder uitgewerkt worden met de nadruk op waarom een versmald afwegingskader wringt met de werkelijkheid (§2.2). Ten slotte volgt een uiteenzetting waarom de nadruk op louter utiliteit problematisch is (§2.3). Dit alles vormt de opmaat naar de ontwikkeling van een completer beoordelingskader in hoofdstuk drie</w:t>
      </w:r>
      <w:r w:rsidR="002A0F20">
        <w:rPr>
          <w:rFonts w:ascii="Corbel" w:eastAsia="Tahoma" w:hAnsi="Corbel" w:cs="Tahoma"/>
          <w:color w:val="000000" w:themeColor="text1"/>
          <w:sz w:val="20"/>
        </w:rPr>
        <w:t xml:space="preserve"> en vier</w:t>
      </w:r>
      <w:r w:rsidRPr="00371492">
        <w:rPr>
          <w:rFonts w:ascii="Corbel" w:eastAsia="Tahoma" w:hAnsi="Corbel" w:cs="Tahoma"/>
          <w:color w:val="000000" w:themeColor="text1"/>
          <w:sz w:val="20"/>
        </w:rPr>
        <w:t>.</w:t>
      </w:r>
    </w:p>
    <w:p w14:paraId="2526B535" w14:textId="77777777" w:rsidR="00F2603E" w:rsidRPr="00371492" w:rsidRDefault="00F2603E" w:rsidP="00F2603E">
      <w:pPr>
        <w:spacing w:line="360" w:lineRule="auto"/>
        <w:contextualSpacing/>
        <w:jc w:val="both"/>
        <w:rPr>
          <w:rFonts w:ascii="Corbel" w:eastAsia="Tahoma" w:hAnsi="Corbel" w:cs="Tahoma"/>
          <w:color w:val="000000" w:themeColor="text1"/>
          <w:sz w:val="20"/>
        </w:rPr>
      </w:pPr>
    </w:p>
    <w:p w14:paraId="59027204" w14:textId="47CFA9D0" w:rsidR="00F2603E" w:rsidRPr="00371492" w:rsidRDefault="00F2603E" w:rsidP="00510131">
      <w:pPr>
        <w:pStyle w:val="Stijl2"/>
        <w:rPr>
          <w:rFonts w:eastAsia="Tahoma"/>
        </w:rPr>
      </w:pPr>
      <w:bookmarkStart w:id="18" w:name="_Toc485990859"/>
      <w:r w:rsidRPr="00371492">
        <w:rPr>
          <w:rFonts w:eastAsia="Tahoma"/>
        </w:rPr>
        <w:t>2.1</w:t>
      </w:r>
      <w:r w:rsidRPr="00371492">
        <w:rPr>
          <w:rFonts w:eastAsia="Tahoma"/>
        </w:rPr>
        <w:tab/>
        <w:t>Evidence based policy en het analyseren van risico’s</w:t>
      </w:r>
      <w:bookmarkEnd w:id="18"/>
    </w:p>
    <w:p w14:paraId="4DDCF365" w14:textId="65A1FC0B" w:rsidR="00F2603E" w:rsidRPr="00371492" w:rsidRDefault="00F2603E" w:rsidP="00F2603E">
      <w:pPr>
        <w:widowControl w:val="0"/>
        <w:autoSpaceDE w:val="0"/>
        <w:autoSpaceDN w:val="0"/>
        <w:adjustRightInd w:val="0"/>
        <w:spacing w:after="240" w:line="360" w:lineRule="auto"/>
        <w:contextualSpacing/>
        <w:jc w:val="both"/>
        <w:rPr>
          <w:rFonts w:ascii="Corbel" w:eastAsia="Tahoma" w:hAnsi="Corbel" w:cs="Tahoma"/>
          <w:sz w:val="20"/>
        </w:rPr>
      </w:pPr>
      <w:r w:rsidRPr="00371492">
        <w:rPr>
          <w:rFonts w:ascii="Corbel" w:eastAsia="Tahoma" w:hAnsi="Corbel" w:cs="Tahoma"/>
          <w:sz w:val="20"/>
        </w:rPr>
        <w:t>De inspectiebrede risicoanalyse (</w:t>
      </w:r>
      <w:r w:rsidRPr="00371492">
        <w:rPr>
          <w:rFonts w:ascii="Corbel" w:eastAsia="Tahoma" w:hAnsi="Corbel" w:cs="Tahoma"/>
          <w:iCs/>
          <w:sz w:val="20"/>
        </w:rPr>
        <w:t>IBRA</w:t>
      </w:r>
      <w:r w:rsidRPr="00371492">
        <w:rPr>
          <w:rFonts w:ascii="Corbel" w:eastAsia="Tahoma" w:hAnsi="Corbel" w:cs="Tahoma"/>
          <w:sz w:val="20"/>
        </w:rPr>
        <w:t>) van de ILT heeft als doel het toezicht te richten op de grootste risico’s waar de organisatie voor aan de lat staat. Deze doelstelling past binnen de opkomst van de zogenoemde ‘risicogebaseerde’ aanpak in het toezichtsdomein (zie o.a. Power, 2004; Helsloot</w:t>
      </w:r>
      <w:r w:rsidR="0037116F">
        <w:rPr>
          <w:rFonts w:ascii="Corbel" w:eastAsia="Tahoma" w:hAnsi="Corbel" w:cs="Tahoma"/>
          <w:sz w:val="20"/>
        </w:rPr>
        <w:t xml:space="preserve"> &amp; Scholtens</w:t>
      </w:r>
      <w:r w:rsidRPr="00371492">
        <w:rPr>
          <w:rFonts w:ascii="Corbel" w:eastAsia="Tahoma" w:hAnsi="Corbel" w:cs="Tahoma"/>
          <w:sz w:val="20"/>
        </w:rPr>
        <w:t>, 2014). Onder de uiteenlopende namen van ‘risicogebaseerd’, ‘risicogericht’, ‘risicogestuurd’ en ‘selectief’ toezicht wordt de inrichting van toezicht verstaan op die activiteiten die de grootste risico's dragen. Dit is geen nieuwe toezichtsvorm, maar is te plaatsen binnen de internationale tendens naar ‘</w:t>
      </w:r>
      <w:proofErr w:type="spellStart"/>
      <w:r w:rsidRPr="00371492">
        <w:rPr>
          <w:rFonts w:ascii="Corbel" w:eastAsia="Tahoma" w:hAnsi="Corbel" w:cs="Tahoma"/>
          <w:sz w:val="20"/>
        </w:rPr>
        <w:t>evidence</w:t>
      </w:r>
      <w:proofErr w:type="spellEnd"/>
      <w:r w:rsidRPr="00371492">
        <w:rPr>
          <w:rFonts w:ascii="Corbel" w:eastAsia="Tahoma" w:hAnsi="Corbel" w:cs="Tahoma"/>
          <w:sz w:val="20"/>
        </w:rPr>
        <w:t xml:space="preserve"> based policy’ (</w:t>
      </w:r>
      <w:r w:rsidRPr="00371492">
        <w:rPr>
          <w:rFonts w:ascii="Corbel" w:eastAsia="Tahoma" w:hAnsi="Corbel" w:cs="Tahoma"/>
          <w:iCs/>
          <w:sz w:val="20"/>
        </w:rPr>
        <w:t>EBP</w:t>
      </w:r>
      <w:r w:rsidRPr="00371492">
        <w:rPr>
          <w:rFonts w:ascii="Corbel" w:eastAsia="Tahoma" w:hAnsi="Corbel" w:cs="Tahoma"/>
          <w:sz w:val="20"/>
        </w:rPr>
        <w:t xml:space="preserve">). Kortweg stelt EBP voor dat beleidsbeslissingen voornamelijk ingegeven moeten worden door wetenschappelijke informatie (zie o.a. </w:t>
      </w:r>
      <w:proofErr w:type="spellStart"/>
      <w:r w:rsidRPr="00371492">
        <w:rPr>
          <w:rFonts w:ascii="Corbel" w:eastAsia="Tahoma" w:hAnsi="Corbel" w:cs="Tahoma"/>
          <w:sz w:val="20"/>
        </w:rPr>
        <w:t>Pawson</w:t>
      </w:r>
      <w:proofErr w:type="spellEnd"/>
      <w:r w:rsidRPr="00371492">
        <w:rPr>
          <w:rFonts w:ascii="Corbel" w:eastAsia="Tahoma" w:hAnsi="Corbel" w:cs="Tahoma"/>
          <w:sz w:val="20"/>
        </w:rPr>
        <w:t>, 2006; Sanderson 2002). Aanhangers van EBP streven een rationeel ideaal van beleidsvorming na, waarbij door het systematisch gebruik van bewezen kennis de basis voor beleid wordt gelegd. Hierin ligt impliciet de aanname dat alleen die zaken meegenomen kunnen worden die bewezen kunnen worden. Kwantitatief en objectief wetenschappelijk onderzoek heeft om deze reden de voorkeur binnen EBP (</w:t>
      </w:r>
      <w:proofErr w:type="spellStart"/>
      <w:r w:rsidRPr="00371492">
        <w:rPr>
          <w:rFonts w:ascii="Corbel" w:eastAsia="Tahoma" w:hAnsi="Corbel" w:cs="Tahoma"/>
          <w:sz w:val="20"/>
        </w:rPr>
        <w:t>Nutley</w:t>
      </w:r>
      <w:proofErr w:type="spellEnd"/>
      <w:r w:rsidRPr="00371492">
        <w:rPr>
          <w:rFonts w:ascii="Corbel" w:eastAsia="Tahoma" w:hAnsi="Corbel" w:cs="Tahoma"/>
          <w:sz w:val="20"/>
        </w:rPr>
        <w:t xml:space="preserve"> &amp; Davies, 1999). </w:t>
      </w:r>
    </w:p>
    <w:p w14:paraId="1E2191E2" w14:textId="2CAD71A9" w:rsidR="00F2603E" w:rsidRPr="003A4AD9" w:rsidRDefault="00F2603E" w:rsidP="003A4AD9">
      <w:pPr>
        <w:widowControl w:val="0"/>
        <w:autoSpaceDE w:val="0"/>
        <w:autoSpaceDN w:val="0"/>
        <w:adjustRightInd w:val="0"/>
        <w:spacing w:after="240" w:line="360" w:lineRule="auto"/>
        <w:ind w:firstLine="708"/>
        <w:contextualSpacing/>
        <w:jc w:val="both"/>
        <w:rPr>
          <w:rFonts w:ascii="Corbel" w:eastAsia="Tahoma" w:hAnsi="Corbel" w:cs="Tahoma"/>
          <w:color w:val="000000" w:themeColor="text1"/>
          <w:sz w:val="20"/>
        </w:rPr>
      </w:pPr>
      <w:r w:rsidRPr="00371492">
        <w:rPr>
          <w:rFonts w:ascii="Corbel" w:eastAsia="Tahoma" w:hAnsi="Corbel" w:cs="Tahoma"/>
          <w:sz w:val="20"/>
        </w:rPr>
        <w:t>De algemene kritiek op de EBP stelt de objectiviteit van informatie ter discussie en benadrukt dat informatie altijd onderhevig is aan interpretati</w:t>
      </w:r>
      <w:r w:rsidR="00195ACC">
        <w:rPr>
          <w:rFonts w:ascii="Corbel" w:eastAsia="Tahoma" w:hAnsi="Corbel" w:cs="Tahoma"/>
          <w:sz w:val="20"/>
        </w:rPr>
        <w:t>e</w:t>
      </w:r>
      <w:r w:rsidRPr="00371492">
        <w:rPr>
          <w:rFonts w:ascii="Corbel" w:eastAsia="Tahoma" w:hAnsi="Corbel" w:cs="Tahoma"/>
          <w:sz w:val="20"/>
        </w:rPr>
        <w:t xml:space="preserve">. Dit komt bijvoorbeeld tot uiting in het feit dat wetenschappelijke kennis tegenwoordig veelvuldig ter discussie </w:t>
      </w:r>
      <w:r w:rsidRPr="00195ACC">
        <w:rPr>
          <w:rFonts w:ascii="Corbel" w:eastAsia="Tahoma" w:hAnsi="Corbel" w:cs="Tahoma"/>
          <w:color w:val="000000" w:themeColor="text1"/>
          <w:sz w:val="20"/>
        </w:rPr>
        <w:t>staat (</w:t>
      </w:r>
      <w:proofErr w:type="spellStart"/>
      <w:r w:rsidR="00195ACC" w:rsidRPr="00195ACC">
        <w:rPr>
          <w:rFonts w:ascii="Corbel" w:eastAsia="Tahoma" w:hAnsi="Corbel" w:cs="Tahoma"/>
          <w:color w:val="000000" w:themeColor="text1"/>
          <w:sz w:val="20"/>
        </w:rPr>
        <w:t>Schön</w:t>
      </w:r>
      <w:proofErr w:type="spellEnd"/>
      <w:r w:rsidR="00195ACC" w:rsidRPr="00195ACC">
        <w:rPr>
          <w:rFonts w:ascii="Corbel" w:eastAsia="Tahoma" w:hAnsi="Corbel" w:cs="Tahoma"/>
          <w:color w:val="000000" w:themeColor="text1"/>
          <w:sz w:val="20"/>
        </w:rPr>
        <w:t xml:space="preserve"> &amp; Rein, 1996</w:t>
      </w:r>
      <w:r w:rsidRPr="00195ACC">
        <w:rPr>
          <w:rFonts w:ascii="Corbel" w:eastAsia="Tahoma" w:hAnsi="Corbel" w:cs="Tahoma"/>
          <w:color w:val="000000" w:themeColor="text1"/>
          <w:sz w:val="20"/>
        </w:rPr>
        <w:t>).</w:t>
      </w:r>
      <w:r w:rsidR="009471CC" w:rsidRPr="00195ACC">
        <w:rPr>
          <w:rFonts w:ascii="Corbel" w:eastAsia="Tahoma" w:hAnsi="Corbel" w:cs="Tahoma"/>
          <w:color w:val="000000" w:themeColor="text1"/>
          <w:sz w:val="20"/>
        </w:rPr>
        <w:t xml:space="preserve"> </w:t>
      </w:r>
      <w:r w:rsidR="009471CC">
        <w:rPr>
          <w:rFonts w:ascii="Corbel" w:eastAsia="Tahoma" w:hAnsi="Corbel" w:cs="Tahoma"/>
          <w:sz w:val="20"/>
        </w:rPr>
        <w:t>Dit leidt op den duur tot een afbrokkeling van vertrouwen in en autoriteit van instituties en de wetenschap.</w:t>
      </w:r>
      <w:r w:rsidRPr="00371492">
        <w:rPr>
          <w:rFonts w:ascii="Corbel" w:eastAsia="Tahoma" w:hAnsi="Corbel" w:cs="Tahoma"/>
          <w:sz w:val="20"/>
        </w:rPr>
        <w:t xml:space="preserve"> Bij maatschappelijke vraagstukken is de contextuele situatie vaak zo complex dat feiten in toenemende mate verweven raken met waarden. Dit zorgt op de volgende wijze voor een spanning: in een complexe samenleving spelen technische, specialistische en ‘</w:t>
      </w:r>
      <w:proofErr w:type="spellStart"/>
      <w:r w:rsidRPr="00371492">
        <w:rPr>
          <w:rFonts w:ascii="Corbel" w:eastAsia="Tahoma" w:hAnsi="Corbel" w:cs="Tahoma"/>
          <w:sz w:val="20"/>
        </w:rPr>
        <w:t>evidence</w:t>
      </w:r>
      <w:proofErr w:type="spellEnd"/>
      <w:r w:rsidRPr="00371492">
        <w:rPr>
          <w:rFonts w:ascii="Corbel" w:eastAsia="Tahoma" w:hAnsi="Corbel" w:cs="Tahoma"/>
          <w:sz w:val="20"/>
        </w:rPr>
        <w:t>-based’ informatie een steeds belangrijkere rol in het beleidsproces. Tegelijkertijd wordt kennis ook steeds vaker ter discussie gesteld, waardoor een beleidscontroverse (een beleidsvoornemen dat ter discussie staat vanwege verschillende normen, belangen en onzekerheden) kan ontstaan (</w:t>
      </w:r>
      <w:r w:rsidR="00195ACC">
        <w:rPr>
          <w:rFonts w:ascii="Corbel" w:eastAsia="Tahoma" w:hAnsi="Corbel" w:cs="Tahoma"/>
          <w:sz w:val="20"/>
        </w:rPr>
        <w:t>ibid.</w:t>
      </w:r>
      <w:r w:rsidRPr="00371492">
        <w:rPr>
          <w:rFonts w:ascii="Corbel" w:eastAsia="Tahoma" w:hAnsi="Corbel" w:cs="Tahoma"/>
          <w:sz w:val="20"/>
        </w:rPr>
        <w:t xml:space="preserve">). Voorbeelden van beleidscontroverses zijn publieke discussies over vaccinaties, windmolens, mega-stallen en </w:t>
      </w:r>
      <w:r w:rsidRPr="00371492">
        <w:rPr>
          <w:rFonts w:ascii="Corbel" w:eastAsia="Tahoma" w:hAnsi="Corbel" w:cs="Tahoma"/>
          <w:sz w:val="20"/>
        </w:rPr>
        <w:lastRenderedPageBreak/>
        <w:t>gasboringen. Binnen deze voorbeelden bestaat er discussie over de objectiviteit van de onderzoeken die door de verschillende actoren aangedragen worden in het debat. De veronderstelling van EBP, namelijk dat meer wetenschappelijke kennis bijdraagt aan effectief beleid en om die reden onzekerheid wegneemt, gaat in deze casussen dan ook niet op. Men bevindt zich in de schijnbaar paradoxale situatie waarin meer wetenschappelijke kennis onzekerheid niet wegneemt, maar juist voedt.</w:t>
      </w:r>
      <w:r w:rsidR="006C74E3" w:rsidRPr="00371492">
        <w:rPr>
          <w:rFonts w:ascii="Corbel" w:eastAsia="Tahoma" w:hAnsi="Corbel" w:cs="Tahoma"/>
          <w:sz w:val="20"/>
        </w:rPr>
        <w:t xml:space="preserve"> </w:t>
      </w:r>
      <w:r w:rsidRPr="00371492">
        <w:rPr>
          <w:rFonts w:ascii="Corbel" w:eastAsia="Tahoma" w:hAnsi="Corbel" w:cs="Tahoma"/>
          <w:color w:val="000000" w:themeColor="text1"/>
          <w:sz w:val="20"/>
        </w:rPr>
        <w:t xml:space="preserve">Het kenmerk van beleidscontroverses, namelijk de aanwezigheid van meerdere naast elkaar bestaande frames en waardesystemen, biedt aanknopingspunten voor de uitwerking van een ethisch fundament voor risicoanalyses waarin meer meegenomen wordt dan utiliteitsargumenten. Kortom, </w:t>
      </w:r>
      <w:r w:rsidRPr="00371492">
        <w:rPr>
          <w:rFonts w:ascii="Corbel" w:eastAsia="Tahoma" w:hAnsi="Corbel" w:cs="Tahoma"/>
          <w:sz w:val="20"/>
        </w:rPr>
        <w:t xml:space="preserve">het fundament van EBP - de prominente plek voor bewezen kennis- wordt ter discussie gesteld. De voorkeur die aanhangers van EBP hebben voor kwantitatieve en objectieve informatie is ook terug te vinden bij de inrichting van risicogestuurd toezicht. Het feit dat toezicht toegewezen moet worden aan de grootste risico’s vraagt om het toekennen van een </w:t>
      </w:r>
      <w:r w:rsidR="009471CC">
        <w:rPr>
          <w:rFonts w:ascii="Corbel" w:eastAsia="Tahoma" w:hAnsi="Corbel" w:cs="Tahoma"/>
          <w:sz w:val="20"/>
        </w:rPr>
        <w:t>ordening</w:t>
      </w:r>
      <w:r w:rsidRPr="00371492">
        <w:rPr>
          <w:rFonts w:ascii="Corbel" w:eastAsia="Tahoma" w:hAnsi="Corbel" w:cs="Tahoma"/>
          <w:sz w:val="20"/>
        </w:rPr>
        <w:t>. Ten behoeve van vergelijkbaarheid en normeerbaarheid is een getalsmatige uitdrukking van risico’s een voor de hand liggende keuze binnen een risicoanalyse</w:t>
      </w:r>
      <w:r w:rsidRPr="00371492">
        <w:rPr>
          <w:rFonts w:ascii="Corbel" w:eastAsia="Tahoma" w:hAnsi="Corbel" w:cs="Tahoma"/>
          <w:color w:val="000000" w:themeColor="text1"/>
          <w:sz w:val="20"/>
        </w:rPr>
        <w:t xml:space="preserve">. </w:t>
      </w:r>
      <w:r w:rsidRPr="00371492">
        <w:rPr>
          <w:rFonts w:ascii="Corbel" w:eastAsia="Tahoma" w:hAnsi="Corbel" w:cs="Tahoma"/>
          <w:sz w:val="20"/>
        </w:rPr>
        <w:t xml:space="preserve">Een algemeen kritiekpunt is dat dit een simplificering is van de morele overwegingen die ten grondslag liggen aan risicoverdeling (Ross &amp; </w:t>
      </w:r>
      <w:proofErr w:type="spellStart"/>
      <w:r w:rsidRPr="00371492">
        <w:rPr>
          <w:rFonts w:ascii="Corbel" w:eastAsia="Tahoma" w:hAnsi="Corbel" w:cs="Tahoma"/>
          <w:sz w:val="20"/>
        </w:rPr>
        <w:t>Athanassoulis</w:t>
      </w:r>
      <w:proofErr w:type="spellEnd"/>
      <w:r w:rsidRPr="00371492">
        <w:rPr>
          <w:rFonts w:ascii="Corbel" w:eastAsia="Tahoma" w:hAnsi="Corbel" w:cs="Tahoma"/>
          <w:sz w:val="20"/>
        </w:rPr>
        <w:t xml:space="preserve">, 2010, p. 225). Dit zagen we al in de inleiding, toen opgemerkt werd dat een risk-benefit analysis uitgaat van een utilistische calculus en geen ruimte biedt voor andere normatieve overwegingen. </w:t>
      </w:r>
      <w:r w:rsidRPr="003A4AD9">
        <w:rPr>
          <w:rFonts w:ascii="Corbel" w:eastAsia="Tahoma" w:hAnsi="Corbel" w:cs="Tahoma"/>
          <w:color w:val="000000" w:themeColor="text1"/>
          <w:sz w:val="20"/>
        </w:rPr>
        <w:t>Naast deze kritische noten bij EBP, de voorkeur voor kwantitatieve informatie en de toepassing van een ‘risk-benefit analysis’, is er ook kritiek op het proces van het definiëren van risico’s en de invulling van het concept ‘risicogebaseerd toezicht’.</w:t>
      </w:r>
    </w:p>
    <w:p w14:paraId="4B120222" w14:textId="124F0D56" w:rsidR="00F2603E" w:rsidRPr="00195ACC" w:rsidRDefault="00F2603E" w:rsidP="008C7FB4">
      <w:pPr>
        <w:spacing w:after="160" w:line="360" w:lineRule="auto"/>
        <w:ind w:firstLine="708"/>
        <w:contextualSpacing/>
        <w:jc w:val="both"/>
        <w:rPr>
          <w:rFonts w:ascii="Corbel" w:eastAsia="Tahoma" w:hAnsi="Corbel" w:cs="Tahoma"/>
          <w:color w:val="FF0000"/>
          <w:sz w:val="20"/>
        </w:rPr>
      </w:pPr>
      <w:r w:rsidRPr="0027394C">
        <w:rPr>
          <w:rFonts w:ascii="Corbel" w:eastAsia="Tahoma" w:hAnsi="Corbel" w:cs="Tahoma"/>
          <w:color w:val="000000" w:themeColor="text1"/>
          <w:sz w:val="20"/>
        </w:rPr>
        <w:t xml:space="preserve">Helssloot (2014) beaamt </w:t>
      </w:r>
      <w:r w:rsidR="0027394C" w:rsidRPr="0027394C">
        <w:rPr>
          <w:rFonts w:ascii="Corbel" w:eastAsia="Tahoma" w:hAnsi="Corbel" w:cs="Tahoma"/>
          <w:color w:val="000000" w:themeColor="text1"/>
          <w:sz w:val="20"/>
        </w:rPr>
        <w:t xml:space="preserve">de </w:t>
      </w:r>
      <w:r w:rsidRPr="0027394C">
        <w:rPr>
          <w:rFonts w:ascii="Corbel" w:eastAsia="Tahoma" w:hAnsi="Corbel" w:cs="Tahoma"/>
          <w:color w:val="000000" w:themeColor="text1"/>
          <w:sz w:val="20"/>
        </w:rPr>
        <w:t xml:space="preserve">opkomst van deze vorm van toezicht bij de rijksoverheid. Een nadere beschouwing van de invulling van dit concept bij de Inspectie voor de Gezondheidszorg, Inspectie Jeugdzorg en Inspectie Leefomgeving en Transport volgt. Hierbij ontstaat het beeld dat de implementatie van dit 'simpele concept voorspelbaar lastig' is (p. 38). Dit komt ten eerste door het moeizaam definieerbare begrip 'risico'. In de literatuur bestaan tal van verschillende definities voor dit begrip, waardoor consensus ontbreekt (zie o.a. </w:t>
      </w:r>
      <w:proofErr w:type="spellStart"/>
      <w:r w:rsidRPr="0027394C">
        <w:rPr>
          <w:rFonts w:ascii="Corbel" w:eastAsia="Tahoma" w:hAnsi="Corbel" w:cs="Tahoma"/>
          <w:color w:val="000000" w:themeColor="text1"/>
          <w:sz w:val="20"/>
        </w:rPr>
        <w:t>Gratt</w:t>
      </w:r>
      <w:proofErr w:type="spellEnd"/>
      <w:r w:rsidRPr="0027394C">
        <w:rPr>
          <w:rFonts w:ascii="Corbel" w:eastAsia="Tahoma" w:hAnsi="Corbel" w:cs="Tahoma"/>
          <w:color w:val="000000" w:themeColor="text1"/>
          <w:sz w:val="20"/>
        </w:rPr>
        <w:t xml:space="preserve">, 1987; Vlek, 1990; </w:t>
      </w:r>
      <w:proofErr w:type="spellStart"/>
      <w:r w:rsidRPr="0027394C">
        <w:rPr>
          <w:rFonts w:ascii="Corbel" w:eastAsia="Tahoma" w:hAnsi="Corbel" w:cs="Tahoma"/>
          <w:color w:val="000000" w:themeColor="text1"/>
          <w:sz w:val="20"/>
        </w:rPr>
        <w:t>Aven</w:t>
      </w:r>
      <w:proofErr w:type="spellEnd"/>
      <w:r w:rsidRPr="0027394C">
        <w:rPr>
          <w:rFonts w:ascii="Corbel" w:eastAsia="Tahoma" w:hAnsi="Corbel" w:cs="Tahoma"/>
          <w:color w:val="000000" w:themeColor="text1"/>
          <w:sz w:val="20"/>
        </w:rPr>
        <w:t>, 2012). Uit de zoektocht naar een gedeeld risicobegrip komt naar voren dat een risico 'onzekerheid en ongewenstheid impliceert' (Helsloot</w:t>
      </w:r>
      <w:r w:rsidR="0037116F">
        <w:rPr>
          <w:rFonts w:ascii="Corbel" w:eastAsia="Tahoma" w:hAnsi="Corbel" w:cs="Tahoma"/>
          <w:color w:val="000000" w:themeColor="text1"/>
          <w:sz w:val="20"/>
        </w:rPr>
        <w:t xml:space="preserve"> &amp; Scholtens</w:t>
      </w:r>
      <w:r w:rsidRPr="0027394C">
        <w:rPr>
          <w:rFonts w:ascii="Corbel" w:eastAsia="Tahoma" w:hAnsi="Corbel" w:cs="Tahoma"/>
          <w:color w:val="000000" w:themeColor="text1"/>
          <w:sz w:val="20"/>
        </w:rPr>
        <w:t>, 2014, p. 38). Dit staat echter ver af van noodzaak voor een objectieve definitie van risico bij een risicoanalyse. Bij het beschouwen van risico’s wordt gewoonlijk de formule kans*schade(*effect) gebruikt. Hier zit een tweede knelpunt, namelijk dat het lastig blijkt kans en effect te kwantificeren.</w:t>
      </w:r>
      <w:r w:rsidR="008C7FB4" w:rsidRPr="00195ACC">
        <w:rPr>
          <w:rFonts w:ascii="Corbel" w:eastAsia="Tahoma" w:hAnsi="Corbel" w:cs="Tahoma"/>
          <w:color w:val="FF0000"/>
          <w:sz w:val="20"/>
        </w:rPr>
        <w:t xml:space="preserve"> </w:t>
      </w:r>
    </w:p>
    <w:p w14:paraId="1FFBD06A" w14:textId="405B3821" w:rsidR="00F2603E" w:rsidRPr="0027394C" w:rsidRDefault="00F2603E" w:rsidP="0027394C">
      <w:pPr>
        <w:spacing w:after="160" w:line="360" w:lineRule="auto"/>
        <w:ind w:firstLine="708"/>
        <w:contextualSpacing/>
        <w:jc w:val="both"/>
        <w:rPr>
          <w:rFonts w:ascii="Corbel" w:eastAsia="Tahoma" w:hAnsi="Corbel" w:cs="Tahoma"/>
          <w:color w:val="000000" w:themeColor="text1"/>
          <w:sz w:val="20"/>
        </w:rPr>
      </w:pPr>
      <w:r w:rsidRPr="0027394C">
        <w:rPr>
          <w:rFonts w:ascii="Corbel" w:eastAsia="Tahoma" w:hAnsi="Corbel" w:cs="Tahoma"/>
          <w:color w:val="000000" w:themeColor="text1"/>
          <w:sz w:val="20"/>
        </w:rPr>
        <w:t xml:space="preserve">Niet alle risico’s zijn dus eenvoudig te definiëren. </w:t>
      </w:r>
      <w:proofErr w:type="spellStart"/>
      <w:r w:rsidRPr="0027394C">
        <w:rPr>
          <w:rFonts w:ascii="Corbel" w:eastAsia="Tahoma" w:hAnsi="Corbel" w:cs="Tahoma"/>
          <w:color w:val="000000" w:themeColor="text1"/>
          <w:sz w:val="20"/>
        </w:rPr>
        <w:t>Renn</w:t>
      </w:r>
      <w:proofErr w:type="spellEnd"/>
      <w:r w:rsidRPr="0027394C">
        <w:rPr>
          <w:rFonts w:ascii="Corbel" w:eastAsia="Tahoma" w:hAnsi="Corbel" w:cs="Tahoma"/>
          <w:color w:val="000000" w:themeColor="text1"/>
          <w:sz w:val="20"/>
        </w:rPr>
        <w:t xml:space="preserve"> et al. (2011) maken een onderscheid tussen simpele en systemische risico’s. Simpele risico’s zijn niet onderhevig aan grote veranderingen en kunnen vrij accuraat berekend worden. Dit betekent dat de oorzaak bekend is, negatieve gevolgen duidelijk zijn en er geen onzekerheid of ambiguïteit is bij het analyseren (p. 234). Een voorbeeld van een simpel risico zijn auto-ongelukken. Deze groep risico’s is te analyseren op basis van kansberekening. Echter, gedurende lange tijd zijn alle risico’s op een dergelijke wijze benaderd. De technocratische en positivistische</w:t>
      </w:r>
      <w:r w:rsidR="002A0F20">
        <w:rPr>
          <w:rStyle w:val="Voetnootmarkering"/>
          <w:rFonts w:ascii="Corbel" w:eastAsia="Tahoma" w:hAnsi="Corbel" w:cs="Tahoma"/>
          <w:color w:val="000000" w:themeColor="text1"/>
          <w:sz w:val="20"/>
        </w:rPr>
        <w:footnoteReference w:id="3"/>
      </w:r>
      <w:r w:rsidRPr="0027394C">
        <w:rPr>
          <w:rFonts w:ascii="Corbel" w:eastAsia="Tahoma" w:hAnsi="Corbel" w:cs="Tahoma"/>
          <w:color w:val="000000" w:themeColor="text1"/>
          <w:sz w:val="20"/>
        </w:rPr>
        <w:t xml:space="preserve"> blik op risico’s staat binnen de huidige stand van wetenschap in toenemende mate onder druk, aangezien veel risico’s allesbehalve simpel zijn. Systemische risico’s worden gekenmerkt “door een hoge mate van complexiteit, onzekerheid en ambiguïteit” (ibid.). Een voorbeeld </w:t>
      </w:r>
      <w:r w:rsidR="00D63A67" w:rsidRPr="0027394C">
        <w:rPr>
          <w:rFonts w:ascii="Corbel" w:eastAsia="Tahoma" w:hAnsi="Corbel" w:cs="Tahoma"/>
          <w:color w:val="000000" w:themeColor="text1"/>
          <w:sz w:val="20"/>
        </w:rPr>
        <w:t xml:space="preserve">van een systemisch risico </w:t>
      </w:r>
      <w:r w:rsidRPr="0027394C">
        <w:rPr>
          <w:rFonts w:ascii="Corbel" w:eastAsia="Tahoma" w:hAnsi="Corbel" w:cs="Tahoma"/>
          <w:color w:val="000000" w:themeColor="text1"/>
          <w:sz w:val="20"/>
        </w:rPr>
        <w:t>is BSE (gekkekoeienziekte)</w:t>
      </w:r>
      <w:r w:rsidR="00D63A67" w:rsidRPr="0027394C">
        <w:rPr>
          <w:rFonts w:ascii="Corbel" w:eastAsia="Tahoma" w:hAnsi="Corbel" w:cs="Tahoma"/>
          <w:color w:val="000000" w:themeColor="text1"/>
          <w:sz w:val="20"/>
        </w:rPr>
        <w:t>,</w:t>
      </w:r>
      <w:r w:rsidRPr="0027394C">
        <w:rPr>
          <w:rFonts w:ascii="Corbel" w:eastAsia="Tahoma" w:hAnsi="Corbel" w:cs="Tahoma"/>
          <w:color w:val="000000" w:themeColor="text1"/>
          <w:sz w:val="20"/>
        </w:rPr>
        <w:t xml:space="preserve"> waarbij het risico niet </w:t>
      </w:r>
      <w:r w:rsidRPr="0027394C">
        <w:rPr>
          <w:rFonts w:ascii="Corbel" w:eastAsia="Tahoma" w:hAnsi="Corbel" w:cs="Tahoma"/>
          <w:color w:val="000000" w:themeColor="text1"/>
          <w:sz w:val="20"/>
        </w:rPr>
        <w:lastRenderedPageBreak/>
        <w:t xml:space="preserve">alleen van toepassing is op de agrarische sector, maar ook de </w:t>
      </w:r>
      <w:r w:rsidR="00D3069B" w:rsidRPr="0027394C">
        <w:rPr>
          <w:rFonts w:ascii="Corbel" w:eastAsia="Tahoma" w:hAnsi="Corbel" w:cs="Tahoma"/>
          <w:color w:val="000000" w:themeColor="text1"/>
          <w:sz w:val="20"/>
        </w:rPr>
        <w:t>(</w:t>
      </w:r>
      <w:proofErr w:type="spellStart"/>
      <w:r w:rsidR="00D3069B" w:rsidRPr="0027394C">
        <w:rPr>
          <w:rFonts w:ascii="Corbel" w:eastAsia="Tahoma" w:hAnsi="Corbel" w:cs="Tahoma"/>
          <w:color w:val="000000" w:themeColor="text1"/>
          <w:sz w:val="20"/>
        </w:rPr>
        <w:t>inter</w:t>
      </w:r>
      <w:proofErr w:type="spellEnd"/>
      <w:r w:rsidR="00D3069B" w:rsidRPr="0027394C">
        <w:rPr>
          <w:rFonts w:ascii="Corbel" w:eastAsia="Tahoma" w:hAnsi="Corbel" w:cs="Tahoma"/>
          <w:color w:val="000000" w:themeColor="text1"/>
          <w:sz w:val="20"/>
        </w:rPr>
        <w:t xml:space="preserve">-)nationale </w:t>
      </w:r>
      <w:r w:rsidRPr="0027394C">
        <w:rPr>
          <w:rFonts w:ascii="Corbel" w:eastAsia="Tahoma" w:hAnsi="Corbel" w:cs="Tahoma"/>
          <w:color w:val="000000" w:themeColor="text1"/>
          <w:sz w:val="20"/>
        </w:rPr>
        <w:t>voedselketen en economie raakt. Complexiteit betekent dat voor systemische risico’s moeilijk te bepalen is wat de causale relatie tussen oorzaak en gevolg is, laat staan deze te kwantificeren. Onzekerheid betreft de beperkte hoeveelheid wetenschappelijke kennis om uitspraken te kunnen doen over kans en effect. Ambiguïteit betekent ten slotte dat er uiteenlopende waardeoordelen bestaan. Hiermee wordt bedoeld dat het mogelijk is om verschillende visies te presenteren bij het analyseren en presenteren van risico’s, die allen legitiem zijn. Het onderscheid tussen simpele en systemische risico's is van belang voor dit onderzoek, omdat een onderbouwing op utiliteit te kort schiet bij simpele risico's en vaak niet mogelijk is bij systemische risico's. Om deze reden is het van belang te onderzoeken hoe een brede onderbouwing eruitziet en wat er aan het huidige methode toegevoegd moet worden.</w:t>
      </w:r>
    </w:p>
    <w:p w14:paraId="1A7724CA" w14:textId="2AC96853" w:rsidR="00F2603E" w:rsidRPr="00371492" w:rsidRDefault="00F2603E" w:rsidP="00F2603E">
      <w:pPr>
        <w:spacing w:after="160" w:line="360" w:lineRule="auto"/>
        <w:ind w:firstLine="708"/>
        <w:contextualSpacing/>
        <w:jc w:val="both"/>
        <w:rPr>
          <w:rFonts w:ascii="Corbel" w:eastAsia="Tahoma" w:hAnsi="Corbel" w:cs="Tahoma"/>
          <w:color w:val="000000" w:themeColor="text1"/>
          <w:sz w:val="20"/>
        </w:rPr>
      </w:pPr>
      <w:r w:rsidRPr="00371492">
        <w:rPr>
          <w:rFonts w:ascii="Corbel" w:eastAsia="Tahoma" w:hAnsi="Corbel" w:cs="Tahoma"/>
          <w:color w:val="000000" w:themeColor="text1"/>
          <w:sz w:val="20"/>
        </w:rPr>
        <w:t xml:space="preserve">Uit het voorgaande blijkt dat risico’s niet altijd te </w:t>
      </w:r>
      <w:r w:rsidR="009471CC">
        <w:rPr>
          <w:rFonts w:ascii="Corbel" w:eastAsia="Tahoma" w:hAnsi="Corbel" w:cs="Tahoma"/>
          <w:color w:val="000000" w:themeColor="text1"/>
          <w:sz w:val="20"/>
        </w:rPr>
        <w:t>berekenen</w:t>
      </w:r>
      <w:r w:rsidRPr="00371492">
        <w:rPr>
          <w:rFonts w:ascii="Corbel" w:eastAsia="Tahoma" w:hAnsi="Corbel" w:cs="Tahoma"/>
          <w:color w:val="000000" w:themeColor="text1"/>
          <w:sz w:val="20"/>
        </w:rPr>
        <w:t xml:space="preserve"> zijn. Men zou ook kunnen zeggen dat er op tal van manieren onzekerheid schuilgaat in een risicoanalyse. De gemene deler is dat er sprake is van een kennisprobleem en/of een botsing van waarden (WRR, 2011, pp. 12-16). Hierover schrijft de Wetenschappelijke Raad voor het Regeringsbeleid (WRR) het volgende: “In geval van onzekerheid is er fundamentele twijfel over de noodzaak, de kaders en de aangrijpingspunten van beleid. Onzekerheid vraagt om reflectie, onderzoek en grondige dialoog met verschillende partijen over goede en kwade kansen en dus ook over normatieve uitgangspunten. Dat is nodig voordat zinnige uitspraken gedaan kunnen worden over de verdeling van verantwoordelijkheden en het te voeren beleid. Bij onzekerheid gaat het dus om de politiek-bestuurlijke vraag hoe om te gaan met kennisproblemen en </w:t>
      </w:r>
      <w:proofErr w:type="spellStart"/>
      <w:r w:rsidRPr="00371492">
        <w:rPr>
          <w:rFonts w:ascii="Corbel" w:eastAsia="Tahoma" w:hAnsi="Corbel" w:cs="Tahoma"/>
          <w:color w:val="000000" w:themeColor="text1"/>
          <w:sz w:val="20"/>
        </w:rPr>
        <w:t>waardeconflicten</w:t>
      </w:r>
      <w:proofErr w:type="spellEnd"/>
      <w:r w:rsidRPr="00371492">
        <w:rPr>
          <w:rFonts w:ascii="Corbel" w:eastAsia="Tahoma" w:hAnsi="Corbel" w:cs="Tahoma"/>
          <w:color w:val="000000" w:themeColor="text1"/>
          <w:sz w:val="20"/>
        </w:rPr>
        <w:t>.” (</w:t>
      </w:r>
      <w:proofErr w:type="gramStart"/>
      <w:r w:rsidRPr="00371492">
        <w:rPr>
          <w:rFonts w:ascii="Corbel" w:eastAsia="Tahoma" w:hAnsi="Corbel" w:cs="Tahoma"/>
          <w:color w:val="000000" w:themeColor="text1"/>
          <w:sz w:val="20"/>
        </w:rPr>
        <w:t>ibid.</w:t>
      </w:r>
      <w:proofErr w:type="gramEnd"/>
      <w:r w:rsidRPr="00371492">
        <w:rPr>
          <w:rFonts w:ascii="Corbel" w:eastAsia="Tahoma" w:hAnsi="Corbel" w:cs="Tahoma"/>
          <w:color w:val="000000" w:themeColor="text1"/>
          <w:sz w:val="20"/>
        </w:rPr>
        <w:t xml:space="preserve">). </w:t>
      </w:r>
      <w:bookmarkStart w:id="19" w:name="_GoBack"/>
      <w:bookmarkEnd w:id="19"/>
    </w:p>
    <w:p w14:paraId="67CB0849" w14:textId="77777777" w:rsidR="00F2603E" w:rsidRPr="00371492" w:rsidRDefault="00F2603E" w:rsidP="00AA2963">
      <w:pPr>
        <w:spacing w:after="160" w:line="360" w:lineRule="auto"/>
        <w:ind w:firstLine="708"/>
        <w:contextualSpacing/>
        <w:jc w:val="both"/>
        <w:rPr>
          <w:rFonts w:ascii="Corbel" w:eastAsia="Tahoma" w:hAnsi="Corbel" w:cs="Tahoma"/>
          <w:sz w:val="20"/>
        </w:rPr>
      </w:pPr>
      <w:r w:rsidRPr="00371492">
        <w:rPr>
          <w:rFonts w:ascii="Corbel" w:eastAsia="Tahoma" w:hAnsi="Corbel" w:cs="Tahoma"/>
          <w:sz w:val="20"/>
        </w:rPr>
        <w:t>Het commentaar in het voorgaande stuk wijst op de noodzaak tot grondig onderzoek, waarbij normatieve overwegingen achter risico’s blootgelegd worden en niet versmald worden tot een cijfer. Wanneer dit niet gedaan wordt vindt er slechts een (onzekere) schets van een deel van het risico plaats of neemt men slechts een deel van de argumentatie mee. Of, zoals Fischer stelt: “</w:t>
      </w:r>
      <w:proofErr w:type="spellStart"/>
      <w:r w:rsidRPr="00371492">
        <w:rPr>
          <w:rFonts w:ascii="Corbel" w:eastAsia="Tahoma" w:hAnsi="Corbel" w:cs="Tahoma"/>
          <w:sz w:val="20"/>
        </w:rPr>
        <w:t>Although</w:t>
      </w:r>
      <w:proofErr w:type="spellEnd"/>
      <w:r w:rsidRPr="00371492">
        <w:rPr>
          <w:rFonts w:ascii="Corbel" w:eastAsia="Tahoma" w:hAnsi="Corbel" w:cs="Tahoma"/>
          <w:sz w:val="20"/>
        </w:rPr>
        <w:t xml:space="preserve"> risk-benefit analysis has </w:t>
      </w:r>
      <w:proofErr w:type="spellStart"/>
      <w:r w:rsidRPr="00371492">
        <w:rPr>
          <w:rFonts w:ascii="Corbel" w:eastAsia="Tahoma" w:hAnsi="Corbel" w:cs="Tahoma"/>
          <w:sz w:val="20"/>
        </w:rPr>
        <w:t>produced</w:t>
      </w:r>
      <w:proofErr w:type="spellEnd"/>
      <w:r w:rsidRPr="00371492">
        <w:rPr>
          <w:rFonts w:ascii="Corbel" w:eastAsia="Tahoma" w:hAnsi="Corbel" w:cs="Tahoma"/>
          <w:sz w:val="20"/>
        </w:rPr>
        <w:t xml:space="preserve"> a </w:t>
      </w:r>
      <w:proofErr w:type="spellStart"/>
      <w:r w:rsidRPr="00371492">
        <w:rPr>
          <w:rFonts w:ascii="Corbel" w:eastAsia="Tahoma" w:hAnsi="Corbel" w:cs="Tahoma"/>
          <w:sz w:val="20"/>
        </w:rPr>
        <w:t>mountain</w:t>
      </w:r>
      <w:proofErr w:type="spellEnd"/>
      <w:r w:rsidRPr="00371492">
        <w:rPr>
          <w:rFonts w:ascii="Corbel" w:eastAsia="Tahoma" w:hAnsi="Corbel" w:cs="Tahoma"/>
          <w:sz w:val="20"/>
        </w:rPr>
        <w:t xml:space="preserve"> of </w:t>
      </w:r>
      <w:proofErr w:type="spellStart"/>
      <w:r w:rsidRPr="00371492">
        <w:rPr>
          <w:rFonts w:ascii="Corbel" w:eastAsia="Tahoma" w:hAnsi="Corbel" w:cs="Tahoma"/>
          <w:sz w:val="20"/>
        </w:rPr>
        <w:t>quantitative</w:t>
      </w:r>
      <w:proofErr w:type="spellEnd"/>
      <w:r w:rsidRPr="00371492">
        <w:rPr>
          <w:rFonts w:ascii="Corbel" w:eastAsia="Tahoma" w:hAnsi="Corbel" w:cs="Tahoma"/>
          <w:sz w:val="20"/>
        </w:rPr>
        <w:t xml:space="preserve"> data, </w:t>
      </w:r>
      <w:proofErr w:type="spellStart"/>
      <w:r w:rsidRPr="00371492">
        <w:rPr>
          <w:rFonts w:ascii="Corbel" w:eastAsia="Tahoma" w:hAnsi="Corbel" w:cs="Tahoma"/>
          <w:sz w:val="20"/>
        </w:rPr>
        <w:t>it</w:t>
      </w:r>
      <w:proofErr w:type="spellEnd"/>
      <w:r w:rsidRPr="00371492">
        <w:rPr>
          <w:rFonts w:ascii="Corbel" w:eastAsia="Tahoma" w:hAnsi="Corbel" w:cs="Tahoma"/>
          <w:sz w:val="20"/>
        </w:rPr>
        <w:t xml:space="preserve"> has </w:t>
      </w:r>
      <w:proofErr w:type="spellStart"/>
      <w:r w:rsidRPr="00371492">
        <w:rPr>
          <w:rFonts w:ascii="Corbel" w:eastAsia="Tahoma" w:hAnsi="Corbel" w:cs="Tahoma"/>
          <w:sz w:val="20"/>
        </w:rPr>
        <w:t>largely</w:t>
      </w:r>
      <w:proofErr w:type="spellEnd"/>
      <w:r w:rsidRPr="00371492">
        <w:rPr>
          <w:rFonts w:ascii="Corbel" w:eastAsia="Tahoma" w:hAnsi="Corbel" w:cs="Tahoma"/>
          <w:sz w:val="20"/>
        </w:rPr>
        <w:t xml:space="preserve"> </w:t>
      </w:r>
      <w:proofErr w:type="spellStart"/>
      <w:r w:rsidRPr="00371492">
        <w:rPr>
          <w:rFonts w:ascii="Corbel" w:eastAsia="Tahoma" w:hAnsi="Corbel" w:cs="Tahoma"/>
          <w:sz w:val="20"/>
        </w:rPr>
        <w:t>failed</w:t>
      </w:r>
      <w:proofErr w:type="spellEnd"/>
      <w:r w:rsidRPr="00371492">
        <w:rPr>
          <w:rFonts w:ascii="Corbel" w:eastAsia="Tahoma" w:hAnsi="Corbel" w:cs="Tahoma"/>
          <w:sz w:val="20"/>
        </w:rPr>
        <w:t xml:space="preserve"> </w:t>
      </w:r>
      <w:proofErr w:type="spellStart"/>
      <w:r w:rsidRPr="00371492">
        <w:rPr>
          <w:rFonts w:ascii="Corbel" w:eastAsia="Tahoma" w:hAnsi="Corbel" w:cs="Tahoma"/>
          <w:sz w:val="20"/>
        </w:rPr>
        <w:t>to</w:t>
      </w:r>
      <w:proofErr w:type="spellEnd"/>
      <w:r w:rsidRPr="00371492">
        <w:rPr>
          <w:rFonts w:ascii="Corbel" w:eastAsia="Tahoma" w:hAnsi="Corbel" w:cs="Tahoma"/>
          <w:sz w:val="20"/>
        </w:rPr>
        <w:t xml:space="preserve"> </w:t>
      </w:r>
      <w:proofErr w:type="spellStart"/>
      <w:r w:rsidRPr="00371492">
        <w:rPr>
          <w:rFonts w:ascii="Corbel" w:eastAsia="Tahoma" w:hAnsi="Corbel" w:cs="Tahoma"/>
          <w:sz w:val="20"/>
        </w:rPr>
        <w:t>reassure</w:t>
      </w:r>
      <w:proofErr w:type="spellEnd"/>
      <w:r w:rsidRPr="00371492">
        <w:rPr>
          <w:rFonts w:ascii="Corbel" w:eastAsia="Tahoma" w:hAnsi="Corbel" w:cs="Tahoma"/>
          <w:sz w:val="20"/>
        </w:rPr>
        <w:t xml:space="preserve"> </w:t>
      </w:r>
      <w:proofErr w:type="spellStart"/>
      <w:r w:rsidRPr="00371492">
        <w:rPr>
          <w:rFonts w:ascii="Corbel" w:eastAsia="Tahoma" w:hAnsi="Corbel" w:cs="Tahoma"/>
          <w:sz w:val="20"/>
        </w:rPr>
        <w:t>the</w:t>
      </w:r>
      <w:proofErr w:type="spellEnd"/>
      <w:r w:rsidRPr="00371492">
        <w:rPr>
          <w:rFonts w:ascii="Corbel" w:eastAsia="Tahoma" w:hAnsi="Corbel" w:cs="Tahoma"/>
          <w:sz w:val="20"/>
        </w:rPr>
        <w:t xml:space="preserve"> public. The </w:t>
      </w:r>
      <w:proofErr w:type="spellStart"/>
      <w:r w:rsidRPr="00371492">
        <w:rPr>
          <w:rFonts w:ascii="Corbel" w:eastAsia="Tahoma" w:hAnsi="Corbel" w:cs="Tahoma"/>
          <w:sz w:val="20"/>
        </w:rPr>
        <w:t>use</w:t>
      </w:r>
      <w:proofErr w:type="spellEnd"/>
      <w:r w:rsidRPr="00371492">
        <w:rPr>
          <w:rFonts w:ascii="Corbel" w:eastAsia="Tahoma" w:hAnsi="Corbel" w:cs="Tahoma"/>
          <w:sz w:val="20"/>
        </w:rPr>
        <w:t xml:space="preserve"> of </w:t>
      </w:r>
      <w:proofErr w:type="spellStart"/>
      <w:r w:rsidRPr="00371492">
        <w:rPr>
          <w:rFonts w:ascii="Corbel" w:eastAsia="Tahoma" w:hAnsi="Corbel" w:cs="Tahoma"/>
          <w:sz w:val="20"/>
        </w:rPr>
        <w:t>technically</w:t>
      </w:r>
      <w:proofErr w:type="spellEnd"/>
      <w:r w:rsidRPr="00371492">
        <w:rPr>
          <w:rFonts w:ascii="Corbel" w:eastAsia="Tahoma" w:hAnsi="Corbel" w:cs="Tahoma"/>
          <w:sz w:val="20"/>
        </w:rPr>
        <w:t xml:space="preserve"> based </w:t>
      </w:r>
      <w:proofErr w:type="spellStart"/>
      <w:r w:rsidRPr="00371492">
        <w:rPr>
          <w:rFonts w:ascii="Corbel" w:eastAsia="Tahoma" w:hAnsi="Corbel" w:cs="Tahoma"/>
          <w:sz w:val="20"/>
        </w:rPr>
        <w:t>methods</w:t>
      </w:r>
      <w:proofErr w:type="spellEnd"/>
      <w:r w:rsidRPr="00371492">
        <w:rPr>
          <w:rFonts w:ascii="Corbel" w:eastAsia="Tahoma" w:hAnsi="Corbel" w:cs="Tahoma"/>
          <w:sz w:val="20"/>
        </w:rPr>
        <w:t xml:space="preserve"> of risk analysis (…) </w:t>
      </w:r>
      <w:proofErr w:type="spellStart"/>
      <w:r w:rsidRPr="00371492">
        <w:rPr>
          <w:rFonts w:ascii="Corbel" w:eastAsia="Tahoma" w:hAnsi="Corbel" w:cs="Tahoma"/>
          <w:sz w:val="20"/>
        </w:rPr>
        <w:t>represents</w:t>
      </w:r>
      <w:proofErr w:type="spellEnd"/>
      <w:r w:rsidRPr="00371492">
        <w:rPr>
          <w:rFonts w:ascii="Corbel" w:eastAsia="Tahoma" w:hAnsi="Corbel" w:cs="Tahoma"/>
          <w:sz w:val="20"/>
        </w:rPr>
        <w:t xml:space="preserve"> </w:t>
      </w:r>
      <w:proofErr w:type="spellStart"/>
      <w:r w:rsidRPr="00371492">
        <w:rPr>
          <w:rFonts w:ascii="Corbel" w:eastAsia="Tahoma" w:hAnsi="Corbel" w:cs="Tahoma"/>
          <w:sz w:val="20"/>
        </w:rPr>
        <w:t>little</w:t>
      </w:r>
      <w:proofErr w:type="spellEnd"/>
      <w:r w:rsidRPr="00371492">
        <w:rPr>
          <w:rFonts w:ascii="Corbel" w:eastAsia="Tahoma" w:hAnsi="Corbel" w:cs="Tahoma"/>
          <w:sz w:val="20"/>
        </w:rPr>
        <w:t xml:space="preserve"> more </w:t>
      </w:r>
      <w:proofErr w:type="spellStart"/>
      <w:r w:rsidRPr="00371492">
        <w:rPr>
          <w:rFonts w:ascii="Corbel" w:eastAsia="Tahoma" w:hAnsi="Corbel" w:cs="Tahoma"/>
          <w:sz w:val="20"/>
        </w:rPr>
        <w:t>than</w:t>
      </w:r>
      <w:proofErr w:type="spellEnd"/>
      <w:r w:rsidRPr="00371492">
        <w:rPr>
          <w:rFonts w:ascii="Corbel" w:eastAsia="Tahoma" w:hAnsi="Corbel" w:cs="Tahoma"/>
          <w:sz w:val="20"/>
        </w:rPr>
        <w:t xml:space="preserve"> an </w:t>
      </w:r>
      <w:proofErr w:type="spellStart"/>
      <w:r w:rsidRPr="00371492">
        <w:rPr>
          <w:rFonts w:ascii="Corbel" w:eastAsia="Tahoma" w:hAnsi="Corbel" w:cs="Tahoma"/>
          <w:sz w:val="20"/>
        </w:rPr>
        <w:t>example</w:t>
      </w:r>
      <w:proofErr w:type="spellEnd"/>
      <w:r w:rsidRPr="00371492">
        <w:rPr>
          <w:rFonts w:ascii="Corbel" w:eastAsia="Tahoma" w:hAnsi="Corbel" w:cs="Tahoma"/>
          <w:sz w:val="20"/>
        </w:rPr>
        <w:t xml:space="preserve"> of </w:t>
      </w:r>
      <w:proofErr w:type="spellStart"/>
      <w:r w:rsidRPr="00371492">
        <w:rPr>
          <w:rFonts w:ascii="Corbel" w:eastAsia="Tahoma" w:hAnsi="Corbel" w:cs="Tahoma"/>
          <w:sz w:val="20"/>
        </w:rPr>
        <w:t>the</w:t>
      </w:r>
      <w:proofErr w:type="spellEnd"/>
      <w:r w:rsidRPr="00371492">
        <w:rPr>
          <w:rFonts w:ascii="Corbel" w:eastAsia="Tahoma" w:hAnsi="Corbel" w:cs="Tahoma"/>
          <w:sz w:val="20"/>
        </w:rPr>
        <w:t xml:space="preserve"> </w:t>
      </w:r>
      <w:proofErr w:type="spellStart"/>
      <w:r w:rsidRPr="00371492">
        <w:rPr>
          <w:rFonts w:ascii="Corbel" w:eastAsia="Tahoma" w:hAnsi="Corbel" w:cs="Tahoma"/>
          <w:sz w:val="20"/>
        </w:rPr>
        <w:t>technocrat’s</w:t>
      </w:r>
      <w:proofErr w:type="spellEnd"/>
      <w:r w:rsidRPr="00371492">
        <w:rPr>
          <w:rFonts w:ascii="Corbel" w:eastAsia="Tahoma" w:hAnsi="Corbel" w:cs="Tahoma"/>
          <w:sz w:val="20"/>
        </w:rPr>
        <w:t xml:space="preserve"> </w:t>
      </w:r>
      <w:proofErr w:type="spellStart"/>
      <w:r w:rsidRPr="00371492">
        <w:rPr>
          <w:rFonts w:ascii="Corbel" w:eastAsia="Tahoma" w:hAnsi="Corbel" w:cs="Tahoma"/>
          <w:sz w:val="20"/>
        </w:rPr>
        <w:t>inability</w:t>
      </w:r>
      <w:proofErr w:type="spellEnd"/>
      <w:r w:rsidRPr="00371492">
        <w:rPr>
          <w:rFonts w:ascii="Corbel" w:eastAsia="Tahoma" w:hAnsi="Corbel" w:cs="Tahoma"/>
          <w:sz w:val="20"/>
        </w:rPr>
        <w:t xml:space="preserve"> or </w:t>
      </w:r>
      <w:proofErr w:type="spellStart"/>
      <w:r w:rsidRPr="00371492">
        <w:rPr>
          <w:rFonts w:ascii="Corbel" w:eastAsia="Tahoma" w:hAnsi="Corbel" w:cs="Tahoma"/>
          <w:sz w:val="20"/>
        </w:rPr>
        <w:t>unwillingness</w:t>
      </w:r>
      <w:proofErr w:type="spellEnd"/>
      <w:r w:rsidRPr="00371492">
        <w:rPr>
          <w:rFonts w:ascii="Corbel" w:eastAsia="Tahoma" w:hAnsi="Corbel" w:cs="Tahoma"/>
          <w:sz w:val="20"/>
        </w:rPr>
        <w:t xml:space="preserve"> </w:t>
      </w:r>
      <w:proofErr w:type="spellStart"/>
      <w:r w:rsidRPr="00371492">
        <w:rPr>
          <w:rFonts w:ascii="Corbel" w:eastAsia="Tahoma" w:hAnsi="Corbel" w:cs="Tahoma"/>
          <w:sz w:val="20"/>
        </w:rPr>
        <w:t>to</w:t>
      </w:r>
      <w:proofErr w:type="spellEnd"/>
      <w:r w:rsidRPr="00371492">
        <w:rPr>
          <w:rFonts w:ascii="Corbel" w:eastAsia="Tahoma" w:hAnsi="Corbel" w:cs="Tahoma"/>
          <w:sz w:val="20"/>
        </w:rPr>
        <w:t xml:space="preserve"> </w:t>
      </w:r>
      <w:proofErr w:type="spellStart"/>
      <w:r w:rsidRPr="00371492">
        <w:rPr>
          <w:rFonts w:ascii="Corbel" w:eastAsia="Tahoma" w:hAnsi="Corbel" w:cs="Tahoma"/>
          <w:sz w:val="20"/>
        </w:rPr>
        <w:t>comprehend</w:t>
      </w:r>
      <w:proofErr w:type="spellEnd"/>
      <w:r w:rsidRPr="00371492">
        <w:rPr>
          <w:rFonts w:ascii="Corbel" w:eastAsia="Tahoma" w:hAnsi="Corbel" w:cs="Tahoma"/>
          <w:sz w:val="20"/>
        </w:rPr>
        <w:t xml:space="preserve"> </w:t>
      </w:r>
      <w:proofErr w:type="spellStart"/>
      <w:r w:rsidRPr="00371492">
        <w:rPr>
          <w:rFonts w:ascii="Corbel" w:eastAsia="Tahoma" w:hAnsi="Corbel" w:cs="Tahoma"/>
          <w:sz w:val="20"/>
        </w:rPr>
        <w:t>the</w:t>
      </w:r>
      <w:proofErr w:type="spellEnd"/>
      <w:r w:rsidRPr="00371492">
        <w:rPr>
          <w:rFonts w:ascii="Corbel" w:eastAsia="Tahoma" w:hAnsi="Corbel" w:cs="Tahoma"/>
          <w:sz w:val="20"/>
        </w:rPr>
        <w:t xml:space="preserve"> </w:t>
      </w:r>
      <w:proofErr w:type="spellStart"/>
      <w:r w:rsidRPr="00371492">
        <w:rPr>
          <w:rFonts w:ascii="Corbel" w:eastAsia="Tahoma" w:hAnsi="Corbel" w:cs="Tahoma"/>
          <w:sz w:val="20"/>
        </w:rPr>
        <w:t>underlying</w:t>
      </w:r>
      <w:proofErr w:type="spellEnd"/>
      <w:r w:rsidRPr="00371492">
        <w:rPr>
          <w:rFonts w:ascii="Corbel" w:eastAsia="Tahoma" w:hAnsi="Corbel" w:cs="Tahoma"/>
          <w:sz w:val="20"/>
        </w:rPr>
        <w:t xml:space="preserve"> </w:t>
      </w:r>
      <w:proofErr w:type="spellStart"/>
      <w:r w:rsidRPr="00371492">
        <w:rPr>
          <w:rFonts w:ascii="Corbel" w:eastAsia="Tahoma" w:hAnsi="Corbel" w:cs="Tahoma"/>
          <w:sz w:val="20"/>
        </w:rPr>
        <w:t>sociopolitical</w:t>
      </w:r>
      <w:proofErr w:type="spellEnd"/>
      <w:r w:rsidRPr="00371492">
        <w:rPr>
          <w:rFonts w:ascii="Corbel" w:eastAsia="Tahoma" w:hAnsi="Corbel" w:cs="Tahoma"/>
          <w:sz w:val="20"/>
        </w:rPr>
        <w:t xml:space="preserve"> </w:t>
      </w:r>
      <w:proofErr w:type="spellStart"/>
      <w:r w:rsidRPr="00371492">
        <w:rPr>
          <w:rFonts w:ascii="Corbel" w:eastAsia="Tahoma" w:hAnsi="Corbel" w:cs="Tahoma"/>
          <w:sz w:val="20"/>
        </w:rPr>
        <w:t>nature</w:t>
      </w:r>
      <w:proofErr w:type="spellEnd"/>
      <w:r w:rsidRPr="00371492">
        <w:rPr>
          <w:rFonts w:ascii="Corbel" w:eastAsia="Tahoma" w:hAnsi="Corbel" w:cs="Tahoma"/>
          <w:sz w:val="20"/>
        </w:rPr>
        <w:t>” (1995, p. 184).</w:t>
      </w:r>
    </w:p>
    <w:p w14:paraId="7309CD7B" w14:textId="7B4398EE" w:rsidR="00AA2963" w:rsidRPr="00371492" w:rsidRDefault="002D05AA" w:rsidP="002D05AA">
      <w:pPr>
        <w:tabs>
          <w:tab w:val="left" w:pos="6153"/>
        </w:tabs>
        <w:spacing w:after="160" w:line="360" w:lineRule="auto"/>
        <w:ind w:firstLine="708"/>
        <w:contextualSpacing/>
        <w:jc w:val="both"/>
        <w:rPr>
          <w:rFonts w:ascii="Corbel" w:eastAsia="Tahoma" w:hAnsi="Corbel" w:cs="Tahoma"/>
          <w:sz w:val="20"/>
        </w:rPr>
      </w:pPr>
      <w:r>
        <w:rPr>
          <w:rFonts w:ascii="Corbel" w:eastAsia="Tahoma" w:hAnsi="Corbel" w:cs="Tahoma"/>
          <w:sz w:val="20"/>
        </w:rPr>
        <w:tab/>
      </w:r>
    </w:p>
    <w:p w14:paraId="5A1CD647" w14:textId="77777777" w:rsidR="00AA2963" w:rsidRPr="00371492" w:rsidRDefault="00AA2963" w:rsidP="00AA2963">
      <w:pPr>
        <w:spacing w:after="160" w:line="360" w:lineRule="auto"/>
        <w:ind w:firstLine="708"/>
        <w:contextualSpacing/>
        <w:jc w:val="both"/>
        <w:rPr>
          <w:rFonts w:ascii="Corbel" w:eastAsia="Tahoma" w:hAnsi="Corbel" w:cs="Tahoma"/>
          <w:sz w:val="20"/>
        </w:rPr>
      </w:pPr>
    </w:p>
    <w:p w14:paraId="1F553F88" w14:textId="77777777" w:rsidR="00AA2963" w:rsidRPr="00371492" w:rsidRDefault="00AA2963" w:rsidP="00AA2963">
      <w:pPr>
        <w:spacing w:after="160" w:line="360" w:lineRule="auto"/>
        <w:ind w:firstLine="708"/>
        <w:contextualSpacing/>
        <w:jc w:val="both"/>
        <w:rPr>
          <w:rFonts w:ascii="Corbel" w:eastAsia="Tahoma" w:hAnsi="Corbel" w:cs="Tahoma"/>
          <w:sz w:val="20"/>
        </w:rPr>
      </w:pPr>
    </w:p>
    <w:p w14:paraId="247300CD" w14:textId="77777777" w:rsidR="00AA2963" w:rsidRPr="00371492" w:rsidRDefault="00AA2963" w:rsidP="00AA2963">
      <w:pPr>
        <w:spacing w:after="160" w:line="360" w:lineRule="auto"/>
        <w:ind w:firstLine="708"/>
        <w:contextualSpacing/>
        <w:jc w:val="both"/>
        <w:rPr>
          <w:rFonts w:ascii="Corbel" w:eastAsia="Tahoma" w:hAnsi="Corbel" w:cs="Tahoma"/>
          <w:sz w:val="20"/>
        </w:rPr>
      </w:pPr>
    </w:p>
    <w:p w14:paraId="6AF27B62" w14:textId="77777777" w:rsidR="00AA2963" w:rsidRPr="00371492" w:rsidRDefault="00AA2963" w:rsidP="00AA2963">
      <w:pPr>
        <w:spacing w:after="160" w:line="360" w:lineRule="auto"/>
        <w:ind w:firstLine="708"/>
        <w:contextualSpacing/>
        <w:jc w:val="both"/>
        <w:rPr>
          <w:rFonts w:ascii="Corbel" w:eastAsia="Tahoma" w:hAnsi="Corbel" w:cs="Tahoma"/>
          <w:sz w:val="20"/>
        </w:rPr>
      </w:pPr>
    </w:p>
    <w:p w14:paraId="7374404E" w14:textId="77777777" w:rsidR="00AA2963" w:rsidRPr="00371492" w:rsidRDefault="00AA2963" w:rsidP="00AA2963">
      <w:pPr>
        <w:spacing w:after="160" w:line="360" w:lineRule="auto"/>
        <w:ind w:firstLine="708"/>
        <w:contextualSpacing/>
        <w:jc w:val="both"/>
        <w:rPr>
          <w:rFonts w:ascii="Corbel" w:eastAsia="Tahoma" w:hAnsi="Corbel" w:cs="Tahoma"/>
          <w:sz w:val="20"/>
        </w:rPr>
      </w:pPr>
    </w:p>
    <w:p w14:paraId="4DD3EB25" w14:textId="77777777" w:rsidR="00AA2963" w:rsidRPr="00371492" w:rsidRDefault="00AA2963" w:rsidP="00AA2963">
      <w:pPr>
        <w:spacing w:after="160" w:line="360" w:lineRule="auto"/>
        <w:ind w:firstLine="708"/>
        <w:contextualSpacing/>
        <w:jc w:val="both"/>
        <w:rPr>
          <w:rFonts w:ascii="Corbel" w:eastAsia="Tahoma" w:hAnsi="Corbel" w:cs="Tahoma"/>
          <w:sz w:val="20"/>
        </w:rPr>
      </w:pPr>
    </w:p>
    <w:p w14:paraId="55F0B931" w14:textId="77777777" w:rsidR="00AA2963" w:rsidRPr="00371492" w:rsidRDefault="00AA2963" w:rsidP="00AA2963">
      <w:pPr>
        <w:spacing w:after="160" w:line="360" w:lineRule="auto"/>
        <w:ind w:firstLine="708"/>
        <w:contextualSpacing/>
        <w:jc w:val="both"/>
        <w:rPr>
          <w:rFonts w:ascii="Corbel" w:eastAsia="Tahoma" w:hAnsi="Corbel" w:cs="Tahoma"/>
          <w:sz w:val="20"/>
        </w:rPr>
      </w:pPr>
    </w:p>
    <w:p w14:paraId="0EFD62F9" w14:textId="40ECB1C1" w:rsidR="00F2603E" w:rsidRPr="00371492" w:rsidRDefault="00F2603E" w:rsidP="00510131">
      <w:pPr>
        <w:pStyle w:val="Stijl2"/>
        <w:rPr>
          <w:rFonts w:eastAsia="Tahoma"/>
        </w:rPr>
      </w:pPr>
      <w:bookmarkStart w:id="20" w:name="_Toc485990860"/>
      <w:r w:rsidRPr="00371492">
        <w:rPr>
          <w:rFonts w:eastAsia="Tahoma"/>
        </w:rPr>
        <w:lastRenderedPageBreak/>
        <w:t xml:space="preserve">2.2 </w:t>
      </w:r>
      <w:r w:rsidRPr="00371492">
        <w:rPr>
          <w:rFonts w:eastAsia="Tahoma"/>
        </w:rPr>
        <w:tab/>
        <w:t>De uitvoering van een risicoanalyse</w:t>
      </w:r>
      <w:bookmarkEnd w:id="20"/>
    </w:p>
    <w:p w14:paraId="29CA9997" w14:textId="64AF1368" w:rsidR="00F2603E" w:rsidRPr="00371492" w:rsidRDefault="00F2603E" w:rsidP="00F2603E">
      <w:pPr>
        <w:spacing w:after="160" w:line="360" w:lineRule="auto"/>
        <w:contextualSpacing/>
        <w:jc w:val="both"/>
        <w:rPr>
          <w:rFonts w:ascii="Corbel" w:eastAsia="Tahoma" w:hAnsi="Corbel" w:cs="Tahoma"/>
          <w:sz w:val="20"/>
        </w:rPr>
      </w:pPr>
      <w:r w:rsidRPr="00371492">
        <w:rPr>
          <w:rFonts w:ascii="Corbel" w:hAnsi="Corbel"/>
          <w:noProof/>
          <w:sz w:val="22"/>
        </w:rPr>
        <w:drawing>
          <wp:anchor distT="0" distB="0" distL="114300" distR="114300" simplePos="0" relativeHeight="251658240" behindDoc="0" locked="0" layoutInCell="1" allowOverlap="1" wp14:anchorId="12E7ED88" wp14:editId="669042DC">
            <wp:simplePos x="0" y="0"/>
            <wp:positionH relativeFrom="column">
              <wp:posOffset>1094105</wp:posOffset>
            </wp:positionH>
            <wp:positionV relativeFrom="paragraph">
              <wp:posOffset>1391285</wp:posOffset>
            </wp:positionV>
            <wp:extent cx="3698875" cy="2254885"/>
            <wp:effectExtent l="25400" t="25400" r="9525" b="5715"/>
            <wp:wrapTopAndBottom/>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rcRect t="10043"/>
                    <a:stretch>
                      <a:fillRect/>
                    </a:stretch>
                  </pic:blipFill>
                  <pic:spPr>
                    <a:xfrm>
                      <a:off x="0" y="0"/>
                      <a:ext cx="3698875" cy="2254885"/>
                    </a:xfrm>
                    <a:prstGeom prst="rect">
                      <a:avLst/>
                    </a:prstGeom>
                    <a:ln>
                      <a:solidFill>
                        <a:schemeClr val="bg1">
                          <a:lumMod val="50000"/>
                        </a:schemeClr>
                      </a:solidFill>
                    </a:ln>
                  </pic:spPr>
                </pic:pic>
              </a:graphicData>
            </a:graphic>
          </wp:anchor>
        </w:drawing>
      </w:r>
      <w:r w:rsidR="00A459EC">
        <w:rPr>
          <w:noProof/>
        </w:rPr>
        <mc:AlternateContent>
          <mc:Choice Requires="wps">
            <w:drawing>
              <wp:anchor distT="0" distB="0" distL="114300" distR="114300" simplePos="0" relativeHeight="251667456" behindDoc="0" locked="0" layoutInCell="1" allowOverlap="1" wp14:anchorId="4761E490" wp14:editId="686E25DA">
                <wp:simplePos x="0" y="0"/>
                <wp:positionH relativeFrom="column">
                  <wp:posOffset>1094105</wp:posOffset>
                </wp:positionH>
                <wp:positionV relativeFrom="paragraph">
                  <wp:posOffset>1045845</wp:posOffset>
                </wp:positionV>
                <wp:extent cx="3698875" cy="457200"/>
                <wp:effectExtent l="0" t="0" r="0" b="0"/>
                <wp:wrapTopAndBottom/>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887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CB8AA8" w14:textId="6EFADE2C" w:rsidR="009D4480" w:rsidRPr="00165179" w:rsidRDefault="009D4480" w:rsidP="00F2603E">
                            <w:pPr>
                              <w:pStyle w:val="Bijschrift"/>
                              <w:jc w:val="center"/>
                              <w:rPr>
                                <w:rFonts w:ascii="Corbel" w:hAnsi="Corbel"/>
                                <w:noProof/>
                                <w:sz w:val="22"/>
                              </w:rPr>
                            </w:pPr>
                            <w:r w:rsidRPr="00165179">
                              <w:rPr>
                                <w:rFonts w:ascii="Corbel" w:hAnsi="Corbel"/>
                              </w:rPr>
                              <w:t xml:space="preserve">Figuur </w:t>
                            </w:r>
                            <w:r w:rsidRPr="00165179">
                              <w:rPr>
                                <w:rFonts w:ascii="Corbel" w:hAnsi="Corbel"/>
                              </w:rPr>
                              <w:fldChar w:fldCharType="begin"/>
                            </w:r>
                            <w:r w:rsidRPr="00165179">
                              <w:rPr>
                                <w:rFonts w:ascii="Corbel" w:hAnsi="Corbel"/>
                              </w:rPr>
                              <w:instrText xml:space="preserve"> SEQ Afbeelding \* ARABIC </w:instrText>
                            </w:r>
                            <w:r w:rsidRPr="00165179">
                              <w:rPr>
                                <w:rFonts w:ascii="Corbel" w:hAnsi="Corbel"/>
                              </w:rPr>
                              <w:fldChar w:fldCharType="separate"/>
                            </w:r>
                            <w:r>
                              <w:rPr>
                                <w:rFonts w:ascii="Corbel" w:hAnsi="Corbel"/>
                                <w:noProof/>
                              </w:rPr>
                              <w:t>1</w:t>
                            </w:r>
                            <w:r w:rsidRPr="00165179">
                              <w:rPr>
                                <w:rFonts w:ascii="Corbel" w:hAnsi="Corbel"/>
                              </w:rPr>
                              <w:fldChar w:fldCharType="end"/>
                            </w:r>
                            <w:r w:rsidRPr="00165179">
                              <w:rPr>
                                <w:rFonts w:ascii="Corbel" w:hAnsi="Corbel"/>
                              </w:rPr>
                              <w:t xml:space="preserve"> - Strategische driehoek gericht op het creëren van publieke waarde (bron: Moore, 1995).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61E490" id="Text_x0020_Box_x0020_8" o:spid="_x0000_s1028" type="#_x0000_t202" style="position:absolute;left:0;text-align:left;margin-left:86.15pt;margin-top:82.35pt;width:291.25pt;height:3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qL3aK8CAACwBQAADgAAAGRycy9lMm9Eb2MueG1srFTtbpswFP0/ae9g+T/loyQBFFKlIUyTug+p&#10;3QM4YII1sJntBLpp775rE9K01aRpGz+si3197sc5vsuboW3QkUrFBE+xf+VhRHkhSsb3Kf7ykDsR&#10;RkoTXpJGcJriR6rwzertm2XfJTQQtWhKKhGAcJX0XYprrbvEdVVR05aoK9FRDoeVkC3R8Cv3bilJ&#10;D+ht4waeN3d7IctOioIqBbvZeIhXFr+qaKE/VZWiGjUphty0XaVdd2Z1V0uS7CXpalac0iB/kUVL&#10;GIegZ6iMaIIOkr2CalkhhRKVvipE64qqYgW1NUA1vveimvuadNTWAs1R3blN6v/BFh+PnyViZYqB&#10;KE5aoOiBDhrdigFFpjt9pxJwuu/ATQ+wDSzbSlV3J4qvCnGxqQnf07WUoq8pKSE739x0L66OOMqA&#10;7PoPooQw5KCFBRoq2ZrWQTMQoANLj2dmTCoFbF7P4yhazDAq4CycLYB6G4Ik0+1OKv2OihYZI8US&#10;mLfo5HintMmGJJOLCcZFzprGst/wZxvgOO5AbLhqzkwWlswfsRdvo20UOmEw3zqhl2XOOt+Ezjz3&#10;F7PsOttsMv+nieuHSc3KknITZhKWH/4ZcSeJj5I4S0uJhpUGzqSk5H63aSQ6EhB2br9TQy7c3Odp&#10;2CZALS9K8oPQuw1iJ59HCyfMw5kTL7zI8fz4Np57YRxm+fOS7hin/14S6lMcz4LZKKbf1ubZ73Vt&#10;JGmZhtHRsBa0e3YiiZHglpeWWk1YM9oXrTDpP7UC6J6ItoI1Gh3VqofdYF9GYKIbMe9E+QgKlgIE&#10;BjKFsQdGLeR3jHoYISlW3w5EUoya9xxegZk3kyEnYzcZhBdwNcUao9Hc6HEuHTrJ9jUgj++MizW8&#10;lIpZET9lcXpfMBZsLacRZubO5b/1ehq0q18AAAD//wMAUEsDBBQABgAIAAAAIQCr+GIq3wAAAAsB&#10;AAAPAAAAZHJzL2Rvd25yZXYueG1sTI9NT4NAEIbvJv6HzZh4s4u0giJL0xg9mRgpHjwu7BRI2Vlk&#10;ty3++05Peps38+T9yNezHcQRJ987UnC/iEAgNc701Cr4qt7uHkH4oMnowREq+EUP6+L6KteZcScq&#10;8bgNrWAT8plW0IUwZlL6pkOr/cKNSPzbucnqwHJqpZn0ic3tIOMoSqTVPXFCp0d86bDZbw9Wweab&#10;ytf+56P+LHdlX1VPEb0ne6Vub+bNM4iAc/iD4VKfq0PBnWp3IOPFwDqNl4zykaxSEEykDyseUyuI&#10;l0kKssjl/w3FGQAA//8DAFBLAQItABQABgAIAAAAIQDkmcPA+wAAAOEBAAATAAAAAAAAAAAAAAAA&#10;AAAAAABbQ29udGVudF9UeXBlc10ueG1sUEsBAi0AFAAGAAgAAAAhACOyauHXAAAAlAEAAAsAAAAA&#10;AAAAAAAAAAAALAEAAF9yZWxzLy5yZWxzUEsBAi0AFAAGAAgAAAAhAHai92ivAgAAsAUAAA4AAAAA&#10;AAAAAAAAAAAALAIAAGRycy9lMm9Eb2MueG1sUEsBAi0AFAAGAAgAAAAhAKv4YirfAAAACwEAAA8A&#10;AAAAAAAAAAAAAAAABwUAAGRycy9kb3ducmV2LnhtbFBLBQYAAAAABAAEAPMAAAATBgAAAAA=&#10;" filled="f" stroked="f">
                <v:textbox inset="0,0,0,0">
                  <w:txbxContent>
                    <w:p w14:paraId="7FCB8AA8" w14:textId="6EFADE2C" w:rsidR="009D4480" w:rsidRPr="00165179" w:rsidRDefault="009D4480" w:rsidP="00F2603E">
                      <w:pPr>
                        <w:pStyle w:val="Bijschrift"/>
                        <w:jc w:val="center"/>
                        <w:rPr>
                          <w:rFonts w:ascii="Corbel" w:hAnsi="Corbel"/>
                          <w:noProof/>
                          <w:sz w:val="22"/>
                        </w:rPr>
                      </w:pPr>
                      <w:r w:rsidRPr="00165179">
                        <w:rPr>
                          <w:rFonts w:ascii="Corbel" w:hAnsi="Corbel"/>
                        </w:rPr>
                        <w:t xml:space="preserve">Figuur </w:t>
                      </w:r>
                      <w:r w:rsidRPr="00165179">
                        <w:rPr>
                          <w:rFonts w:ascii="Corbel" w:hAnsi="Corbel"/>
                        </w:rPr>
                        <w:fldChar w:fldCharType="begin"/>
                      </w:r>
                      <w:r w:rsidRPr="00165179">
                        <w:rPr>
                          <w:rFonts w:ascii="Corbel" w:hAnsi="Corbel"/>
                        </w:rPr>
                        <w:instrText xml:space="preserve"> SEQ Afbeelding \* ARABIC </w:instrText>
                      </w:r>
                      <w:r w:rsidRPr="00165179">
                        <w:rPr>
                          <w:rFonts w:ascii="Corbel" w:hAnsi="Corbel"/>
                        </w:rPr>
                        <w:fldChar w:fldCharType="separate"/>
                      </w:r>
                      <w:r>
                        <w:rPr>
                          <w:rFonts w:ascii="Corbel" w:hAnsi="Corbel"/>
                          <w:noProof/>
                        </w:rPr>
                        <w:t>1</w:t>
                      </w:r>
                      <w:r w:rsidRPr="00165179">
                        <w:rPr>
                          <w:rFonts w:ascii="Corbel" w:hAnsi="Corbel"/>
                        </w:rPr>
                        <w:fldChar w:fldCharType="end"/>
                      </w:r>
                      <w:r w:rsidRPr="00165179">
                        <w:rPr>
                          <w:rFonts w:ascii="Corbel" w:hAnsi="Corbel"/>
                        </w:rPr>
                        <w:t xml:space="preserve"> - Strategische driehoek gericht op het creëren van publieke waarde (bron: Moore, 1995).</w:t>
                      </w:r>
                    </w:p>
                  </w:txbxContent>
                </v:textbox>
                <w10:wrap type="topAndBottom"/>
              </v:shape>
            </w:pict>
          </mc:Fallback>
        </mc:AlternateContent>
      </w:r>
      <w:r w:rsidRPr="00371492">
        <w:rPr>
          <w:rFonts w:ascii="Corbel" w:eastAsia="Tahoma" w:hAnsi="Corbel" w:cs="Tahoma"/>
          <w:sz w:val="20"/>
        </w:rPr>
        <w:t xml:space="preserve">Mark Moore stelt in zijn boek </w:t>
      </w:r>
      <w:proofErr w:type="spellStart"/>
      <w:r w:rsidRPr="00371492">
        <w:rPr>
          <w:rFonts w:ascii="Corbel" w:eastAsia="Tahoma" w:hAnsi="Corbel" w:cs="Tahoma"/>
          <w:i/>
          <w:iCs/>
          <w:sz w:val="20"/>
        </w:rPr>
        <w:t>Creating</w:t>
      </w:r>
      <w:proofErr w:type="spellEnd"/>
      <w:r w:rsidRPr="00371492">
        <w:rPr>
          <w:rFonts w:ascii="Corbel" w:eastAsia="Tahoma" w:hAnsi="Corbel" w:cs="Tahoma"/>
          <w:i/>
          <w:iCs/>
          <w:sz w:val="20"/>
        </w:rPr>
        <w:t xml:space="preserve"> Public Value</w:t>
      </w:r>
      <w:r w:rsidRPr="00371492">
        <w:rPr>
          <w:rFonts w:ascii="Corbel" w:eastAsia="Tahoma" w:hAnsi="Corbel" w:cs="Tahoma"/>
          <w:sz w:val="20"/>
        </w:rPr>
        <w:t xml:space="preserve"> (1995) dat publieke organisaties voor het leveren van een maatschappelijke bijdrage een drietal elementen in evenwicht dienen te houden. Deze ‘</w:t>
      </w:r>
      <w:proofErr w:type="spellStart"/>
      <w:r w:rsidRPr="00371492">
        <w:rPr>
          <w:rFonts w:ascii="Corbel" w:eastAsia="Tahoma" w:hAnsi="Corbel" w:cs="Tahoma"/>
          <w:sz w:val="20"/>
        </w:rPr>
        <w:t>strategic</w:t>
      </w:r>
      <w:proofErr w:type="spellEnd"/>
      <w:r w:rsidRPr="00371492">
        <w:rPr>
          <w:rFonts w:ascii="Corbel" w:eastAsia="Tahoma" w:hAnsi="Corbel" w:cs="Tahoma"/>
          <w:sz w:val="20"/>
        </w:rPr>
        <w:t xml:space="preserve"> </w:t>
      </w:r>
      <w:proofErr w:type="spellStart"/>
      <w:r w:rsidRPr="00371492">
        <w:rPr>
          <w:rFonts w:ascii="Corbel" w:eastAsia="Tahoma" w:hAnsi="Corbel" w:cs="Tahoma"/>
          <w:sz w:val="20"/>
        </w:rPr>
        <w:t>triangle</w:t>
      </w:r>
      <w:proofErr w:type="spellEnd"/>
      <w:r w:rsidRPr="00371492">
        <w:rPr>
          <w:rFonts w:ascii="Corbel" w:eastAsia="Tahoma" w:hAnsi="Corbel" w:cs="Tahoma"/>
          <w:sz w:val="20"/>
        </w:rPr>
        <w:t xml:space="preserve">’ (zie figuur 1) bestaat uit </w:t>
      </w:r>
      <w:r w:rsidRPr="00371492">
        <w:rPr>
          <w:rFonts w:ascii="Corbel" w:eastAsia="Tahoma" w:hAnsi="Corbel" w:cs="Tahoma"/>
          <w:i/>
          <w:iCs/>
          <w:sz w:val="20"/>
        </w:rPr>
        <w:t>legitimiteit en steun</w:t>
      </w:r>
      <w:r w:rsidRPr="00371492">
        <w:rPr>
          <w:rFonts w:ascii="Corbel" w:eastAsia="Tahoma" w:hAnsi="Corbel" w:cs="Tahoma"/>
          <w:sz w:val="20"/>
        </w:rPr>
        <w:t xml:space="preserve"> (autoriseerbaarheid), </w:t>
      </w:r>
      <w:r w:rsidRPr="00371492">
        <w:rPr>
          <w:rFonts w:ascii="Corbel" w:eastAsia="Tahoma" w:hAnsi="Corbel" w:cs="Tahoma"/>
          <w:i/>
          <w:iCs/>
          <w:sz w:val="20"/>
        </w:rPr>
        <w:t>operationele capaciteit</w:t>
      </w:r>
      <w:r w:rsidRPr="00371492">
        <w:rPr>
          <w:rFonts w:ascii="Corbel" w:eastAsia="Tahoma" w:hAnsi="Corbel" w:cs="Tahoma"/>
          <w:sz w:val="20"/>
        </w:rPr>
        <w:t xml:space="preserve"> (uitvoerbaarheid) en </w:t>
      </w:r>
      <w:r w:rsidRPr="00371492">
        <w:rPr>
          <w:rFonts w:ascii="Corbel" w:eastAsia="Tahoma" w:hAnsi="Corbel" w:cs="Tahoma"/>
          <w:i/>
          <w:iCs/>
          <w:sz w:val="20"/>
        </w:rPr>
        <w:t>publieke waarde</w:t>
      </w:r>
      <w:r w:rsidRPr="00371492">
        <w:rPr>
          <w:rFonts w:ascii="Corbel" w:eastAsia="Tahoma" w:hAnsi="Corbel" w:cs="Tahoma"/>
          <w:sz w:val="20"/>
        </w:rPr>
        <w:t xml:space="preserve"> (waardevol) (Van Dorp &amp; Schipper, 2013, p. 23). </w:t>
      </w:r>
    </w:p>
    <w:p w14:paraId="5C72F2FF" w14:textId="77777777" w:rsidR="00F2603E" w:rsidRPr="00371492" w:rsidRDefault="00F2603E" w:rsidP="00F2603E">
      <w:pPr>
        <w:spacing w:after="160" w:line="360" w:lineRule="auto"/>
        <w:contextualSpacing/>
        <w:jc w:val="both"/>
        <w:rPr>
          <w:rFonts w:ascii="Corbel" w:eastAsia="Tahoma" w:hAnsi="Corbel" w:cs="Tahoma"/>
          <w:sz w:val="20"/>
        </w:rPr>
      </w:pPr>
    </w:p>
    <w:p w14:paraId="40E102DE" w14:textId="5403CC91" w:rsidR="00F2603E" w:rsidRPr="00371492" w:rsidRDefault="00F2603E" w:rsidP="00F2603E">
      <w:pPr>
        <w:spacing w:after="160" w:line="360" w:lineRule="auto"/>
        <w:contextualSpacing/>
        <w:jc w:val="both"/>
        <w:rPr>
          <w:rFonts w:ascii="Corbel" w:eastAsia="Tahoma" w:hAnsi="Corbel" w:cs="Tahoma"/>
          <w:sz w:val="20"/>
        </w:rPr>
      </w:pPr>
      <w:r w:rsidRPr="00371492">
        <w:rPr>
          <w:rFonts w:ascii="Corbel" w:eastAsia="Tahoma" w:hAnsi="Corbel" w:cs="Tahoma"/>
          <w:sz w:val="20"/>
        </w:rPr>
        <w:t xml:space="preserve">De operationele capaciteit van een publieke organisatie zoals de ILT is van </w:t>
      </w:r>
      <w:proofErr w:type="spellStart"/>
      <w:r w:rsidRPr="00371492">
        <w:rPr>
          <w:rFonts w:ascii="Corbel" w:eastAsia="Tahoma" w:hAnsi="Corbel" w:cs="Tahoma"/>
          <w:sz w:val="20"/>
        </w:rPr>
        <w:t>nature</w:t>
      </w:r>
      <w:proofErr w:type="spellEnd"/>
      <w:r w:rsidRPr="00371492">
        <w:rPr>
          <w:rFonts w:ascii="Corbel" w:eastAsia="Tahoma" w:hAnsi="Corbel" w:cs="Tahoma"/>
          <w:sz w:val="20"/>
        </w:rPr>
        <w:t xml:space="preserve"> beperkt. Om tot een maatschappelijke bijdrage te komen die legitimiteit en steun geniet is het logisch die beperkte capaciteit in te zetten op een wijze waarmee deze het meeste effect behaalt. Hierin schuilt de logica om risicogestuurd te werk te gaan. Dit heeft als praktische uitwerking dat een inspectieorganisatie met prioriteit kijkt naar de grootste risico’s binnen haar takenpakket. In het project IBRA wordt door middel van een integrale risicoanalyse gekeken op welke risico’s de ILT zich zou moeten richten, met als doel een zo groot mogelijke maatschappelijke bijdrage te leveren met de beperkte toezichtscapaciteit waarover de ILT beschikt.</w:t>
      </w:r>
      <w:r w:rsidR="00010031">
        <w:rPr>
          <w:rFonts w:ascii="Corbel" w:eastAsia="Tahoma" w:hAnsi="Corbel" w:cs="Tahoma"/>
          <w:sz w:val="20"/>
        </w:rPr>
        <w:t xml:space="preserve"> Omdat de toezichtscapaciteit van </w:t>
      </w:r>
      <w:proofErr w:type="spellStart"/>
      <w:r w:rsidR="00010031">
        <w:rPr>
          <w:rFonts w:ascii="Corbel" w:eastAsia="Tahoma" w:hAnsi="Corbel" w:cs="Tahoma"/>
          <w:sz w:val="20"/>
        </w:rPr>
        <w:t>nature</w:t>
      </w:r>
      <w:proofErr w:type="spellEnd"/>
      <w:r w:rsidR="00010031">
        <w:rPr>
          <w:rFonts w:ascii="Corbel" w:eastAsia="Tahoma" w:hAnsi="Corbel" w:cs="Tahoma"/>
          <w:sz w:val="20"/>
        </w:rPr>
        <w:t xml:space="preserve"> beperkt is, is er bij de verdeling van toezicht sprake van een </w:t>
      </w:r>
      <w:r w:rsidR="00010031" w:rsidRPr="00541EB0">
        <w:rPr>
          <w:rFonts w:ascii="Corbel" w:eastAsia="Tahoma" w:hAnsi="Corbel" w:cs="Tahoma"/>
          <w:i/>
          <w:sz w:val="20"/>
        </w:rPr>
        <w:t>nulsomspel</w:t>
      </w:r>
      <w:r w:rsidR="00010031">
        <w:rPr>
          <w:rFonts w:ascii="Corbel" w:eastAsia="Tahoma" w:hAnsi="Corbel" w:cs="Tahoma"/>
          <w:sz w:val="20"/>
        </w:rPr>
        <w:t xml:space="preserve">. Als er ergens in de organisatie meer toezicht gehouden wordt, gaat dat ten koste van toezicht elders. </w:t>
      </w:r>
      <w:r w:rsidR="00541EB0">
        <w:rPr>
          <w:rFonts w:ascii="Corbel" w:eastAsia="Tahoma" w:hAnsi="Corbel" w:cs="Tahoma"/>
          <w:sz w:val="20"/>
        </w:rPr>
        <w:t>Dit bemoeilijkt de verdeling van de toezichtscapaciteit.</w:t>
      </w:r>
    </w:p>
    <w:p w14:paraId="1145495F" w14:textId="06BF7539" w:rsidR="00541EB0" w:rsidRDefault="00F2603E" w:rsidP="00541EB0">
      <w:pPr>
        <w:spacing w:after="160" w:line="360" w:lineRule="auto"/>
        <w:ind w:firstLine="708"/>
        <w:contextualSpacing/>
        <w:jc w:val="both"/>
        <w:rPr>
          <w:rFonts w:ascii="Corbel" w:eastAsia="Tahoma" w:hAnsi="Corbel" w:cs="Tahoma"/>
          <w:sz w:val="20"/>
        </w:rPr>
      </w:pPr>
      <w:r w:rsidRPr="00371492">
        <w:rPr>
          <w:rFonts w:ascii="Corbel" w:eastAsia="Tahoma" w:hAnsi="Corbel" w:cs="Tahoma"/>
          <w:sz w:val="20"/>
        </w:rPr>
        <w:t>Een logische start voor de implementatie van risicogestuurd toezicht is het selecteren (</w:t>
      </w:r>
      <w:r w:rsidR="00A459EC">
        <w:rPr>
          <w:rFonts w:ascii="Corbel" w:eastAsia="Tahoma" w:hAnsi="Corbel" w:cs="Tahoma"/>
          <w:sz w:val="20"/>
        </w:rPr>
        <w:t>in feite prioriteren, want er blijven ‘lagere’ risico’s waar niets aan gedaan wordt</w:t>
      </w:r>
      <w:r w:rsidRPr="00371492">
        <w:rPr>
          <w:rFonts w:ascii="Corbel" w:eastAsia="Tahoma" w:hAnsi="Corbel" w:cs="Tahoma"/>
          <w:sz w:val="20"/>
        </w:rPr>
        <w:t xml:space="preserve">) van die risico’s waar je als instituut de grootste bijdrage aan kan leveren. Ten behoeve van deze selectie moet uitgezocht worden welke activiteiten de grootste risico’s dragen. Hierbij wordt de typering van Malcolm </w:t>
      </w:r>
      <w:proofErr w:type="spellStart"/>
      <w:r w:rsidRPr="00371492">
        <w:rPr>
          <w:rFonts w:ascii="Corbel" w:eastAsia="Tahoma" w:hAnsi="Corbel" w:cs="Tahoma"/>
          <w:sz w:val="20"/>
        </w:rPr>
        <w:t>Sparrow</w:t>
      </w:r>
      <w:proofErr w:type="spellEnd"/>
      <w:r w:rsidRPr="00371492">
        <w:rPr>
          <w:rFonts w:ascii="Corbel" w:eastAsia="Tahoma" w:hAnsi="Corbel" w:cs="Tahoma"/>
          <w:sz w:val="20"/>
        </w:rPr>
        <w:t xml:space="preserve"> gebruikt. Enerzijds kunnen onwenselijke activiteiten gegroepeerd worden in illegale activiteiten (i.e. activiteiten die strijdig zijn met de wet), anderzijds in schadelijke activiteiten (</w:t>
      </w:r>
      <w:r w:rsidR="00556359">
        <w:rPr>
          <w:rFonts w:ascii="Corbel" w:eastAsia="Tahoma" w:hAnsi="Corbel" w:cs="Tahoma"/>
          <w:sz w:val="20"/>
        </w:rPr>
        <w:t xml:space="preserve">i.e. </w:t>
      </w:r>
      <w:r w:rsidRPr="00371492">
        <w:rPr>
          <w:rFonts w:ascii="Corbel" w:eastAsia="Tahoma" w:hAnsi="Corbel" w:cs="Tahoma"/>
          <w:sz w:val="20"/>
        </w:rPr>
        <w:t>activiteiten die maatschappelijke doelen schaden) (</w:t>
      </w:r>
      <w:proofErr w:type="spellStart"/>
      <w:r w:rsidRPr="00371492">
        <w:rPr>
          <w:rFonts w:ascii="Corbel" w:eastAsia="Tahoma" w:hAnsi="Corbel" w:cs="Tahoma"/>
          <w:sz w:val="20"/>
        </w:rPr>
        <w:t>Sparrow</w:t>
      </w:r>
      <w:proofErr w:type="spellEnd"/>
      <w:r w:rsidRPr="00371492">
        <w:rPr>
          <w:rFonts w:ascii="Corbel" w:eastAsia="Tahoma" w:hAnsi="Corbel" w:cs="Tahoma"/>
          <w:sz w:val="20"/>
        </w:rPr>
        <w:t>, 2000). Door het projectteam bij de ILT is er voor gekozen om risico’s te benoemen als schadelijke activiteiten, ongeacht of deze gereguleerd worden (IBRA, 2016). Indien een organisatie risicogebaseerd wil opereren is een risicoanal</w:t>
      </w:r>
      <w:r w:rsidR="00556359">
        <w:rPr>
          <w:rFonts w:ascii="Corbel" w:eastAsia="Tahoma" w:hAnsi="Corbel" w:cs="Tahoma"/>
          <w:sz w:val="20"/>
        </w:rPr>
        <w:t xml:space="preserve">yse dus het logische startpunt. </w:t>
      </w:r>
    </w:p>
    <w:p w14:paraId="61399C6A" w14:textId="6901D446" w:rsidR="00F2603E" w:rsidRPr="00371492" w:rsidRDefault="00F2603E" w:rsidP="00541EB0">
      <w:pPr>
        <w:spacing w:after="160" w:line="360" w:lineRule="auto"/>
        <w:ind w:firstLine="708"/>
        <w:contextualSpacing/>
        <w:jc w:val="both"/>
        <w:rPr>
          <w:rFonts w:ascii="Corbel" w:eastAsia="Tahoma" w:hAnsi="Corbel" w:cs="Tahoma"/>
          <w:sz w:val="20"/>
        </w:rPr>
      </w:pPr>
      <w:r w:rsidRPr="00371492">
        <w:rPr>
          <w:rFonts w:ascii="Corbel" w:eastAsia="Tahoma" w:hAnsi="Corbel" w:cs="Tahoma"/>
          <w:sz w:val="20"/>
        </w:rPr>
        <w:lastRenderedPageBreak/>
        <w:t>Een risicoanalyse is een hulpmiddel bij het onderzoeken van risico’s. Relevante informatie wordt gerangschikt en gewogen om een objectieve uitspraak te kunnen doen over de frequentie van gevaar en de omvang van de bijbehorende effecten. Een risicoanalyse draagt vanwege deze eigen</w:t>
      </w:r>
      <w:r w:rsidR="00A459EC">
        <w:rPr>
          <w:rFonts w:ascii="Corbel" w:eastAsia="Tahoma" w:hAnsi="Corbel" w:cs="Tahoma"/>
          <w:sz w:val="20"/>
        </w:rPr>
        <w:t>schappen bij aan een onderbouwing van</w:t>
      </w:r>
      <w:r w:rsidRPr="00371492">
        <w:rPr>
          <w:rFonts w:ascii="Corbel" w:eastAsia="Tahoma" w:hAnsi="Corbel" w:cs="Tahoma"/>
          <w:sz w:val="20"/>
        </w:rPr>
        <w:t xml:space="preserve"> prioritering en toewijzing van toezichtscapaciteit (Velders &amp; Brunia, 2013, p. 82).</w:t>
      </w:r>
      <w:r w:rsidR="006C74E3" w:rsidRPr="00371492">
        <w:rPr>
          <w:rFonts w:ascii="Corbel" w:eastAsia="Tahoma" w:hAnsi="Corbel" w:cs="Tahoma"/>
          <w:sz w:val="20"/>
        </w:rPr>
        <w:t xml:space="preserve"> </w:t>
      </w:r>
      <w:r w:rsidRPr="00371492">
        <w:rPr>
          <w:rFonts w:ascii="Corbel" w:eastAsia="Tahoma" w:hAnsi="Corbel" w:cs="Tahoma"/>
          <w:sz w:val="20"/>
        </w:rPr>
        <w:t>De uitvoering van dit instrument komt in de praktijk vaak neer op het uitwerken van een kosten-batenanalyse. De klassieke manier van risicobenadering in het toezicht is het schetsen van de kans en effect in een matrix</w:t>
      </w:r>
      <w:r w:rsidR="000C096A">
        <w:rPr>
          <w:rStyle w:val="Voetnootmarkering"/>
          <w:rFonts w:ascii="Corbel" w:eastAsia="Tahoma" w:hAnsi="Corbel" w:cs="Tahoma"/>
          <w:sz w:val="20"/>
        </w:rPr>
        <w:footnoteReference w:id="4"/>
      </w:r>
      <w:r w:rsidRPr="00371492">
        <w:rPr>
          <w:rFonts w:ascii="Corbel" w:eastAsia="Tahoma" w:hAnsi="Corbel" w:cs="Tahoma"/>
          <w:sz w:val="20"/>
        </w:rPr>
        <w:t>. Risico’s met een hoge kans en hoog effect krijgen meer aandacht dan risico’s met een lage kans en weinig effect</w:t>
      </w:r>
      <w:r w:rsidRPr="00371492">
        <w:rPr>
          <w:rStyle w:val="Voetnootmarkering"/>
          <w:rFonts w:ascii="Corbel" w:eastAsia="Tahoma" w:hAnsi="Corbel" w:cs="Tahoma"/>
          <w:sz w:val="20"/>
        </w:rPr>
        <w:footnoteReference w:id="5"/>
      </w:r>
      <w:r w:rsidRPr="00371492">
        <w:rPr>
          <w:rFonts w:ascii="Corbel" w:eastAsia="Tahoma" w:hAnsi="Corbel" w:cs="Tahoma"/>
          <w:sz w:val="20"/>
        </w:rPr>
        <w:t xml:space="preserve">. </w:t>
      </w:r>
    </w:p>
    <w:p w14:paraId="7A3286B1" w14:textId="77777777" w:rsidR="00F2603E" w:rsidRPr="00371492" w:rsidRDefault="00F2603E" w:rsidP="00F2603E">
      <w:pPr>
        <w:spacing w:after="160" w:line="360" w:lineRule="auto"/>
        <w:ind w:firstLine="708"/>
        <w:contextualSpacing/>
        <w:jc w:val="both"/>
        <w:rPr>
          <w:rFonts w:ascii="Corbel" w:hAnsi="Corbel" w:cs="Times"/>
          <w:sz w:val="20"/>
          <w:szCs w:val="22"/>
          <w:lang w:eastAsia="en-US"/>
        </w:rPr>
      </w:pPr>
      <w:r w:rsidRPr="00371492">
        <w:rPr>
          <w:rFonts w:ascii="Corbel" w:eastAsia="Tahoma" w:hAnsi="Corbel" w:cs="Tahoma"/>
          <w:sz w:val="20"/>
        </w:rPr>
        <w:t xml:space="preserve">Bij de uitvoering van een risicoanalyse wordt geprobeerd om objectief een beeld te schetsen van risico’s die plaatsvinden in de werkelijkheid. Door gebruik te maken van dit instrument is het mogelijk toezichtscapaciteit volgens de principes van het risicogestuurd toezicht te verdelen. Het blijkt –zoals we in de vorige sectie hebben kunnen zien- om diverse redenen niet gemakkelijk om objectief risico’s te onderzoeken. Het hanteren van louter kwantitatieve informatie in een analyse leidt tot een reductie van het vraagstuk. </w:t>
      </w:r>
      <w:r w:rsidRPr="00371492">
        <w:rPr>
          <w:rFonts w:ascii="Corbel" w:eastAsia="Tahoma,Tahoma,Times New Roman" w:hAnsi="Corbel" w:cs="Tahoma"/>
          <w:color w:val="000000" w:themeColor="text1"/>
          <w:sz w:val="20"/>
        </w:rPr>
        <w:t>Voor de praktijk van risicoanalysering betekent dit dat er</w:t>
      </w:r>
      <w:r w:rsidRPr="00371492">
        <w:rPr>
          <w:rFonts w:ascii="Corbel" w:eastAsia="Tahoma,Tahoma,Times New Roman" w:hAnsi="Corbel" w:cs="Tahoma"/>
          <w:sz w:val="20"/>
        </w:rPr>
        <w:t xml:space="preserve"> op verschillende manieren onzekerheid steekt in de objectieve formulering van risico's. Elke risicoanalyse is daarom een abstrahering van de realiteit, waarbij technische (inexactheid), methodische (onbetrouwbaar) en epistemologische (onwetend) onzekerheden het formuleren van objectieve risico’s bemoeilijken (</w:t>
      </w:r>
      <w:proofErr w:type="spellStart"/>
      <w:r w:rsidRPr="00371492">
        <w:rPr>
          <w:rFonts w:ascii="Corbel" w:eastAsia="Tahoma,Tahoma,Times New Roman" w:hAnsi="Corbel" w:cs="Tahoma"/>
          <w:sz w:val="20"/>
        </w:rPr>
        <w:t>Functowicz</w:t>
      </w:r>
      <w:proofErr w:type="spellEnd"/>
      <w:r w:rsidRPr="00371492">
        <w:rPr>
          <w:rFonts w:ascii="Corbel" w:eastAsia="Tahoma,Tahoma,Times New Roman" w:hAnsi="Corbel" w:cs="Tahoma"/>
          <w:sz w:val="20"/>
        </w:rPr>
        <w:t xml:space="preserve"> &amp; </w:t>
      </w:r>
      <w:proofErr w:type="spellStart"/>
      <w:r w:rsidRPr="00371492">
        <w:rPr>
          <w:rFonts w:ascii="Corbel" w:eastAsia="Tahoma,Tahoma,Times New Roman" w:hAnsi="Corbel" w:cs="Tahoma"/>
          <w:sz w:val="20"/>
        </w:rPr>
        <w:t>Ravetz</w:t>
      </w:r>
      <w:proofErr w:type="spellEnd"/>
      <w:r w:rsidRPr="00371492">
        <w:rPr>
          <w:rFonts w:ascii="Corbel" w:eastAsia="Tahoma,Tahoma,Times New Roman" w:hAnsi="Corbel" w:cs="Tahoma"/>
          <w:sz w:val="20"/>
        </w:rPr>
        <w:t xml:space="preserve">, 1991 in: </w:t>
      </w:r>
      <w:proofErr w:type="spellStart"/>
      <w:r w:rsidRPr="00371492">
        <w:rPr>
          <w:rFonts w:ascii="Corbel" w:eastAsia="Tahoma,Tahoma,Times New Roman" w:hAnsi="Corbel" w:cs="Tahoma"/>
          <w:sz w:val="20"/>
        </w:rPr>
        <w:t>Renn</w:t>
      </w:r>
      <w:proofErr w:type="spellEnd"/>
      <w:r w:rsidRPr="00371492">
        <w:rPr>
          <w:rFonts w:ascii="Corbel" w:eastAsia="Tahoma,Tahoma,Times New Roman" w:hAnsi="Corbel" w:cs="Tahoma"/>
          <w:sz w:val="20"/>
        </w:rPr>
        <w:t xml:space="preserve">, </w:t>
      </w:r>
      <w:proofErr w:type="spellStart"/>
      <w:r w:rsidRPr="00371492">
        <w:rPr>
          <w:rFonts w:ascii="Corbel" w:eastAsia="Tahoma,Tahoma,Times New Roman" w:hAnsi="Corbel" w:cs="Tahoma"/>
          <w:sz w:val="20"/>
        </w:rPr>
        <w:t>Klinke</w:t>
      </w:r>
      <w:proofErr w:type="spellEnd"/>
      <w:r w:rsidRPr="00371492">
        <w:rPr>
          <w:rFonts w:ascii="Corbel" w:eastAsia="Tahoma,Tahoma,Times New Roman" w:hAnsi="Corbel" w:cs="Tahoma"/>
          <w:sz w:val="20"/>
        </w:rPr>
        <w:t xml:space="preserve"> &amp; van </w:t>
      </w:r>
      <w:proofErr w:type="spellStart"/>
      <w:r w:rsidRPr="00371492">
        <w:rPr>
          <w:rFonts w:ascii="Corbel" w:eastAsia="Tahoma,Tahoma,Times New Roman" w:hAnsi="Corbel" w:cs="Tahoma"/>
          <w:sz w:val="20"/>
        </w:rPr>
        <w:t>Asselt</w:t>
      </w:r>
      <w:proofErr w:type="spellEnd"/>
      <w:r w:rsidRPr="00371492">
        <w:rPr>
          <w:rFonts w:ascii="Corbel" w:eastAsia="Tahoma,Tahoma,Times New Roman" w:hAnsi="Corbel" w:cs="Tahoma"/>
          <w:sz w:val="20"/>
        </w:rPr>
        <w:t>, 2011). Geconcludeerd kan worden dat een risicoanalyse altijd een bepaalde mate van onzekerheid in zich heeft. Deze onzekerheid varieert van inexactheid via onbetrouwbaarheid tot onwetendheid (ibid.).</w:t>
      </w:r>
      <w:r w:rsidRPr="00371492">
        <w:rPr>
          <w:rFonts w:ascii="Corbel" w:hAnsi="Corbel" w:cs="Times"/>
          <w:sz w:val="20"/>
          <w:szCs w:val="22"/>
          <w:lang w:eastAsia="en-US"/>
        </w:rPr>
        <w:t xml:space="preserve"> Het is belangrijk om dit in het achterhoofd te hebben wanneer de literatuur ook wijst op het belang van kwalitatieve informatie als argumentatie bij een analyse van risico’s. </w:t>
      </w:r>
    </w:p>
    <w:p w14:paraId="7F661BA0" w14:textId="77777777" w:rsidR="00F2603E" w:rsidRPr="00371492" w:rsidRDefault="00F2603E" w:rsidP="00F2603E">
      <w:pPr>
        <w:spacing w:after="160" w:line="360" w:lineRule="auto"/>
        <w:ind w:firstLine="708"/>
        <w:contextualSpacing/>
        <w:jc w:val="both"/>
        <w:rPr>
          <w:rFonts w:ascii="Corbel" w:hAnsi="Corbel" w:cs="Times"/>
          <w:sz w:val="20"/>
          <w:szCs w:val="22"/>
          <w:lang w:eastAsia="en-US"/>
        </w:rPr>
      </w:pPr>
    </w:p>
    <w:p w14:paraId="0B3EB58D" w14:textId="7196BB5D" w:rsidR="00F2603E" w:rsidRPr="00371492" w:rsidRDefault="00F2603E" w:rsidP="00510131">
      <w:pPr>
        <w:pStyle w:val="Stijl2"/>
        <w:rPr>
          <w:rFonts w:eastAsia="Tahoma"/>
        </w:rPr>
      </w:pPr>
      <w:bookmarkStart w:id="21" w:name="_Toc485990861"/>
      <w:r w:rsidRPr="00371492">
        <w:rPr>
          <w:rFonts w:eastAsia="Tahoma"/>
        </w:rPr>
        <w:t xml:space="preserve">2.3 </w:t>
      </w:r>
      <w:r w:rsidRPr="00371492">
        <w:rPr>
          <w:rFonts w:eastAsia="Tahoma"/>
        </w:rPr>
        <w:tab/>
        <w:t>Risico’s als morele kwestie</w:t>
      </w:r>
      <w:bookmarkEnd w:id="21"/>
    </w:p>
    <w:p w14:paraId="7FC78F67" w14:textId="2A9BAC7D" w:rsidR="00F2603E" w:rsidRPr="00371492" w:rsidRDefault="00A459EC" w:rsidP="00F2603E">
      <w:pPr>
        <w:spacing w:line="360" w:lineRule="auto"/>
        <w:contextualSpacing/>
        <w:jc w:val="both"/>
        <w:rPr>
          <w:rFonts w:ascii="Corbel" w:eastAsia="Tahoma" w:hAnsi="Corbel" w:cs="Tahoma"/>
          <w:sz w:val="20"/>
        </w:rPr>
      </w:pPr>
      <w:r>
        <w:rPr>
          <w:rFonts w:ascii="Corbel" w:eastAsia="Tahoma" w:hAnsi="Corbel" w:cs="Tahoma"/>
          <w:noProof/>
          <w:sz w:val="20"/>
        </w:rPr>
        <mc:AlternateContent>
          <mc:Choice Requires="wps">
            <w:drawing>
              <wp:anchor distT="0" distB="0" distL="114300" distR="114300" simplePos="0" relativeHeight="251668480" behindDoc="0" locked="0" layoutInCell="1" allowOverlap="1" wp14:anchorId="3134F3E1" wp14:editId="69B9F579">
                <wp:simplePos x="0" y="0"/>
                <wp:positionH relativeFrom="column">
                  <wp:posOffset>4293870</wp:posOffset>
                </wp:positionH>
                <wp:positionV relativeFrom="paragraph">
                  <wp:posOffset>1193165</wp:posOffset>
                </wp:positionV>
                <wp:extent cx="2171700" cy="1195705"/>
                <wp:effectExtent l="0" t="0" r="38100" b="23495"/>
                <wp:wrapSquare wrapText="bothSides"/>
                <wp:docPr id="10" name="Tekstvak 10"/>
                <wp:cNvGraphicFramePr/>
                <a:graphic xmlns:a="http://schemas.openxmlformats.org/drawingml/2006/main">
                  <a:graphicData uri="http://schemas.microsoft.com/office/word/2010/wordprocessingShape">
                    <wps:wsp>
                      <wps:cNvSpPr txBox="1"/>
                      <wps:spPr>
                        <a:xfrm>
                          <a:off x="0" y="0"/>
                          <a:ext cx="2171700" cy="1195705"/>
                        </a:xfrm>
                        <a:prstGeom prst="rect">
                          <a:avLst/>
                        </a:prstGeom>
                        <a:noFill/>
                        <a:ln>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14:paraId="6C95C25D" w14:textId="2E13D506" w:rsidR="009D4480" w:rsidRPr="000C096A" w:rsidRDefault="009D4480" w:rsidP="00143898">
                            <w:pPr>
                              <w:jc w:val="both"/>
                            </w:pPr>
                            <w:r w:rsidRPr="000C096A">
                              <w:rPr>
                                <w:rFonts w:ascii="Corbel" w:eastAsia="Tahoma" w:hAnsi="Corbel" w:cs="Tahoma"/>
                                <w:sz w:val="20"/>
                              </w:rPr>
                              <w:t>Een risicoanalyse vormt een benadering van de feiten. Het presenteert de situatie en biedt hiermee geen voorschrift voor het handelen naar deze situatie. Hiertoe is een normatieve onderbouwing noodzakelijk.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134F3E1" id="Tekstvak_x0020_10" o:spid="_x0000_s1029" type="#_x0000_t202" style="position:absolute;left:0;text-align:left;margin-left:338.1pt;margin-top:93.95pt;width:171pt;height:94.1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zb8DIgCAACPBQAADgAAAGRycy9lMm9Eb2MueG1srFTfb9MwEH5H4n+w/M7SlI2yaulUNg0hTWxi&#10;Q3t2HXu15viMfW1S/nrOTtJVAwkN8ZLYd9/d+b77cXbeNZZtVYgGXMXLowlnykmojXus+Pf7q3cf&#10;OYsoXC0sOFXxnYr8fPH2zVnr52oKa7C1CoycuDhvfcXXiH5eFFGuVSPiEXjlSKkhNALpGh6LOoiW&#10;vDe2mE4mH4oWQu0DSBUjSS97JV9k/1oriTdaR4XMVpzehvkb8neVvsXiTMwfg/BrI4dniH94RSOM&#10;o6B7V5cCBdsE85urxsgAETQeSWgK0NpIlXOgbMrJi2zu1sKrnAuRE/2epvj/3Mqv29vATE21I3qc&#10;aKhG9+op4lY8MRIRP62Pc4LdeQJi9wk6wo7ySMKUdqdDk/6UECM9udrt2VUdMknCaTkrZxNSSdKV&#10;5enJbHKS/BTP5j5E/KygYelQ8UDly6yK7XXEHjpCUjQHV8baXELrkiCCNXWS5UvqIXVhA9sKqr6Q&#10;UjnML6eIB0i69dYq98sQKWXdZ5dPuLMqObXum9LEV07yr1EyOqE0vek1hgM+mfaveo3x3iJHBod7&#10;48Y4CJnRPGDP5NRPIzG6x1NZDvJOR+xWXW6U92PxV1DvqCcC9FMVvbwyVLdrEfFWBBojqjWtBryh&#10;j7bQVhyGE2drCD//JE946m7SctbSWFY8/tiIoDizXxz1/Wl5fExuMV+OT2ZTuoRDzepQ4zbNBVDt&#10;S1pCXuZjwqMdjzpA80AbZJmikko4SbErjuPxAvtlQRtIquUyg2hyvcBrd+dlcp1YTl153z2I4IfW&#10;Rer6rzAOsJi/6OAemywdLDcI2uT2Tjz3rA7809TnARk2VForh/eMet6ji18AAAD//wMAUEsDBBQA&#10;BgAIAAAAIQA460yv3wAAAAwBAAAPAAAAZHJzL2Rvd25yZXYueG1sTI/BTsMwDIbvSLxDZCQuaEs7&#10;oCul6QRIcB1sO3BMG9MWGqc02da9/dwTHO3v1+/P+Wq0nTjg4FtHCuJ5BAKpcqalWsFu+zpLQfig&#10;yejOESo4oYdVcXmR68y4I33gYRNqwSXkM62gCaHPpPRVg1b7ueuRmH25werA41BLM+gjl9tOLqIo&#10;kVa3xBca3eNLg9XPZm8VlG/mbv0Z/47mm8rT+/qmf77f9kpdX41PjyACjuEvDJM+q0PBTqXbk/Gi&#10;U5AskwVHGaTLBxBTIopTXpUKbicmi1z+f6I4AwAA//8DAFBLAQItABQABgAIAAAAIQDkmcPA+wAA&#10;AOEBAAATAAAAAAAAAAAAAAAAAAAAAABbQ29udGVudF9UeXBlc10ueG1sUEsBAi0AFAAGAAgAAAAh&#10;ACOyauHXAAAAlAEAAAsAAAAAAAAAAAAAAAAALAEAAF9yZWxzLy5yZWxzUEsBAi0AFAAGAAgAAAAh&#10;AFM2/AyIAgAAjwUAAA4AAAAAAAAAAAAAAAAALAIAAGRycy9lMm9Eb2MueG1sUEsBAi0AFAAGAAgA&#10;AAAhADjrTK/fAAAADAEAAA8AAAAAAAAAAAAAAAAA4AQAAGRycy9kb3ducmV2LnhtbFBLBQYAAAAA&#10;BAAEAPMAAADsBQAAAAA=&#10;" filled="f" strokecolor="#5b9bd5 [3204]">
                <v:textbox>
                  <w:txbxContent>
                    <w:p w14:paraId="6C95C25D" w14:textId="2E13D506" w:rsidR="009D4480" w:rsidRPr="000C096A" w:rsidRDefault="009D4480" w:rsidP="00143898">
                      <w:pPr>
                        <w:jc w:val="both"/>
                      </w:pPr>
                      <w:r w:rsidRPr="000C096A">
                        <w:rPr>
                          <w:rFonts w:ascii="Corbel" w:eastAsia="Tahoma" w:hAnsi="Corbel" w:cs="Tahoma"/>
                          <w:sz w:val="20"/>
                        </w:rPr>
                        <w:t>Een risicoanalyse vormt een benadering van de feiten. Het presenteert de situatie en biedt hiermee geen voorschrift voor het handelen naar deze situatie. Hiertoe is een normatieve onderbouwing noodzakelijk.</w:t>
                      </w:r>
                    </w:p>
                  </w:txbxContent>
                </v:textbox>
                <w10:wrap type="square"/>
              </v:shape>
            </w:pict>
          </mc:Fallback>
        </mc:AlternateContent>
      </w:r>
      <w:r w:rsidR="00F2603E" w:rsidRPr="00371492">
        <w:rPr>
          <w:rFonts w:ascii="Corbel" w:eastAsia="Tahoma" w:hAnsi="Corbel" w:cs="Tahoma"/>
          <w:sz w:val="20"/>
        </w:rPr>
        <w:t xml:space="preserve">In de voorgaande secties is beschreven waar het concept van risicogestuurd toezicht vandaan komt en dat de implementatie ervan tevens niet probleemloos verloopt. Daarnaast ligt de nadruk, ondanks de complexe werkelijkheid, veelal op kwantitatief meetbare (objectieve) zaken. In deze technocratische benadering wordt een risico gezien als een statistische kans, namelijk kans maal effect; en bieden kosten-batenanalyses uitkomst. Hier is dus sprake van een </w:t>
      </w:r>
      <w:r w:rsidR="00F2603E" w:rsidRPr="00371492">
        <w:rPr>
          <w:rFonts w:ascii="Corbel" w:eastAsia="Tahoma" w:hAnsi="Corbel" w:cs="Tahoma"/>
          <w:i/>
          <w:sz w:val="20"/>
        </w:rPr>
        <w:t>risk-benefit analysis</w:t>
      </w:r>
      <w:r w:rsidR="00F2603E" w:rsidRPr="00371492">
        <w:rPr>
          <w:rFonts w:ascii="Corbel" w:eastAsia="Tahoma" w:hAnsi="Corbel" w:cs="Tahoma"/>
          <w:sz w:val="20"/>
        </w:rPr>
        <w:t xml:space="preserve"> en geen brede risicoanalyse die een veelvoud aan overwegingen meeneemt (Fischer, 1995, pp. 183-191) Om deze reden kijkt een risicoanalyse met een </w:t>
      </w:r>
      <w:proofErr w:type="spellStart"/>
      <w:r w:rsidR="00F2603E" w:rsidRPr="00371492">
        <w:rPr>
          <w:rFonts w:ascii="Corbel" w:eastAsia="Tahoma" w:hAnsi="Corbel" w:cs="Tahoma"/>
          <w:sz w:val="20"/>
        </w:rPr>
        <w:t>myopische</w:t>
      </w:r>
      <w:proofErr w:type="spellEnd"/>
      <w:r w:rsidR="00F2603E" w:rsidRPr="00371492">
        <w:rPr>
          <w:rFonts w:ascii="Corbel" w:eastAsia="Tahoma" w:hAnsi="Corbel" w:cs="Tahoma"/>
          <w:sz w:val="20"/>
        </w:rPr>
        <w:t xml:space="preserve"> visie naar de werkelijkheid, aangezien kwantificeerbare informatie en utiliteitsoverwegingen slechts een deel van de benodigde onderbouwing zijn. Dit is met name het geval voor systemische risico's, maar is net zo goed voor simpele risico's van toepassing.</w:t>
      </w:r>
    </w:p>
    <w:p w14:paraId="25D55091" w14:textId="6B789AE9" w:rsidR="00F2603E" w:rsidRPr="005708F4" w:rsidRDefault="00F2603E" w:rsidP="00541EB0">
      <w:pPr>
        <w:spacing w:line="360" w:lineRule="auto"/>
        <w:jc w:val="both"/>
        <w:rPr>
          <w:rFonts w:ascii="Corbel" w:hAnsi="Corbel" w:cs="Times"/>
          <w:color w:val="FF0000"/>
          <w:sz w:val="20"/>
          <w:szCs w:val="20"/>
        </w:rPr>
      </w:pPr>
      <w:r w:rsidRPr="00371492">
        <w:rPr>
          <w:rFonts w:ascii="Corbel" w:eastAsia="Tahoma" w:hAnsi="Corbel" w:cs="Tahoma"/>
          <w:sz w:val="20"/>
        </w:rPr>
        <w:lastRenderedPageBreak/>
        <w:t xml:space="preserve">Een risicoanalyse is om deze redenen niet compleet als deze louter aandacht heeft voor een kosten-batenanalyse. Er moet aandacht zijn voor meer dan alleen utilistische gronden. Dat normatieve afwegingen van invloed zijn op de acceptatie van risico is duidelijk naar voren gekomen in bijvoorbeeld het werk van </w:t>
      </w:r>
      <w:proofErr w:type="spellStart"/>
      <w:r w:rsidRPr="00371492">
        <w:rPr>
          <w:rFonts w:ascii="Corbel" w:eastAsia="Tahoma" w:hAnsi="Corbel" w:cs="Tahoma"/>
          <w:sz w:val="20"/>
        </w:rPr>
        <w:t>Slovic</w:t>
      </w:r>
      <w:proofErr w:type="spellEnd"/>
      <w:r w:rsidRPr="00371492">
        <w:rPr>
          <w:rFonts w:ascii="Corbel" w:eastAsia="Tahoma" w:hAnsi="Corbel" w:cs="Tahoma"/>
          <w:sz w:val="20"/>
        </w:rPr>
        <w:t xml:space="preserve"> (1987), </w:t>
      </w:r>
      <w:proofErr w:type="spellStart"/>
      <w:r w:rsidRPr="00371492">
        <w:rPr>
          <w:rFonts w:ascii="Corbel" w:eastAsia="Tahoma" w:hAnsi="Corbel" w:cs="Tahoma"/>
          <w:sz w:val="20"/>
        </w:rPr>
        <w:t>Roeser</w:t>
      </w:r>
      <w:proofErr w:type="spellEnd"/>
      <w:r w:rsidRPr="00371492">
        <w:rPr>
          <w:rFonts w:ascii="Corbel" w:eastAsia="Tahoma" w:hAnsi="Corbel" w:cs="Tahoma"/>
          <w:sz w:val="20"/>
        </w:rPr>
        <w:t xml:space="preserve"> (2013) en </w:t>
      </w:r>
      <w:proofErr w:type="spellStart"/>
      <w:r w:rsidRPr="00371492">
        <w:rPr>
          <w:rFonts w:ascii="Corbel" w:eastAsia="Tahoma" w:hAnsi="Corbel" w:cs="Tahoma"/>
          <w:sz w:val="20"/>
        </w:rPr>
        <w:t>St</w:t>
      </w:r>
      <w:r w:rsidR="007F5A83">
        <w:rPr>
          <w:rFonts w:ascii="Corbel" w:eastAsia="Tahoma" w:hAnsi="Corbel" w:cs="Tahoma"/>
          <w:sz w:val="20"/>
        </w:rPr>
        <w:t>irling</w:t>
      </w:r>
      <w:proofErr w:type="spellEnd"/>
      <w:r w:rsidR="00F36974">
        <w:rPr>
          <w:rFonts w:ascii="Corbel" w:eastAsia="Tahoma" w:hAnsi="Corbel" w:cs="Tahoma"/>
          <w:sz w:val="20"/>
        </w:rPr>
        <w:t xml:space="preserve"> &amp; Mayer</w:t>
      </w:r>
      <w:r w:rsidR="007F5A83">
        <w:rPr>
          <w:rFonts w:ascii="Corbel" w:eastAsia="Tahoma" w:hAnsi="Corbel" w:cs="Tahoma"/>
          <w:sz w:val="20"/>
        </w:rPr>
        <w:t xml:space="preserve"> (2000). Daarnaast, zoals reeds</w:t>
      </w:r>
      <w:r w:rsidRPr="00371492">
        <w:rPr>
          <w:rFonts w:ascii="Corbel" w:eastAsia="Tahoma" w:hAnsi="Corbel" w:cs="Tahoma"/>
          <w:sz w:val="20"/>
        </w:rPr>
        <w:t xml:space="preserve"> beschreven, vormt een risicoanalyse een benadering van de feiten. Het presenteert de situatie en biedt hiermee geen voorschrift voor het handelen naar deze situatie. Wordt louter op basis van een risicoanalyse in de vorm van een kosten-batenanalyse een beslissing genomen, dan vindt er een </w:t>
      </w:r>
      <w:proofErr w:type="spellStart"/>
      <w:r w:rsidRPr="00371492">
        <w:rPr>
          <w:rFonts w:ascii="Corbel" w:eastAsia="Tahoma" w:hAnsi="Corbel" w:cs="Tahoma"/>
          <w:i/>
          <w:sz w:val="20"/>
        </w:rPr>
        <w:t>normative</w:t>
      </w:r>
      <w:proofErr w:type="spellEnd"/>
      <w:r w:rsidRPr="00371492">
        <w:rPr>
          <w:rFonts w:ascii="Corbel" w:eastAsia="Tahoma" w:hAnsi="Corbel" w:cs="Tahoma"/>
          <w:i/>
          <w:sz w:val="20"/>
        </w:rPr>
        <w:t xml:space="preserve"> </w:t>
      </w:r>
      <w:proofErr w:type="spellStart"/>
      <w:r w:rsidRPr="00371492">
        <w:rPr>
          <w:rFonts w:ascii="Corbel" w:eastAsia="Tahoma" w:hAnsi="Corbel" w:cs="Tahoma"/>
          <w:i/>
          <w:sz w:val="20"/>
        </w:rPr>
        <w:t>leap</w:t>
      </w:r>
      <w:proofErr w:type="spellEnd"/>
      <w:r w:rsidRPr="00371492">
        <w:rPr>
          <w:rFonts w:ascii="Corbel" w:eastAsia="Tahoma" w:hAnsi="Corbel" w:cs="Tahoma"/>
          <w:sz w:val="20"/>
        </w:rPr>
        <w:t xml:space="preserve"> (Rein &amp; </w:t>
      </w:r>
      <w:proofErr w:type="spellStart"/>
      <w:r w:rsidRPr="00371492">
        <w:rPr>
          <w:rFonts w:ascii="Corbel" w:eastAsia="Tahoma" w:hAnsi="Corbel" w:cs="Tahoma"/>
          <w:sz w:val="20"/>
        </w:rPr>
        <w:t>Schön</w:t>
      </w:r>
      <w:proofErr w:type="spellEnd"/>
      <w:r w:rsidRPr="00371492">
        <w:rPr>
          <w:rFonts w:ascii="Corbel" w:eastAsia="Tahoma" w:hAnsi="Corbel" w:cs="Tahoma"/>
          <w:sz w:val="20"/>
        </w:rPr>
        <w:t xml:space="preserve">, 1977) plaats: </w:t>
      </w:r>
      <w:proofErr w:type="spellStart"/>
      <w:r w:rsidRPr="00371492">
        <w:rPr>
          <w:rFonts w:ascii="Corbel" w:eastAsia="Tahoma" w:hAnsi="Corbel" w:cs="Tahoma"/>
          <w:i/>
          <w:sz w:val="20"/>
        </w:rPr>
        <w:t>what</w:t>
      </w:r>
      <w:proofErr w:type="spellEnd"/>
      <w:r w:rsidRPr="00371492">
        <w:rPr>
          <w:rFonts w:ascii="Corbel" w:eastAsia="Tahoma" w:hAnsi="Corbel" w:cs="Tahoma"/>
          <w:i/>
          <w:sz w:val="20"/>
        </w:rPr>
        <w:t xml:space="preserve"> </w:t>
      </w:r>
      <w:r w:rsidRPr="002C2A3B">
        <w:rPr>
          <w:rFonts w:ascii="Corbel" w:eastAsia="Tahoma" w:hAnsi="Corbel" w:cs="Tahoma"/>
          <w:b/>
          <w:i/>
          <w:sz w:val="20"/>
        </w:rPr>
        <w:t>is</w:t>
      </w:r>
      <w:r w:rsidRPr="00371492">
        <w:rPr>
          <w:rFonts w:ascii="Corbel" w:eastAsia="Tahoma" w:hAnsi="Corbel" w:cs="Tahoma"/>
          <w:i/>
          <w:sz w:val="20"/>
        </w:rPr>
        <w:t xml:space="preserve"> </w:t>
      </w:r>
      <w:proofErr w:type="spellStart"/>
      <w:r w:rsidRPr="00371492">
        <w:rPr>
          <w:rFonts w:ascii="Corbel" w:eastAsia="Tahoma" w:hAnsi="Corbel" w:cs="Tahoma"/>
          <w:i/>
          <w:sz w:val="20"/>
        </w:rPr>
        <w:t>implies</w:t>
      </w:r>
      <w:proofErr w:type="spellEnd"/>
      <w:r w:rsidRPr="00371492">
        <w:rPr>
          <w:rFonts w:ascii="Corbel" w:eastAsia="Tahoma" w:hAnsi="Corbel" w:cs="Tahoma"/>
          <w:i/>
          <w:sz w:val="20"/>
        </w:rPr>
        <w:t xml:space="preserve"> </w:t>
      </w:r>
      <w:proofErr w:type="spellStart"/>
      <w:r w:rsidRPr="00371492">
        <w:rPr>
          <w:rFonts w:ascii="Corbel" w:eastAsia="Tahoma" w:hAnsi="Corbel" w:cs="Tahoma"/>
          <w:i/>
          <w:sz w:val="20"/>
        </w:rPr>
        <w:t>what</w:t>
      </w:r>
      <w:proofErr w:type="spellEnd"/>
      <w:r w:rsidRPr="00371492">
        <w:rPr>
          <w:rFonts w:ascii="Corbel" w:eastAsia="Tahoma" w:hAnsi="Corbel" w:cs="Tahoma"/>
          <w:i/>
          <w:sz w:val="20"/>
        </w:rPr>
        <w:t xml:space="preserve"> </w:t>
      </w:r>
      <w:proofErr w:type="spellStart"/>
      <w:r w:rsidRPr="002C2A3B">
        <w:rPr>
          <w:rFonts w:ascii="Corbel" w:eastAsia="Tahoma" w:hAnsi="Corbel" w:cs="Tahoma"/>
          <w:b/>
          <w:i/>
          <w:sz w:val="20"/>
        </w:rPr>
        <w:t>ought</w:t>
      </w:r>
      <w:proofErr w:type="spellEnd"/>
      <w:r w:rsidRPr="00371492">
        <w:rPr>
          <w:rFonts w:ascii="Corbel" w:eastAsia="Tahoma" w:hAnsi="Corbel" w:cs="Tahoma"/>
          <w:i/>
          <w:sz w:val="20"/>
        </w:rPr>
        <w:t xml:space="preserve"> </w:t>
      </w:r>
      <w:proofErr w:type="spellStart"/>
      <w:r w:rsidRPr="00371492">
        <w:rPr>
          <w:rFonts w:ascii="Corbel" w:eastAsia="Tahoma" w:hAnsi="Corbel" w:cs="Tahoma"/>
          <w:i/>
          <w:sz w:val="20"/>
        </w:rPr>
        <w:t>to</w:t>
      </w:r>
      <w:proofErr w:type="spellEnd"/>
      <w:r w:rsidRPr="00371492">
        <w:rPr>
          <w:rFonts w:ascii="Corbel" w:eastAsia="Tahoma" w:hAnsi="Corbel" w:cs="Tahoma"/>
          <w:i/>
          <w:sz w:val="20"/>
        </w:rPr>
        <w:t xml:space="preserve"> </w:t>
      </w:r>
      <w:proofErr w:type="spellStart"/>
      <w:r w:rsidRPr="00371492">
        <w:rPr>
          <w:rFonts w:ascii="Corbel" w:eastAsia="Tahoma" w:hAnsi="Corbel" w:cs="Tahoma"/>
          <w:i/>
          <w:sz w:val="20"/>
        </w:rPr>
        <w:t>be</w:t>
      </w:r>
      <w:proofErr w:type="spellEnd"/>
      <w:r w:rsidRPr="00371492">
        <w:rPr>
          <w:rFonts w:ascii="Corbel" w:eastAsia="Tahoma" w:hAnsi="Corbel" w:cs="Tahoma"/>
          <w:sz w:val="20"/>
        </w:rPr>
        <w:t>. Dit mist echter een afdoende onderbouwing, aangezien een feitelijk antwoord nooit als argumentatie voor handelen geldt. De beslissing die het minste kost, of het minste risico heeft moet worden genomen. Hiertoe is een normatieve onderbouwing noodzakelijk.</w:t>
      </w:r>
      <w:r w:rsidR="00D85A98">
        <w:rPr>
          <w:rFonts w:ascii="Corbel" w:eastAsia="Tahoma" w:hAnsi="Corbel" w:cs="Tahoma"/>
          <w:color w:val="FF0000"/>
          <w:sz w:val="20"/>
        </w:rPr>
        <w:t xml:space="preserve"> </w:t>
      </w:r>
      <w:r w:rsidR="00D85A98" w:rsidRPr="00D85A98">
        <w:rPr>
          <w:rFonts w:ascii="Corbel" w:eastAsia="Tahoma" w:hAnsi="Corbel" w:cs="Tahoma"/>
          <w:color w:val="000000" w:themeColor="text1"/>
          <w:sz w:val="20"/>
        </w:rPr>
        <w:t>Deze onderbouwing dient verder te gaan dan louter utiliteitsoverwegingen. Dit onderzoek verkent de mogelijkheden om andere ethische tradities een plek te geven in die onderbouwing.</w:t>
      </w:r>
      <w:r w:rsidR="005708F4" w:rsidRPr="005708F4">
        <w:rPr>
          <w:rFonts w:ascii="Corbel" w:hAnsi="Corbel" w:cs="Times"/>
          <w:color w:val="FF0000"/>
          <w:sz w:val="20"/>
          <w:szCs w:val="20"/>
        </w:rPr>
        <w:t xml:space="preserve"> </w:t>
      </w:r>
      <w:r w:rsidR="00541EB0" w:rsidRPr="00541EB0">
        <w:rPr>
          <w:rFonts w:ascii="Corbel" w:hAnsi="Corbel" w:cs="Times"/>
          <w:color w:val="000000" w:themeColor="text1"/>
          <w:sz w:val="20"/>
          <w:szCs w:val="20"/>
        </w:rPr>
        <w:t xml:space="preserve">In het rapport ‘Waarom burgers risico’s accepteren en waarom bestuurders dat niet zien’ van het ministerie van Binnenlandse Zaken en Koninkrijksrelaties komt </w:t>
      </w:r>
      <w:r w:rsidR="00541EB0">
        <w:rPr>
          <w:rFonts w:ascii="Corbel" w:hAnsi="Corbel" w:cs="Times"/>
          <w:color w:val="000000" w:themeColor="text1"/>
          <w:sz w:val="20"/>
          <w:szCs w:val="20"/>
        </w:rPr>
        <w:t>de</w:t>
      </w:r>
      <w:r w:rsidR="00541EB0" w:rsidRPr="00541EB0">
        <w:rPr>
          <w:rFonts w:ascii="Corbel" w:hAnsi="Corbel" w:cs="Times"/>
          <w:color w:val="000000" w:themeColor="text1"/>
          <w:sz w:val="20"/>
          <w:szCs w:val="20"/>
        </w:rPr>
        <w:t xml:space="preserve"> </w:t>
      </w:r>
      <w:r w:rsidR="00541EB0">
        <w:rPr>
          <w:rFonts w:ascii="Corbel" w:hAnsi="Corbel" w:cs="Times"/>
          <w:color w:val="000000" w:themeColor="text1"/>
          <w:sz w:val="20"/>
          <w:szCs w:val="20"/>
        </w:rPr>
        <w:t>technocratische valkuil duidelijk</w:t>
      </w:r>
      <w:r w:rsidR="00541EB0" w:rsidRPr="00541EB0">
        <w:rPr>
          <w:rFonts w:ascii="Corbel" w:hAnsi="Corbel" w:cs="Times"/>
          <w:color w:val="000000" w:themeColor="text1"/>
          <w:sz w:val="20"/>
          <w:szCs w:val="20"/>
        </w:rPr>
        <w:t xml:space="preserve"> naar voren:</w:t>
      </w:r>
      <w:r w:rsidR="00541EB0" w:rsidRPr="00541EB0">
        <w:rPr>
          <w:rFonts w:ascii="Corbel" w:hAnsi="Corbel" w:cs="Times"/>
          <w:b/>
          <w:color w:val="000000" w:themeColor="text1"/>
          <w:sz w:val="20"/>
          <w:szCs w:val="20"/>
        </w:rPr>
        <w:t xml:space="preserve"> “</w:t>
      </w:r>
      <w:r w:rsidR="00541EB0" w:rsidRPr="00541EB0">
        <w:rPr>
          <w:rFonts w:ascii="Corbel" w:hAnsi="Corbel" w:cs="Times"/>
          <w:color w:val="000000" w:themeColor="text1"/>
          <w:sz w:val="20"/>
          <w:szCs w:val="20"/>
        </w:rPr>
        <w:t>De obsessieve focus op het zo goed mogelijk vaststellen van de precieze omvang van het risico zegt impliciet: de omvang van het risico bepaalt of het acceptabel is. We weten natuurlijk dat dat niet waar is. (..) Andere</w:t>
      </w:r>
      <w:r w:rsidR="005708F4" w:rsidRPr="00541EB0">
        <w:rPr>
          <w:rFonts w:ascii="Corbel" w:hAnsi="Corbel" w:cs="Times"/>
          <w:color w:val="000000" w:themeColor="text1"/>
          <w:sz w:val="20"/>
          <w:szCs w:val="20"/>
        </w:rPr>
        <w:t xml:space="preserve"> factoren – vrijwilligheid, billijkheid, verwijtbaarheid – zijn minstens zo belangrijk en soms belangrijker. Daarover zeggen de risicoanalyses echter niets. Dat kan ook niet anders, ze presenteren feitelijke informatie over de omvang van het risico, geen morele duiding</w:t>
      </w:r>
      <w:r w:rsidR="00541EB0" w:rsidRPr="00541EB0">
        <w:rPr>
          <w:rFonts w:ascii="Corbel" w:hAnsi="Corbel" w:cs="Times"/>
          <w:b/>
          <w:color w:val="000000" w:themeColor="text1"/>
          <w:sz w:val="20"/>
          <w:szCs w:val="20"/>
        </w:rPr>
        <w:t>”</w:t>
      </w:r>
      <w:r w:rsidR="00541EB0" w:rsidRPr="00541EB0">
        <w:rPr>
          <w:rFonts w:ascii="Corbel" w:hAnsi="Corbel" w:cs="Times"/>
          <w:color w:val="000000" w:themeColor="text1"/>
          <w:sz w:val="20"/>
          <w:szCs w:val="20"/>
        </w:rPr>
        <w:t xml:space="preserve"> (Van </w:t>
      </w:r>
      <w:proofErr w:type="spellStart"/>
      <w:r w:rsidR="00541EB0" w:rsidRPr="00541EB0">
        <w:rPr>
          <w:rFonts w:ascii="Corbel" w:hAnsi="Corbel" w:cs="Times"/>
          <w:color w:val="000000" w:themeColor="text1"/>
          <w:sz w:val="20"/>
          <w:szCs w:val="20"/>
        </w:rPr>
        <w:t>Eeten</w:t>
      </w:r>
      <w:proofErr w:type="spellEnd"/>
      <w:r w:rsidR="00541EB0" w:rsidRPr="00541EB0">
        <w:rPr>
          <w:rFonts w:ascii="Corbel" w:hAnsi="Corbel" w:cs="Times"/>
          <w:color w:val="000000" w:themeColor="text1"/>
          <w:sz w:val="20"/>
          <w:szCs w:val="20"/>
        </w:rPr>
        <w:t xml:space="preserve"> et al., 2012, p.  16</w:t>
      </w:r>
      <w:r w:rsidR="005708F4" w:rsidRPr="00541EB0">
        <w:rPr>
          <w:rFonts w:ascii="Corbel" w:hAnsi="Corbel" w:cs="Times"/>
          <w:color w:val="000000" w:themeColor="text1"/>
          <w:sz w:val="20"/>
          <w:szCs w:val="20"/>
        </w:rPr>
        <w:t>)</w:t>
      </w:r>
    </w:p>
    <w:p w14:paraId="03807EC1" w14:textId="572A3086" w:rsidR="00F2603E" w:rsidRPr="00371492" w:rsidRDefault="00F2603E" w:rsidP="00F2603E">
      <w:pPr>
        <w:spacing w:line="360" w:lineRule="auto"/>
        <w:ind w:firstLine="708"/>
        <w:contextualSpacing/>
        <w:jc w:val="both"/>
        <w:rPr>
          <w:rFonts w:ascii="Corbel" w:eastAsia="Tahoma" w:hAnsi="Corbel" w:cs="Tahoma"/>
          <w:sz w:val="20"/>
        </w:rPr>
      </w:pPr>
      <w:r w:rsidRPr="00371492">
        <w:rPr>
          <w:rFonts w:ascii="Corbel" w:eastAsia="Tahoma" w:hAnsi="Corbel" w:cs="Tahoma"/>
          <w:sz w:val="20"/>
        </w:rPr>
        <w:t>Een brede (i.e. complete) risicoanalyse omvat argumentatie uit alle drie de ethische stromingen (nl. utilisme, deontologie en deugdethiek), waardoor niet-kwantificeerbare informatie een plek krijgt in de risicoanalyse. Deze noodzaak wordt tevens door de ILT onderschreven. Ten aanzien van IBRA is besloten om naast een kans-effect matrix (kosten-baten analyse), tevens studie te doen naar de verplichtingen die de organisatie kent en om de rol van andere ethische stromingen te verkennen. Dit betekent niet dat er geen gebruik gemaakt moet worden van risicoanalyses. Wel heeft dit gevolgen voor de omgang met resultaten. Deze zijn namelijk niet ‘waardevrij’. Dit betekent dat ze het gevolg zijn van impliciet gemaakte normatieve keuzes. Onzekerheid en complexiteit leidt ertoe dat er een bredere onderbouwing nodig is. Hierbij is ruimte voor een veelvoud aan ethische overwegingen en wordt een beslissing niet alleen ingegeven door utilistische overwegingen.</w:t>
      </w:r>
    </w:p>
    <w:p w14:paraId="738B6ECD" w14:textId="1A66390D" w:rsidR="00F2603E" w:rsidRPr="00371492" w:rsidRDefault="00F2603E" w:rsidP="00F2603E">
      <w:pPr>
        <w:spacing w:line="360" w:lineRule="auto"/>
        <w:ind w:firstLine="708"/>
        <w:contextualSpacing/>
        <w:jc w:val="both"/>
        <w:rPr>
          <w:rFonts w:ascii="Corbel" w:eastAsia="Tahoma" w:hAnsi="Corbel" w:cs="Tahoma"/>
          <w:i/>
          <w:color w:val="FF0000"/>
          <w:sz w:val="20"/>
        </w:rPr>
      </w:pPr>
      <w:r w:rsidRPr="00371492">
        <w:rPr>
          <w:rFonts w:ascii="Corbel" w:eastAsia="Tahoma" w:hAnsi="Corbel" w:cs="Tahoma"/>
          <w:sz w:val="20"/>
        </w:rPr>
        <w:t xml:space="preserve">Diverse auteurs onderschrijven deze noodzaak om meer mee te nemen dan alleen kosten en baten in meetbare zin. Belangrijk onderzoek op dit gebied is gedaan door Paul </w:t>
      </w:r>
      <w:proofErr w:type="spellStart"/>
      <w:r w:rsidRPr="00371492">
        <w:rPr>
          <w:rFonts w:ascii="Corbel" w:eastAsia="Tahoma" w:hAnsi="Corbel" w:cs="Tahoma"/>
          <w:sz w:val="20"/>
        </w:rPr>
        <w:t>Slovic</w:t>
      </w:r>
      <w:proofErr w:type="spellEnd"/>
      <w:r w:rsidRPr="00371492">
        <w:rPr>
          <w:rFonts w:ascii="Corbel" w:eastAsia="Tahoma" w:hAnsi="Corbel" w:cs="Tahoma"/>
          <w:sz w:val="20"/>
        </w:rPr>
        <w:t>. Zijn artikel ‘</w:t>
      </w:r>
      <w:proofErr w:type="spellStart"/>
      <w:r w:rsidRPr="00371492">
        <w:rPr>
          <w:rFonts w:ascii="Corbel" w:eastAsia="Tahoma" w:hAnsi="Corbel" w:cs="Tahoma"/>
          <w:sz w:val="20"/>
        </w:rPr>
        <w:t>Perception</w:t>
      </w:r>
      <w:proofErr w:type="spellEnd"/>
      <w:r w:rsidRPr="00371492">
        <w:rPr>
          <w:rFonts w:ascii="Corbel" w:eastAsia="Tahoma" w:hAnsi="Corbel" w:cs="Tahoma"/>
          <w:sz w:val="20"/>
        </w:rPr>
        <w:t xml:space="preserve"> of Risk’ uit 1987 richt zich op de relatie tussen enerzijds de meer technische en kwantitatieve benadering van risicoanalyse en anderzijds de meer sociaalwetenschappelijke benadering. </w:t>
      </w:r>
      <w:proofErr w:type="spellStart"/>
      <w:r w:rsidRPr="00371492">
        <w:rPr>
          <w:rFonts w:ascii="Corbel" w:eastAsia="Tahoma" w:hAnsi="Corbel" w:cs="Tahoma"/>
          <w:sz w:val="20"/>
        </w:rPr>
        <w:t>Slovic</w:t>
      </w:r>
      <w:proofErr w:type="spellEnd"/>
      <w:r w:rsidRPr="00371492">
        <w:rPr>
          <w:rFonts w:ascii="Corbel" w:eastAsia="Tahoma" w:hAnsi="Corbel" w:cs="Tahoma"/>
          <w:sz w:val="20"/>
        </w:rPr>
        <w:t xml:space="preserve"> onderscheid kwantitatieve en kwalitatieve elementen bij risico’s. Het gaat hierbij om de perceptie van risico’s door burgers, hetgeen door </w:t>
      </w:r>
      <w:proofErr w:type="spellStart"/>
      <w:r w:rsidRPr="00371492">
        <w:rPr>
          <w:rFonts w:ascii="Corbel" w:eastAsia="Tahoma" w:hAnsi="Corbel" w:cs="Tahoma"/>
          <w:sz w:val="20"/>
        </w:rPr>
        <w:t>Slovic</w:t>
      </w:r>
      <w:proofErr w:type="spellEnd"/>
      <w:r w:rsidRPr="00371492">
        <w:rPr>
          <w:rFonts w:ascii="Corbel" w:eastAsia="Tahoma" w:hAnsi="Corbel" w:cs="Tahoma"/>
          <w:sz w:val="20"/>
        </w:rPr>
        <w:t xml:space="preserve"> als belangrijke factor voor de acceptatie van risico gezien wordt. Zijn onderzoek wijst uit dat hoe erger mensen een risico ervaren, des te meer zij dit risico verminderd willen zien en dus regulering noodzakelijk vinden (1987, p. 282). Bij het analyseren van risico’s moet, aldus </w:t>
      </w:r>
      <w:proofErr w:type="spellStart"/>
      <w:r w:rsidRPr="00371492">
        <w:rPr>
          <w:rFonts w:ascii="Corbel" w:eastAsia="Tahoma" w:hAnsi="Corbel" w:cs="Tahoma"/>
          <w:sz w:val="20"/>
        </w:rPr>
        <w:t>Slovic</w:t>
      </w:r>
      <w:proofErr w:type="spellEnd"/>
      <w:r w:rsidRPr="00371492">
        <w:rPr>
          <w:rFonts w:ascii="Corbel" w:eastAsia="Tahoma" w:hAnsi="Corbel" w:cs="Tahoma"/>
          <w:sz w:val="20"/>
        </w:rPr>
        <w:t>, om deze reden ook rekening gehouden worden met de (kwalitatieve) perceptie van een risico.</w:t>
      </w:r>
      <w:r w:rsidR="006C74E3" w:rsidRPr="00371492">
        <w:rPr>
          <w:rFonts w:ascii="Corbel" w:eastAsia="Tahoma" w:hAnsi="Corbel" w:cs="Tahoma"/>
          <w:sz w:val="20"/>
        </w:rPr>
        <w:t xml:space="preserve"> </w:t>
      </w:r>
    </w:p>
    <w:p w14:paraId="4726B39F" w14:textId="5698C718" w:rsidR="00F2603E" w:rsidRPr="00371492" w:rsidRDefault="00F2603E" w:rsidP="00F2603E">
      <w:pPr>
        <w:spacing w:line="360" w:lineRule="auto"/>
        <w:ind w:firstLine="708"/>
        <w:contextualSpacing/>
        <w:jc w:val="both"/>
        <w:rPr>
          <w:rFonts w:ascii="Corbel" w:eastAsia="Tahoma" w:hAnsi="Corbel" w:cs="Tahoma"/>
          <w:i/>
          <w:color w:val="FF0000"/>
          <w:sz w:val="20"/>
        </w:rPr>
      </w:pPr>
      <w:r w:rsidRPr="00371492">
        <w:rPr>
          <w:rFonts w:ascii="Corbel" w:eastAsia="Tahoma" w:hAnsi="Corbel" w:cs="Tahoma"/>
          <w:sz w:val="20"/>
        </w:rPr>
        <w:lastRenderedPageBreak/>
        <w:t xml:space="preserve">Een verdere uitwerking van dit gedachtegoed is gedaan door Andrew </w:t>
      </w:r>
      <w:proofErr w:type="spellStart"/>
      <w:r w:rsidRPr="00371492">
        <w:rPr>
          <w:rFonts w:ascii="Corbel" w:eastAsia="Tahoma" w:hAnsi="Corbel" w:cs="Tahoma"/>
          <w:sz w:val="20"/>
        </w:rPr>
        <w:t>Stirling</w:t>
      </w:r>
      <w:proofErr w:type="spellEnd"/>
      <w:r w:rsidR="00F36974">
        <w:rPr>
          <w:rFonts w:ascii="Corbel" w:eastAsia="Tahoma" w:hAnsi="Corbel" w:cs="Tahoma"/>
          <w:sz w:val="20"/>
        </w:rPr>
        <w:t xml:space="preserve"> en </w:t>
      </w:r>
      <w:r w:rsidR="00DA5FFD">
        <w:rPr>
          <w:rFonts w:ascii="Corbel" w:eastAsia="Tahoma" w:hAnsi="Corbel" w:cs="Tahoma"/>
          <w:sz w:val="20"/>
        </w:rPr>
        <w:t>Sue Mayer</w:t>
      </w:r>
      <w:r w:rsidRPr="00371492">
        <w:rPr>
          <w:rFonts w:ascii="Corbel" w:eastAsia="Tahoma" w:hAnsi="Corbel" w:cs="Tahoma"/>
          <w:sz w:val="20"/>
        </w:rPr>
        <w:t>. In zijn werk ‘</w:t>
      </w:r>
      <w:proofErr w:type="spellStart"/>
      <w:r w:rsidRPr="00371492">
        <w:rPr>
          <w:rFonts w:ascii="Corbel" w:eastAsia="Tahoma" w:hAnsi="Corbel" w:cs="Tahoma"/>
          <w:sz w:val="20"/>
        </w:rPr>
        <w:t>Precautionary</w:t>
      </w:r>
      <w:proofErr w:type="spellEnd"/>
      <w:r w:rsidRPr="00371492">
        <w:rPr>
          <w:rFonts w:ascii="Corbel" w:eastAsia="Tahoma" w:hAnsi="Corbel" w:cs="Tahoma"/>
          <w:sz w:val="20"/>
        </w:rPr>
        <w:t xml:space="preserve"> Approaches </w:t>
      </w:r>
      <w:proofErr w:type="spellStart"/>
      <w:r w:rsidRPr="00371492">
        <w:rPr>
          <w:rFonts w:ascii="Corbel" w:eastAsia="Tahoma" w:hAnsi="Corbel" w:cs="Tahoma"/>
          <w:sz w:val="20"/>
        </w:rPr>
        <w:t>to</w:t>
      </w:r>
      <w:proofErr w:type="spellEnd"/>
      <w:r w:rsidRPr="00371492">
        <w:rPr>
          <w:rFonts w:ascii="Corbel" w:eastAsia="Tahoma" w:hAnsi="Corbel" w:cs="Tahoma"/>
          <w:sz w:val="20"/>
        </w:rPr>
        <w:t xml:space="preserve"> </w:t>
      </w:r>
      <w:proofErr w:type="spellStart"/>
      <w:r w:rsidRPr="00371492">
        <w:rPr>
          <w:rFonts w:ascii="Corbel" w:eastAsia="Tahoma" w:hAnsi="Corbel" w:cs="Tahoma"/>
          <w:sz w:val="20"/>
        </w:rPr>
        <w:t>the</w:t>
      </w:r>
      <w:proofErr w:type="spellEnd"/>
      <w:r w:rsidRPr="00371492">
        <w:rPr>
          <w:rFonts w:ascii="Corbel" w:eastAsia="Tahoma" w:hAnsi="Corbel" w:cs="Tahoma"/>
          <w:sz w:val="20"/>
        </w:rPr>
        <w:t xml:space="preserve"> </w:t>
      </w:r>
      <w:proofErr w:type="spellStart"/>
      <w:r w:rsidRPr="00371492">
        <w:rPr>
          <w:rFonts w:ascii="Corbel" w:eastAsia="Tahoma" w:hAnsi="Corbel" w:cs="Tahoma"/>
          <w:sz w:val="20"/>
        </w:rPr>
        <w:t>Appraisal</w:t>
      </w:r>
      <w:proofErr w:type="spellEnd"/>
      <w:r w:rsidRPr="00371492">
        <w:rPr>
          <w:rFonts w:ascii="Corbel" w:eastAsia="Tahoma" w:hAnsi="Corbel" w:cs="Tahoma"/>
          <w:sz w:val="20"/>
        </w:rPr>
        <w:t xml:space="preserve"> of Risk (2000) wijst hij op de aanwezigheid van meerdere, legitieme perspectieven bij de analyse van risico’s: </w:t>
      </w:r>
      <w:r w:rsidRPr="00371492">
        <w:rPr>
          <w:rFonts w:ascii="Corbel" w:eastAsia="Tahoma" w:hAnsi="Corbel" w:cs="Tahoma"/>
          <w:color w:val="000000" w:themeColor="text1"/>
          <w:sz w:val="20"/>
        </w:rPr>
        <w:t>‘</w:t>
      </w:r>
      <w:r w:rsidRPr="00371492">
        <w:rPr>
          <w:rFonts w:ascii="Corbel" w:eastAsia="Tahoma" w:hAnsi="Corbel" w:cs="Tahoma"/>
          <w:i/>
          <w:color w:val="000000" w:themeColor="text1"/>
          <w:sz w:val="20"/>
        </w:rPr>
        <w:t xml:space="preserve">The </w:t>
      </w:r>
      <w:proofErr w:type="spellStart"/>
      <w:r w:rsidRPr="00371492">
        <w:rPr>
          <w:rFonts w:ascii="Corbel" w:eastAsia="Tahoma" w:hAnsi="Corbel" w:cs="Tahoma"/>
          <w:i/>
          <w:color w:val="000000" w:themeColor="text1"/>
          <w:sz w:val="20"/>
        </w:rPr>
        <w:t>notion</w:t>
      </w:r>
      <w:proofErr w:type="spellEnd"/>
      <w:r w:rsidRPr="00371492">
        <w:rPr>
          <w:rFonts w:ascii="Corbel" w:eastAsia="Tahoma" w:hAnsi="Corbel" w:cs="Tahoma"/>
          <w:i/>
          <w:color w:val="000000" w:themeColor="text1"/>
          <w:sz w:val="20"/>
        </w:rPr>
        <w:t xml:space="preserve"> </w:t>
      </w:r>
      <w:proofErr w:type="spellStart"/>
      <w:r w:rsidRPr="00371492">
        <w:rPr>
          <w:rFonts w:ascii="Corbel" w:eastAsia="Tahoma" w:hAnsi="Corbel" w:cs="Tahoma"/>
          <w:i/>
          <w:color w:val="000000" w:themeColor="text1"/>
          <w:sz w:val="20"/>
        </w:rPr>
        <w:t>that</w:t>
      </w:r>
      <w:proofErr w:type="spellEnd"/>
      <w:r w:rsidRPr="00371492">
        <w:rPr>
          <w:rFonts w:ascii="Corbel" w:eastAsia="Tahoma" w:hAnsi="Corbel" w:cs="Tahoma"/>
          <w:i/>
          <w:color w:val="000000" w:themeColor="text1"/>
          <w:sz w:val="20"/>
        </w:rPr>
        <w:t xml:space="preserve"> </w:t>
      </w:r>
      <w:proofErr w:type="spellStart"/>
      <w:r w:rsidRPr="00371492">
        <w:rPr>
          <w:rFonts w:ascii="Corbel" w:eastAsia="Tahoma" w:hAnsi="Corbel" w:cs="Tahoma"/>
          <w:i/>
          <w:color w:val="000000" w:themeColor="text1"/>
          <w:sz w:val="20"/>
        </w:rPr>
        <w:t>there</w:t>
      </w:r>
      <w:proofErr w:type="spellEnd"/>
      <w:r w:rsidRPr="00371492">
        <w:rPr>
          <w:rFonts w:ascii="Corbel" w:eastAsia="Tahoma" w:hAnsi="Corbel" w:cs="Tahoma"/>
          <w:i/>
          <w:color w:val="000000" w:themeColor="text1"/>
          <w:sz w:val="20"/>
        </w:rPr>
        <w:t xml:space="preserve"> </w:t>
      </w:r>
      <w:proofErr w:type="spellStart"/>
      <w:r w:rsidRPr="00371492">
        <w:rPr>
          <w:rFonts w:ascii="Corbel" w:eastAsia="Tahoma" w:hAnsi="Corbel" w:cs="Tahoma"/>
          <w:i/>
          <w:color w:val="000000" w:themeColor="text1"/>
          <w:sz w:val="20"/>
        </w:rPr>
        <w:t>can</w:t>
      </w:r>
      <w:proofErr w:type="spellEnd"/>
      <w:r w:rsidRPr="00371492">
        <w:rPr>
          <w:rFonts w:ascii="Corbel" w:eastAsia="Tahoma" w:hAnsi="Corbel" w:cs="Tahoma"/>
          <w:i/>
          <w:color w:val="000000" w:themeColor="text1"/>
          <w:sz w:val="20"/>
        </w:rPr>
        <w:t xml:space="preserve"> </w:t>
      </w:r>
      <w:proofErr w:type="spellStart"/>
      <w:r w:rsidRPr="00371492">
        <w:rPr>
          <w:rFonts w:ascii="Corbel" w:eastAsia="Tahoma" w:hAnsi="Corbel" w:cs="Tahoma"/>
          <w:i/>
          <w:color w:val="000000" w:themeColor="text1"/>
          <w:sz w:val="20"/>
        </w:rPr>
        <w:t>be</w:t>
      </w:r>
      <w:proofErr w:type="spellEnd"/>
      <w:r w:rsidRPr="00371492">
        <w:rPr>
          <w:rFonts w:ascii="Corbel" w:eastAsia="Tahoma" w:hAnsi="Corbel" w:cs="Tahoma"/>
          <w:i/>
          <w:color w:val="000000" w:themeColor="text1"/>
          <w:sz w:val="20"/>
        </w:rPr>
        <w:t xml:space="preserve"> a single </w:t>
      </w:r>
      <w:proofErr w:type="spellStart"/>
      <w:r w:rsidRPr="00371492">
        <w:rPr>
          <w:rFonts w:ascii="Corbel" w:eastAsia="Tahoma" w:hAnsi="Corbel" w:cs="Tahoma"/>
          <w:i/>
          <w:color w:val="000000" w:themeColor="text1"/>
          <w:sz w:val="20"/>
        </w:rPr>
        <w:t>unambiguous</w:t>
      </w:r>
      <w:proofErr w:type="spellEnd"/>
      <w:r w:rsidRPr="00371492">
        <w:rPr>
          <w:rFonts w:ascii="Corbel" w:eastAsia="Tahoma" w:hAnsi="Corbel" w:cs="Tahoma"/>
          <w:i/>
          <w:color w:val="000000" w:themeColor="text1"/>
          <w:sz w:val="20"/>
        </w:rPr>
        <w:t xml:space="preserve"> ‘</w:t>
      </w:r>
      <w:proofErr w:type="spellStart"/>
      <w:r w:rsidRPr="00371492">
        <w:rPr>
          <w:rFonts w:ascii="Corbel" w:eastAsia="Tahoma" w:hAnsi="Corbel" w:cs="Tahoma"/>
          <w:i/>
          <w:color w:val="000000" w:themeColor="text1"/>
          <w:sz w:val="20"/>
        </w:rPr>
        <w:t>science</w:t>
      </w:r>
      <w:proofErr w:type="spellEnd"/>
      <w:r w:rsidRPr="00371492">
        <w:rPr>
          <w:rFonts w:ascii="Corbel" w:eastAsia="Tahoma" w:hAnsi="Corbel" w:cs="Tahoma"/>
          <w:i/>
          <w:color w:val="000000" w:themeColor="text1"/>
          <w:sz w:val="20"/>
        </w:rPr>
        <w:t xml:space="preserve"> based’ </w:t>
      </w:r>
      <w:proofErr w:type="spellStart"/>
      <w:r w:rsidRPr="00371492">
        <w:rPr>
          <w:rFonts w:ascii="Corbel" w:eastAsia="Tahoma" w:hAnsi="Corbel" w:cs="Tahoma"/>
          <w:i/>
          <w:color w:val="000000" w:themeColor="text1"/>
          <w:sz w:val="20"/>
        </w:rPr>
        <w:t>prescription</w:t>
      </w:r>
      <w:proofErr w:type="spellEnd"/>
      <w:r w:rsidRPr="00371492">
        <w:rPr>
          <w:rFonts w:ascii="Corbel" w:eastAsia="Tahoma" w:hAnsi="Corbel" w:cs="Tahoma"/>
          <w:i/>
          <w:color w:val="000000" w:themeColor="text1"/>
          <w:sz w:val="20"/>
        </w:rPr>
        <w:t xml:space="preserve"> in </w:t>
      </w:r>
      <w:proofErr w:type="spellStart"/>
      <w:r w:rsidRPr="00371492">
        <w:rPr>
          <w:rFonts w:ascii="Corbel" w:eastAsia="Tahoma" w:hAnsi="Corbel" w:cs="Tahoma"/>
          <w:i/>
          <w:color w:val="000000" w:themeColor="text1"/>
          <w:sz w:val="20"/>
        </w:rPr>
        <w:t>the</w:t>
      </w:r>
      <w:proofErr w:type="spellEnd"/>
      <w:r w:rsidRPr="00371492">
        <w:rPr>
          <w:rFonts w:ascii="Corbel" w:eastAsia="Tahoma" w:hAnsi="Corbel" w:cs="Tahoma"/>
          <w:i/>
          <w:color w:val="000000" w:themeColor="text1"/>
          <w:sz w:val="20"/>
        </w:rPr>
        <w:t xml:space="preserve"> </w:t>
      </w:r>
      <w:proofErr w:type="spellStart"/>
      <w:r w:rsidRPr="00371492">
        <w:rPr>
          <w:rFonts w:ascii="Corbel" w:eastAsia="Tahoma" w:hAnsi="Corbel" w:cs="Tahoma"/>
          <w:i/>
          <w:color w:val="000000" w:themeColor="text1"/>
          <w:sz w:val="20"/>
        </w:rPr>
        <w:t>regulatory</w:t>
      </w:r>
      <w:proofErr w:type="spellEnd"/>
      <w:r w:rsidRPr="00371492">
        <w:rPr>
          <w:rFonts w:ascii="Corbel" w:eastAsia="Tahoma" w:hAnsi="Corbel" w:cs="Tahoma"/>
          <w:i/>
          <w:color w:val="000000" w:themeColor="text1"/>
          <w:sz w:val="20"/>
        </w:rPr>
        <w:t xml:space="preserve"> </w:t>
      </w:r>
      <w:proofErr w:type="spellStart"/>
      <w:r w:rsidRPr="00371492">
        <w:rPr>
          <w:rFonts w:ascii="Corbel" w:eastAsia="Tahoma" w:hAnsi="Corbel" w:cs="Tahoma"/>
          <w:i/>
          <w:color w:val="000000" w:themeColor="text1"/>
          <w:sz w:val="20"/>
        </w:rPr>
        <w:t>appraisal</w:t>
      </w:r>
      <w:proofErr w:type="spellEnd"/>
      <w:r w:rsidRPr="00371492">
        <w:rPr>
          <w:rFonts w:ascii="Corbel" w:eastAsia="Tahoma" w:hAnsi="Corbel" w:cs="Tahoma"/>
          <w:i/>
          <w:color w:val="000000" w:themeColor="text1"/>
          <w:sz w:val="20"/>
        </w:rPr>
        <w:t xml:space="preserve"> of risk is </w:t>
      </w:r>
      <w:proofErr w:type="spellStart"/>
      <w:r w:rsidRPr="00371492">
        <w:rPr>
          <w:rFonts w:ascii="Corbel" w:eastAsia="Tahoma" w:hAnsi="Corbel" w:cs="Tahoma"/>
          <w:i/>
          <w:color w:val="000000" w:themeColor="text1"/>
          <w:sz w:val="20"/>
        </w:rPr>
        <w:t>not</w:t>
      </w:r>
      <w:proofErr w:type="spellEnd"/>
      <w:r w:rsidRPr="00371492">
        <w:rPr>
          <w:rFonts w:ascii="Corbel" w:eastAsia="Tahoma" w:hAnsi="Corbel" w:cs="Tahoma"/>
          <w:i/>
          <w:color w:val="000000" w:themeColor="text1"/>
          <w:sz w:val="20"/>
        </w:rPr>
        <w:t xml:space="preserve"> </w:t>
      </w:r>
      <w:proofErr w:type="spellStart"/>
      <w:r w:rsidRPr="00371492">
        <w:rPr>
          <w:rFonts w:ascii="Corbel" w:eastAsia="Tahoma" w:hAnsi="Corbel" w:cs="Tahoma"/>
          <w:i/>
          <w:color w:val="000000" w:themeColor="text1"/>
          <w:sz w:val="20"/>
        </w:rPr>
        <w:t>only</w:t>
      </w:r>
      <w:proofErr w:type="spellEnd"/>
      <w:r w:rsidRPr="00371492">
        <w:rPr>
          <w:rFonts w:ascii="Corbel" w:eastAsia="Tahoma" w:hAnsi="Corbel" w:cs="Tahoma"/>
          <w:i/>
          <w:color w:val="000000" w:themeColor="text1"/>
          <w:sz w:val="20"/>
        </w:rPr>
        <w:t xml:space="preserve"> </w:t>
      </w:r>
      <w:proofErr w:type="spellStart"/>
      <w:r w:rsidRPr="00371492">
        <w:rPr>
          <w:rFonts w:ascii="Corbel" w:eastAsia="Tahoma" w:hAnsi="Corbel" w:cs="Tahoma"/>
          <w:i/>
          <w:color w:val="000000" w:themeColor="text1"/>
          <w:sz w:val="20"/>
        </w:rPr>
        <w:t>naïve</w:t>
      </w:r>
      <w:proofErr w:type="spellEnd"/>
      <w:r w:rsidRPr="00371492">
        <w:rPr>
          <w:rFonts w:ascii="Corbel" w:eastAsia="Tahoma" w:hAnsi="Corbel" w:cs="Tahoma"/>
          <w:i/>
          <w:color w:val="000000" w:themeColor="text1"/>
          <w:sz w:val="20"/>
        </w:rPr>
        <w:t xml:space="preserve"> </w:t>
      </w:r>
      <w:proofErr w:type="spellStart"/>
      <w:r w:rsidRPr="00371492">
        <w:rPr>
          <w:rFonts w:ascii="Corbel" w:eastAsia="Tahoma" w:hAnsi="Corbel" w:cs="Tahoma"/>
          <w:i/>
          <w:color w:val="000000" w:themeColor="text1"/>
          <w:sz w:val="20"/>
        </w:rPr>
        <w:t>and</w:t>
      </w:r>
      <w:proofErr w:type="spellEnd"/>
      <w:r w:rsidRPr="00371492">
        <w:rPr>
          <w:rFonts w:ascii="Corbel" w:eastAsia="Tahoma" w:hAnsi="Corbel" w:cs="Tahoma"/>
          <w:i/>
          <w:color w:val="000000" w:themeColor="text1"/>
          <w:sz w:val="20"/>
        </w:rPr>
        <w:t xml:space="preserve"> </w:t>
      </w:r>
      <w:proofErr w:type="spellStart"/>
      <w:r w:rsidRPr="00371492">
        <w:rPr>
          <w:rFonts w:ascii="Corbel" w:eastAsia="Tahoma" w:hAnsi="Corbel" w:cs="Tahoma"/>
          <w:i/>
          <w:color w:val="000000" w:themeColor="text1"/>
          <w:sz w:val="20"/>
        </w:rPr>
        <w:t>misleading</w:t>
      </w:r>
      <w:proofErr w:type="spellEnd"/>
      <w:r w:rsidRPr="00371492">
        <w:rPr>
          <w:rFonts w:ascii="Corbel" w:eastAsia="Tahoma" w:hAnsi="Corbel" w:cs="Tahoma"/>
          <w:i/>
          <w:color w:val="000000" w:themeColor="text1"/>
          <w:sz w:val="20"/>
        </w:rPr>
        <w:t xml:space="preserve">; </w:t>
      </w:r>
      <w:proofErr w:type="spellStart"/>
      <w:r w:rsidRPr="00371492">
        <w:rPr>
          <w:rFonts w:ascii="Corbel" w:eastAsia="Tahoma" w:hAnsi="Corbel" w:cs="Tahoma"/>
          <w:i/>
          <w:color w:val="000000" w:themeColor="text1"/>
          <w:sz w:val="20"/>
        </w:rPr>
        <w:t>it</w:t>
      </w:r>
      <w:proofErr w:type="spellEnd"/>
      <w:r w:rsidRPr="00371492">
        <w:rPr>
          <w:rFonts w:ascii="Corbel" w:eastAsia="Tahoma" w:hAnsi="Corbel" w:cs="Tahoma"/>
          <w:i/>
          <w:color w:val="000000" w:themeColor="text1"/>
          <w:sz w:val="20"/>
        </w:rPr>
        <w:t xml:space="preserve"> is a </w:t>
      </w:r>
      <w:proofErr w:type="spellStart"/>
      <w:r w:rsidRPr="00371492">
        <w:rPr>
          <w:rFonts w:ascii="Corbel" w:eastAsia="Tahoma" w:hAnsi="Corbel" w:cs="Tahoma"/>
          <w:i/>
          <w:color w:val="000000" w:themeColor="text1"/>
          <w:sz w:val="20"/>
        </w:rPr>
        <w:t>fundamental</w:t>
      </w:r>
      <w:proofErr w:type="spellEnd"/>
      <w:r w:rsidRPr="00371492">
        <w:rPr>
          <w:rFonts w:ascii="Corbel" w:eastAsia="Tahoma" w:hAnsi="Corbel" w:cs="Tahoma"/>
          <w:i/>
          <w:color w:val="000000" w:themeColor="text1"/>
          <w:sz w:val="20"/>
        </w:rPr>
        <w:t xml:space="preserve"> </w:t>
      </w:r>
      <w:proofErr w:type="spellStart"/>
      <w:r w:rsidRPr="00371492">
        <w:rPr>
          <w:rFonts w:ascii="Corbel" w:eastAsia="Tahoma" w:hAnsi="Corbel" w:cs="Tahoma"/>
          <w:i/>
          <w:color w:val="000000" w:themeColor="text1"/>
          <w:sz w:val="20"/>
        </w:rPr>
        <w:t>contradiction</w:t>
      </w:r>
      <w:proofErr w:type="spellEnd"/>
      <w:r w:rsidRPr="00371492">
        <w:rPr>
          <w:rFonts w:ascii="Corbel" w:eastAsia="Tahoma" w:hAnsi="Corbel" w:cs="Tahoma"/>
          <w:i/>
          <w:color w:val="000000" w:themeColor="text1"/>
          <w:sz w:val="20"/>
        </w:rPr>
        <w:t xml:space="preserve"> in </w:t>
      </w:r>
      <w:proofErr w:type="spellStart"/>
      <w:r w:rsidRPr="00371492">
        <w:rPr>
          <w:rFonts w:ascii="Corbel" w:eastAsia="Tahoma" w:hAnsi="Corbel" w:cs="Tahoma"/>
          <w:i/>
          <w:color w:val="000000" w:themeColor="text1"/>
          <w:sz w:val="20"/>
        </w:rPr>
        <w:t>terms</w:t>
      </w:r>
      <w:proofErr w:type="spellEnd"/>
      <w:r w:rsidRPr="00371492">
        <w:rPr>
          <w:rFonts w:ascii="Corbel" w:eastAsia="Tahoma" w:hAnsi="Corbel" w:cs="Tahoma"/>
          <w:i/>
          <w:color w:val="000000" w:themeColor="text1"/>
          <w:sz w:val="20"/>
        </w:rPr>
        <w:t>.</w:t>
      </w:r>
      <w:r w:rsidRPr="00371492">
        <w:rPr>
          <w:rFonts w:ascii="Corbel" w:eastAsia="Tahoma" w:hAnsi="Corbel" w:cs="Tahoma"/>
          <w:color w:val="000000" w:themeColor="text1"/>
          <w:sz w:val="20"/>
        </w:rPr>
        <w:t>’ (</w:t>
      </w:r>
      <w:proofErr w:type="gramStart"/>
      <w:r w:rsidRPr="00371492">
        <w:rPr>
          <w:rFonts w:ascii="Corbel" w:eastAsia="Tahoma" w:hAnsi="Corbel" w:cs="Tahoma"/>
          <w:color w:val="000000" w:themeColor="text1"/>
          <w:sz w:val="20"/>
        </w:rPr>
        <w:t>ibid.</w:t>
      </w:r>
      <w:proofErr w:type="gramEnd"/>
      <w:r w:rsidRPr="00371492">
        <w:rPr>
          <w:rFonts w:ascii="Corbel" w:eastAsia="Tahoma" w:hAnsi="Corbel" w:cs="Tahoma"/>
          <w:color w:val="000000" w:themeColor="text1"/>
          <w:sz w:val="20"/>
        </w:rPr>
        <w:t>, 297</w:t>
      </w:r>
      <w:r w:rsidRPr="00541EB0">
        <w:rPr>
          <w:rFonts w:ascii="Corbel" w:eastAsia="Tahoma" w:hAnsi="Corbel" w:cs="Tahoma"/>
          <w:color w:val="000000" w:themeColor="text1"/>
          <w:sz w:val="20"/>
        </w:rPr>
        <w:t xml:space="preserve">). De aanwezigheid van een veelvoud aan onzekerheden, ambiguïteiten en onwetendheden worden volgens </w:t>
      </w:r>
      <w:proofErr w:type="spellStart"/>
      <w:r w:rsidRPr="00541EB0">
        <w:rPr>
          <w:rFonts w:ascii="Corbel" w:eastAsia="Tahoma" w:hAnsi="Corbel" w:cs="Tahoma"/>
          <w:color w:val="000000" w:themeColor="text1"/>
          <w:sz w:val="20"/>
        </w:rPr>
        <w:t>Stirling</w:t>
      </w:r>
      <w:proofErr w:type="spellEnd"/>
      <w:r w:rsidR="00DA5FFD">
        <w:rPr>
          <w:rFonts w:ascii="Corbel" w:eastAsia="Tahoma" w:hAnsi="Corbel" w:cs="Tahoma"/>
          <w:color w:val="000000" w:themeColor="text1"/>
          <w:sz w:val="20"/>
        </w:rPr>
        <w:t xml:space="preserve"> &amp; Mayer</w:t>
      </w:r>
      <w:r w:rsidRPr="00541EB0">
        <w:rPr>
          <w:rFonts w:ascii="Corbel" w:eastAsia="Tahoma" w:hAnsi="Corbel" w:cs="Tahoma"/>
          <w:color w:val="000000" w:themeColor="text1"/>
          <w:sz w:val="20"/>
        </w:rPr>
        <w:t xml:space="preserve"> aan de kant geschoven door probabilistische risicoanalysetechnieken. Deze simplificatie die optreedt door het gebruik van kwantitatieve risicoassessments is een bedreiging voor de onderbouwing van een risicoanalyse.</w:t>
      </w:r>
      <w:r w:rsidR="00071CDF" w:rsidRPr="00541EB0">
        <w:rPr>
          <w:rFonts w:ascii="Corbel" w:eastAsia="Tahoma" w:hAnsi="Corbel" w:cs="Tahoma"/>
          <w:color w:val="000000" w:themeColor="text1"/>
          <w:sz w:val="20"/>
        </w:rPr>
        <w:t xml:space="preserve"> </w:t>
      </w:r>
    </w:p>
    <w:p w14:paraId="32C5AC0F" w14:textId="538A7AD1" w:rsidR="00F2603E" w:rsidRPr="00371492" w:rsidRDefault="007D504B" w:rsidP="007D504B">
      <w:pPr>
        <w:spacing w:line="360" w:lineRule="auto"/>
        <w:ind w:firstLine="708"/>
        <w:contextualSpacing/>
        <w:jc w:val="both"/>
        <w:rPr>
          <w:rFonts w:ascii="Corbel" w:eastAsia="Tahoma" w:hAnsi="Corbel" w:cs="Tahoma"/>
          <w:sz w:val="20"/>
        </w:rPr>
      </w:pPr>
      <w:proofErr w:type="spellStart"/>
      <w:r>
        <w:rPr>
          <w:rFonts w:ascii="Corbel" w:eastAsia="Tahoma" w:hAnsi="Corbel" w:cs="Tahoma"/>
          <w:sz w:val="20"/>
        </w:rPr>
        <w:t>Roeser</w:t>
      </w:r>
      <w:proofErr w:type="spellEnd"/>
      <w:r>
        <w:rPr>
          <w:rFonts w:ascii="Corbel" w:eastAsia="Tahoma" w:hAnsi="Corbel" w:cs="Tahoma"/>
          <w:sz w:val="20"/>
        </w:rPr>
        <w:t xml:space="preserve"> (2013</w:t>
      </w:r>
      <w:r w:rsidR="00F2603E" w:rsidRPr="00371492">
        <w:rPr>
          <w:rFonts w:ascii="Corbel" w:eastAsia="Tahoma" w:hAnsi="Corbel" w:cs="Tahoma"/>
          <w:sz w:val="20"/>
        </w:rPr>
        <w:t xml:space="preserve">) onderzoekt de rol van emoties bij het beoordelen van risico’s. Bij discussies over risico’s staan experts tegenover leken (burgers). Bij deze discussies uiten burgers vaak hun emoties, wat gezien wordt als irrationeel ten opzichte van wetenschappelijke bewijsvoering van de experts. </w:t>
      </w:r>
      <w:proofErr w:type="spellStart"/>
      <w:r w:rsidR="00F2603E" w:rsidRPr="00371492">
        <w:rPr>
          <w:rFonts w:ascii="Corbel" w:eastAsia="Tahoma" w:hAnsi="Corbel" w:cs="Tahoma"/>
          <w:sz w:val="20"/>
        </w:rPr>
        <w:t>Roeser</w:t>
      </w:r>
      <w:proofErr w:type="spellEnd"/>
      <w:r w:rsidR="00F2603E" w:rsidRPr="00371492">
        <w:rPr>
          <w:rFonts w:ascii="Corbel" w:eastAsia="Tahoma" w:hAnsi="Corbel" w:cs="Tahoma"/>
          <w:sz w:val="20"/>
        </w:rPr>
        <w:t xml:space="preserve"> stelt hiertegenover dat emoties van belang zijn bij het maken van morele beslissingen. Op basis van neuro-wetenschappelijk inzicht stelt zij dat emoties tevens van belang zijn voor het maken van risico-beslissingen. Vervolgens vertaalt zij dit naar de praktijk van risicoanalyses, waar volgens haar veelal gebruik gemaakt wordt kosten-baten analyse. Dit is als onderbouwing onvolledig, want er is geen oog voor alle morele aspecten. Dit soort analyses bouwen op utilistische theorieën binnen de ethiek, waarbij het maximaliseren van maatschappelijk voordeel of het minimaliseren van nadelen centraal staan. Kritiek vanuit de ethiek luidt dat het utilisme geen oog heeft voor een rechtvaardige verdeling, autonomie en intrinsieke motieven (o.a. Becker, 2007; Van Melle &amp; Van </w:t>
      </w:r>
      <w:proofErr w:type="spellStart"/>
      <w:r w:rsidR="00F2603E" w:rsidRPr="00371492">
        <w:rPr>
          <w:rFonts w:ascii="Corbel" w:eastAsia="Tahoma" w:hAnsi="Corbel" w:cs="Tahoma"/>
          <w:sz w:val="20"/>
        </w:rPr>
        <w:t>Zilfhout</w:t>
      </w:r>
      <w:proofErr w:type="spellEnd"/>
      <w:r w:rsidR="00F2603E" w:rsidRPr="00371492">
        <w:rPr>
          <w:rFonts w:ascii="Corbel" w:eastAsia="Tahoma" w:hAnsi="Corbel" w:cs="Tahoma"/>
          <w:sz w:val="20"/>
        </w:rPr>
        <w:t>, 2008). Deze kritiek komt voort uit de andere ethische stromingen, namelijk de plichtsethiek en de deugdethiek.</w:t>
      </w:r>
    </w:p>
    <w:p w14:paraId="6466985C" w14:textId="77777777" w:rsidR="00F2603E" w:rsidRPr="00371492" w:rsidRDefault="00F2603E" w:rsidP="00F2603E">
      <w:pPr>
        <w:spacing w:line="360" w:lineRule="auto"/>
        <w:ind w:firstLine="708"/>
        <w:contextualSpacing/>
        <w:jc w:val="both"/>
        <w:rPr>
          <w:rFonts w:ascii="Corbel" w:eastAsia="Tahoma" w:hAnsi="Corbel" w:cs="Tahoma"/>
          <w:sz w:val="20"/>
        </w:rPr>
      </w:pPr>
      <w:r w:rsidRPr="00371492">
        <w:rPr>
          <w:rFonts w:ascii="Corbel" w:hAnsi="Corbel" w:cs="Tahoma"/>
          <w:sz w:val="20"/>
        </w:rPr>
        <w:tab/>
      </w:r>
    </w:p>
    <w:p w14:paraId="4EEFE440" w14:textId="1EE60620" w:rsidR="00F2603E" w:rsidRPr="00371492" w:rsidRDefault="00F2603E" w:rsidP="00510131">
      <w:pPr>
        <w:pStyle w:val="Stijl2"/>
        <w:rPr>
          <w:rFonts w:eastAsia="Tahoma"/>
        </w:rPr>
      </w:pPr>
      <w:bookmarkStart w:id="22" w:name="_Toc485990862"/>
      <w:r w:rsidRPr="00371492">
        <w:rPr>
          <w:rFonts w:eastAsia="Tahoma"/>
        </w:rPr>
        <w:t xml:space="preserve">2.4 </w:t>
      </w:r>
      <w:r w:rsidRPr="00371492">
        <w:rPr>
          <w:rFonts w:eastAsia="Tahoma"/>
        </w:rPr>
        <w:tab/>
        <w:t>Deelconclusie</w:t>
      </w:r>
      <w:bookmarkEnd w:id="22"/>
    </w:p>
    <w:p w14:paraId="64145B7E" w14:textId="77777777" w:rsidR="00F2603E" w:rsidRPr="00371492" w:rsidRDefault="00F2603E" w:rsidP="00F2603E">
      <w:pPr>
        <w:spacing w:line="360" w:lineRule="auto"/>
        <w:contextualSpacing/>
        <w:jc w:val="both"/>
        <w:rPr>
          <w:rFonts w:ascii="Corbel" w:eastAsia="Tahoma" w:hAnsi="Corbel" w:cs="Tahoma"/>
          <w:sz w:val="20"/>
        </w:rPr>
      </w:pPr>
      <w:r w:rsidRPr="00371492">
        <w:rPr>
          <w:rFonts w:ascii="Corbel" w:eastAsia="Tahoma" w:hAnsi="Corbel" w:cs="Tahoma"/>
          <w:sz w:val="20"/>
        </w:rPr>
        <w:t xml:space="preserve">Uit de voorgaande secties komt naar voren dat er vanwege uiteenlopende zaken een verbreding van het beoordelingskader voor risico’s noodzakelijk is. Dit hoofdstuk vormt dan ook de beantwoording van de eerste deelvraag: “Waarom is een verbreding van risicoanalyse nodig?”. We hebben gezien dat er bij de praktijk van risicoanalyses een hiaat is waardoor een discutabele prioritering ontstaat. Bij een starre blik op utiliteit worden andere ethische overwegingen naar de achtergrond verdreven, wat ervoor zorgt dat het (a) een onvoldoende onderbouwing biedt bij simpele risico’s en (b) dat het analyseren van systemische risico’s niet mogelijk is. Commentaren lieten zien dat een risicoanalyse meer is dan alleen het naar cijfers vertalen van risico’s. In feite is het een normatieve kwestie en ziet men delen van risico’s of argumentatie over het hoofd als er geen aandacht is voor de normatieve implicaties. </w:t>
      </w:r>
    </w:p>
    <w:p w14:paraId="7C06CE5B" w14:textId="77777777" w:rsidR="00F2603E" w:rsidRPr="00371492" w:rsidRDefault="00F2603E" w:rsidP="00F2603E">
      <w:pPr>
        <w:spacing w:line="360" w:lineRule="auto"/>
        <w:ind w:firstLine="708"/>
        <w:contextualSpacing/>
        <w:jc w:val="both"/>
        <w:rPr>
          <w:rFonts w:ascii="Corbel" w:eastAsia="Tahoma" w:hAnsi="Corbel" w:cs="Tahoma"/>
          <w:sz w:val="20"/>
        </w:rPr>
      </w:pPr>
      <w:r w:rsidRPr="00371492">
        <w:rPr>
          <w:rFonts w:ascii="Corbel" w:eastAsia="Tahoma" w:hAnsi="Corbel" w:cs="Tahoma"/>
          <w:sz w:val="20"/>
        </w:rPr>
        <w:t xml:space="preserve">Het implementeren van een risicogestuurde vorm van toezicht past binnen het gedachtegoed van EBP, waarbij het systematisch gebruik van bewezen kennis de basis voor beleid vormt. De wens om beleid te onderbouwen met ‘bewijs’ mondt in de praktijk van risicoanalyses uit in een te grote nadruk op utiliteitsoverwegingen. Immers, in de zoektocht naar objectieve kennis vormt cijfermatige input in een kosten-batenafweging een logisch startpunt. Het is echter problematisch indien er alleen besloten wordt op grond van utiliteit. De ILT erkent de noodzaak om het gehele ethische spectrum mee te nemen in de inspectiebrede risicoanalyse. De uitwerking van een moreel raamwerk voor risicoanalyses verkent de noodzakelijke uitbreidingen aan de huidige praktijk van risicoanalyses. De huidige praktijk neemt zoals gezegd alleen </w:t>
      </w:r>
      <w:r w:rsidRPr="00371492">
        <w:rPr>
          <w:rFonts w:ascii="Corbel" w:eastAsia="Tahoma" w:hAnsi="Corbel" w:cs="Tahoma"/>
          <w:sz w:val="20"/>
        </w:rPr>
        <w:lastRenderedPageBreak/>
        <w:t>utiliteitsoverwegingen mee. Dit is om diverse redenen problematisch, maar daarnaast biedt besluitvorming op basis van utiliteit niet altijd een uitkomst. Zoals gezegd is een dergelijke onderbouwing niet alleen onvoldoende indien de analyse zich richt op simpele risico’s, maar is deze vaak niet mogelijk bij systemische risico’s. Juist bij systemische risico’s, welke gekenmerkt worden door complexiteit, onzekerheid en ambiguïteit (</w:t>
      </w:r>
      <w:proofErr w:type="spellStart"/>
      <w:r w:rsidRPr="00371492">
        <w:rPr>
          <w:rFonts w:ascii="Corbel" w:eastAsia="Tahoma" w:hAnsi="Corbel" w:cs="Tahoma"/>
          <w:sz w:val="20"/>
        </w:rPr>
        <w:t>Renn</w:t>
      </w:r>
      <w:proofErr w:type="spellEnd"/>
      <w:r w:rsidRPr="00371492">
        <w:rPr>
          <w:rFonts w:ascii="Corbel" w:eastAsia="Tahoma" w:hAnsi="Corbel" w:cs="Tahoma"/>
          <w:sz w:val="20"/>
        </w:rPr>
        <w:t xml:space="preserve"> et al., 2011), slaagt men er niet in om risico’s cijfermatig weer te geven. In deze gevallen is er in de huidige praktijk geen afwegingskader voorhanden. Voor de totstandkoming van een dergelijk kader worden in het volgende hoofdstuk op conceptueel niveau de ethische theorieën uiteengezet. </w:t>
      </w:r>
    </w:p>
    <w:p w14:paraId="2C27743E" w14:textId="77777777" w:rsidR="00F2603E" w:rsidRPr="00371492" w:rsidRDefault="00F2603E" w:rsidP="00F2603E">
      <w:pPr>
        <w:spacing w:line="360" w:lineRule="auto"/>
        <w:jc w:val="both"/>
        <w:rPr>
          <w:rFonts w:ascii="Corbel" w:hAnsi="Corbel" w:cs="Tahoma"/>
          <w:b/>
          <w:sz w:val="20"/>
        </w:rPr>
      </w:pPr>
    </w:p>
    <w:p w14:paraId="00A339AE" w14:textId="77777777" w:rsidR="00F2603E" w:rsidRPr="00371492" w:rsidRDefault="00F2603E" w:rsidP="00F2603E">
      <w:pPr>
        <w:spacing w:line="360" w:lineRule="auto"/>
        <w:jc w:val="both"/>
        <w:rPr>
          <w:rFonts w:ascii="Corbel" w:hAnsi="Corbel" w:cs="Tahoma"/>
          <w:b/>
          <w:sz w:val="20"/>
        </w:rPr>
      </w:pPr>
    </w:p>
    <w:p w14:paraId="42EEF453" w14:textId="77777777" w:rsidR="00F2603E" w:rsidRDefault="00F2603E" w:rsidP="00F2603E">
      <w:pPr>
        <w:spacing w:line="360" w:lineRule="auto"/>
        <w:jc w:val="both"/>
        <w:rPr>
          <w:rFonts w:ascii="Corbel" w:hAnsi="Corbel" w:cs="Tahoma"/>
          <w:b/>
          <w:sz w:val="20"/>
        </w:rPr>
      </w:pPr>
    </w:p>
    <w:p w14:paraId="47178849" w14:textId="77777777" w:rsidR="00541EB0" w:rsidRDefault="00541EB0" w:rsidP="00F2603E">
      <w:pPr>
        <w:spacing w:line="360" w:lineRule="auto"/>
        <w:jc w:val="both"/>
        <w:rPr>
          <w:rFonts w:ascii="Corbel" w:hAnsi="Corbel" w:cs="Tahoma"/>
          <w:b/>
          <w:sz w:val="20"/>
        </w:rPr>
      </w:pPr>
    </w:p>
    <w:p w14:paraId="6CD4258B" w14:textId="77777777" w:rsidR="00541EB0" w:rsidRDefault="00541EB0" w:rsidP="00F2603E">
      <w:pPr>
        <w:spacing w:line="360" w:lineRule="auto"/>
        <w:jc w:val="both"/>
        <w:rPr>
          <w:rFonts w:ascii="Corbel" w:hAnsi="Corbel" w:cs="Tahoma"/>
          <w:b/>
          <w:sz w:val="20"/>
        </w:rPr>
      </w:pPr>
    </w:p>
    <w:p w14:paraId="21B13B36" w14:textId="77777777" w:rsidR="00541EB0" w:rsidRDefault="00541EB0" w:rsidP="00F2603E">
      <w:pPr>
        <w:spacing w:line="360" w:lineRule="auto"/>
        <w:jc w:val="both"/>
        <w:rPr>
          <w:rFonts w:ascii="Corbel" w:hAnsi="Corbel" w:cs="Tahoma"/>
          <w:b/>
          <w:sz w:val="20"/>
        </w:rPr>
      </w:pPr>
    </w:p>
    <w:p w14:paraId="273947E2" w14:textId="77777777" w:rsidR="00541EB0" w:rsidRDefault="00541EB0" w:rsidP="00F2603E">
      <w:pPr>
        <w:spacing w:line="360" w:lineRule="auto"/>
        <w:jc w:val="both"/>
        <w:rPr>
          <w:rFonts w:ascii="Corbel" w:hAnsi="Corbel" w:cs="Tahoma"/>
          <w:b/>
          <w:sz w:val="20"/>
        </w:rPr>
      </w:pPr>
    </w:p>
    <w:p w14:paraId="5B876498" w14:textId="77777777" w:rsidR="00541EB0" w:rsidRDefault="00541EB0" w:rsidP="00F2603E">
      <w:pPr>
        <w:spacing w:line="360" w:lineRule="auto"/>
        <w:jc w:val="both"/>
        <w:rPr>
          <w:rFonts w:ascii="Corbel" w:hAnsi="Corbel" w:cs="Tahoma"/>
          <w:b/>
          <w:sz w:val="20"/>
        </w:rPr>
      </w:pPr>
    </w:p>
    <w:p w14:paraId="742AFD99" w14:textId="77777777" w:rsidR="00541EB0" w:rsidRDefault="00541EB0" w:rsidP="00F2603E">
      <w:pPr>
        <w:spacing w:line="360" w:lineRule="auto"/>
        <w:jc w:val="both"/>
        <w:rPr>
          <w:rFonts w:ascii="Corbel" w:hAnsi="Corbel" w:cs="Tahoma"/>
          <w:b/>
          <w:sz w:val="20"/>
        </w:rPr>
      </w:pPr>
    </w:p>
    <w:p w14:paraId="304FC361" w14:textId="77777777" w:rsidR="00541EB0" w:rsidRDefault="00541EB0" w:rsidP="00F2603E">
      <w:pPr>
        <w:spacing w:line="360" w:lineRule="auto"/>
        <w:jc w:val="both"/>
        <w:rPr>
          <w:rFonts w:ascii="Corbel" w:hAnsi="Corbel" w:cs="Tahoma"/>
          <w:b/>
          <w:sz w:val="20"/>
        </w:rPr>
      </w:pPr>
    </w:p>
    <w:p w14:paraId="7F07302F" w14:textId="77777777" w:rsidR="00541EB0" w:rsidRDefault="00541EB0" w:rsidP="00F2603E">
      <w:pPr>
        <w:spacing w:line="360" w:lineRule="auto"/>
        <w:jc w:val="both"/>
        <w:rPr>
          <w:rFonts w:ascii="Corbel" w:hAnsi="Corbel" w:cs="Tahoma"/>
          <w:b/>
          <w:sz w:val="20"/>
        </w:rPr>
      </w:pPr>
    </w:p>
    <w:p w14:paraId="51D07402" w14:textId="77777777" w:rsidR="00541EB0" w:rsidRDefault="00541EB0" w:rsidP="00F2603E">
      <w:pPr>
        <w:spacing w:line="360" w:lineRule="auto"/>
        <w:jc w:val="both"/>
        <w:rPr>
          <w:rFonts w:ascii="Corbel" w:hAnsi="Corbel" w:cs="Tahoma"/>
          <w:b/>
          <w:sz w:val="20"/>
        </w:rPr>
      </w:pPr>
    </w:p>
    <w:p w14:paraId="44FF5129" w14:textId="77777777" w:rsidR="00541EB0" w:rsidRDefault="00541EB0" w:rsidP="00F2603E">
      <w:pPr>
        <w:spacing w:line="360" w:lineRule="auto"/>
        <w:jc w:val="both"/>
        <w:rPr>
          <w:rFonts w:ascii="Corbel" w:hAnsi="Corbel" w:cs="Tahoma"/>
          <w:b/>
          <w:sz w:val="20"/>
        </w:rPr>
      </w:pPr>
    </w:p>
    <w:p w14:paraId="11D962F8" w14:textId="77777777" w:rsidR="00541EB0" w:rsidRDefault="00541EB0" w:rsidP="00F2603E">
      <w:pPr>
        <w:spacing w:line="360" w:lineRule="auto"/>
        <w:jc w:val="both"/>
        <w:rPr>
          <w:rFonts w:ascii="Corbel" w:hAnsi="Corbel" w:cs="Tahoma"/>
          <w:b/>
          <w:sz w:val="20"/>
        </w:rPr>
      </w:pPr>
    </w:p>
    <w:p w14:paraId="5BB68C19" w14:textId="77777777" w:rsidR="00541EB0" w:rsidRDefault="00541EB0" w:rsidP="00F2603E">
      <w:pPr>
        <w:spacing w:line="360" w:lineRule="auto"/>
        <w:jc w:val="both"/>
        <w:rPr>
          <w:rFonts w:ascii="Corbel" w:hAnsi="Corbel" w:cs="Tahoma"/>
          <w:b/>
          <w:sz w:val="20"/>
        </w:rPr>
      </w:pPr>
    </w:p>
    <w:p w14:paraId="05298A48" w14:textId="77777777" w:rsidR="00541EB0" w:rsidRDefault="00541EB0" w:rsidP="00F2603E">
      <w:pPr>
        <w:spacing w:line="360" w:lineRule="auto"/>
        <w:jc w:val="both"/>
        <w:rPr>
          <w:rFonts w:ascii="Corbel" w:hAnsi="Corbel" w:cs="Tahoma"/>
          <w:b/>
          <w:sz w:val="20"/>
        </w:rPr>
      </w:pPr>
    </w:p>
    <w:p w14:paraId="25AA8E8D" w14:textId="77777777" w:rsidR="00541EB0" w:rsidRDefault="00541EB0" w:rsidP="00F2603E">
      <w:pPr>
        <w:spacing w:line="360" w:lineRule="auto"/>
        <w:jc w:val="both"/>
        <w:rPr>
          <w:rFonts w:ascii="Corbel" w:hAnsi="Corbel" w:cs="Tahoma"/>
          <w:b/>
          <w:sz w:val="20"/>
        </w:rPr>
      </w:pPr>
    </w:p>
    <w:p w14:paraId="1B2B7903" w14:textId="77777777" w:rsidR="00541EB0" w:rsidRDefault="00541EB0" w:rsidP="00F2603E">
      <w:pPr>
        <w:spacing w:line="360" w:lineRule="auto"/>
        <w:jc w:val="both"/>
        <w:rPr>
          <w:rFonts w:ascii="Corbel" w:hAnsi="Corbel" w:cs="Tahoma"/>
          <w:b/>
          <w:sz w:val="20"/>
        </w:rPr>
      </w:pPr>
    </w:p>
    <w:p w14:paraId="6DCE2DFF" w14:textId="77777777" w:rsidR="00541EB0" w:rsidRDefault="00541EB0" w:rsidP="00F2603E">
      <w:pPr>
        <w:spacing w:line="360" w:lineRule="auto"/>
        <w:jc w:val="both"/>
        <w:rPr>
          <w:rFonts w:ascii="Corbel" w:hAnsi="Corbel" w:cs="Tahoma"/>
          <w:b/>
          <w:sz w:val="20"/>
        </w:rPr>
      </w:pPr>
    </w:p>
    <w:p w14:paraId="19C77B89" w14:textId="77777777" w:rsidR="00541EB0" w:rsidRDefault="00541EB0" w:rsidP="00F2603E">
      <w:pPr>
        <w:spacing w:line="360" w:lineRule="auto"/>
        <w:jc w:val="both"/>
        <w:rPr>
          <w:rFonts w:ascii="Corbel" w:hAnsi="Corbel" w:cs="Tahoma"/>
          <w:b/>
          <w:sz w:val="20"/>
        </w:rPr>
      </w:pPr>
    </w:p>
    <w:p w14:paraId="14DAFFD4" w14:textId="77777777" w:rsidR="00541EB0" w:rsidRDefault="00541EB0" w:rsidP="00F2603E">
      <w:pPr>
        <w:spacing w:line="360" w:lineRule="auto"/>
        <w:jc w:val="both"/>
        <w:rPr>
          <w:rFonts w:ascii="Corbel" w:hAnsi="Corbel" w:cs="Tahoma"/>
          <w:b/>
          <w:sz w:val="20"/>
        </w:rPr>
      </w:pPr>
    </w:p>
    <w:p w14:paraId="30951F50" w14:textId="77777777" w:rsidR="00541EB0" w:rsidRDefault="00541EB0" w:rsidP="00F2603E">
      <w:pPr>
        <w:spacing w:line="360" w:lineRule="auto"/>
        <w:jc w:val="both"/>
        <w:rPr>
          <w:rFonts w:ascii="Corbel" w:hAnsi="Corbel" w:cs="Tahoma"/>
          <w:b/>
          <w:sz w:val="20"/>
        </w:rPr>
      </w:pPr>
    </w:p>
    <w:p w14:paraId="63DF1BD9" w14:textId="77777777" w:rsidR="00541EB0" w:rsidRDefault="00541EB0" w:rsidP="00F2603E">
      <w:pPr>
        <w:spacing w:line="360" w:lineRule="auto"/>
        <w:jc w:val="both"/>
        <w:rPr>
          <w:rFonts w:ascii="Corbel" w:hAnsi="Corbel" w:cs="Tahoma"/>
          <w:b/>
          <w:sz w:val="20"/>
        </w:rPr>
      </w:pPr>
    </w:p>
    <w:p w14:paraId="013C413B" w14:textId="77777777" w:rsidR="00541EB0" w:rsidRDefault="00541EB0" w:rsidP="00F2603E">
      <w:pPr>
        <w:spacing w:line="360" w:lineRule="auto"/>
        <w:jc w:val="both"/>
        <w:rPr>
          <w:rFonts w:ascii="Corbel" w:hAnsi="Corbel" w:cs="Tahoma"/>
          <w:b/>
          <w:sz w:val="20"/>
        </w:rPr>
      </w:pPr>
    </w:p>
    <w:p w14:paraId="7F9F2F66" w14:textId="77777777" w:rsidR="00541EB0" w:rsidRDefault="00541EB0" w:rsidP="00F2603E">
      <w:pPr>
        <w:spacing w:line="360" w:lineRule="auto"/>
        <w:jc w:val="both"/>
        <w:rPr>
          <w:rFonts w:ascii="Corbel" w:hAnsi="Corbel" w:cs="Tahoma"/>
          <w:b/>
          <w:sz w:val="20"/>
        </w:rPr>
      </w:pPr>
    </w:p>
    <w:p w14:paraId="18EA5A63" w14:textId="77777777" w:rsidR="00541EB0" w:rsidRDefault="00541EB0" w:rsidP="00F2603E">
      <w:pPr>
        <w:spacing w:line="360" w:lineRule="auto"/>
        <w:jc w:val="both"/>
        <w:rPr>
          <w:rFonts w:ascii="Corbel" w:hAnsi="Corbel" w:cs="Tahoma"/>
          <w:b/>
          <w:sz w:val="20"/>
        </w:rPr>
      </w:pPr>
    </w:p>
    <w:p w14:paraId="719A506B" w14:textId="77777777" w:rsidR="00541EB0" w:rsidRDefault="00541EB0" w:rsidP="00F2603E">
      <w:pPr>
        <w:spacing w:line="360" w:lineRule="auto"/>
        <w:jc w:val="both"/>
        <w:rPr>
          <w:rFonts w:ascii="Corbel" w:hAnsi="Corbel" w:cs="Tahoma"/>
          <w:b/>
          <w:sz w:val="20"/>
        </w:rPr>
      </w:pPr>
    </w:p>
    <w:p w14:paraId="480C0B83" w14:textId="77777777" w:rsidR="00541EB0" w:rsidRDefault="00541EB0" w:rsidP="00F2603E">
      <w:pPr>
        <w:spacing w:line="360" w:lineRule="auto"/>
        <w:jc w:val="both"/>
        <w:rPr>
          <w:rFonts w:ascii="Corbel" w:hAnsi="Corbel" w:cs="Tahoma"/>
          <w:b/>
          <w:sz w:val="20"/>
        </w:rPr>
      </w:pPr>
    </w:p>
    <w:p w14:paraId="11227723" w14:textId="77777777" w:rsidR="00541EB0" w:rsidRPr="00371492" w:rsidRDefault="00541EB0" w:rsidP="00F2603E">
      <w:pPr>
        <w:spacing w:line="360" w:lineRule="auto"/>
        <w:jc w:val="both"/>
        <w:rPr>
          <w:rFonts w:ascii="Corbel" w:hAnsi="Corbel" w:cs="Tahoma"/>
          <w:b/>
          <w:sz w:val="20"/>
        </w:rPr>
      </w:pPr>
    </w:p>
    <w:p w14:paraId="641FF12D" w14:textId="47717279" w:rsidR="00F2603E" w:rsidRPr="00371492" w:rsidRDefault="00F2603E" w:rsidP="00200C74">
      <w:pPr>
        <w:pStyle w:val="Stijl1"/>
        <w:numPr>
          <w:ilvl w:val="0"/>
          <w:numId w:val="5"/>
        </w:numPr>
        <w:spacing w:line="360" w:lineRule="auto"/>
        <w:jc w:val="both"/>
        <w:rPr>
          <w:rFonts w:eastAsia="Tahoma" w:cs="Tahoma"/>
          <w:szCs w:val="24"/>
        </w:rPr>
      </w:pPr>
      <w:bookmarkStart w:id="23" w:name="_Toc485990863"/>
      <w:r w:rsidRPr="00371492">
        <w:rPr>
          <w:rFonts w:eastAsia="Tahoma" w:cs="Tahoma"/>
          <w:szCs w:val="24"/>
        </w:rPr>
        <w:lastRenderedPageBreak/>
        <w:t>Theoretisch kader: normatieve ethiek</w:t>
      </w:r>
      <w:bookmarkEnd w:id="23"/>
    </w:p>
    <w:p w14:paraId="3874256A" w14:textId="77777777" w:rsidR="00F2603E" w:rsidRPr="00371492" w:rsidRDefault="00F2603E" w:rsidP="00F2603E">
      <w:pPr>
        <w:spacing w:line="360" w:lineRule="auto"/>
        <w:jc w:val="both"/>
        <w:rPr>
          <w:rFonts w:ascii="Corbel" w:eastAsia="Tahoma" w:hAnsi="Corbel" w:cs="Tahoma"/>
          <w:sz w:val="20"/>
        </w:rPr>
      </w:pPr>
      <w:r w:rsidRPr="00371492">
        <w:rPr>
          <w:rFonts w:ascii="Corbel" w:eastAsia="Tahoma" w:hAnsi="Corbel" w:cs="Tahoma"/>
          <w:sz w:val="20"/>
        </w:rPr>
        <w:t xml:space="preserve">Het voorgaande hoofdstuk heeft inzicht gegeven in de noodzaak voor een verbreding van het instrument ‘risicoanalyse’. In dit hoofdstuk wordt een eerste schets gemaakt van de elementen die onderdeel uitmaken van een beoordelingskader dat verder kijkt dan utiliteit. Hiertoe worden achtereenvolgens de drie hoofdstromingen van de normatieve ethiek besproken, te weten het utilisme (§3.1), de deontologie (§3.2) en ten slotte de deugdethiek (§3.3). De ethiek is een wetenschapsvorm die op te vatten valt als het systematisch reflecteren en toetsen van de moraal. Normatieve ethiek is de verzamelnaam voor die ethische stromingen die uitspraken doen over goed of fout handelen. Hiermee onderscheid de normatieve ethiek zich van de descriptieve ethiek en prescriptieve ethiek. Het utilisme, de deontologie en deugdethiek worden eerst in algemene termen besproken. Welke logica presenteren zij? Op deze manier vormt dit hoofdstuk de basis voor de verdere toepassing op de praktijk van dit onderzoek. </w:t>
      </w:r>
    </w:p>
    <w:p w14:paraId="5ACC13B8" w14:textId="77777777" w:rsidR="00F2603E" w:rsidRPr="00371492" w:rsidRDefault="00F2603E" w:rsidP="00F2603E">
      <w:pPr>
        <w:spacing w:line="360" w:lineRule="auto"/>
        <w:jc w:val="both"/>
        <w:rPr>
          <w:rFonts w:ascii="Corbel" w:eastAsia="Tahoma" w:hAnsi="Corbel" w:cs="Tahoma"/>
          <w:sz w:val="20"/>
        </w:rPr>
      </w:pPr>
    </w:p>
    <w:p w14:paraId="621D6D3B" w14:textId="701DF0C4" w:rsidR="00F2603E" w:rsidRPr="00371492" w:rsidRDefault="00F2603E" w:rsidP="00510131">
      <w:pPr>
        <w:pStyle w:val="Stijl2"/>
        <w:rPr>
          <w:rFonts w:eastAsia="Tahoma"/>
        </w:rPr>
      </w:pPr>
      <w:bookmarkStart w:id="24" w:name="_Toc485990864"/>
      <w:r w:rsidRPr="00371492">
        <w:rPr>
          <w:rFonts w:eastAsia="Tahoma"/>
        </w:rPr>
        <w:t xml:space="preserve">3.1 </w:t>
      </w:r>
      <w:r w:rsidRPr="00371492">
        <w:rPr>
          <w:rFonts w:eastAsia="Tahoma"/>
        </w:rPr>
        <w:tab/>
        <w:t>Introductie</w:t>
      </w:r>
      <w:bookmarkEnd w:id="24"/>
    </w:p>
    <w:p w14:paraId="1DF46626" w14:textId="597E95DD" w:rsidR="00F2603E" w:rsidRPr="00371492" w:rsidRDefault="00F2603E" w:rsidP="00F2603E">
      <w:pPr>
        <w:spacing w:line="360" w:lineRule="auto"/>
        <w:jc w:val="both"/>
        <w:rPr>
          <w:rFonts w:ascii="Corbel" w:eastAsia="Tahoma" w:hAnsi="Corbel" w:cs="Tahoma"/>
          <w:sz w:val="20"/>
        </w:rPr>
      </w:pPr>
      <w:r w:rsidRPr="00371492">
        <w:rPr>
          <w:rFonts w:ascii="Corbel" w:eastAsia="Tahoma" w:hAnsi="Corbel" w:cs="Tahoma"/>
          <w:sz w:val="20"/>
        </w:rPr>
        <w:t>De toepassing op risico’s roept de vraag op waar de ethiek zich op moet richten. Een filosofisch begrip gaat in beginsel om kwetsbaarheden. Als actor bestaat er een idee van verlies, in andere woorden: je wilt iets beschermen dat waardevol is. Maar wat is dan waardevol? Dit kan een direct verlies of een bepaalde vorm van schade zijn, maar ook het risico om iets ‘goeds’ op te geven (</w:t>
      </w:r>
      <w:proofErr w:type="spellStart"/>
      <w:r w:rsidRPr="00371492">
        <w:rPr>
          <w:rFonts w:ascii="Corbel" w:eastAsia="Tahoma" w:hAnsi="Corbel" w:cs="Tahoma"/>
          <w:sz w:val="20"/>
        </w:rPr>
        <w:t>Roescher</w:t>
      </w:r>
      <w:proofErr w:type="spellEnd"/>
      <w:r w:rsidRPr="00371492">
        <w:rPr>
          <w:rFonts w:ascii="Corbel" w:eastAsia="Tahoma" w:hAnsi="Corbel" w:cs="Tahoma"/>
          <w:sz w:val="20"/>
        </w:rPr>
        <w:t>, 1983, p. 5).</w:t>
      </w:r>
      <w:r w:rsidR="006C74E3" w:rsidRPr="00371492">
        <w:rPr>
          <w:rFonts w:ascii="Corbel" w:eastAsia="Tahoma" w:hAnsi="Corbel" w:cs="Tahoma"/>
          <w:sz w:val="20"/>
        </w:rPr>
        <w:t xml:space="preserve"> </w:t>
      </w:r>
      <w:r w:rsidRPr="00371492">
        <w:rPr>
          <w:rFonts w:ascii="Corbel" w:eastAsia="Tahoma" w:hAnsi="Corbel" w:cs="Tahoma"/>
          <w:sz w:val="20"/>
        </w:rPr>
        <w:t xml:space="preserve">Vanuit deze aanname valt een eerste kanttekening te plaatsen bij het idee om alleen naar gekwantificeerde gevolgen te kijken vanuit een utilistische calculus. De focus zou breder moeten liggen op een morele beoordeling die verder gaat dan een kwantificering van gevolgen, omdat andere kwalitatieve overwegingen een rol spelen en deze kwantificering veelal gepaard gaat met onzekerheid. </w:t>
      </w:r>
    </w:p>
    <w:p w14:paraId="43FF80FE" w14:textId="044B2939" w:rsidR="00F2603E" w:rsidRPr="00371492" w:rsidRDefault="00F2603E" w:rsidP="00F2603E">
      <w:pPr>
        <w:spacing w:line="360" w:lineRule="auto"/>
        <w:ind w:firstLine="708"/>
        <w:jc w:val="both"/>
        <w:rPr>
          <w:rFonts w:ascii="Corbel" w:eastAsia="Tahoma" w:hAnsi="Corbel" w:cs="Tahoma"/>
          <w:sz w:val="20"/>
        </w:rPr>
      </w:pPr>
      <w:r w:rsidRPr="00371492">
        <w:rPr>
          <w:rFonts w:ascii="Corbel" w:eastAsia="Tahoma" w:hAnsi="Corbel" w:cs="Tahoma"/>
          <w:sz w:val="20"/>
        </w:rPr>
        <w:t xml:space="preserve">Om deze reden zal ‘kwetsbaarheden’ de centrale term zijn bij het vormgeven van dit theoretisch kader. Risico’s hebben betrekking op zaken die waardevol zijn. Echter, wat waardevol en kwetsbaar is </w:t>
      </w:r>
      <w:proofErr w:type="gramStart"/>
      <w:r w:rsidRPr="00371492">
        <w:rPr>
          <w:rFonts w:ascii="Corbel" w:eastAsia="Tahoma" w:hAnsi="Corbel" w:cs="Tahoma"/>
          <w:sz w:val="20"/>
        </w:rPr>
        <w:t>verschilt</w:t>
      </w:r>
      <w:proofErr w:type="gramEnd"/>
      <w:r w:rsidRPr="00371492">
        <w:rPr>
          <w:rFonts w:ascii="Corbel" w:eastAsia="Tahoma" w:hAnsi="Corbel" w:cs="Tahoma"/>
          <w:sz w:val="20"/>
        </w:rPr>
        <w:t xml:space="preserve"> per normatieve stroming. Per benadering is het belangrijk te bespreken welke waarde ter discussie staat en hoe deze gewaarborgd zou moeten worden. Binnen het utilisme worden kwetsbaarheden gedefinieerd in termen van schade. Dit drukt zich bijvoorbeeld uit in hoge kosten (materiële schade) of een hoge mate van pijn en leed (immateriële schade). Bij de deontologie staan bepaalde waarden centraal, die geschonden kunnen worden. Hierbij moet gedacht worden aan typisch deontologische waarden zoals gelijkheid, redelijkheid en autonomie. En ten slotte staat bij de deugdethiek in algemene begrippen de ‘praktijk’ centraal. Een hoger goed (vandaar ‘deugden’) waar afbreuk aan gedaan kan worden. Deze korte schets wordt verder uitgewerkt in de het volgende hoofdstuk, waar de vertaalslag gemaakt wordt van abstracte theorie naar toepassing voor risicoanalyse.</w:t>
      </w:r>
    </w:p>
    <w:p w14:paraId="3C046B29" w14:textId="77777777" w:rsidR="00F2603E" w:rsidRPr="00371492" w:rsidRDefault="00F2603E" w:rsidP="00F2603E">
      <w:pPr>
        <w:spacing w:line="360" w:lineRule="auto"/>
        <w:ind w:firstLine="708"/>
        <w:jc w:val="both"/>
        <w:rPr>
          <w:rFonts w:ascii="Corbel" w:eastAsia="Tahoma" w:hAnsi="Corbel" w:cs="Tahoma"/>
          <w:sz w:val="20"/>
        </w:rPr>
      </w:pPr>
      <w:r w:rsidRPr="00371492">
        <w:rPr>
          <w:rFonts w:ascii="Corbel" w:eastAsia="Tahoma" w:hAnsi="Corbel" w:cs="Tahoma"/>
          <w:sz w:val="20"/>
        </w:rPr>
        <w:t xml:space="preserve">Een praktijkvoorbeeld laat duidelijk de verschillen zien tussen de ethische benaderingen. De problematiek rondom aardbevingen als gevolg van gaswinning in Groningen kan uiteenlopend benaderd worden vanuit de normatieve ethiek. Het utilisme richt zich bijvoorbeeld op de hoge renovatiekosten die aardbevingsschade als gevolg heeft voor huizen. De deontologie laat zien dat er een onrechtvaardige situatie bestaat tussen mensen die bijvoorbeeld wel of niet kunnen verhuizen of richt zich op de onvrijwillige keuze van de bewoners van het gebied. De deugdethiek laat als probleem zien dat wederzijds vertrouwen in de overheid </w:t>
      </w:r>
      <w:r w:rsidRPr="00371492">
        <w:rPr>
          <w:rFonts w:ascii="Corbel" w:eastAsia="Tahoma" w:hAnsi="Corbel" w:cs="Tahoma"/>
          <w:sz w:val="20"/>
        </w:rPr>
        <w:lastRenderedPageBreak/>
        <w:t>ter discussie kan komen te staan als gevolg van de gaswinning en bijkomende problemen. Het is niet moeilijk om de toenemende mate van abstractie op te merken tussen de drie benaderingen. Hier wordt later in dit onderzoek op teruggekomen, namelijk in hoofdstuk vier. Voor een goed begrip van de implicaties van de ethische theorieën is het eerst van belang een algemene introductie te geven. Om te beginnen wordt het utilisme besproken, waarna respectievelijk de deontologie en de deugdethiek volgen.</w:t>
      </w:r>
    </w:p>
    <w:p w14:paraId="108FEA66" w14:textId="77777777" w:rsidR="00F2603E" w:rsidRPr="00371492" w:rsidRDefault="00F2603E" w:rsidP="00510131">
      <w:pPr>
        <w:pStyle w:val="Stijl2"/>
      </w:pPr>
    </w:p>
    <w:p w14:paraId="7C20111C" w14:textId="014B255E" w:rsidR="00F2603E" w:rsidRPr="00371492" w:rsidRDefault="00F2603E" w:rsidP="00510131">
      <w:pPr>
        <w:pStyle w:val="Stijl2"/>
        <w:rPr>
          <w:rFonts w:eastAsia="Tahoma"/>
        </w:rPr>
      </w:pPr>
      <w:bookmarkStart w:id="25" w:name="_Toc485990865"/>
      <w:r w:rsidRPr="00371492">
        <w:rPr>
          <w:rFonts w:eastAsia="Tahoma"/>
        </w:rPr>
        <w:t xml:space="preserve">3.2 </w:t>
      </w:r>
      <w:r w:rsidRPr="00371492">
        <w:rPr>
          <w:rFonts w:eastAsia="Tahoma"/>
        </w:rPr>
        <w:tab/>
        <w:t>Utilisme</w:t>
      </w:r>
      <w:bookmarkEnd w:id="25"/>
    </w:p>
    <w:p w14:paraId="753D5901" w14:textId="03209F6C" w:rsidR="00F2603E" w:rsidRPr="00371492" w:rsidRDefault="00F2603E" w:rsidP="00F2603E">
      <w:pPr>
        <w:spacing w:line="360" w:lineRule="auto"/>
        <w:jc w:val="both"/>
        <w:rPr>
          <w:rFonts w:ascii="Corbel" w:eastAsia="Tahoma" w:hAnsi="Corbel" w:cs="Tahoma"/>
          <w:sz w:val="20"/>
        </w:rPr>
      </w:pPr>
      <w:r w:rsidRPr="00371492">
        <w:rPr>
          <w:rFonts w:ascii="Corbel" w:eastAsia="Tahoma" w:hAnsi="Corbel" w:cs="Tahoma"/>
          <w:sz w:val="20"/>
        </w:rPr>
        <w:t xml:space="preserve">Het grootste geluk realiseren voor zoveel mogelijk mensen, waarbij de verandering van het totale geluksniveau dat uit een handeling volgt centraal staat (Van Melle &amp; </w:t>
      </w:r>
      <w:proofErr w:type="spellStart"/>
      <w:r w:rsidRPr="00371492">
        <w:rPr>
          <w:rFonts w:ascii="Corbel" w:eastAsia="Tahoma" w:hAnsi="Corbel" w:cs="Tahoma"/>
          <w:sz w:val="20"/>
        </w:rPr>
        <w:t>Zilfhout</w:t>
      </w:r>
      <w:proofErr w:type="spellEnd"/>
      <w:r w:rsidRPr="00371492">
        <w:rPr>
          <w:rFonts w:ascii="Corbel" w:eastAsia="Tahoma" w:hAnsi="Corbel" w:cs="Tahoma"/>
          <w:sz w:val="20"/>
        </w:rPr>
        <w:t xml:space="preserve">, 2012). Dit is de kerngedachte van de ethische stroming van het utilisme: een vorm van </w:t>
      </w:r>
      <w:proofErr w:type="spellStart"/>
      <w:r w:rsidRPr="00371492">
        <w:rPr>
          <w:rFonts w:ascii="Corbel" w:eastAsia="Tahoma" w:hAnsi="Corbel" w:cs="Tahoma"/>
          <w:sz w:val="20"/>
        </w:rPr>
        <w:t>consequentialisme</w:t>
      </w:r>
      <w:proofErr w:type="spellEnd"/>
      <w:r w:rsidRPr="00371492">
        <w:rPr>
          <w:rFonts w:ascii="Corbel" w:eastAsia="Tahoma" w:hAnsi="Corbel" w:cs="Tahoma"/>
          <w:sz w:val="20"/>
        </w:rPr>
        <w:t xml:space="preserve"> of gevolgethiek. Een handeling is juist vanuit het utilisme als deze de goede utiliteit, of ‘nut’, realiseert of bevordert. Hieronder wordt het </w:t>
      </w:r>
      <w:r w:rsidRPr="00371492">
        <w:rPr>
          <w:rFonts w:ascii="Corbel" w:eastAsia="Tahoma" w:hAnsi="Corbel" w:cs="Tahoma"/>
          <w:i/>
          <w:sz w:val="20"/>
        </w:rPr>
        <w:t>maximaliseren</w:t>
      </w:r>
      <w:r w:rsidRPr="00371492">
        <w:rPr>
          <w:rFonts w:ascii="Corbel" w:eastAsia="Tahoma" w:hAnsi="Corbel" w:cs="Tahoma"/>
          <w:sz w:val="20"/>
        </w:rPr>
        <w:t xml:space="preserve"> van het </w:t>
      </w:r>
      <w:r w:rsidRPr="00371492">
        <w:rPr>
          <w:rFonts w:ascii="Corbel" w:eastAsia="Tahoma" w:hAnsi="Corbel" w:cs="Tahoma"/>
          <w:i/>
          <w:sz w:val="20"/>
        </w:rPr>
        <w:t>geluk</w:t>
      </w:r>
      <w:r w:rsidRPr="00371492">
        <w:rPr>
          <w:rFonts w:ascii="Corbel" w:eastAsia="Tahoma" w:hAnsi="Corbel" w:cs="Tahoma"/>
          <w:sz w:val="20"/>
        </w:rPr>
        <w:t xml:space="preserve"> voor zoveel mogelijk mensen verstaan. Het utilisme stelt dat beleid gerechtvaardigd is als dit in dienst staat van het verhogen van het algemeen geluksniveau, zoals (nationale) veiligheid. Hierbij wordt een kosten-baten afweging gemaakt, ook wel de hedonistische- of utilistische calculus genoemd. Om deze reden is het utilisme dus een universalistische en onpartijdige theorie. De overheid bekijkt wat het ‘beste’ is om te doen voor de samenleving als geheel, in het licht van de utiliteit van de handeling. De utilistische verdediging vanuit de overheid is niet verwonderlijk. In een objectieve toon spreekt zij over de noodzaak van de maatregelen om op die manier beleid vorm te geven. Hierin maakt zij een berekende overweging wat maatschappelijk gezien het beste is om te doen in een situatie, hetgeen bij uitstek de taak is van de overheid.</w:t>
      </w:r>
    </w:p>
    <w:p w14:paraId="4D8C62B0" w14:textId="77777777" w:rsidR="00F2603E" w:rsidRPr="00371492" w:rsidRDefault="00F2603E" w:rsidP="00F2603E">
      <w:pPr>
        <w:spacing w:line="360" w:lineRule="auto"/>
        <w:ind w:firstLine="709"/>
        <w:jc w:val="both"/>
        <w:rPr>
          <w:rFonts w:ascii="Corbel" w:eastAsia="Tahoma" w:hAnsi="Corbel" w:cs="Tahoma"/>
          <w:sz w:val="20"/>
        </w:rPr>
      </w:pPr>
      <w:proofErr w:type="spellStart"/>
      <w:r w:rsidRPr="00371492">
        <w:rPr>
          <w:rFonts w:ascii="Corbel" w:eastAsia="Tahoma" w:hAnsi="Corbel" w:cs="Tahoma"/>
          <w:sz w:val="20"/>
        </w:rPr>
        <w:t>Bentham</w:t>
      </w:r>
      <w:proofErr w:type="spellEnd"/>
      <w:r w:rsidRPr="00371492">
        <w:rPr>
          <w:rFonts w:ascii="Corbel" w:eastAsia="Tahoma" w:hAnsi="Corbel" w:cs="Tahoma"/>
          <w:sz w:val="20"/>
        </w:rPr>
        <w:t xml:space="preserve"> werkte aan een filosofische rechtvaardiging voor hervormingen op sociaal en juridisch gebied. Meer specifiek onderzocht hij de door de Engelse overheid gevoerde rentepolitiek en strafrechtvaardiging (</w:t>
      </w:r>
      <w:proofErr w:type="spellStart"/>
      <w:r w:rsidRPr="00371492">
        <w:rPr>
          <w:rFonts w:ascii="Corbel" w:eastAsia="Tahoma" w:hAnsi="Corbel" w:cs="Tahoma"/>
          <w:sz w:val="20"/>
        </w:rPr>
        <w:t>Cimmins</w:t>
      </w:r>
      <w:proofErr w:type="spellEnd"/>
      <w:r w:rsidRPr="00371492">
        <w:rPr>
          <w:rFonts w:ascii="Corbel" w:eastAsia="Tahoma" w:hAnsi="Corbel" w:cs="Tahoma"/>
          <w:sz w:val="20"/>
        </w:rPr>
        <w:t xml:space="preserve">, 2017). Waar het gangbaar was beleid te rechtvaardigen op basis van religieuze overwegingen of eigenbelang van de bestuurders, kwam </w:t>
      </w:r>
      <w:proofErr w:type="spellStart"/>
      <w:r w:rsidRPr="00371492">
        <w:rPr>
          <w:rFonts w:ascii="Corbel" w:eastAsia="Tahoma" w:hAnsi="Corbel" w:cs="Tahoma"/>
          <w:sz w:val="20"/>
        </w:rPr>
        <w:t>Bentham</w:t>
      </w:r>
      <w:proofErr w:type="spellEnd"/>
      <w:r w:rsidRPr="00371492">
        <w:rPr>
          <w:rFonts w:ascii="Corbel" w:eastAsia="Tahoma" w:hAnsi="Corbel" w:cs="Tahoma"/>
          <w:sz w:val="20"/>
        </w:rPr>
        <w:t xml:space="preserve"> naar voren met het utiliteitsprincipe.</w:t>
      </w:r>
      <w:r w:rsidRPr="00371492">
        <w:rPr>
          <w:rFonts w:ascii="Corbel" w:hAnsi="Corbel" w:cs="Tahoma"/>
          <w:sz w:val="20"/>
        </w:rPr>
        <w:t xml:space="preserve"> </w:t>
      </w:r>
      <w:r w:rsidRPr="00371492">
        <w:rPr>
          <w:rFonts w:ascii="Corbel" w:eastAsia="Tahoma" w:hAnsi="Corbel" w:cs="Tahoma"/>
          <w:sz w:val="20"/>
        </w:rPr>
        <w:t xml:space="preserve">Het utilisme beoordeelt handelingen (op basis van de gevolgen ervan) in plaats van houdingen. Eventuele bezwaren op basis van religie of principes worden door </w:t>
      </w:r>
      <w:proofErr w:type="spellStart"/>
      <w:r w:rsidRPr="00371492">
        <w:rPr>
          <w:rFonts w:ascii="Corbel" w:eastAsia="Tahoma" w:hAnsi="Corbel" w:cs="Tahoma"/>
          <w:sz w:val="20"/>
        </w:rPr>
        <w:t>Bentham</w:t>
      </w:r>
      <w:proofErr w:type="spellEnd"/>
      <w:r w:rsidRPr="00371492">
        <w:rPr>
          <w:rFonts w:ascii="Corbel" w:eastAsia="Tahoma" w:hAnsi="Corbel" w:cs="Tahoma"/>
          <w:sz w:val="20"/>
        </w:rPr>
        <w:t xml:space="preserve"> als onbewezen geacht en dus niet houdbaar. Een beoordeling volgens het utilisme gebeurt op basis van het nut dat deze voor de samenleving heeft. Vanuit dit gedachtegoed verdedigde hij de rentepolitiek omdat deze economische activiteit en dus welvaart stimuleerde, alsmede de strafrechtvaardiging omdat de intimiderende werking positieve gevolgen heeft voor de maatschappij. </w:t>
      </w:r>
    </w:p>
    <w:p w14:paraId="1DB2E65C" w14:textId="77777777" w:rsidR="00F2603E" w:rsidRPr="00371492" w:rsidRDefault="00F2603E" w:rsidP="00F2603E">
      <w:pPr>
        <w:spacing w:line="360" w:lineRule="auto"/>
        <w:jc w:val="both"/>
        <w:rPr>
          <w:rFonts w:ascii="Corbel" w:eastAsia="Tahoma" w:hAnsi="Corbel" w:cs="Tahoma"/>
          <w:sz w:val="20"/>
        </w:rPr>
      </w:pPr>
      <w:r w:rsidRPr="00371492">
        <w:rPr>
          <w:rFonts w:ascii="Corbel" w:hAnsi="Corbel" w:cs="Tahoma"/>
          <w:sz w:val="20"/>
        </w:rPr>
        <w:tab/>
      </w:r>
      <w:r w:rsidRPr="00371492">
        <w:rPr>
          <w:rFonts w:ascii="Corbel" w:eastAsia="Tahoma" w:hAnsi="Corbel" w:cs="Tahoma"/>
          <w:sz w:val="20"/>
        </w:rPr>
        <w:t xml:space="preserve">Vanuit het utilisme worden handelingen beoordeeld op basis van hun nut. Anders gezegd beoordeelt het utilisme handelingen als instrumenteel waardevol. Het criterium voor </w:t>
      </w:r>
      <w:proofErr w:type="spellStart"/>
      <w:r w:rsidRPr="00371492">
        <w:rPr>
          <w:rFonts w:ascii="Corbel" w:eastAsia="Tahoma" w:hAnsi="Corbel" w:cs="Tahoma"/>
          <w:sz w:val="20"/>
        </w:rPr>
        <w:t>Bentham</w:t>
      </w:r>
      <w:proofErr w:type="spellEnd"/>
      <w:r w:rsidRPr="00371492">
        <w:rPr>
          <w:rFonts w:ascii="Corbel" w:eastAsia="Tahoma" w:hAnsi="Corbel" w:cs="Tahoma"/>
          <w:sz w:val="20"/>
        </w:rPr>
        <w:t xml:space="preserve"> om handelingen te beoordelen vormt het </w:t>
      </w:r>
      <w:r w:rsidRPr="00371492">
        <w:rPr>
          <w:rFonts w:ascii="Corbel" w:eastAsia="Tahoma" w:hAnsi="Corbel" w:cs="Tahoma"/>
          <w:i/>
          <w:iCs/>
          <w:sz w:val="20"/>
        </w:rPr>
        <w:t>utiliteitsprincipe</w:t>
      </w:r>
      <w:r w:rsidRPr="00371492">
        <w:rPr>
          <w:rFonts w:ascii="Corbel" w:eastAsia="Tahoma" w:hAnsi="Corbel" w:cs="Tahoma"/>
          <w:sz w:val="20"/>
        </w:rPr>
        <w:t>: het doel is zoveel mogelijk nut voor zoveel mogelijk mensen</w:t>
      </w:r>
      <w:r w:rsidRPr="00371492">
        <w:rPr>
          <w:rStyle w:val="Voetnootmarkering"/>
          <w:rFonts w:ascii="Corbel" w:eastAsia="Tahoma" w:hAnsi="Corbel" w:cs="Tahoma"/>
          <w:sz w:val="20"/>
        </w:rPr>
        <w:footnoteReference w:id="6"/>
      </w:r>
      <w:r w:rsidRPr="00371492">
        <w:rPr>
          <w:rFonts w:ascii="Corbel" w:eastAsia="Tahoma" w:hAnsi="Corbel" w:cs="Tahoma"/>
          <w:sz w:val="20"/>
        </w:rPr>
        <w:t xml:space="preserve"> te realiseren. Dit principe stelt dat handelingen beoordeeld worden op de mate van ‘geluk’ die zij brengt voor zoveel mogelijk mensen. Kort gezegd is plezier volgens het utilisme nastrevenswaardig en moet pijn vermeden worden. Het is belangrijk op te merken dat over de invulling van deze twee centrale termen discussie mogelijk is. In de selectie voor deze termen komt de afwijzing van principes en religie naar voren, want pijn en plezier zijn </w:t>
      </w:r>
      <w:r w:rsidRPr="00371492">
        <w:rPr>
          <w:rFonts w:ascii="Corbel" w:eastAsia="Tahoma" w:hAnsi="Corbel" w:cs="Tahoma"/>
          <w:sz w:val="20"/>
        </w:rPr>
        <w:lastRenderedPageBreak/>
        <w:t xml:space="preserve">empirische gegevens (en dus het enige juiste criterium) aldus </w:t>
      </w:r>
      <w:proofErr w:type="spellStart"/>
      <w:r w:rsidRPr="00371492">
        <w:rPr>
          <w:rFonts w:ascii="Corbel" w:eastAsia="Tahoma" w:hAnsi="Corbel" w:cs="Tahoma"/>
          <w:sz w:val="20"/>
        </w:rPr>
        <w:t>Bentham</w:t>
      </w:r>
      <w:proofErr w:type="spellEnd"/>
      <w:r w:rsidRPr="00371492">
        <w:rPr>
          <w:rFonts w:ascii="Corbel" w:eastAsia="Tahoma" w:hAnsi="Corbel" w:cs="Tahoma"/>
          <w:sz w:val="20"/>
        </w:rPr>
        <w:t xml:space="preserve">. De volgende stap in de utilistische logica is het maken van een kosten-batenafweging, ook wel de hedonistische- of utilistische calculus genoemd. Volgens </w:t>
      </w:r>
      <w:proofErr w:type="spellStart"/>
      <w:r w:rsidRPr="00371492">
        <w:rPr>
          <w:rFonts w:ascii="Corbel" w:eastAsia="Tahoma" w:hAnsi="Corbel" w:cs="Tahoma"/>
          <w:sz w:val="20"/>
        </w:rPr>
        <w:t>Bentham</w:t>
      </w:r>
      <w:proofErr w:type="spellEnd"/>
      <w:r w:rsidRPr="00371492">
        <w:rPr>
          <w:rFonts w:ascii="Corbel" w:eastAsia="Tahoma" w:hAnsi="Corbel" w:cs="Tahoma"/>
          <w:sz w:val="20"/>
        </w:rPr>
        <w:t xml:space="preserve"> is het mogelijk elk van deze centrale termen te wegen tegen elkaar om zo tot een kwantitatieve beoordeling van een handeling te komen. </w:t>
      </w:r>
    </w:p>
    <w:p w14:paraId="733C2AE4" w14:textId="77777777" w:rsidR="00F2603E" w:rsidRPr="00371492" w:rsidRDefault="00F2603E" w:rsidP="00F2603E">
      <w:pPr>
        <w:spacing w:line="360" w:lineRule="auto"/>
        <w:ind w:firstLine="708"/>
        <w:jc w:val="both"/>
        <w:rPr>
          <w:rFonts w:ascii="Corbel" w:eastAsia="Tahoma" w:hAnsi="Corbel" w:cs="Tahoma"/>
          <w:sz w:val="20"/>
        </w:rPr>
      </w:pPr>
      <w:r w:rsidRPr="00371492">
        <w:rPr>
          <w:rFonts w:ascii="Corbel" w:eastAsia="Tahoma" w:hAnsi="Corbel" w:cs="Tahoma"/>
          <w:sz w:val="20"/>
        </w:rPr>
        <w:t xml:space="preserve">De filosofische onderbouwing van </w:t>
      </w:r>
      <w:proofErr w:type="spellStart"/>
      <w:r w:rsidRPr="00371492">
        <w:rPr>
          <w:rFonts w:ascii="Corbel" w:eastAsia="Tahoma" w:hAnsi="Corbel" w:cs="Tahoma"/>
          <w:sz w:val="20"/>
        </w:rPr>
        <w:t>Bentham</w:t>
      </w:r>
      <w:proofErr w:type="spellEnd"/>
      <w:r w:rsidRPr="00371492">
        <w:rPr>
          <w:rFonts w:ascii="Corbel" w:eastAsia="Tahoma" w:hAnsi="Corbel" w:cs="Tahoma"/>
          <w:sz w:val="20"/>
        </w:rPr>
        <w:t xml:space="preserve"> kreeg op een aantal punten kritiek te verwerken. Ten eerste werd het een zwijnenfilosofie (</w:t>
      </w:r>
      <w:proofErr w:type="spellStart"/>
      <w:r w:rsidRPr="00371492">
        <w:rPr>
          <w:rFonts w:ascii="Corbel" w:eastAsia="Tahoma" w:hAnsi="Corbel" w:cs="Tahoma"/>
          <w:sz w:val="20"/>
        </w:rPr>
        <w:t>pig-philosophy</w:t>
      </w:r>
      <w:proofErr w:type="spellEnd"/>
      <w:r w:rsidRPr="00371492">
        <w:rPr>
          <w:rFonts w:ascii="Corbel" w:eastAsia="Tahoma" w:hAnsi="Corbel" w:cs="Tahoma"/>
          <w:sz w:val="20"/>
        </w:rPr>
        <w:t xml:space="preserve">) genoemd, aangezien het utilisme geluk gelijkstelt aan nut. Dit betekent dat er alleen kwantitatieve verschillen zijn tussen geluk en geen kwalitatieve (Van Melle &amp; </w:t>
      </w:r>
      <w:proofErr w:type="spellStart"/>
      <w:r w:rsidRPr="00371492">
        <w:rPr>
          <w:rFonts w:ascii="Corbel" w:eastAsia="Tahoma" w:hAnsi="Corbel" w:cs="Tahoma"/>
          <w:sz w:val="20"/>
        </w:rPr>
        <w:t>Zilfhout</w:t>
      </w:r>
      <w:proofErr w:type="spellEnd"/>
      <w:r w:rsidRPr="00371492">
        <w:rPr>
          <w:rFonts w:ascii="Corbel" w:eastAsia="Tahoma" w:hAnsi="Corbel" w:cs="Tahoma"/>
          <w:sz w:val="20"/>
        </w:rPr>
        <w:t xml:space="preserve">, 2012, p. 99). Andere bedenkingen zijn dat uit deze vorm van utilisme volgt dat niets intrinsiek waardevol is. Ten slotte zijn er vraagtekens te zetten bij het puur kwantitatief beoordelen van handelingen. </w:t>
      </w:r>
      <w:proofErr w:type="spellStart"/>
      <w:r w:rsidRPr="00371492">
        <w:rPr>
          <w:rFonts w:ascii="Corbel" w:eastAsia="Tahoma" w:hAnsi="Corbel" w:cs="Tahoma"/>
          <w:sz w:val="20"/>
        </w:rPr>
        <w:t>Benthams</w:t>
      </w:r>
      <w:proofErr w:type="spellEnd"/>
      <w:r w:rsidRPr="00371492">
        <w:rPr>
          <w:rFonts w:ascii="Corbel" w:eastAsia="Tahoma" w:hAnsi="Corbel" w:cs="Tahoma"/>
          <w:sz w:val="20"/>
        </w:rPr>
        <w:t xml:space="preserve"> tijdgenoot Mill neemt deze kritiek mee in het verder ontwikkelen van het utilisme.</w:t>
      </w:r>
    </w:p>
    <w:p w14:paraId="66465401" w14:textId="0935ABD9" w:rsidR="00F2603E" w:rsidRPr="00371492" w:rsidRDefault="00F2603E" w:rsidP="00F2603E">
      <w:pPr>
        <w:spacing w:line="360" w:lineRule="auto"/>
        <w:ind w:firstLine="708"/>
        <w:jc w:val="both"/>
        <w:rPr>
          <w:rFonts w:ascii="Corbel" w:eastAsia="Tahoma" w:hAnsi="Corbel" w:cs="Tahoma"/>
          <w:sz w:val="20"/>
        </w:rPr>
      </w:pPr>
      <w:r w:rsidRPr="00371492">
        <w:rPr>
          <w:rFonts w:ascii="Corbel" w:eastAsia="Tahoma" w:hAnsi="Corbel" w:cs="Tahoma"/>
          <w:sz w:val="20"/>
        </w:rPr>
        <w:t xml:space="preserve">Mill wijkt van </w:t>
      </w:r>
      <w:proofErr w:type="spellStart"/>
      <w:r w:rsidRPr="00371492">
        <w:rPr>
          <w:rFonts w:ascii="Corbel" w:eastAsia="Tahoma" w:hAnsi="Corbel" w:cs="Tahoma"/>
          <w:sz w:val="20"/>
        </w:rPr>
        <w:t>Bentham</w:t>
      </w:r>
      <w:proofErr w:type="spellEnd"/>
      <w:r w:rsidRPr="00371492">
        <w:rPr>
          <w:rFonts w:ascii="Corbel" w:eastAsia="Tahoma" w:hAnsi="Corbel" w:cs="Tahoma"/>
          <w:sz w:val="20"/>
        </w:rPr>
        <w:t xml:space="preserve"> af door te erkennen dat handelingen ook intrinsiek waardevol kunnen zijn. </w:t>
      </w:r>
      <w:proofErr w:type="gramStart"/>
      <w:r w:rsidRPr="00371492">
        <w:rPr>
          <w:rFonts w:ascii="Corbel" w:eastAsia="Tahoma" w:hAnsi="Corbel" w:cs="Tahoma"/>
          <w:sz w:val="20"/>
        </w:rPr>
        <w:t>Hier op</w:t>
      </w:r>
      <w:proofErr w:type="gramEnd"/>
      <w:r w:rsidRPr="00371492">
        <w:rPr>
          <w:rFonts w:ascii="Corbel" w:eastAsia="Tahoma" w:hAnsi="Corbel" w:cs="Tahoma"/>
          <w:sz w:val="20"/>
        </w:rPr>
        <w:t xml:space="preserve"> voortbordurend zijn er volgens Mill ook kwalitatieve verschillen mogelijk tussen activiteiten. Mill doet dit door een onderscheid aan te brengen tussen hoger en lager plezier (zintuigen versus moraal/intellect/verbeelding bijvoorbeeld). Mill deelde het idee van </w:t>
      </w:r>
      <w:proofErr w:type="spellStart"/>
      <w:r w:rsidRPr="00371492">
        <w:rPr>
          <w:rFonts w:ascii="Corbel" w:eastAsia="Tahoma" w:hAnsi="Corbel" w:cs="Tahoma"/>
          <w:sz w:val="20"/>
        </w:rPr>
        <w:t>Bentham</w:t>
      </w:r>
      <w:proofErr w:type="spellEnd"/>
      <w:r w:rsidRPr="00371492">
        <w:rPr>
          <w:rFonts w:ascii="Corbel" w:eastAsia="Tahoma" w:hAnsi="Corbel" w:cs="Tahoma"/>
          <w:sz w:val="20"/>
        </w:rPr>
        <w:t xml:space="preserve"> dat er buiten empirische gegevens, waarmee de ervaringen van pijn en plezier worden bedoeld, geen hoger criterium is voor het beoordelen van activiteiten. De onderbouwing van het bestaan van kwalitatieve verschillen tussen activiteiten is een problematisch punt voor utilisten, zolang dit uitgangspunt centraal blijft staan. De verdediging die Mill </w:t>
      </w:r>
      <w:r w:rsidR="00AF35B4" w:rsidRPr="00371492">
        <w:rPr>
          <w:rFonts w:ascii="Corbel" w:eastAsia="Tahoma" w:hAnsi="Corbel" w:cs="Tahoma"/>
          <w:sz w:val="20"/>
        </w:rPr>
        <w:t>hiervoor</w:t>
      </w:r>
      <w:r w:rsidRPr="00371492">
        <w:rPr>
          <w:rFonts w:ascii="Corbel" w:eastAsia="Tahoma" w:hAnsi="Corbel" w:cs="Tahoma"/>
          <w:sz w:val="20"/>
        </w:rPr>
        <w:t xml:space="preserve"> optuigt vindt zijn basis in een aanname, namelijk een optim</w:t>
      </w:r>
      <w:r w:rsidRPr="009F7B6B">
        <w:rPr>
          <w:rFonts w:ascii="Corbel" w:eastAsia="Tahoma" w:hAnsi="Corbel" w:cs="Tahoma"/>
          <w:color w:val="000000" w:themeColor="text1"/>
          <w:sz w:val="20"/>
        </w:rPr>
        <w:t>istisch mensbeeld (</w:t>
      </w:r>
      <w:r w:rsidR="009F7B6B">
        <w:rPr>
          <w:rFonts w:ascii="Corbel" w:eastAsia="Tahoma" w:hAnsi="Corbel" w:cs="Tahoma"/>
          <w:color w:val="000000" w:themeColor="text1"/>
          <w:sz w:val="20"/>
        </w:rPr>
        <w:t>Becker, 2007</w:t>
      </w:r>
      <w:r w:rsidR="00187B14" w:rsidRPr="009F7B6B">
        <w:rPr>
          <w:rFonts w:ascii="Corbel" w:eastAsia="Tahoma" w:hAnsi="Corbel" w:cs="Tahoma"/>
          <w:color w:val="000000" w:themeColor="text1"/>
          <w:sz w:val="20"/>
        </w:rPr>
        <w:t>, p.</w:t>
      </w:r>
      <w:r w:rsidR="009F7B6B" w:rsidRPr="009F7B6B">
        <w:rPr>
          <w:rFonts w:ascii="Corbel" w:eastAsia="Tahoma" w:hAnsi="Corbel" w:cs="Tahoma"/>
          <w:color w:val="000000" w:themeColor="text1"/>
          <w:sz w:val="20"/>
        </w:rPr>
        <w:t xml:space="preserve"> 44-46</w:t>
      </w:r>
      <w:r w:rsidRPr="009F7B6B">
        <w:rPr>
          <w:rFonts w:ascii="Corbel" w:eastAsia="Tahoma" w:hAnsi="Corbel" w:cs="Tahoma"/>
          <w:color w:val="000000" w:themeColor="text1"/>
          <w:sz w:val="20"/>
        </w:rPr>
        <w:t xml:space="preserve">). </w:t>
      </w:r>
      <w:r w:rsidRPr="00371492">
        <w:rPr>
          <w:rFonts w:ascii="Corbel" w:eastAsia="Tahoma" w:hAnsi="Corbel" w:cs="Tahoma"/>
          <w:sz w:val="20"/>
        </w:rPr>
        <w:t>Tevens stelt hij dat ‘competente rechters’ in staat zijn om een oordeel te vellen over verschillen tussen hogere en lagere vormen van plezier. Dit is een spanning die uiteindelijk heeft geleid tot de opkomst van het preferentie-utilisme, waarbij niet de ervaring van geluk maar de voorkeuren van de betrokkenen centraal gesteld worden. Door de voorkeuren meer centraal te stellen wordt de grote nadruk op het simplistische mensbeeld meer naar de achtergrond verschoven.</w:t>
      </w:r>
      <w:r w:rsidR="00241BA2">
        <w:rPr>
          <w:rFonts w:ascii="Corbel" w:eastAsia="Tahoma" w:hAnsi="Corbel" w:cs="Tahoma"/>
          <w:sz w:val="20"/>
        </w:rPr>
        <w:t xml:space="preserve"> Hieruit ontstaan een andere vorm van utilisme, te kennen het preferentie-utilisme. Centraal staat dat mensen het goede doen, wat niet logischerwijs samen hoeft te vallen met een bepaald nut. </w:t>
      </w:r>
      <w:r w:rsidRPr="00371492">
        <w:rPr>
          <w:rFonts w:ascii="Corbel" w:eastAsia="Tahoma" w:hAnsi="Corbel" w:cs="Tahoma"/>
          <w:sz w:val="20"/>
        </w:rPr>
        <w:t xml:space="preserve">Maar ook hier komen dezelfde knelpunten terug, die al eerder gepresenteerd zijn als kritiek op het utilisme. Door de grote rol die is weggelegd voor subjectieve ervaringen en de afwijzing van andere criteria ter beoordeling van handelen is een inhoudelijke discussie op basis van het utilisme niet vruchtbaar. </w:t>
      </w:r>
    </w:p>
    <w:p w14:paraId="331188D9" w14:textId="77777777" w:rsidR="00F2603E" w:rsidRPr="00371492" w:rsidRDefault="00F2603E" w:rsidP="00F2603E">
      <w:pPr>
        <w:spacing w:line="360" w:lineRule="auto"/>
        <w:jc w:val="both"/>
        <w:rPr>
          <w:rFonts w:ascii="Corbel" w:hAnsi="Corbel" w:cs="Tahoma"/>
          <w:sz w:val="20"/>
        </w:rPr>
      </w:pPr>
    </w:p>
    <w:p w14:paraId="42BBC88B" w14:textId="5C142E18" w:rsidR="00F2603E" w:rsidRPr="00371492" w:rsidRDefault="00F2603E" w:rsidP="00510131">
      <w:pPr>
        <w:pStyle w:val="Stijl2"/>
        <w:rPr>
          <w:rFonts w:eastAsia="Tahoma"/>
        </w:rPr>
      </w:pPr>
      <w:bookmarkStart w:id="26" w:name="_Toc485990866"/>
      <w:r w:rsidRPr="00371492">
        <w:rPr>
          <w:rFonts w:eastAsia="Tahoma"/>
        </w:rPr>
        <w:t xml:space="preserve">3.3 </w:t>
      </w:r>
      <w:r w:rsidRPr="00371492">
        <w:rPr>
          <w:rFonts w:eastAsia="Tahoma"/>
        </w:rPr>
        <w:tab/>
        <w:t>Deontologie</w:t>
      </w:r>
      <w:bookmarkEnd w:id="26"/>
    </w:p>
    <w:p w14:paraId="390962EC" w14:textId="77777777" w:rsidR="00F2603E" w:rsidRPr="00371492" w:rsidRDefault="00F2603E" w:rsidP="00F2603E">
      <w:pPr>
        <w:spacing w:line="360" w:lineRule="auto"/>
        <w:jc w:val="both"/>
        <w:rPr>
          <w:rFonts w:ascii="Corbel" w:eastAsia="Tahoma" w:hAnsi="Corbel" w:cs="Tahoma"/>
          <w:sz w:val="20"/>
        </w:rPr>
      </w:pPr>
      <w:r w:rsidRPr="00371492">
        <w:rPr>
          <w:rFonts w:ascii="Corbel" w:eastAsia="Tahoma" w:hAnsi="Corbel" w:cs="Tahoma"/>
          <w:sz w:val="20"/>
        </w:rPr>
        <w:t xml:space="preserve">De plichtsethiek, ook wel deontologie genoemd, van </w:t>
      </w:r>
      <w:proofErr w:type="spellStart"/>
      <w:r w:rsidRPr="00371492">
        <w:rPr>
          <w:rFonts w:ascii="Corbel" w:eastAsia="Tahoma" w:hAnsi="Corbel" w:cs="Tahoma"/>
          <w:sz w:val="20"/>
        </w:rPr>
        <w:t>Immanuel</w:t>
      </w:r>
      <w:proofErr w:type="spellEnd"/>
      <w:r w:rsidRPr="00371492">
        <w:rPr>
          <w:rFonts w:ascii="Corbel" w:eastAsia="Tahoma" w:hAnsi="Corbel" w:cs="Tahoma"/>
          <w:sz w:val="20"/>
        </w:rPr>
        <w:t xml:space="preserve"> Kant (1724-1804) formuleert een noodzakelijk goede en universeel geldige ethiek (Becker, 2007). De wijze waarop de plichtsethiek dit vormgeeft doet een beroep op het verstand en de goede wil. Deze ethische stroming gaat ervan uit dat mensen morele plichten hebben, losstaand van de gevolgen van handelen. De deontologie scheidt empirische gegevens, emotie en instrumenteel handelen scherp van de rationeel vormgegeven plichten. Deze vorm van moraliteit is om deze reden intrinsiek goed. Volgens Kant is ‘de goede wil’ het enige motief dat absoluut goed is. Uit de kritiek op het utilisme komt naar voren dat het geen </w:t>
      </w:r>
      <w:r w:rsidRPr="00371492">
        <w:rPr>
          <w:rFonts w:ascii="Corbel" w:eastAsia="Tahoma" w:hAnsi="Corbel" w:cs="Tahoma"/>
          <w:sz w:val="20"/>
          <w:szCs w:val="20"/>
        </w:rPr>
        <w:t xml:space="preserve">houvast biedt, aangezien het zich baseert op subjectieve gevoelens. Kant stelt dat het redelijke verstand de juiste bron is voor een geldige ethiek. </w:t>
      </w:r>
      <w:r w:rsidRPr="00371492">
        <w:rPr>
          <w:rFonts w:ascii="Corbel" w:hAnsi="Corbel"/>
          <w:sz w:val="20"/>
          <w:szCs w:val="20"/>
        </w:rPr>
        <w:t xml:space="preserve">Kant kijkt naar de mens in zoverre zij </w:t>
      </w:r>
      <w:r w:rsidRPr="00371492">
        <w:rPr>
          <w:rFonts w:ascii="Corbel" w:hAnsi="Corbel"/>
          <w:sz w:val="20"/>
          <w:szCs w:val="20"/>
        </w:rPr>
        <w:lastRenderedPageBreak/>
        <w:t>een redelijk wezen is. Dat is goed om in je achterhoofd te houden. Een mens heeft de potentie om een redelijk wezen te zijn maar kan ook kiezen, met zijn menselijk verstand, om dat niet te doen.</w:t>
      </w:r>
      <w:r w:rsidRPr="00371492">
        <w:rPr>
          <w:rFonts w:ascii="Corbel" w:eastAsia="Tahoma" w:hAnsi="Corbel" w:cs="Tahoma"/>
          <w:sz w:val="20"/>
          <w:szCs w:val="20"/>
        </w:rPr>
        <w:t xml:space="preserve"> Vanuit de goede wil ervaart de vrije en rationele mens plichtsbesef. Dit houdt in dat sommige zaken zich aan iemand opdringen omdat het ‘moet’. Het plichtsbesef is terug te voeren op dieper gelegen principes. Maar wat is de goede wil en wat zijn die principes nu eigenlijk?</w:t>
      </w:r>
    </w:p>
    <w:p w14:paraId="3824DD30" w14:textId="17259F92" w:rsidR="00F2603E" w:rsidRPr="00371492" w:rsidRDefault="00F2603E" w:rsidP="00F2603E">
      <w:pPr>
        <w:spacing w:line="360" w:lineRule="auto"/>
        <w:ind w:firstLine="708"/>
        <w:jc w:val="both"/>
        <w:rPr>
          <w:rFonts w:ascii="Corbel" w:eastAsia="Tahoma" w:hAnsi="Corbel" w:cs="Tahoma"/>
          <w:color w:val="FF0000"/>
          <w:sz w:val="20"/>
        </w:rPr>
      </w:pPr>
      <w:r w:rsidRPr="00371492">
        <w:rPr>
          <w:rFonts w:ascii="Corbel" w:eastAsia="Tahoma" w:hAnsi="Corbel" w:cs="Tahoma"/>
          <w:sz w:val="20"/>
        </w:rPr>
        <w:t>Als instrument wijst Kant ons op de ‘maximes’ die ten grondslag liggen aan een bepaalde plicht. De maximes komen voort uit een beoordelingskader dat intrinsiek goed is, aangezien Kant op zoek is naar een fundamenteel goede en geldige ethiek.</w:t>
      </w:r>
      <w:r w:rsidR="006B645D">
        <w:rPr>
          <w:rFonts w:ascii="Corbel" w:eastAsia="Tahoma" w:hAnsi="Corbel" w:cs="Tahoma"/>
          <w:sz w:val="20"/>
        </w:rPr>
        <w:t xml:space="preserve"> Het deontologische beoordelingskader is intrinsiek goed aangezien het voortbouwt op de zogenaamde ‘categorische imperatief’: </w:t>
      </w:r>
      <w:r w:rsidRPr="00371492">
        <w:rPr>
          <w:rFonts w:ascii="Corbel" w:eastAsia="Tahoma" w:hAnsi="Corbel" w:cs="Tahoma"/>
          <w:sz w:val="20"/>
        </w:rPr>
        <w:t>een gebod dat stelt dat de handelingen die je verricht geaccepteerd moeten kunnen worden als algemene wet.</w:t>
      </w:r>
      <w:r w:rsidRPr="00371492">
        <w:rPr>
          <w:rFonts w:ascii="Corbel" w:eastAsia="Tahoma" w:hAnsi="Corbel" w:cs="Tahoma"/>
          <w:color w:val="FF0000"/>
          <w:sz w:val="20"/>
        </w:rPr>
        <w:t xml:space="preserve"> </w:t>
      </w:r>
      <w:r w:rsidRPr="00371492">
        <w:rPr>
          <w:rFonts w:ascii="Corbel" w:eastAsia="Tahoma" w:hAnsi="Corbel" w:cs="Tahoma"/>
          <w:sz w:val="20"/>
        </w:rPr>
        <w:t>De deontologie vormt in een zekere zin een moreel anker voor beleid, waarin veel is toegestaan maar een aantal zaken categorisch verboden zijn. Bij het vormen van het beleid moet men zich afvragen of het onderliggende principe (maxime) door de negatieve test van het handelingskader komt wat hierboven is geschetst.</w:t>
      </w:r>
      <w:r w:rsidR="006C74E3" w:rsidRPr="00371492">
        <w:rPr>
          <w:rFonts w:ascii="Corbel" w:eastAsia="Tahoma" w:hAnsi="Corbel" w:cs="Tahoma"/>
          <w:sz w:val="20"/>
        </w:rPr>
        <w:t xml:space="preserve"> </w:t>
      </w:r>
      <w:r w:rsidRPr="00371492">
        <w:rPr>
          <w:rFonts w:ascii="Corbel" w:eastAsia="Tahoma" w:hAnsi="Corbel" w:cs="Tahoma"/>
          <w:sz w:val="20"/>
        </w:rPr>
        <w:t xml:space="preserve">Een belangrijk deel van de deontologie richt zich op de bescherming van de waardigheid van de mens in zover zij een redelijk wezen is. Hierbij draait het voornamelijk om de beschadiging van fundamentele waarden, zoals privacy, vertrouwen en autonomie. Deze waarden vormen binnen de deontologie juist het vertrekpunt voor ethische juistheid. </w:t>
      </w:r>
    </w:p>
    <w:p w14:paraId="79465207" w14:textId="77777777" w:rsidR="00F2603E" w:rsidRPr="00371492" w:rsidRDefault="00F2603E" w:rsidP="00F2603E">
      <w:pPr>
        <w:spacing w:line="360" w:lineRule="auto"/>
        <w:ind w:firstLine="708"/>
        <w:jc w:val="both"/>
        <w:rPr>
          <w:rFonts w:ascii="Corbel" w:eastAsia="Tahoma" w:hAnsi="Corbel" w:cs="Tahoma"/>
          <w:sz w:val="20"/>
        </w:rPr>
      </w:pPr>
      <w:r w:rsidRPr="00371492">
        <w:rPr>
          <w:rFonts w:ascii="Corbel" w:eastAsia="Tahoma" w:hAnsi="Corbel" w:cs="Tahoma"/>
          <w:sz w:val="20"/>
        </w:rPr>
        <w:t xml:space="preserve">Een scherp verschil tussen het utilisme en de deontologie is dat de eerste theorie zich richt op de resultaten van handelingen en de tweede zich expliciet niet hierop richt maar juist op rationaliteit. De deontologie schrijft dus ook niet voor wat goede handelingen zijn, maar vormt een kader </w:t>
      </w:r>
      <w:proofErr w:type="gramStart"/>
      <w:r w:rsidRPr="00371492">
        <w:rPr>
          <w:rFonts w:ascii="Corbel" w:eastAsia="Tahoma" w:hAnsi="Corbel" w:cs="Tahoma"/>
          <w:sz w:val="20"/>
        </w:rPr>
        <w:t>voor goed</w:t>
      </w:r>
      <w:proofErr w:type="gramEnd"/>
      <w:r w:rsidRPr="00371492">
        <w:rPr>
          <w:rFonts w:ascii="Corbel" w:eastAsia="Tahoma" w:hAnsi="Corbel" w:cs="Tahoma"/>
          <w:sz w:val="20"/>
        </w:rPr>
        <w:t xml:space="preserve"> gedrag.</w:t>
      </w:r>
      <w:r w:rsidRPr="00371492">
        <w:t xml:space="preserve"> </w:t>
      </w:r>
      <w:r w:rsidRPr="00371492">
        <w:rPr>
          <w:rFonts w:ascii="Corbel" w:eastAsia="Tahoma" w:hAnsi="Corbel" w:cs="Tahoma"/>
          <w:sz w:val="20"/>
        </w:rPr>
        <w:t xml:space="preserve">De deontologie creëert een regel waardoor je in principe elke handeling kan goed- of afkeuren: zorg dat </w:t>
      </w:r>
      <w:proofErr w:type="gramStart"/>
      <w:r w:rsidRPr="00371492">
        <w:rPr>
          <w:rFonts w:ascii="Corbel" w:eastAsia="Tahoma" w:hAnsi="Corbel" w:cs="Tahoma"/>
          <w:sz w:val="20"/>
        </w:rPr>
        <w:t>de</w:t>
      </w:r>
      <w:proofErr w:type="gramEnd"/>
      <w:r w:rsidRPr="00371492">
        <w:rPr>
          <w:rFonts w:ascii="Corbel" w:eastAsia="Tahoma" w:hAnsi="Corbel" w:cs="Tahoma"/>
          <w:sz w:val="20"/>
        </w:rPr>
        <w:t xml:space="preserve"> maxime van je handeling in lijn is met de categorische imperatief. In deze zin geeft de deontologie meer vrijheid, omdat het utilisme elke handeling goed- of afkeurt. Een overeenkomst tussen het utilisme en de deontologie is dat ze beide (op uiteenlopende gronden) te veel eisen stelt. Het utilisme vraagt als ethische theorie dat men altijd al de gevolgen van het handelen overziet alsmede ook altijd bij te dragen aan algemeen welzijn. Bij de bespreking van de deontologische ethiek zagen we ook een onmenselijk eis, zij het van een heel andere aard. Het is goed voor te stellen dat de overgang van ideaaltypisch handelen (vanuit rationele plichten) naar de complexe praktijk van het handelen moeilijk is. Meer concreet blijkt de omgang met praktische situaties, waar (irrationele) emoties een belangrijke rol spelen, problematisch voor de deontologie. </w:t>
      </w:r>
    </w:p>
    <w:p w14:paraId="19C5BD59" w14:textId="77777777" w:rsidR="00F2603E" w:rsidRPr="00371492" w:rsidRDefault="00F2603E" w:rsidP="00F2603E">
      <w:pPr>
        <w:spacing w:line="360" w:lineRule="auto"/>
        <w:ind w:firstLine="708"/>
        <w:jc w:val="both"/>
        <w:rPr>
          <w:rFonts w:ascii="Corbel" w:eastAsia="Tahoma" w:hAnsi="Corbel" w:cs="Tahoma"/>
          <w:sz w:val="20"/>
        </w:rPr>
      </w:pPr>
    </w:p>
    <w:p w14:paraId="51FDBAE6" w14:textId="0A1D1A0B" w:rsidR="00F2603E" w:rsidRPr="00371492" w:rsidRDefault="00F2603E" w:rsidP="00510131">
      <w:pPr>
        <w:pStyle w:val="Stijl2"/>
        <w:rPr>
          <w:rFonts w:eastAsia="Tahoma"/>
        </w:rPr>
      </w:pPr>
      <w:bookmarkStart w:id="27" w:name="_Toc485990867"/>
      <w:r w:rsidRPr="00371492">
        <w:rPr>
          <w:rFonts w:eastAsia="Tahoma"/>
        </w:rPr>
        <w:t xml:space="preserve">3.4 </w:t>
      </w:r>
      <w:r w:rsidRPr="00371492">
        <w:rPr>
          <w:rFonts w:eastAsia="Tahoma"/>
        </w:rPr>
        <w:tab/>
        <w:t>Deugdethiek</w:t>
      </w:r>
      <w:bookmarkEnd w:id="27"/>
    </w:p>
    <w:p w14:paraId="0DF7F2E8" w14:textId="77777777" w:rsidR="00F2603E" w:rsidRPr="00371492" w:rsidRDefault="00F2603E" w:rsidP="00F2603E">
      <w:pPr>
        <w:spacing w:line="360" w:lineRule="auto"/>
        <w:jc w:val="both"/>
        <w:rPr>
          <w:rFonts w:ascii="Corbel" w:eastAsia="Garamond" w:hAnsi="Corbel" w:cs="Tahoma"/>
          <w:sz w:val="20"/>
        </w:rPr>
      </w:pPr>
      <w:r w:rsidRPr="00371492">
        <w:rPr>
          <w:rFonts w:ascii="Corbel" w:eastAsia="Garamond" w:hAnsi="Corbel" w:cs="Tahoma"/>
          <w:sz w:val="20"/>
        </w:rPr>
        <w:t xml:space="preserve">In tegenstelling tot het utilisme en de deontologie biedt de deugdethiek een minder rigide voorschrift voor het menselijk handelen. Deugdethiek is een normatieve ethische stroming waarin de rol van karakter en moreel gedrag een hoofdrol krijgt. Een equivalent van het utiliteitsprincipe of categorische imperatief kent de deugdethiek dan ook niet. De centrale figuur binnen de deugdethische traditie is Aristoteles (384–322 voor Christus). De deugdenethiek van Aristoteles werkt door tot in de middeleeuwen, waarin Thomas van </w:t>
      </w:r>
      <w:proofErr w:type="spellStart"/>
      <w:r w:rsidRPr="00371492">
        <w:rPr>
          <w:rFonts w:ascii="Corbel" w:eastAsia="Garamond" w:hAnsi="Corbel" w:cs="Tahoma"/>
          <w:sz w:val="20"/>
        </w:rPr>
        <w:t>Aquino</w:t>
      </w:r>
      <w:proofErr w:type="spellEnd"/>
      <w:r w:rsidRPr="00371492">
        <w:rPr>
          <w:rFonts w:ascii="Corbel" w:eastAsia="Garamond" w:hAnsi="Corbel" w:cs="Tahoma"/>
          <w:sz w:val="20"/>
        </w:rPr>
        <w:t xml:space="preserve"> (1225-1274) de deugden probeert te verenigen met het Christendom in de kardinale deugden. Pas in het begin van de 20</w:t>
      </w:r>
      <w:r w:rsidRPr="00371492">
        <w:rPr>
          <w:rFonts w:ascii="Corbel" w:eastAsia="Garamond" w:hAnsi="Corbel" w:cs="Tahoma"/>
          <w:sz w:val="20"/>
          <w:vertAlign w:val="superscript"/>
        </w:rPr>
        <w:t>e</w:t>
      </w:r>
      <w:r w:rsidRPr="00371492">
        <w:rPr>
          <w:rFonts w:ascii="Corbel" w:eastAsia="Garamond" w:hAnsi="Corbel" w:cs="Tahoma"/>
          <w:sz w:val="20"/>
        </w:rPr>
        <w:t xml:space="preserve"> eeuw is de deugdenethiek herontdekt door met name Elizabeth </w:t>
      </w:r>
      <w:proofErr w:type="spellStart"/>
      <w:r w:rsidRPr="00371492">
        <w:rPr>
          <w:rFonts w:ascii="Corbel" w:eastAsia="Garamond" w:hAnsi="Corbel" w:cs="Tahoma"/>
          <w:sz w:val="20"/>
        </w:rPr>
        <w:t>Anscombe’s</w:t>
      </w:r>
      <w:proofErr w:type="spellEnd"/>
      <w:r w:rsidRPr="00371492">
        <w:rPr>
          <w:rFonts w:ascii="Corbel" w:eastAsia="Garamond" w:hAnsi="Corbel" w:cs="Tahoma"/>
          <w:sz w:val="20"/>
        </w:rPr>
        <w:t xml:space="preserve"> </w:t>
      </w:r>
      <w:r w:rsidRPr="00371492">
        <w:rPr>
          <w:rFonts w:ascii="Corbel" w:eastAsia="Garamond" w:hAnsi="Corbel" w:cs="Tahoma"/>
          <w:i/>
          <w:sz w:val="20"/>
        </w:rPr>
        <w:t xml:space="preserve">Modern </w:t>
      </w:r>
      <w:proofErr w:type="spellStart"/>
      <w:r w:rsidRPr="00371492">
        <w:rPr>
          <w:rFonts w:ascii="Corbel" w:eastAsia="Garamond" w:hAnsi="Corbel" w:cs="Tahoma"/>
          <w:i/>
          <w:sz w:val="20"/>
        </w:rPr>
        <w:t>Moral</w:t>
      </w:r>
      <w:proofErr w:type="spellEnd"/>
      <w:r w:rsidRPr="00371492">
        <w:rPr>
          <w:rFonts w:ascii="Corbel" w:eastAsia="Garamond" w:hAnsi="Corbel" w:cs="Tahoma"/>
          <w:i/>
          <w:sz w:val="20"/>
        </w:rPr>
        <w:t xml:space="preserve"> </w:t>
      </w:r>
      <w:proofErr w:type="spellStart"/>
      <w:r w:rsidRPr="00371492">
        <w:rPr>
          <w:rFonts w:ascii="Corbel" w:eastAsia="Garamond" w:hAnsi="Corbel" w:cs="Tahoma"/>
          <w:sz w:val="20"/>
        </w:rPr>
        <w:t>Philosophy</w:t>
      </w:r>
      <w:proofErr w:type="spellEnd"/>
      <w:r w:rsidRPr="00371492">
        <w:rPr>
          <w:rFonts w:ascii="Corbel" w:eastAsia="Garamond" w:hAnsi="Corbel" w:cs="Tahoma"/>
          <w:sz w:val="20"/>
        </w:rPr>
        <w:t xml:space="preserve"> uit 1958 en </w:t>
      </w:r>
      <w:proofErr w:type="spellStart"/>
      <w:r w:rsidRPr="00371492">
        <w:rPr>
          <w:rFonts w:ascii="Corbel" w:eastAsia="Garamond" w:hAnsi="Corbel" w:cs="Tahoma"/>
          <w:sz w:val="20"/>
        </w:rPr>
        <w:t>Alasdair</w:t>
      </w:r>
      <w:proofErr w:type="spellEnd"/>
      <w:r w:rsidRPr="00371492">
        <w:rPr>
          <w:rFonts w:ascii="Corbel" w:eastAsia="Garamond" w:hAnsi="Corbel" w:cs="Tahoma"/>
          <w:sz w:val="20"/>
        </w:rPr>
        <w:t xml:space="preserve"> </w:t>
      </w:r>
      <w:proofErr w:type="spellStart"/>
      <w:r w:rsidRPr="00371492">
        <w:rPr>
          <w:rFonts w:ascii="Corbel" w:eastAsia="Garamond" w:hAnsi="Corbel" w:cs="Tahoma"/>
          <w:sz w:val="20"/>
        </w:rPr>
        <w:t>MacIntyre’s</w:t>
      </w:r>
      <w:proofErr w:type="spellEnd"/>
      <w:r w:rsidRPr="00371492">
        <w:rPr>
          <w:rFonts w:ascii="Corbel" w:eastAsia="Garamond" w:hAnsi="Corbel" w:cs="Tahoma"/>
          <w:sz w:val="20"/>
        </w:rPr>
        <w:t xml:space="preserve"> </w:t>
      </w:r>
      <w:proofErr w:type="spellStart"/>
      <w:r w:rsidRPr="00371492">
        <w:rPr>
          <w:rFonts w:ascii="Corbel" w:eastAsia="Garamond" w:hAnsi="Corbel" w:cs="Tahoma"/>
          <w:i/>
          <w:sz w:val="20"/>
        </w:rPr>
        <w:t>After</w:t>
      </w:r>
      <w:proofErr w:type="spellEnd"/>
      <w:r w:rsidRPr="00371492">
        <w:rPr>
          <w:rFonts w:ascii="Corbel" w:eastAsia="Garamond" w:hAnsi="Corbel" w:cs="Tahoma"/>
          <w:i/>
          <w:sz w:val="20"/>
        </w:rPr>
        <w:t xml:space="preserve"> </w:t>
      </w:r>
      <w:proofErr w:type="spellStart"/>
      <w:r w:rsidRPr="00371492">
        <w:rPr>
          <w:rFonts w:ascii="Corbel" w:eastAsia="Garamond" w:hAnsi="Corbel" w:cs="Tahoma"/>
          <w:i/>
          <w:sz w:val="20"/>
        </w:rPr>
        <w:t>Virtue</w:t>
      </w:r>
      <w:proofErr w:type="spellEnd"/>
      <w:r w:rsidRPr="00371492">
        <w:rPr>
          <w:rFonts w:ascii="Corbel" w:eastAsia="Garamond" w:hAnsi="Corbel" w:cs="Tahoma"/>
          <w:sz w:val="20"/>
        </w:rPr>
        <w:t xml:space="preserve"> uit 1981. </w:t>
      </w:r>
    </w:p>
    <w:p w14:paraId="7C2E7097" w14:textId="77777777" w:rsidR="00F2603E" w:rsidRPr="00371492" w:rsidRDefault="00F2603E" w:rsidP="00F2603E">
      <w:pPr>
        <w:spacing w:line="360" w:lineRule="auto"/>
        <w:ind w:firstLine="708"/>
        <w:jc w:val="both"/>
        <w:rPr>
          <w:rFonts w:ascii="Corbel" w:eastAsia="Garamond" w:hAnsi="Corbel" w:cs="Tahoma"/>
          <w:sz w:val="20"/>
        </w:rPr>
      </w:pPr>
      <w:r w:rsidRPr="00371492">
        <w:rPr>
          <w:rFonts w:ascii="Corbel" w:eastAsia="Garamond" w:hAnsi="Corbel" w:cs="Tahoma"/>
          <w:sz w:val="20"/>
        </w:rPr>
        <w:lastRenderedPageBreak/>
        <w:t>De Griekse filosoof en wetenschapper Aristoteles zocht antwoord op de vraag: hoe moet ik leven, wil dat leven goed zijn? Het deugdethische antwoord op deze vraag introduceert het begrip ‘</w:t>
      </w:r>
      <w:proofErr w:type="spellStart"/>
      <w:r w:rsidRPr="00371492">
        <w:rPr>
          <w:rFonts w:ascii="Corbel" w:eastAsia="Garamond" w:hAnsi="Corbel" w:cs="Tahoma"/>
          <w:sz w:val="20"/>
        </w:rPr>
        <w:t>eudaimonia</w:t>
      </w:r>
      <w:proofErr w:type="spellEnd"/>
      <w:r w:rsidRPr="00371492">
        <w:rPr>
          <w:rFonts w:ascii="Corbel" w:eastAsia="Garamond" w:hAnsi="Corbel" w:cs="Tahoma"/>
          <w:sz w:val="20"/>
        </w:rPr>
        <w:t>’. De letterlijke betekenis is ‘een goede (</w:t>
      </w:r>
      <w:proofErr w:type="spellStart"/>
      <w:r w:rsidRPr="00371492">
        <w:rPr>
          <w:rFonts w:ascii="Corbel" w:eastAsia="Garamond" w:hAnsi="Corbel" w:cs="Tahoma"/>
          <w:sz w:val="20"/>
        </w:rPr>
        <w:t>eu</w:t>
      </w:r>
      <w:proofErr w:type="spellEnd"/>
      <w:r w:rsidRPr="00371492">
        <w:rPr>
          <w:rFonts w:ascii="Corbel" w:eastAsia="Garamond" w:hAnsi="Corbel" w:cs="Tahoma"/>
          <w:sz w:val="20"/>
        </w:rPr>
        <w:t xml:space="preserve">) </w:t>
      </w:r>
      <w:proofErr w:type="spellStart"/>
      <w:r w:rsidRPr="00371492">
        <w:rPr>
          <w:rFonts w:ascii="Corbel" w:eastAsia="Garamond" w:hAnsi="Corbel" w:cs="Tahoma"/>
          <w:sz w:val="20"/>
        </w:rPr>
        <w:t>daimon</w:t>
      </w:r>
      <w:proofErr w:type="spellEnd"/>
      <w:r w:rsidRPr="00371492">
        <w:rPr>
          <w:rFonts w:ascii="Corbel" w:eastAsia="Garamond" w:hAnsi="Corbel" w:cs="Tahoma"/>
          <w:sz w:val="20"/>
        </w:rPr>
        <w:t xml:space="preserve"> (halfgod) bij zich hebben’ (Becker, 2007, p. 77), en valt te vertalen als ‘</w:t>
      </w:r>
      <w:proofErr w:type="spellStart"/>
      <w:proofErr w:type="gramStart"/>
      <w:r w:rsidRPr="00371492">
        <w:rPr>
          <w:rFonts w:ascii="Corbel" w:eastAsia="Garamond" w:hAnsi="Corbel" w:cs="Tahoma"/>
          <w:sz w:val="20"/>
        </w:rPr>
        <w:t>wel-zijn</w:t>
      </w:r>
      <w:proofErr w:type="spellEnd"/>
      <w:proofErr w:type="gramEnd"/>
      <w:r w:rsidRPr="00371492">
        <w:rPr>
          <w:rFonts w:ascii="Corbel" w:eastAsia="Garamond" w:hAnsi="Corbel" w:cs="Tahoma"/>
          <w:sz w:val="20"/>
        </w:rPr>
        <w:t>’. In dit begrip ligt Aristoteles’ blik op de menselijke aard verscholen, want de mens is volgens Aristoteles een redelijk wezen en je floreert (</w:t>
      </w:r>
      <w:proofErr w:type="spellStart"/>
      <w:proofErr w:type="gramStart"/>
      <w:r w:rsidRPr="00371492">
        <w:rPr>
          <w:rFonts w:ascii="Corbel" w:eastAsia="Garamond" w:hAnsi="Corbel" w:cs="Tahoma"/>
          <w:sz w:val="20"/>
        </w:rPr>
        <w:t>wel-zijn</w:t>
      </w:r>
      <w:proofErr w:type="spellEnd"/>
      <w:proofErr w:type="gramEnd"/>
      <w:r w:rsidRPr="00371492">
        <w:rPr>
          <w:rFonts w:ascii="Corbel" w:eastAsia="Garamond" w:hAnsi="Corbel" w:cs="Tahoma"/>
          <w:sz w:val="20"/>
        </w:rPr>
        <w:t xml:space="preserve">) als je je redelijkheid voortreffelijk uitvoert. Nog steeds controverse over welke deugd het belangrijkste is: de karakter deugden of de intellectuele deugden. Het doel van het lezen is geluk en vooral gelukt zijn. Dat kan je doen door de twee delen van je ziel, de lichamelijke en de natuurlijke optimaal verwezenlijkt. Dit krijgt vorm door middel van training en ontwikkeling. Moreel onderwijs en leraren zijn hier belangrijk in. Een goed leven is volgens de deugdethiek een gelukt leven. </w:t>
      </w:r>
    </w:p>
    <w:p w14:paraId="1CA2478B" w14:textId="57227EFA" w:rsidR="00F2603E" w:rsidRPr="00371492" w:rsidRDefault="00F2603E" w:rsidP="00F2603E">
      <w:pPr>
        <w:spacing w:line="360" w:lineRule="auto"/>
        <w:ind w:firstLine="708"/>
        <w:jc w:val="both"/>
        <w:rPr>
          <w:rFonts w:ascii="Corbel" w:eastAsia="Garamond" w:hAnsi="Corbel" w:cs="Tahoma"/>
          <w:sz w:val="20"/>
        </w:rPr>
      </w:pPr>
      <w:r w:rsidRPr="00371492">
        <w:rPr>
          <w:rFonts w:ascii="Corbel" w:eastAsia="Garamond" w:hAnsi="Corbel" w:cs="Tahoma"/>
          <w:sz w:val="20"/>
        </w:rPr>
        <w:t>Er valt nu al een sterke scheiding aan te brengen tussen de drie ethische stromingen. Waar het utilisme als uitgangspunt pleziermaximalisatie heeft, geldt voor de deontologie het nastreven van algemeen geldende plichten als leidraad. De deugdethiek heeft als basiskenmerk ‘de menselijke gerichtheid tot een goed leven te komen’ (ibid., p. 78).</w:t>
      </w:r>
      <w:r w:rsidR="006C74E3" w:rsidRPr="00371492">
        <w:rPr>
          <w:rFonts w:ascii="Corbel" w:eastAsia="Garamond" w:hAnsi="Corbel" w:cs="Tahoma"/>
          <w:sz w:val="20"/>
        </w:rPr>
        <w:t xml:space="preserve"> </w:t>
      </w:r>
      <w:r w:rsidRPr="00371492">
        <w:rPr>
          <w:rFonts w:ascii="Corbel" w:eastAsia="Garamond" w:hAnsi="Corbel" w:cs="Tahoma"/>
          <w:sz w:val="20"/>
        </w:rPr>
        <w:t xml:space="preserve">Hier is een verschuiving zichtbaar van gevolgen van een handeling naar de handeling </w:t>
      </w:r>
      <w:r w:rsidRPr="00371492">
        <w:rPr>
          <w:rFonts w:ascii="Corbel" w:eastAsia="Garamond" w:hAnsi="Corbel" w:cs="Tahoma"/>
          <w:i/>
          <w:sz w:val="20"/>
        </w:rPr>
        <w:t>an sich</w:t>
      </w:r>
      <w:r w:rsidRPr="00371492">
        <w:rPr>
          <w:rFonts w:ascii="Corbel" w:eastAsia="Garamond" w:hAnsi="Corbel" w:cs="Tahoma"/>
          <w:sz w:val="20"/>
        </w:rPr>
        <w:t xml:space="preserve"> naar tot slot de handelende persoon.</w:t>
      </w:r>
    </w:p>
    <w:p w14:paraId="189F6E8C" w14:textId="57B89F72" w:rsidR="00F2603E" w:rsidRPr="00371492" w:rsidRDefault="00F2603E" w:rsidP="00F2603E">
      <w:pPr>
        <w:spacing w:line="360" w:lineRule="auto"/>
        <w:ind w:firstLine="708"/>
        <w:jc w:val="both"/>
        <w:rPr>
          <w:rFonts w:ascii="Corbel" w:eastAsia="Garamond" w:hAnsi="Corbel" w:cs="Tahoma"/>
          <w:sz w:val="20"/>
        </w:rPr>
      </w:pPr>
      <w:r w:rsidRPr="00371492">
        <w:rPr>
          <w:rFonts w:ascii="Corbel" w:eastAsia="Garamond,Calibri" w:hAnsi="Corbel" w:cs="Tahoma"/>
          <w:sz w:val="20"/>
        </w:rPr>
        <w:t xml:space="preserve">Een ethisch vraagstuk dient binnen de deugdethiek benaderd te worden met de vraag hoe een deugdzaam mens zou handelen als die zich gesteld zag voor hetzelfde dilemma. Centraal hierbij zijn de deugden. </w:t>
      </w:r>
      <w:r w:rsidRPr="00371492">
        <w:rPr>
          <w:rFonts w:ascii="Corbel" w:eastAsia="Garamond" w:hAnsi="Corbel" w:cs="Tahoma"/>
          <w:sz w:val="20"/>
        </w:rPr>
        <w:t>Deugdzaam leven kan op twee manieren, namelijk via het ontwikkel van verstands- en karakterdeugden. Intellectuele deugden vindt men in de zoektocht naar wetenschappelijke en filosofische kennis (wijsheid</w:t>
      </w:r>
      <w:r w:rsidRPr="00371492">
        <w:rPr>
          <w:rFonts w:ascii="Corbel" w:eastAsia="Garamond" w:hAnsi="Corbel" w:cs="Tahoma"/>
          <w:sz w:val="20"/>
          <w:szCs w:val="20"/>
        </w:rPr>
        <w:t xml:space="preserve">) en daarnaast ook in technische en praktische kennis (verstandigheid). Karakterdeugden zijn een heel andere vorm van deugden, welke in je karakter vastgelegd zijn door je jeugd en verder </w:t>
      </w:r>
      <w:proofErr w:type="gramStart"/>
      <w:r w:rsidRPr="00371492">
        <w:rPr>
          <w:rFonts w:ascii="Corbel" w:eastAsia="Garamond" w:hAnsi="Corbel" w:cs="Tahoma"/>
          <w:sz w:val="20"/>
          <w:szCs w:val="20"/>
        </w:rPr>
        <w:t>ontwikkelt</w:t>
      </w:r>
      <w:proofErr w:type="gramEnd"/>
      <w:r w:rsidRPr="00371492">
        <w:rPr>
          <w:rFonts w:ascii="Corbel" w:eastAsia="Garamond" w:hAnsi="Corbel" w:cs="Tahoma"/>
          <w:sz w:val="20"/>
          <w:szCs w:val="20"/>
        </w:rPr>
        <w:t xml:space="preserve"> worden. </w:t>
      </w:r>
      <w:r w:rsidRPr="00371492">
        <w:rPr>
          <w:rFonts w:ascii="Corbel" w:hAnsi="Corbel"/>
          <w:sz w:val="20"/>
          <w:szCs w:val="20"/>
        </w:rPr>
        <w:t>De morele ontwikkeling is het belangrijkste element van de deugdethiek.</w:t>
      </w:r>
      <w:r w:rsidR="006C74E3" w:rsidRPr="00371492">
        <w:rPr>
          <w:rFonts w:ascii="Corbel" w:hAnsi="Corbel"/>
          <w:sz w:val="20"/>
          <w:szCs w:val="20"/>
        </w:rPr>
        <w:t xml:space="preserve"> </w:t>
      </w:r>
      <w:r w:rsidRPr="00371492">
        <w:rPr>
          <w:rFonts w:ascii="Corbel" w:eastAsia="Garamond" w:hAnsi="Corbel" w:cs="Tahoma"/>
          <w:sz w:val="20"/>
          <w:szCs w:val="20"/>
        </w:rPr>
        <w:t>Karakterdeugden stellen ons in staat stelt om een keuze te maken die het midden houdt tussen twee</w:t>
      </w:r>
      <w:r w:rsidRPr="00371492">
        <w:rPr>
          <w:rFonts w:ascii="Corbel" w:eastAsia="Garamond" w:hAnsi="Corbel" w:cs="Tahoma"/>
          <w:sz w:val="20"/>
        </w:rPr>
        <w:t xml:space="preserve"> uitersten. Het midden tussen deze uitersten vormt de juiste deugd, en wordt bepaald door de rationaliteit.</w:t>
      </w:r>
      <w:r w:rsidRPr="00371492">
        <w:rPr>
          <w:rFonts w:ascii="Corbel" w:eastAsia="Garamond,Calibri" w:hAnsi="Corbel" w:cs="Tahoma"/>
          <w:sz w:val="20"/>
        </w:rPr>
        <w:t xml:space="preserve"> </w:t>
      </w:r>
    </w:p>
    <w:p w14:paraId="3760BC8A" w14:textId="2402FDA1" w:rsidR="00F2603E" w:rsidRPr="00371492" w:rsidRDefault="00F2603E" w:rsidP="00F2603E">
      <w:pPr>
        <w:spacing w:line="360" w:lineRule="auto"/>
        <w:ind w:firstLine="708"/>
        <w:jc w:val="both"/>
        <w:rPr>
          <w:rFonts w:ascii="Corbel" w:eastAsia="Garamond" w:hAnsi="Corbel" w:cs="Tahoma"/>
          <w:sz w:val="20"/>
        </w:rPr>
      </w:pPr>
      <w:r w:rsidRPr="00371492">
        <w:rPr>
          <w:rFonts w:ascii="Corbel" w:eastAsia="Garamond" w:hAnsi="Corbel" w:cs="Tahoma"/>
          <w:sz w:val="20"/>
        </w:rPr>
        <w:t>De deugdethiek beleeft een heropleving na de publicatie van</w:t>
      </w:r>
      <w:r w:rsidR="000C096A">
        <w:rPr>
          <w:rFonts w:ascii="Corbel" w:eastAsia="Garamond" w:hAnsi="Corbel" w:cs="Tahoma"/>
          <w:sz w:val="20"/>
        </w:rPr>
        <w:t xml:space="preserve"> het boek</w:t>
      </w:r>
      <w:r w:rsidRPr="00371492">
        <w:rPr>
          <w:rFonts w:ascii="Corbel" w:eastAsia="Garamond" w:hAnsi="Corbel" w:cs="Tahoma"/>
          <w:sz w:val="20"/>
        </w:rPr>
        <w:t xml:space="preserve"> </w:t>
      </w:r>
      <w:proofErr w:type="spellStart"/>
      <w:r w:rsidRPr="00371492">
        <w:rPr>
          <w:rFonts w:ascii="Corbel" w:eastAsia="Garamond" w:hAnsi="Corbel" w:cs="Tahoma"/>
          <w:i/>
          <w:sz w:val="20"/>
        </w:rPr>
        <w:t>After</w:t>
      </w:r>
      <w:proofErr w:type="spellEnd"/>
      <w:r w:rsidRPr="00371492">
        <w:rPr>
          <w:rFonts w:ascii="Corbel" w:eastAsia="Garamond" w:hAnsi="Corbel" w:cs="Tahoma"/>
          <w:i/>
          <w:sz w:val="20"/>
        </w:rPr>
        <w:t xml:space="preserve"> </w:t>
      </w:r>
      <w:proofErr w:type="spellStart"/>
      <w:r w:rsidRPr="00371492">
        <w:rPr>
          <w:rFonts w:ascii="Corbel" w:eastAsia="Garamond" w:hAnsi="Corbel" w:cs="Tahoma"/>
          <w:i/>
          <w:sz w:val="20"/>
        </w:rPr>
        <w:t>Virtue</w:t>
      </w:r>
      <w:proofErr w:type="spellEnd"/>
      <w:r w:rsidRPr="00371492">
        <w:rPr>
          <w:rFonts w:ascii="Corbel" w:eastAsia="Garamond" w:hAnsi="Corbel" w:cs="Tahoma"/>
          <w:i/>
          <w:sz w:val="20"/>
        </w:rPr>
        <w:t xml:space="preserve"> </w:t>
      </w:r>
      <w:r w:rsidRPr="00371492">
        <w:rPr>
          <w:rFonts w:ascii="Corbel" w:eastAsia="Garamond" w:hAnsi="Corbel" w:cs="Tahoma"/>
          <w:sz w:val="20"/>
        </w:rPr>
        <w:t xml:space="preserve">van </w:t>
      </w:r>
      <w:proofErr w:type="spellStart"/>
      <w:r w:rsidRPr="00371492">
        <w:rPr>
          <w:rFonts w:ascii="Corbel" w:eastAsia="Garamond" w:hAnsi="Corbel" w:cs="Tahoma"/>
          <w:sz w:val="20"/>
        </w:rPr>
        <w:t>Alasdair</w:t>
      </w:r>
      <w:proofErr w:type="spellEnd"/>
      <w:r w:rsidRPr="00371492">
        <w:rPr>
          <w:rFonts w:ascii="Corbel" w:eastAsia="Garamond" w:hAnsi="Corbel" w:cs="Tahoma"/>
          <w:sz w:val="20"/>
        </w:rPr>
        <w:t xml:space="preserve"> </w:t>
      </w:r>
      <w:proofErr w:type="spellStart"/>
      <w:r w:rsidRPr="00371492">
        <w:rPr>
          <w:rFonts w:ascii="Corbel" w:eastAsia="Garamond" w:hAnsi="Corbel" w:cs="Tahoma"/>
          <w:sz w:val="20"/>
        </w:rPr>
        <w:t>Macintyre</w:t>
      </w:r>
      <w:proofErr w:type="spellEnd"/>
      <w:r w:rsidRPr="00371492">
        <w:rPr>
          <w:rFonts w:ascii="Corbel" w:eastAsia="Garamond" w:hAnsi="Corbel" w:cs="Tahoma"/>
          <w:sz w:val="20"/>
        </w:rPr>
        <w:t xml:space="preserve"> in 1981. Met zijn werk maakt </w:t>
      </w:r>
      <w:proofErr w:type="spellStart"/>
      <w:r w:rsidRPr="00371492">
        <w:rPr>
          <w:rFonts w:ascii="Corbel" w:eastAsia="Garamond" w:hAnsi="Corbel" w:cs="Tahoma"/>
          <w:sz w:val="20"/>
        </w:rPr>
        <w:t>MacIntyre</w:t>
      </w:r>
      <w:proofErr w:type="spellEnd"/>
      <w:r w:rsidRPr="00371492">
        <w:rPr>
          <w:rFonts w:ascii="Corbel" w:eastAsia="Garamond" w:hAnsi="Corbel" w:cs="Tahoma"/>
          <w:sz w:val="20"/>
        </w:rPr>
        <w:t xml:space="preserve"> de deugdethiek weer relevant voor de moderne samenleving. De ethische stroming was dominant in de oudheid, maar na de Verlichting namen het utilisme en deontologie de plaats in (Melle en </w:t>
      </w:r>
      <w:proofErr w:type="spellStart"/>
      <w:r w:rsidRPr="00371492">
        <w:rPr>
          <w:rFonts w:ascii="Corbel" w:eastAsia="Garamond" w:hAnsi="Corbel" w:cs="Tahoma"/>
          <w:sz w:val="20"/>
        </w:rPr>
        <w:t>Zilfhout</w:t>
      </w:r>
      <w:proofErr w:type="spellEnd"/>
      <w:r w:rsidRPr="00371492">
        <w:rPr>
          <w:rFonts w:ascii="Corbel" w:eastAsia="Garamond" w:hAnsi="Corbel" w:cs="Tahoma"/>
          <w:sz w:val="20"/>
        </w:rPr>
        <w:t xml:space="preserve">, 2012). Centraal in het werk van </w:t>
      </w:r>
      <w:proofErr w:type="spellStart"/>
      <w:r w:rsidRPr="00371492">
        <w:rPr>
          <w:rFonts w:ascii="Corbel" w:eastAsia="Garamond" w:hAnsi="Corbel" w:cs="Tahoma"/>
          <w:sz w:val="20"/>
        </w:rPr>
        <w:t>MacIntyre</w:t>
      </w:r>
      <w:proofErr w:type="spellEnd"/>
      <w:r w:rsidRPr="00371492">
        <w:rPr>
          <w:rFonts w:ascii="Corbel" w:eastAsia="Garamond" w:hAnsi="Corbel" w:cs="Tahoma"/>
          <w:sz w:val="20"/>
        </w:rPr>
        <w:t xml:space="preserve"> staat de opvatting van ‘praktijken’. De praktijk is een locatie of verband waarin deugden tot wasdom komen. Doormiddel van de praktijk komen enerzijds interne en anderzijds externe goederen tot realisatie. Interne goederen worden door mensen als intrinsiek waardevol gezien (dit betekent dat de waarde van deze goederen in de handeling ligt), en daarmee als invulling van goed leven en handelen. Voorbeelden van interne goederen zijn goed schaken, goed schilderen maar ook goed besturen. De desbetreffende interne goederen zijn verkrijgen in de praktijk waarin ze beoefend worden. Externe goederen staan los van de activiteit maar kunnen wel verkregen worden door middel van de activiteit. Hierbij moet gedacht worden aan macht, geld of aanzien. Een eerste verschil tussen interne en externe goederen is dus de manier waarop ze verkregen kunnen worden. Daarnaast verschilt tevens het bezit ervan. Interne goederen worden gedeeld met elkaar, voortreffelijkheid in de praktijk stimuleert de ander weer en omgekeerd. Externe goederen zijn onderwerp van competitie, want macht geld en aanzien zijn schaars (</w:t>
      </w:r>
      <w:proofErr w:type="spellStart"/>
      <w:r w:rsidRPr="00371492">
        <w:rPr>
          <w:rFonts w:ascii="Corbel" w:eastAsia="Garamond" w:hAnsi="Corbel" w:cs="Tahoma"/>
          <w:sz w:val="20"/>
        </w:rPr>
        <w:t>MacIntyre</w:t>
      </w:r>
      <w:proofErr w:type="spellEnd"/>
      <w:r w:rsidRPr="00371492">
        <w:rPr>
          <w:rFonts w:ascii="Corbel" w:eastAsia="Garamond" w:hAnsi="Corbel" w:cs="Tahoma"/>
          <w:sz w:val="20"/>
        </w:rPr>
        <w:t xml:space="preserve">, 1981, p.187-191). </w:t>
      </w:r>
    </w:p>
    <w:p w14:paraId="152DBF25" w14:textId="77777777" w:rsidR="00F2603E" w:rsidRPr="00371492" w:rsidRDefault="00F2603E" w:rsidP="00F2603E">
      <w:pPr>
        <w:spacing w:line="360" w:lineRule="auto"/>
        <w:ind w:firstLine="708"/>
        <w:jc w:val="both"/>
        <w:rPr>
          <w:rFonts w:ascii="Corbel" w:eastAsia="Garamond,Calibri" w:hAnsi="Corbel" w:cs="Tahoma"/>
          <w:color w:val="000000" w:themeColor="text1"/>
          <w:sz w:val="20"/>
        </w:rPr>
      </w:pPr>
      <w:r w:rsidRPr="00371492">
        <w:rPr>
          <w:rFonts w:ascii="Corbel" w:eastAsia="Garamond,Calibri" w:hAnsi="Corbel" w:cs="Tahoma"/>
          <w:color w:val="000000" w:themeColor="text1"/>
          <w:sz w:val="20"/>
        </w:rPr>
        <w:lastRenderedPageBreak/>
        <w:t xml:space="preserve">De deugdethiek geeft een kapstok van een aantal deugden en je hebt praktische wijsheid nodig om in een context deze deugden tot uiting te brengen. Dit geeft veel vrijheid aan mensen, maar tegelijkertijd biedt de deugdethiek minder houvast dan het utilisme en de deontologie. </w:t>
      </w:r>
    </w:p>
    <w:p w14:paraId="170AAD16" w14:textId="77777777" w:rsidR="00F2603E" w:rsidRPr="00371492" w:rsidRDefault="00F2603E" w:rsidP="00510131">
      <w:pPr>
        <w:pStyle w:val="Stijl2"/>
        <w:rPr>
          <w:rFonts w:eastAsia="Garamond,Calibri"/>
        </w:rPr>
      </w:pPr>
    </w:p>
    <w:p w14:paraId="0F9ED2C7" w14:textId="649276D9" w:rsidR="00F2603E" w:rsidRPr="00371492" w:rsidRDefault="00F2603E" w:rsidP="00510131">
      <w:pPr>
        <w:pStyle w:val="Stijl2"/>
        <w:rPr>
          <w:rFonts w:eastAsia="Garamond,Calibri"/>
        </w:rPr>
      </w:pPr>
      <w:bookmarkStart w:id="28" w:name="_Toc485990868"/>
      <w:r w:rsidRPr="00371492">
        <w:rPr>
          <w:rFonts w:eastAsia="Garamond,Calibri"/>
        </w:rPr>
        <w:t xml:space="preserve">3.5 </w:t>
      </w:r>
      <w:r w:rsidRPr="00371492">
        <w:rPr>
          <w:rFonts w:eastAsia="Garamond,Calibri"/>
        </w:rPr>
        <w:tab/>
        <w:t>Deelconclusie</w:t>
      </w:r>
      <w:bookmarkEnd w:id="28"/>
    </w:p>
    <w:p w14:paraId="5B08CF18" w14:textId="506ADBB1" w:rsidR="00F2603E" w:rsidRPr="00371492" w:rsidRDefault="00BA5337" w:rsidP="00F2603E">
      <w:pPr>
        <w:spacing w:line="360" w:lineRule="auto"/>
        <w:jc w:val="both"/>
        <w:rPr>
          <w:rFonts w:ascii="Corbel" w:eastAsia="Tahoma" w:hAnsi="Corbel" w:cs="Tahoma"/>
          <w:color w:val="000000" w:themeColor="text1"/>
          <w:sz w:val="20"/>
        </w:rPr>
      </w:pPr>
      <w:r>
        <w:rPr>
          <w:rFonts w:ascii="Corbel" w:hAnsi="Corbel"/>
          <w:noProof/>
          <w:sz w:val="20"/>
          <w:szCs w:val="22"/>
        </w:rPr>
        <mc:AlternateContent>
          <mc:Choice Requires="wps">
            <w:drawing>
              <wp:anchor distT="0" distB="0" distL="114300" distR="114300" simplePos="0" relativeHeight="251671552" behindDoc="0" locked="0" layoutInCell="1" allowOverlap="1" wp14:anchorId="60C4F843" wp14:editId="00AEA801">
                <wp:simplePos x="0" y="0"/>
                <wp:positionH relativeFrom="column">
                  <wp:posOffset>4294505</wp:posOffset>
                </wp:positionH>
                <wp:positionV relativeFrom="paragraph">
                  <wp:posOffset>996950</wp:posOffset>
                </wp:positionV>
                <wp:extent cx="2056765" cy="912495"/>
                <wp:effectExtent l="0" t="0" r="26035" b="27305"/>
                <wp:wrapSquare wrapText="bothSides"/>
                <wp:docPr id="17" name="Tekstvak 17"/>
                <wp:cNvGraphicFramePr/>
                <a:graphic xmlns:a="http://schemas.openxmlformats.org/drawingml/2006/main">
                  <a:graphicData uri="http://schemas.microsoft.com/office/word/2010/wordprocessingShape">
                    <wps:wsp>
                      <wps:cNvSpPr txBox="1"/>
                      <wps:spPr>
                        <a:xfrm>
                          <a:off x="0" y="0"/>
                          <a:ext cx="2056765" cy="912495"/>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6E4B7076" w14:textId="633558E8" w:rsidR="009D4480" w:rsidRDefault="009D4480">
                            <w:r>
                              <w:rPr>
                                <w:rFonts w:ascii="Corbel" w:hAnsi="Corbel"/>
                                <w:sz w:val="20"/>
                                <w:szCs w:val="22"/>
                              </w:rPr>
                              <w:t xml:space="preserve">Het concrete antwoord op ethische vragen luidt verschillend al naargelang de ‘ethische theorie’ die men aanhangt (van Melle &amp; van </w:t>
                            </w:r>
                            <w:proofErr w:type="spellStart"/>
                            <w:r>
                              <w:rPr>
                                <w:rFonts w:ascii="Corbel" w:hAnsi="Corbel"/>
                                <w:sz w:val="20"/>
                                <w:szCs w:val="22"/>
                              </w:rPr>
                              <w:t>Zilfhout</w:t>
                            </w:r>
                            <w:proofErr w:type="spellEnd"/>
                            <w:r>
                              <w:rPr>
                                <w:rFonts w:ascii="Corbel" w:hAnsi="Corbel"/>
                                <w:sz w:val="20"/>
                                <w:szCs w:val="22"/>
                              </w:rPr>
                              <w:t>, 2008, p.57).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C4F843" id="Tekstvak_x0020_17" o:spid="_x0000_s1030" type="#_x0000_t202" style="position:absolute;left:0;text-align:left;margin-left:338.15pt;margin-top:78.5pt;width:161.95pt;height:71.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RqbGHUCAAA0BQAADgAAAGRycy9lMm9Eb2MueG1srFTfT9swEH6ftP/B8vtIW7WwVqSoAzFNQoAG&#10;E8+uY9MI2+fZ1ybdX7+z0wTG+jTtJbHvvvv9nc8vWmvYToVYgyv5+GTEmXISqto9l/zH4/Wnz5xF&#10;FK4SBpwq+V5FfrH8+OG88Qs1gQ2YSgVGTlxcNL7kG0S/KIooN8qKeAJeOVJqCFYgXcNzUQXRkHdr&#10;islodFo0ECofQKoYSXrVKfky+9daSbzTOipkpuSUG+ZvyN91+hbLc7F4DsJvanlIQ/xDFlbUjoIO&#10;rq4ECrYN9V+ubC0DRNB4IsEWoHUtVa6BqhmP3lXzsBFe5VqoOdEPbYr/z6283d0HVlc0uzPOnLA0&#10;o0f1EnEnXhiJqD+NjwuCPXgCYvsFWsL28kjCVHarg01/KoiRnjq9H7qrWmSShJPR7PTsdMaZJN18&#10;PJnOZ8lN8WrtQ8SvCixLh5IHml5uqtjdROygPSQFMy7JUnpdGvmEe6M65XelqbAUODvJlFKXJrCd&#10;IDIIKZXDXAhlYByhk5mujRkMx8cMzWB0wCYzlak2GI6OGf4ZcbDIUcHhYGxrB+GYg+qlT1d3+L76&#10;ruZUPrbrNk9z2k9oDdWeBhego3708rqm7t6IiPciENdpVrS/eEcfbaApORxOnG0g/DomT3iiIGk5&#10;a2h3Sh5/bkVQnJlvjsg5H0+nadnyZTo7m9AlvNWs32rc1l4CTWRML4WX+ZjwaPqjDmCfaM1XKSqp&#10;hJMUu+TYHy+x22h6JqRarTKI1ssLvHEPXibXqcuJO4/tkwj+QDAkat5Cv2Vi8Y5nHTZZOlhtEXSd&#10;SZj63HX10H9azUzjwzOSdv/tPaNeH7vlbwAAAP//AwBQSwMEFAAGAAgAAAAhAN0Mm8ffAAAADAEA&#10;AA8AAABkcnMvZG93bnJldi54bWxMj8tqwzAQRfeF/oOYQneNlJjaxbUcSqHQRWlI4g+YWOMHsSRj&#10;KY77952s2uVwD3fOLbaLHcRMU+i907BeKRDkam9612qojh9PLyBCRGdw8I40/FCAbXl/V2Bu/NXt&#10;aT7EVnCJCzlq6GIccylD3ZHFsPIjOc4aP1mMfE6tNBNeudwOcqNUKi32jj90ONJ7R/X5cLEa8Bg/&#10;k2auq69+t2uQEtxX36nWjw/L2yuISEv8g+Gmz+pQstPJX5wJYtCQZmnCKAfPGY+6EUqpDYiThkSp&#10;DGRZyP8jyl8AAAD//wMAUEsBAi0AFAAGAAgAAAAhAOSZw8D7AAAA4QEAABMAAAAAAAAAAAAAAAAA&#10;AAAAAFtDb250ZW50X1R5cGVzXS54bWxQSwECLQAUAAYACAAAACEAI7Jq4dcAAACUAQAACwAAAAAA&#10;AAAAAAAAAAAsAQAAX3JlbHMvLnJlbHNQSwECLQAUAAYACAAAACEANRqbGHUCAAA0BQAADgAAAAAA&#10;AAAAAAAAAAAsAgAAZHJzL2Uyb0RvYy54bWxQSwECLQAUAAYACAAAACEA3Qybx98AAAAMAQAADwAA&#10;AAAAAAAAAAAAAADNBAAAZHJzL2Rvd25yZXYueG1sUEsFBgAAAAAEAAQA8wAAANkFAAAAAA==&#10;" fillcolor="white [3201]" strokecolor="#5b9bd5 [3204]" strokeweight="1pt">
                <v:textbox>
                  <w:txbxContent>
                    <w:p w14:paraId="6E4B7076" w14:textId="633558E8" w:rsidR="009D4480" w:rsidRDefault="009D4480">
                      <w:r>
                        <w:rPr>
                          <w:rFonts w:ascii="Corbel" w:hAnsi="Corbel"/>
                          <w:sz w:val="20"/>
                          <w:szCs w:val="22"/>
                        </w:rPr>
                        <w:t xml:space="preserve">Het concrete antwoord op ethische vragen luidt verschillend al naargelang de ‘ethische theorie’ die men aanhangt (van Melle &amp; van </w:t>
                      </w:r>
                      <w:proofErr w:type="spellStart"/>
                      <w:r>
                        <w:rPr>
                          <w:rFonts w:ascii="Corbel" w:hAnsi="Corbel"/>
                          <w:sz w:val="20"/>
                          <w:szCs w:val="22"/>
                        </w:rPr>
                        <w:t>Zilfhout</w:t>
                      </w:r>
                      <w:proofErr w:type="spellEnd"/>
                      <w:r>
                        <w:rPr>
                          <w:rFonts w:ascii="Corbel" w:hAnsi="Corbel"/>
                          <w:sz w:val="20"/>
                          <w:szCs w:val="22"/>
                        </w:rPr>
                        <w:t>, 2008, p.57).</w:t>
                      </w:r>
                    </w:p>
                  </w:txbxContent>
                </v:textbox>
                <w10:wrap type="square"/>
              </v:shape>
            </w:pict>
          </mc:Fallback>
        </mc:AlternateContent>
      </w:r>
      <w:r w:rsidR="00F2603E" w:rsidRPr="00371492">
        <w:rPr>
          <w:rFonts w:ascii="Corbel" w:hAnsi="Corbel"/>
          <w:sz w:val="20"/>
          <w:szCs w:val="22"/>
        </w:rPr>
        <w:t>Het eerste deel van dit onderzoek heeft duidelijk gemaakt waarom een breed ethisch beoordelingskader voor risico</w:t>
      </w:r>
      <w:r w:rsidR="000C096A">
        <w:rPr>
          <w:rFonts w:ascii="Corbel" w:hAnsi="Corbel"/>
          <w:sz w:val="20"/>
          <w:szCs w:val="22"/>
        </w:rPr>
        <w:t>’</w:t>
      </w:r>
      <w:r w:rsidR="00F2603E" w:rsidRPr="00371492">
        <w:rPr>
          <w:rFonts w:ascii="Corbel" w:hAnsi="Corbel"/>
          <w:sz w:val="20"/>
          <w:szCs w:val="22"/>
        </w:rPr>
        <w:t>s nodig</w:t>
      </w:r>
      <w:r w:rsidR="000C096A">
        <w:rPr>
          <w:rFonts w:ascii="Corbel" w:hAnsi="Corbel"/>
          <w:sz w:val="20"/>
          <w:szCs w:val="22"/>
        </w:rPr>
        <w:t xml:space="preserve"> is</w:t>
      </w:r>
      <w:r w:rsidR="00F2603E" w:rsidRPr="00371492">
        <w:rPr>
          <w:rFonts w:ascii="Corbel" w:hAnsi="Corbel"/>
          <w:sz w:val="20"/>
          <w:szCs w:val="22"/>
        </w:rPr>
        <w:t>. Meer specifiek is hierin uitgewerkt waarom het problematisch is als louter utiliteit meegenomen wordt in een risicoanalyse. Tegelijkertijd bleek uit het onderscheid van simpele en systemische risico’s dat het analyseren van risico’s een normatieve kwestie is. De gehanteerde drie ethische stromingen zijn het utilisme, de deontologie en de deugdethiek. De uiteenzetting vormt dan ook de beantwoording van de tweede deelvraag, namelijk hoe een breed ethisch kader er conceptueel uit ziet.</w:t>
      </w:r>
    </w:p>
    <w:p w14:paraId="7BFDAB66" w14:textId="05E8D61D" w:rsidR="00F2603E" w:rsidRPr="00371492" w:rsidRDefault="00F2603E" w:rsidP="00F2603E">
      <w:pPr>
        <w:spacing w:line="360" w:lineRule="auto"/>
        <w:jc w:val="both"/>
        <w:rPr>
          <w:rFonts w:ascii="Corbel" w:hAnsi="Corbel"/>
          <w:sz w:val="20"/>
          <w:szCs w:val="22"/>
        </w:rPr>
      </w:pPr>
      <w:r w:rsidRPr="00371492">
        <w:rPr>
          <w:rFonts w:ascii="Corbel" w:hAnsi="Corbel"/>
          <w:sz w:val="20"/>
          <w:szCs w:val="22"/>
        </w:rPr>
        <w:t xml:space="preserve"> </w:t>
      </w:r>
      <w:r w:rsidRPr="00371492">
        <w:rPr>
          <w:rFonts w:ascii="Corbel" w:hAnsi="Corbel"/>
          <w:sz w:val="20"/>
          <w:szCs w:val="22"/>
        </w:rPr>
        <w:tab/>
        <w:t>Voor een goed begrip van de theorie is het van waarde om kort stil te staan bij de verschillen die er bestaan tussen de ethische stromingen. Niet in de laatste plaats is dit van belang omdat als er van mening verschilt de vraag gesteld moet worden of dit gaat tussen de benaderingen of binnen een benadering. Kort gezegd: zijn we het dan oneens over het wereldbeeld of over de invulling daarvan?</w:t>
      </w:r>
    </w:p>
    <w:p w14:paraId="4DA56688" w14:textId="34AB7A94" w:rsidR="00F2603E" w:rsidRPr="00371492" w:rsidRDefault="00F2603E" w:rsidP="00F2603E">
      <w:pPr>
        <w:pStyle w:val="Tekstopmerking"/>
        <w:spacing w:line="360" w:lineRule="auto"/>
        <w:contextualSpacing/>
        <w:jc w:val="both"/>
        <w:rPr>
          <w:rFonts w:ascii="Corbel" w:eastAsia="Garamond" w:hAnsi="Corbel" w:cs="Tahoma"/>
          <w:sz w:val="20"/>
        </w:rPr>
      </w:pPr>
      <w:r w:rsidRPr="00371492">
        <w:rPr>
          <w:rFonts w:ascii="Corbel" w:hAnsi="Corbel"/>
          <w:sz w:val="20"/>
          <w:szCs w:val="22"/>
        </w:rPr>
        <w:tab/>
      </w:r>
      <w:r w:rsidRPr="00371492">
        <w:rPr>
          <w:rFonts w:ascii="Corbel" w:eastAsia="Garamond" w:hAnsi="Corbel" w:cs="Tahoma"/>
          <w:sz w:val="20"/>
        </w:rPr>
        <w:t xml:space="preserve">Waar het utilisme als uitgangspunt pleziermaximalisatie heeft, staat bij de deontologie het motief van de handeling centraal (handel volgens </w:t>
      </w:r>
      <w:proofErr w:type="gramStart"/>
      <w:r w:rsidRPr="00371492">
        <w:rPr>
          <w:rFonts w:ascii="Corbel" w:eastAsia="Garamond" w:hAnsi="Corbel" w:cs="Tahoma"/>
          <w:sz w:val="20"/>
        </w:rPr>
        <w:t>de</w:t>
      </w:r>
      <w:proofErr w:type="gramEnd"/>
      <w:r w:rsidRPr="00371492">
        <w:rPr>
          <w:rFonts w:ascii="Corbel" w:eastAsia="Garamond" w:hAnsi="Corbel" w:cs="Tahoma"/>
          <w:sz w:val="20"/>
        </w:rPr>
        <w:t xml:space="preserve"> maxime die recht doet aan de categorische imperatief). De deugdethiek heeft als basiskenmerk het menselijke karakter (ibid., p. 78).</w:t>
      </w:r>
      <w:r w:rsidR="006C74E3" w:rsidRPr="00371492">
        <w:rPr>
          <w:rFonts w:ascii="Corbel" w:eastAsia="Garamond" w:hAnsi="Corbel" w:cs="Tahoma"/>
          <w:sz w:val="20"/>
        </w:rPr>
        <w:t xml:space="preserve"> </w:t>
      </w:r>
      <w:r w:rsidRPr="00371492">
        <w:rPr>
          <w:rFonts w:ascii="Corbel" w:eastAsia="Garamond" w:hAnsi="Corbel" w:cs="Tahoma"/>
          <w:sz w:val="20"/>
        </w:rPr>
        <w:t xml:space="preserve">Anders gezegd staat bij het utilisme de </w:t>
      </w:r>
      <w:r w:rsidRPr="00371492">
        <w:rPr>
          <w:rFonts w:ascii="Corbel" w:eastAsia="Garamond" w:hAnsi="Corbel" w:cs="Tahoma"/>
          <w:i/>
          <w:sz w:val="20"/>
        </w:rPr>
        <w:t xml:space="preserve">handeling </w:t>
      </w:r>
      <w:r w:rsidRPr="00371492">
        <w:rPr>
          <w:rFonts w:ascii="Corbel" w:eastAsia="Garamond" w:hAnsi="Corbel" w:cs="Tahoma"/>
          <w:sz w:val="20"/>
        </w:rPr>
        <w:t xml:space="preserve">centraal, bij de deontologie de </w:t>
      </w:r>
      <w:r w:rsidRPr="00371492">
        <w:rPr>
          <w:rFonts w:ascii="Corbel" w:eastAsia="Garamond" w:hAnsi="Corbel" w:cs="Tahoma"/>
          <w:i/>
          <w:sz w:val="20"/>
        </w:rPr>
        <w:t>norm</w:t>
      </w:r>
      <w:r w:rsidRPr="00371492">
        <w:rPr>
          <w:rFonts w:ascii="Corbel" w:eastAsia="Garamond" w:hAnsi="Corbel" w:cs="Tahoma"/>
          <w:sz w:val="20"/>
        </w:rPr>
        <w:t xml:space="preserve"> en bij de deugdethiek de </w:t>
      </w:r>
      <w:r w:rsidRPr="00371492">
        <w:rPr>
          <w:rFonts w:ascii="Corbel" w:eastAsia="Garamond" w:hAnsi="Corbel" w:cs="Tahoma"/>
          <w:i/>
          <w:sz w:val="20"/>
        </w:rPr>
        <w:t>mens</w:t>
      </w:r>
      <w:r w:rsidRPr="00371492">
        <w:rPr>
          <w:rFonts w:ascii="Corbel" w:eastAsia="Garamond" w:hAnsi="Corbel" w:cs="Tahoma"/>
          <w:sz w:val="20"/>
        </w:rPr>
        <w:t xml:space="preserve">. Wanneer we de stromingen tegenover elkaar zetten zien we een aantal overeenkomsten, die bij nader inzien toch weer (subtiel) verschillen. Neem bijvoorbeeld het utilisme en de deugdethiek, waar bij beide benaderingen het geluk voorop staat. De invulling van dit geluk verschilt van </w:t>
      </w:r>
      <w:r w:rsidRPr="00371492">
        <w:rPr>
          <w:rFonts w:ascii="Corbel" w:eastAsia="Garamond" w:hAnsi="Corbel" w:cs="Tahoma"/>
          <w:i/>
          <w:sz w:val="20"/>
        </w:rPr>
        <w:t>gelukt zijn</w:t>
      </w:r>
      <w:r w:rsidRPr="00371492">
        <w:rPr>
          <w:rFonts w:ascii="Corbel" w:eastAsia="Garamond" w:hAnsi="Corbel" w:cs="Tahoma"/>
          <w:sz w:val="20"/>
        </w:rPr>
        <w:t xml:space="preserve"> bij de deugdethiek (</w:t>
      </w:r>
      <w:proofErr w:type="spellStart"/>
      <w:proofErr w:type="gramStart"/>
      <w:r w:rsidRPr="00371492">
        <w:rPr>
          <w:rFonts w:ascii="Corbel" w:eastAsia="Garamond" w:hAnsi="Corbel" w:cs="Tahoma"/>
          <w:sz w:val="20"/>
        </w:rPr>
        <w:t>wel-zijn</w:t>
      </w:r>
      <w:proofErr w:type="spellEnd"/>
      <w:proofErr w:type="gramEnd"/>
      <w:r w:rsidRPr="00371492">
        <w:rPr>
          <w:rFonts w:ascii="Corbel" w:eastAsia="Garamond" w:hAnsi="Corbel" w:cs="Tahoma"/>
          <w:sz w:val="20"/>
        </w:rPr>
        <w:t xml:space="preserve">) tot maximaliseren van het </w:t>
      </w:r>
      <w:r w:rsidRPr="00371492">
        <w:rPr>
          <w:rFonts w:ascii="Corbel" w:eastAsia="Garamond" w:hAnsi="Corbel" w:cs="Tahoma"/>
          <w:i/>
          <w:sz w:val="20"/>
        </w:rPr>
        <w:t>plezier</w:t>
      </w:r>
      <w:r w:rsidRPr="00371492">
        <w:rPr>
          <w:rFonts w:ascii="Corbel" w:eastAsia="Garamond" w:hAnsi="Corbel" w:cs="Tahoma"/>
          <w:sz w:val="20"/>
        </w:rPr>
        <w:t xml:space="preserve"> bij het utilisme. Op het gebied van rationaliteit verschillen de deugdethiek en deontologie van invulling. Waar de deugdethiek gericht is op een juiste ontwikkeling van verstand en verlangens, bedwingen natuurlijk neigingen de rede bij de deontologie. Het scherpste verschil is op te tekenen tussen het utilisme en de deontologie wanneer er gekeken wordt naar de gevolgen van het handelen. Het utilisme stelt deze centraal en de deontologie is er niet in geïnteresseerd.</w:t>
      </w:r>
    </w:p>
    <w:p w14:paraId="5D5B609F" w14:textId="13A0C000" w:rsidR="00F2603E" w:rsidRPr="00371492" w:rsidRDefault="00F2603E" w:rsidP="00F2603E">
      <w:pPr>
        <w:pStyle w:val="Tekstopmerking"/>
        <w:spacing w:line="360" w:lineRule="auto"/>
        <w:ind w:firstLine="709"/>
        <w:contextualSpacing/>
        <w:jc w:val="both"/>
        <w:rPr>
          <w:rFonts w:ascii="Corbel" w:eastAsia="Garamond" w:hAnsi="Corbel" w:cs="Tahoma"/>
          <w:sz w:val="20"/>
        </w:rPr>
      </w:pPr>
      <w:r w:rsidRPr="00371492">
        <w:rPr>
          <w:rFonts w:ascii="Corbel" w:hAnsi="Corbel"/>
          <w:sz w:val="20"/>
          <w:szCs w:val="22"/>
        </w:rPr>
        <w:t>Nu in de voorgaande paragrafen van dit hoofdstuk de achtergrond van de drie hoofdstromingen binnen de normatieve ethiek gepresenteerd zijn, is het voor dit onderzoek van belang deze verschillende logica toe te spitsen op de praktijk van de risicoanalyse.</w:t>
      </w:r>
      <w:r w:rsidR="006C74E3" w:rsidRPr="00371492">
        <w:rPr>
          <w:rFonts w:ascii="Corbel" w:hAnsi="Corbel"/>
          <w:sz w:val="20"/>
          <w:szCs w:val="22"/>
        </w:rPr>
        <w:t xml:space="preserve"> </w:t>
      </w:r>
      <w:r w:rsidRPr="00371492">
        <w:rPr>
          <w:rFonts w:ascii="Corbel" w:eastAsia="Tahoma" w:hAnsi="Corbel" w:cs="Tahoma"/>
          <w:sz w:val="20"/>
          <w:szCs w:val="22"/>
        </w:rPr>
        <w:t xml:space="preserve">Deze praktijktoepassing werpt de vraag op waar deze vormen van normatieve ethiek zich op moeten richten. Bij risico’s gaat het in beginsel om kwetsbaarheden. Deze kwetsbaarheden verschillen van ethische theorie tot theorie, wat inhoudt dat het utilisme een andere kwetsbaarheid vooropstelt dan de deontologie et cetera. </w:t>
      </w:r>
      <w:r w:rsidRPr="00371492">
        <w:rPr>
          <w:rFonts w:ascii="Corbel" w:eastAsia="Tahoma" w:hAnsi="Corbel" w:cs="Tahoma"/>
          <w:sz w:val="20"/>
        </w:rPr>
        <w:t xml:space="preserve">Per benadering is het belangrijk te bespreken welke waarde ter discussie staat en hoe deze gewaarborgd zou moeten worden. In de inleiding van dit hoofdstuk is aangestipt op welke kwetsbaarheid elke theorie zich richt. Het utilisme definieert kwetsbaarheden in termen </w:t>
      </w:r>
      <w:r w:rsidRPr="00371492">
        <w:rPr>
          <w:rFonts w:ascii="Corbel" w:eastAsia="Tahoma" w:hAnsi="Corbel" w:cs="Tahoma"/>
          <w:sz w:val="20"/>
        </w:rPr>
        <w:lastRenderedPageBreak/>
        <w:t>van schade, wat geoperationaliseerd wordt in hoge kosten (materiële schade) of een hoge mate van pijn en leed (immateriële schade). In een risicoanalyse zal een utilist zich focussen op deze kwetsbaarheden, bijvoorbeeld in het aantal doden of monetaire schade.</w:t>
      </w:r>
      <w:r w:rsidR="006C74E3" w:rsidRPr="00371492">
        <w:rPr>
          <w:rFonts w:ascii="Corbel" w:eastAsia="Tahoma" w:hAnsi="Corbel" w:cs="Tahoma"/>
          <w:sz w:val="20"/>
        </w:rPr>
        <w:t xml:space="preserve"> </w:t>
      </w:r>
      <w:r w:rsidRPr="00371492">
        <w:rPr>
          <w:rFonts w:ascii="Corbel" w:eastAsia="Tahoma" w:hAnsi="Corbel" w:cs="Tahoma"/>
          <w:sz w:val="20"/>
        </w:rPr>
        <w:t xml:space="preserve">De </w:t>
      </w:r>
      <w:r w:rsidR="000C096A">
        <w:rPr>
          <w:rFonts w:ascii="Corbel" w:eastAsia="Tahoma" w:hAnsi="Corbel" w:cs="Tahoma"/>
          <w:sz w:val="20"/>
        </w:rPr>
        <w:t>deontologie</w:t>
      </w:r>
      <w:r w:rsidRPr="00371492">
        <w:rPr>
          <w:rFonts w:ascii="Corbel" w:eastAsia="Tahoma" w:hAnsi="Corbel" w:cs="Tahoma"/>
          <w:sz w:val="20"/>
        </w:rPr>
        <w:t xml:space="preserve"> stelt bepaalde waarden voorop, met de notie dat deze niet geschonden mogen worden. Hierbij moet gedacht worden aan typisch deontologische waarden zoals gelijkheid, redelijkheid en autonomie. In een risicoanalyse richt een </w:t>
      </w:r>
      <w:proofErr w:type="spellStart"/>
      <w:r w:rsidRPr="00371492">
        <w:rPr>
          <w:rFonts w:ascii="Corbel" w:eastAsia="Tahoma" w:hAnsi="Corbel" w:cs="Tahoma"/>
          <w:sz w:val="20"/>
        </w:rPr>
        <w:t>deontoloog</w:t>
      </w:r>
      <w:proofErr w:type="spellEnd"/>
      <w:r w:rsidRPr="00371492">
        <w:rPr>
          <w:rFonts w:ascii="Corbel" w:eastAsia="Tahoma" w:hAnsi="Corbel" w:cs="Tahoma"/>
          <w:sz w:val="20"/>
        </w:rPr>
        <w:t xml:space="preserve"> zich dus op de schending van deze waarden en dat wordt gezien als een risico. Een deugdethicus kijkt naar het morele karakter van een persoon</w:t>
      </w:r>
      <w:r w:rsidRPr="00AF35B4">
        <w:rPr>
          <w:rFonts w:ascii="Corbel" w:eastAsia="Tahoma" w:hAnsi="Corbel" w:cs="Tahoma"/>
          <w:color w:val="000000" w:themeColor="text1"/>
          <w:sz w:val="20"/>
        </w:rPr>
        <w:t>. In een risicoanalyse zal een deugdethicus dus kijken naar de deugd van de handelende persoon of naar de gevolgen voor de praktijk in kwalitatieve zin. Wat dit betekent voor de praktijk van het analyseren van risico’s wordt besproken in het volgende hoofdstuk.</w:t>
      </w:r>
      <w:r w:rsidR="006C74E3" w:rsidRPr="00371492">
        <w:rPr>
          <w:rFonts w:ascii="Corbel" w:eastAsia="Tahoma" w:hAnsi="Corbel" w:cs="Tahoma"/>
          <w:sz w:val="20"/>
        </w:rPr>
        <w:t xml:space="preserve"> </w:t>
      </w:r>
      <w:r w:rsidRPr="00371492">
        <w:rPr>
          <w:rFonts w:ascii="Corbel" w:eastAsia="Tahoma" w:hAnsi="Corbel" w:cs="Tahoma"/>
          <w:sz w:val="20"/>
        </w:rPr>
        <w:t xml:space="preserve"> </w:t>
      </w:r>
    </w:p>
    <w:p w14:paraId="15969F36" w14:textId="77777777" w:rsidR="00F2603E" w:rsidRPr="00371492" w:rsidRDefault="00F2603E" w:rsidP="00F2603E">
      <w:pPr>
        <w:rPr>
          <w:rFonts w:ascii="Corbel" w:eastAsia="Times New Roman" w:hAnsi="Corbel"/>
          <w:sz w:val="22"/>
        </w:rPr>
      </w:pPr>
    </w:p>
    <w:p w14:paraId="4E66A03A" w14:textId="77777777" w:rsidR="00F2603E" w:rsidRPr="00371492" w:rsidRDefault="00F2603E" w:rsidP="00F2603E">
      <w:pPr>
        <w:rPr>
          <w:rFonts w:ascii="Corbel" w:eastAsia="Times New Roman" w:hAnsi="Corbel"/>
          <w:sz w:val="22"/>
        </w:rPr>
      </w:pPr>
    </w:p>
    <w:p w14:paraId="521DA118" w14:textId="77777777" w:rsidR="00F2603E" w:rsidRPr="00371492" w:rsidRDefault="00F2603E" w:rsidP="00F2603E">
      <w:pPr>
        <w:rPr>
          <w:rFonts w:ascii="Corbel" w:eastAsia="Times New Roman" w:hAnsi="Corbel"/>
          <w:sz w:val="22"/>
        </w:rPr>
      </w:pPr>
    </w:p>
    <w:p w14:paraId="55B9EF42" w14:textId="77777777" w:rsidR="00F2603E" w:rsidRPr="00371492" w:rsidRDefault="00F2603E" w:rsidP="00F2603E">
      <w:pPr>
        <w:rPr>
          <w:rFonts w:ascii="Corbel" w:eastAsia="Times New Roman" w:hAnsi="Corbel"/>
          <w:sz w:val="22"/>
        </w:rPr>
      </w:pPr>
    </w:p>
    <w:p w14:paraId="591C9323" w14:textId="77777777" w:rsidR="00F2603E" w:rsidRPr="00371492" w:rsidRDefault="00F2603E" w:rsidP="00F2603E">
      <w:pPr>
        <w:rPr>
          <w:rFonts w:ascii="Corbel" w:eastAsia="Times New Roman" w:hAnsi="Corbel"/>
          <w:sz w:val="22"/>
        </w:rPr>
      </w:pPr>
    </w:p>
    <w:p w14:paraId="38458F97" w14:textId="77777777" w:rsidR="00F2603E" w:rsidRPr="00371492" w:rsidRDefault="00F2603E" w:rsidP="00F2603E">
      <w:pPr>
        <w:rPr>
          <w:rFonts w:ascii="Corbel" w:eastAsia="Times New Roman" w:hAnsi="Corbel"/>
          <w:sz w:val="22"/>
        </w:rPr>
      </w:pPr>
    </w:p>
    <w:p w14:paraId="5FA26095" w14:textId="77777777" w:rsidR="00F2603E" w:rsidRPr="00371492" w:rsidRDefault="00F2603E" w:rsidP="00F2603E">
      <w:pPr>
        <w:rPr>
          <w:rFonts w:ascii="Corbel" w:eastAsia="Times New Roman" w:hAnsi="Corbel"/>
          <w:sz w:val="22"/>
        </w:rPr>
      </w:pPr>
    </w:p>
    <w:p w14:paraId="73600DF7" w14:textId="77777777" w:rsidR="00F2603E" w:rsidRPr="00371492" w:rsidRDefault="00F2603E" w:rsidP="00F2603E">
      <w:pPr>
        <w:rPr>
          <w:rFonts w:ascii="Corbel" w:eastAsia="Times New Roman" w:hAnsi="Corbel"/>
          <w:sz w:val="22"/>
        </w:rPr>
      </w:pPr>
    </w:p>
    <w:p w14:paraId="4704B4C4" w14:textId="77777777" w:rsidR="00F2603E" w:rsidRPr="00371492" w:rsidRDefault="00F2603E" w:rsidP="00F2603E">
      <w:pPr>
        <w:rPr>
          <w:rFonts w:ascii="Corbel" w:eastAsia="Times New Roman" w:hAnsi="Corbel"/>
          <w:sz w:val="22"/>
        </w:rPr>
      </w:pPr>
    </w:p>
    <w:p w14:paraId="1A979CBF" w14:textId="77777777" w:rsidR="00F2603E" w:rsidRPr="00371492" w:rsidRDefault="00F2603E" w:rsidP="00F2603E">
      <w:pPr>
        <w:rPr>
          <w:rFonts w:ascii="Corbel" w:eastAsia="Times New Roman" w:hAnsi="Corbel"/>
          <w:sz w:val="22"/>
        </w:rPr>
      </w:pPr>
    </w:p>
    <w:p w14:paraId="4565012F" w14:textId="77777777" w:rsidR="00D258A5" w:rsidRPr="00371492" w:rsidRDefault="00D258A5" w:rsidP="00F2603E">
      <w:pPr>
        <w:rPr>
          <w:rFonts w:ascii="Corbel" w:eastAsia="Times New Roman" w:hAnsi="Corbel"/>
          <w:sz w:val="22"/>
        </w:rPr>
      </w:pPr>
    </w:p>
    <w:p w14:paraId="4EEB51F3" w14:textId="77777777" w:rsidR="00D258A5" w:rsidRPr="00371492" w:rsidRDefault="00D258A5" w:rsidP="00F2603E">
      <w:pPr>
        <w:rPr>
          <w:rFonts w:ascii="Corbel" w:eastAsia="Times New Roman" w:hAnsi="Corbel"/>
          <w:sz w:val="22"/>
        </w:rPr>
      </w:pPr>
    </w:p>
    <w:p w14:paraId="34B3A401" w14:textId="77777777" w:rsidR="00D258A5" w:rsidRPr="00371492" w:rsidRDefault="00D258A5" w:rsidP="00F2603E">
      <w:pPr>
        <w:rPr>
          <w:rFonts w:ascii="Corbel" w:eastAsia="Times New Roman" w:hAnsi="Corbel"/>
          <w:sz w:val="22"/>
        </w:rPr>
      </w:pPr>
    </w:p>
    <w:p w14:paraId="6AA79433" w14:textId="77777777" w:rsidR="00D258A5" w:rsidRPr="00371492" w:rsidRDefault="00D258A5" w:rsidP="00F2603E">
      <w:pPr>
        <w:rPr>
          <w:rFonts w:ascii="Corbel" w:eastAsia="Times New Roman" w:hAnsi="Corbel"/>
          <w:sz w:val="22"/>
        </w:rPr>
      </w:pPr>
    </w:p>
    <w:p w14:paraId="39ED6090" w14:textId="77777777" w:rsidR="00F2603E" w:rsidRPr="00371492" w:rsidRDefault="00F2603E" w:rsidP="00F2603E">
      <w:pPr>
        <w:rPr>
          <w:rFonts w:ascii="Corbel" w:eastAsia="Times New Roman" w:hAnsi="Corbel"/>
          <w:sz w:val="22"/>
        </w:rPr>
      </w:pPr>
    </w:p>
    <w:p w14:paraId="629E4DB3" w14:textId="77777777" w:rsidR="00F2603E" w:rsidRPr="00371492" w:rsidRDefault="00F2603E" w:rsidP="00F2603E">
      <w:pPr>
        <w:rPr>
          <w:rFonts w:ascii="Corbel" w:eastAsia="Times New Roman" w:hAnsi="Corbel"/>
          <w:sz w:val="22"/>
        </w:rPr>
      </w:pPr>
    </w:p>
    <w:p w14:paraId="6E17C09D" w14:textId="77777777" w:rsidR="00CA2798" w:rsidRDefault="00CA2798" w:rsidP="00F2603E">
      <w:pPr>
        <w:rPr>
          <w:rFonts w:ascii="Corbel" w:eastAsia="Times New Roman" w:hAnsi="Corbel"/>
          <w:sz w:val="22"/>
        </w:rPr>
      </w:pPr>
    </w:p>
    <w:p w14:paraId="1F12BA2A" w14:textId="77777777" w:rsidR="008B2888" w:rsidRDefault="008B2888" w:rsidP="00F2603E">
      <w:pPr>
        <w:rPr>
          <w:rFonts w:ascii="Corbel" w:eastAsia="Times New Roman" w:hAnsi="Corbel"/>
          <w:sz w:val="22"/>
        </w:rPr>
      </w:pPr>
    </w:p>
    <w:p w14:paraId="2C7CA6D7" w14:textId="77777777" w:rsidR="008B2888" w:rsidRDefault="008B2888" w:rsidP="00F2603E">
      <w:pPr>
        <w:rPr>
          <w:rFonts w:ascii="Corbel" w:eastAsia="Times New Roman" w:hAnsi="Corbel"/>
          <w:sz w:val="22"/>
        </w:rPr>
      </w:pPr>
    </w:p>
    <w:p w14:paraId="451947D1" w14:textId="77777777" w:rsidR="008B2888" w:rsidRDefault="008B2888" w:rsidP="00F2603E">
      <w:pPr>
        <w:rPr>
          <w:rFonts w:ascii="Corbel" w:eastAsia="Times New Roman" w:hAnsi="Corbel"/>
          <w:sz w:val="22"/>
        </w:rPr>
      </w:pPr>
    </w:p>
    <w:p w14:paraId="75E5023A" w14:textId="77777777" w:rsidR="008B2888" w:rsidRDefault="008B2888" w:rsidP="00F2603E">
      <w:pPr>
        <w:rPr>
          <w:rFonts w:ascii="Corbel" w:eastAsia="Times New Roman" w:hAnsi="Corbel"/>
          <w:sz w:val="22"/>
        </w:rPr>
      </w:pPr>
    </w:p>
    <w:p w14:paraId="6D935B16" w14:textId="77777777" w:rsidR="008B2888" w:rsidRDefault="008B2888" w:rsidP="00F2603E">
      <w:pPr>
        <w:rPr>
          <w:rFonts w:ascii="Corbel" w:eastAsia="Times New Roman" w:hAnsi="Corbel"/>
          <w:sz w:val="22"/>
        </w:rPr>
      </w:pPr>
    </w:p>
    <w:p w14:paraId="491A4A1C" w14:textId="77777777" w:rsidR="008B2888" w:rsidRDefault="008B2888" w:rsidP="00F2603E">
      <w:pPr>
        <w:rPr>
          <w:rFonts w:ascii="Corbel" w:eastAsia="Times New Roman" w:hAnsi="Corbel"/>
          <w:sz w:val="22"/>
        </w:rPr>
      </w:pPr>
    </w:p>
    <w:p w14:paraId="1099FC66" w14:textId="77777777" w:rsidR="008B2888" w:rsidRDefault="008B2888" w:rsidP="00F2603E">
      <w:pPr>
        <w:rPr>
          <w:rFonts w:ascii="Corbel" w:eastAsia="Times New Roman" w:hAnsi="Corbel"/>
          <w:sz w:val="22"/>
        </w:rPr>
      </w:pPr>
    </w:p>
    <w:p w14:paraId="7E74A1ED" w14:textId="77777777" w:rsidR="008B2888" w:rsidRPr="00371492" w:rsidRDefault="008B2888" w:rsidP="00F2603E">
      <w:pPr>
        <w:rPr>
          <w:rFonts w:ascii="Corbel" w:eastAsia="Times New Roman" w:hAnsi="Corbel"/>
          <w:sz w:val="22"/>
        </w:rPr>
      </w:pPr>
    </w:p>
    <w:p w14:paraId="20453927" w14:textId="77777777" w:rsidR="00CA2798" w:rsidRPr="00371492" w:rsidRDefault="00CA2798" w:rsidP="00F2603E">
      <w:pPr>
        <w:rPr>
          <w:rFonts w:ascii="Corbel" w:eastAsia="Times New Roman" w:hAnsi="Corbel"/>
          <w:sz w:val="22"/>
        </w:rPr>
      </w:pPr>
    </w:p>
    <w:p w14:paraId="1AAE5939" w14:textId="77777777" w:rsidR="00CA2798" w:rsidRPr="00371492" w:rsidRDefault="00CA2798" w:rsidP="00F2603E">
      <w:pPr>
        <w:rPr>
          <w:rFonts w:ascii="Corbel" w:eastAsia="Times New Roman" w:hAnsi="Corbel"/>
          <w:sz w:val="22"/>
        </w:rPr>
      </w:pPr>
    </w:p>
    <w:p w14:paraId="2DA1A132" w14:textId="77777777" w:rsidR="00CA2798" w:rsidRPr="00371492" w:rsidRDefault="00CA2798" w:rsidP="00F2603E">
      <w:pPr>
        <w:rPr>
          <w:rFonts w:ascii="Corbel" w:eastAsia="Times New Roman" w:hAnsi="Corbel"/>
          <w:sz w:val="22"/>
        </w:rPr>
      </w:pPr>
    </w:p>
    <w:p w14:paraId="2CB1CB90" w14:textId="77777777" w:rsidR="00F2603E" w:rsidRPr="00371492" w:rsidRDefault="00F2603E" w:rsidP="00F2603E">
      <w:pPr>
        <w:rPr>
          <w:rFonts w:ascii="Corbel" w:eastAsia="Times New Roman" w:hAnsi="Corbel"/>
          <w:sz w:val="22"/>
        </w:rPr>
      </w:pPr>
    </w:p>
    <w:p w14:paraId="3BDB2955" w14:textId="77777777" w:rsidR="00F2603E" w:rsidRPr="00371492" w:rsidRDefault="00F2603E" w:rsidP="00F2603E">
      <w:pPr>
        <w:rPr>
          <w:rFonts w:ascii="Corbel" w:eastAsia="Times New Roman" w:hAnsi="Corbel"/>
          <w:sz w:val="22"/>
        </w:rPr>
      </w:pPr>
    </w:p>
    <w:p w14:paraId="61CD696F" w14:textId="77777777" w:rsidR="00F2603E" w:rsidRDefault="00F2603E" w:rsidP="00F2603E">
      <w:pPr>
        <w:rPr>
          <w:rFonts w:ascii="Corbel" w:eastAsia="Times New Roman" w:hAnsi="Corbel"/>
          <w:sz w:val="22"/>
        </w:rPr>
      </w:pPr>
    </w:p>
    <w:p w14:paraId="28B0E0E4" w14:textId="77777777" w:rsidR="00F638C1" w:rsidRDefault="00F638C1" w:rsidP="00F2603E">
      <w:pPr>
        <w:rPr>
          <w:rFonts w:ascii="Corbel" w:eastAsia="Times New Roman" w:hAnsi="Corbel"/>
          <w:sz w:val="22"/>
        </w:rPr>
      </w:pPr>
    </w:p>
    <w:p w14:paraId="24B05EC0" w14:textId="77777777" w:rsidR="00F638C1" w:rsidRDefault="00F638C1" w:rsidP="00F2603E">
      <w:pPr>
        <w:rPr>
          <w:rFonts w:ascii="Corbel" w:eastAsia="Times New Roman" w:hAnsi="Corbel"/>
          <w:sz w:val="22"/>
        </w:rPr>
      </w:pPr>
    </w:p>
    <w:p w14:paraId="1D2FB003" w14:textId="77777777" w:rsidR="00F638C1" w:rsidRDefault="00F638C1" w:rsidP="00F2603E">
      <w:pPr>
        <w:rPr>
          <w:rFonts w:ascii="Corbel" w:eastAsia="Times New Roman" w:hAnsi="Corbel"/>
          <w:sz w:val="22"/>
        </w:rPr>
      </w:pPr>
    </w:p>
    <w:p w14:paraId="19D0B62D" w14:textId="77777777" w:rsidR="00AF35B4" w:rsidRDefault="00AF35B4" w:rsidP="00F2603E">
      <w:pPr>
        <w:rPr>
          <w:rFonts w:ascii="Corbel" w:eastAsia="Times New Roman" w:hAnsi="Corbel"/>
          <w:sz w:val="22"/>
        </w:rPr>
      </w:pPr>
    </w:p>
    <w:p w14:paraId="76E9912B" w14:textId="77777777" w:rsidR="00AF35B4" w:rsidRDefault="00AF35B4" w:rsidP="00F2603E">
      <w:pPr>
        <w:rPr>
          <w:rFonts w:ascii="Corbel" w:eastAsia="Times New Roman" w:hAnsi="Corbel"/>
          <w:sz w:val="22"/>
        </w:rPr>
      </w:pPr>
    </w:p>
    <w:p w14:paraId="679011E1" w14:textId="77777777" w:rsidR="00F2603E" w:rsidRPr="00371492" w:rsidRDefault="00F2603E" w:rsidP="00F2603E">
      <w:pPr>
        <w:rPr>
          <w:rFonts w:ascii="Corbel" w:eastAsia="Times New Roman" w:hAnsi="Corbel"/>
          <w:sz w:val="22"/>
        </w:rPr>
      </w:pPr>
    </w:p>
    <w:p w14:paraId="1D0AD92E" w14:textId="4A046084" w:rsidR="00F2603E" w:rsidRPr="00371492" w:rsidRDefault="00F2603E" w:rsidP="00200C74">
      <w:pPr>
        <w:pStyle w:val="Stijl1"/>
        <w:numPr>
          <w:ilvl w:val="0"/>
          <w:numId w:val="5"/>
        </w:numPr>
        <w:spacing w:line="360" w:lineRule="auto"/>
        <w:jc w:val="both"/>
        <w:rPr>
          <w:rFonts w:eastAsia="Tahoma" w:cs="Tahoma"/>
          <w:szCs w:val="24"/>
        </w:rPr>
      </w:pPr>
      <w:bookmarkStart w:id="29" w:name="_Toc485990869"/>
      <w:r w:rsidRPr="00371492">
        <w:rPr>
          <w:rFonts w:eastAsia="Tahoma" w:cs="Tahoma"/>
          <w:szCs w:val="24"/>
        </w:rPr>
        <w:lastRenderedPageBreak/>
        <w:t>Praktische toepassing ethisch risicokader</w:t>
      </w:r>
      <w:bookmarkEnd w:id="29"/>
    </w:p>
    <w:p w14:paraId="443A7787" w14:textId="45E81333" w:rsidR="00F2603E" w:rsidRPr="00371492" w:rsidRDefault="00F2603E" w:rsidP="00F2603E">
      <w:pPr>
        <w:spacing w:line="360" w:lineRule="auto"/>
        <w:jc w:val="both"/>
        <w:rPr>
          <w:rFonts w:ascii="Corbel" w:eastAsia="Tahoma" w:hAnsi="Corbel" w:cs="Tahoma"/>
          <w:color w:val="000000" w:themeColor="text1"/>
          <w:sz w:val="20"/>
        </w:rPr>
      </w:pPr>
      <w:r w:rsidRPr="00371492">
        <w:rPr>
          <w:rFonts w:ascii="Corbel" w:hAnsi="Corbel"/>
          <w:sz w:val="20"/>
          <w:szCs w:val="22"/>
        </w:rPr>
        <w:t xml:space="preserve">In dit hoofdstuk wordt de volgende stap gezet richting de analyse van IBRA. Het vorige hoofdstuk presenteerde de theoretische uiteenzetting van de ethische stromingen op conceptueel niveau. Dit hoofdstuk gaat op zoek naar de toepassing van het utilisme, deontologie en de deugdethiek op de praktijk van risicoanalyses. </w:t>
      </w:r>
      <w:r w:rsidR="009C6905">
        <w:rPr>
          <w:rFonts w:ascii="Corbel" w:hAnsi="Corbel"/>
          <w:sz w:val="20"/>
          <w:szCs w:val="22"/>
        </w:rPr>
        <w:t xml:space="preserve">Hoe is te beoordelen of er sprake is van utilisme, deontologie of deugdethiek in een concrete casus? </w:t>
      </w:r>
      <w:r w:rsidRPr="00371492">
        <w:rPr>
          <w:rFonts w:ascii="Corbel" w:hAnsi="Corbel"/>
          <w:sz w:val="20"/>
          <w:szCs w:val="22"/>
        </w:rPr>
        <w:t xml:space="preserve">Het doel is om te kijken hoe de verschillende stromingen aankijken tegen risicoverdeling. Wat zijn bijvoorbeeld de wenselijke of noodzakelijke alternatieven volgens de theorieën? En welke typische elementen dienen teruggevonden te worden in een risicoanalyse opdat besloten kan worden tot welke stroming de onderbouwing behoort? Kortom, </w:t>
      </w:r>
      <w:r w:rsidR="003B34DB" w:rsidRPr="00371492">
        <w:rPr>
          <w:rFonts w:ascii="Corbel" w:hAnsi="Corbel"/>
          <w:sz w:val="20"/>
          <w:szCs w:val="22"/>
        </w:rPr>
        <w:t xml:space="preserve">dit hoofdstuk zoek een antwoord op de </w:t>
      </w:r>
      <w:r w:rsidRPr="00371492">
        <w:rPr>
          <w:rFonts w:ascii="Corbel" w:hAnsi="Corbel"/>
          <w:sz w:val="20"/>
          <w:szCs w:val="22"/>
        </w:rPr>
        <w:t xml:space="preserve">derde deelvraag: </w:t>
      </w:r>
      <w:r w:rsidRPr="00371492">
        <w:rPr>
          <w:rFonts w:ascii="Corbel" w:eastAsia="Tahoma" w:hAnsi="Corbel" w:cs="Tahoma"/>
          <w:color w:val="000000" w:themeColor="text1"/>
          <w:sz w:val="20"/>
          <w:lang w:eastAsia="en-US"/>
        </w:rPr>
        <w:t>w</w:t>
      </w:r>
      <w:r w:rsidRPr="00371492">
        <w:rPr>
          <w:rFonts w:ascii="Corbel" w:eastAsia="Tahoma" w:hAnsi="Corbel" w:cs="Tahoma"/>
          <w:color w:val="000000" w:themeColor="text1"/>
          <w:sz w:val="20"/>
        </w:rPr>
        <w:t>at zijn de elementen van een breed ethisch risicokader in praktische zin?</w:t>
      </w:r>
    </w:p>
    <w:p w14:paraId="12084A44" w14:textId="77777777" w:rsidR="00F2603E" w:rsidRPr="00371492" w:rsidRDefault="00F2603E" w:rsidP="00F2603E">
      <w:pPr>
        <w:rPr>
          <w:rFonts w:ascii="Corbel" w:hAnsi="Corbel"/>
          <w:sz w:val="22"/>
        </w:rPr>
      </w:pPr>
    </w:p>
    <w:p w14:paraId="6315CC79" w14:textId="7889C21C" w:rsidR="00F2603E" w:rsidRPr="00371492" w:rsidRDefault="00F2603E" w:rsidP="00510131">
      <w:pPr>
        <w:pStyle w:val="Stijl2"/>
        <w:numPr>
          <w:ilvl w:val="1"/>
          <w:numId w:val="5"/>
        </w:numPr>
      </w:pPr>
      <w:bookmarkStart w:id="30" w:name="_Toc485990870"/>
      <w:r w:rsidRPr="00371492">
        <w:t>Toepassing utilisme: kwantiteit</w:t>
      </w:r>
      <w:bookmarkEnd w:id="30"/>
    </w:p>
    <w:p w14:paraId="56521985" w14:textId="302D9021" w:rsidR="00F2603E" w:rsidRPr="00371492" w:rsidRDefault="000849F5" w:rsidP="00AD3BF4">
      <w:pPr>
        <w:pStyle w:val="Tekstopmerking"/>
        <w:spacing w:line="360" w:lineRule="auto"/>
        <w:contextualSpacing/>
        <w:jc w:val="both"/>
        <w:rPr>
          <w:rFonts w:ascii="Corbel" w:eastAsia="Tahoma" w:hAnsi="Corbel" w:cs="Tahoma"/>
          <w:sz w:val="20"/>
          <w:szCs w:val="20"/>
        </w:rPr>
      </w:pPr>
      <w:r>
        <w:rPr>
          <w:rFonts w:ascii="Corbel" w:eastAsia="Tahoma" w:hAnsi="Corbel" w:cs="Tahoma"/>
          <w:sz w:val="20"/>
          <w:szCs w:val="20"/>
        </w:rPr>
        <w:t>In beginsel</w:t>
      </w:r>
      <w:r w:rsidR="00F2603E" w:rsidRPr="00371492">
        <w:rPr>
          <w:rFonts w:ascii="Corbel" w:eastAsia="Tahoma" w:hAnsi="Corbel" w:cs="Tahoma"/>
          <w:sz w:val="20"/>
          <w:szCs w:val="20"/>
        </w:rPr>
        <w:t xml:space="preserve"> kan gesteld worden dat het utilisme het nut dat door een handeling verkregen wordt al</w:t>
      </w:r>
      <w:r>
        <w:rPr>
          <w:rFonts w:ascii="Corbel" w:eastAsia="Tahoma" w:hAnsi="Corbel" w:cs="Tahoma"/>
          <w:sz w:val="20"/>
          <w:szCs w:val="20"/>
        </w:rPr>
        <w:t xml:space="preserve">s uitgangspunt neemt. </w:t>
      </w:r>
      <w:r w:rsidR="00AD3BF4">
        <w:rPr>
          <w:rFonts w:ascii="Corbel" w:eastAsia="Tahoma" w:hAnsi="Corbel" w:cs="Tahoma"/>
          <w:sz w:val="20"/>
          <w:szCs w:val="20"/>
        </w:rPr>
        <w:t>In andere woorden, d</w:t>
      </w:r>
      <w:r w:rsidRPr="00371492">
        <w:rPr>
          <w:rFonts w:ascii="Corbel" w:eastAsia="Tahoma" w:hAnsi="Corbel" w:cs="Tahoma"/>
          <w:sz w:val="20"/>
          <w:szCs w:val="20"/>
        </w:rPr>
        <w:t xml:space="preserve">e beoordeling richt zich op het nut </w:t>
      </w:r>
      <w:r w:rsidR="00DB5A97">
        <w:rPr>
          <w:rFonts w:ascii="Corbel" w:eastAsia="Tahoma" w:hAnsi="Corbel" w:cs="Tahoma"/>
          <w:sz w:val="20"/>
          <w:szCs w:val="20"/>
        </w:rPr>
        <w:t>dat</w:t>
      </w:r>
      <w:r w:rsidRPr="00371492">
        <w:rPr>
          <w:rFonts w:ascii="Corbel" w:eastAsia="Tahoma" w:hAnsi="Corbel" w:cs="Tahoma"/>
          <w:sz w:val="20"/>
          <w:szCs w:val="20"/>
        </w:rPr>
        <w:t xml:space="preserve"> een handeling als resultaat heeft.</w:t>
      </w:r>
      <w:r>
        <w:rPr>
          <w:rFonts w:ascii="Corbel" w:eastAsia="Tahoma" w:hAnsi="Corbel" w:cs="Tahoma"/>
          <w:sz w:val="20"/>
          <w:szCs w:val="20"/>
        </w:rPr>
        <w:t xml:space="preserve"> Meer specifiek</w:t>
      </w:r>
      <w:r w:rsidR="00F2603E" w:rsidRPr="00371492">
        <w:rPr>
          <w:rFonts w:ascii="Corbel" w:eastAsia="Tahoma" w:hAnsi="Corbel" w:cs="Tahoma"/>
          <w:sz w:val="20"/>
          <w:szCs w:val="20"/>
        </w:rPr>
        <w:t xml:space="preserve">: het utilisme </w:t>
      </w:r>
      <w:r w:rsidR="002208E3">
        <w:rPr>
          <w:rFonts w:ascii="Corbel" w:eastAsia="Tahoma" w:hAnsi="Corbel" w:cs="Tahoma"/>
          <w:sz w:val="20"/>
          <w:szCs w:val="20"/>
        </w:rPr>
        <w:t>beoordeelt handelingen naar de gevolgen daarvan</w:t>
      </w:r>
      <w:r w:rsidR="00F2603E" w:rsidRPr="00371492">
        <w:rPr>
          <w:rFonts w:ascii="Corbel" w:eastAsia="Tahoma" w:hAnsi="Corbel" w:cs="Tahoma"/>
          <w:sz w:val="20"/>
          <w:szCs w:val="20"/>
        </w:rPr>
        <w:t xml:space="preserve"> en richt zich</w:t>
      </w:r>
      <w:r w:rsidR="00BB03FB">
        <w:rPr>
          <w:rFonts w:ascii="Corbel" w:eastAsia="Tahoma" w:hAnsi="Corbel" w:cs="Tahoma"/>
          <w:sz w:val="20"/>
          <w:szCs w:val="20"/>
        </w:rPr>
        <w:t xml:space="preserve"> hierbij primair</w:t>
      </w:r>
      <w:r w:rsidR="00F2603E" w:rsidRPr="00371492">
        <w:rPr>
          <w:rFonts w:ascii="Corbel" w:eastAsia="Tahoma" w:hAnsi="Corbel" w:cs="Tahoma"/>
          <w:sz w:val="20"/>
          <w:szCs w:val="20"/>
        </w:rPr>
        <w:t xml:space="preserve"> op </w:t>
      </w:r>
      <w:r w:rsidR="00F2603E" w:rsidRPr="00371492">
        <w:rPr>
          <w:rFonts w:ascii="Corbel" w:hAnsi="Corbel"/>
          <w:sz w:val="20"/>
          <w:szCs w:val="20"/>
        </w:rPr>
        <w:t>verhoging van geluk en vermindering van pijn</w:t>
      </w:r>
      <w:r w:rsidR="00AD3BF4">
        <w:rPr>
          <w:rFonts w:ascii="Corbel" w:eastAsia="Tahoma" w:hAnsi="Corbel" w:cs="Tahoma"/>
          <w:sz w:val="20"/>
          <w:szCs w:val="20"/>
        </w:rPr>
        <w:t xml:space="preserve">. Dit leidt ertoe </w:t>
      </w:r>
      <w:r w:rsidR="00BB03FB">
        <w:rPr>
          <w:rFonts w:ascii="Corbel" w:eastAsia="Tahoma" w:hAnsi="Corbel" w:cs="Tahoma"/>
          <w:sz w:val="20"/>
          <w:szCs w:val="20"/>
        </w:rPr>
        <w:t xml:space="preserve">dat motieven en intenties </w:t>
      </w:r>
      <w:r w:rsidR="00F2603E" w:rsidRPr="00371492">
        <w:rPr>
          <w:rFonts w:ascii="Corbel" w:eastAsia="Tahoma" w:hAnsi="Corbel" w:cs="Tahoma"/>
          <w:i/>
          <w:sz w:val="20"/>
          <w:szCs w:val="20"/>
        </w:rPr>
        <w:t xml:space="preserve">an sich </w:t>
      </w:r>
      <w:r w:rsidR="00F2603E" w:rsidRPr="00371492">
        <w:rPr>
          <w:rFonts w:ascii="Corbel" w:eastAsia="Tahoma" w:hAnsi="Corbel" w:cs="Tahoma"/>
          <w:sz w:val="20"/>
          <w:szCs w:val="20"/>
        </w:rPr>
        <w:t xml:space="preserve">niet interessant </w:t>
      </w:r>
      <w:r w:rsidR="00BB03FB">
        <w:rPr>
          <w:rFonts w:ascii="Corbel" w:eastAsia="Tahoma" w:hAnsi="Corbel" w:cs="Tahoma"/>
          <w:sz w:val="20"/>
          <w:szCs w:val="20"/>
        </w:rPr>
        <w:t xml:space="preserve">zijn (van Melle &amp; van </w:t>
      </w:r>
      <w:proofErr w:type="spellStart"/>
      <w:r w:rsidR="00BB03FB">
        <w:rPr>
          <w:rFonts w:ascii="Corbel" w:eastAsia="Tahoma" w:hAnsi="Corbel" w:cs="Tahoma"/>
          <w:sz w:val="20"/>
          <w:szCs w:val="20"/>
        </w:rPr>
        <w:t>Zilfhout</w:t>
      </w:r>
      <w:proofErr w:type="spellEnd"/>
      <w:r w:rsidR="00BB03FB">
        <w:rPr>
          <w:rFonts w:ascii="Corbel" w:eastAsia="Tahoma" w:hAnsi="Corbel" w:cs="Tahoma"/>
          <w:sz w:val="20"/>
          <w:szCs w:val="20"/>
        </w:rPr>
        <w:t>, 2008, p. 91). Op dit vlak bestaat er een scherpe tegenstelling met de deontologie</w:t>
      </w:r>
      <w:r w:rsidR="00F2603E" w:rsidRPr="00371492">
        <w:rPr>
          <w:rFonts w:ascii="Corbel" w:eastAsia="Tahoma" w:hAnsi="Corbel" w:cs="Tahoma"/>
          <w:sz w:val="20"/>
          <w:szCs w:val="20"/>
        </w:rPr>
        <w:t xml:space="preserve">. </w:t>
      </w:r>
      <w:r w:rsidR="00AD3BF4" w:rsidRPr="00371492">
        <w:rPr>
          <w:rFonts w:ascii="Corbel" w:eastAsia="Tahoma" w:hAnsi="Corbel" w:cs="Tahoma"/>
          <w:sz w:val="20"/>
          <w:szCs w:val="20"/>
        </w:rPr>
        <w:t xml:space="preserve">De focus van het utilisme ligt op de consequenties, waarbij het belangrijk is dat iedereen (het is dus niet noodzakelijk deel uit te maken van de handeling) de gevolgen op eenzelfde manier kan waarderen. </w:t>
      </w:r>
      <w:r w:rsidR="00AD3BF4">
        <w:rPr>
          <w:rFonts w:ascii="Corbel" w:eastAsia="Tahoma" w:hAnsi="Corbel" w:cs="Tahoma"/>
          <w:sz w:val="20"/>
          <w:szCs w:val="20"/>
        </w:rPr>
        <w:t xml:space="preserve">Om deze reden kijkt het utilisme naar de gevolgen in kwantitatieve zin. </w:t>
      </w:r>
      <w:r w:rsidR="00F2603E" w:rsidRPr="00371492">
        <w:rPr>
          <w:rFonts w:ascii="Corbel" w:eastAsia="Tahoma" w:hAnsi="Corbel" w:cs="Tahoma"/>
          <w:sz w:val="20"/>
          <w:szCs w:val="20"/>
        </w:rPr>
        <w:t xml:space="preserve">Het centrale kenmerk van het utilisme is dat de gegeven preferenties voor iedereen kenbaar zijn. Deze preferenties kunnen door iedereen dus positief en/of negatief gewaardeerd worden. </w:t>
      </w:r>
    </w:p>
    <w:p w14:paraId="26A9DBCF" w14:textId="4B66E83C" w:rsidR="00F2603E" w:rsidRPr="00371492" w:rsidRDefault="00F2603E" w:rsidP="00F2603E">
      <w:pPr>
        <w:pStyle w:val="Tekstopmerking"/>
        <w:spacing w:line="360" w:lineRule="auto"/>
        <w:ind w:firstLine="708"/>
        <w:contextualSpacing/>
        <w:jc w:val="both"/>
        <w:rPr>
          <w:rFonts w:ascii="Corbel" w:eastAsia="Tahoma" w:hAnsi="Corbel" w:cs="Tahoma"/>
          <w:sz w:val="20"/>
          <w:szCs w:val="22"/>
        </w:rPr>
      </w:pPr>
      <w:r w:rsidRPr="00371492">
        <w:rPr>
          <w:rFonts w:ascii="Corbel" w:eastAsia="Tahoma" w:hAnsi="Corbel" w:cs="Tahoma"/>
          <w:sz w:val="20"/>
          <w:szCs w:val="22"/>
        </w:rPr>
        <w:t>Uit deze focus en logica volgt de rationaliseringswijze van de theorie. Door de algemene kenbaarheid en vergelijkbaarheid volgt het onderscheidende kenmerk van de utilistische theorie, namelijk de mogelijkheid tot kwantificeren</w:t>
      </w:r>
      <w:r w:rsidR="009C6905">
        <w:rPr>
          <w:rFonts w:ascii="Corbel" w:eastAsia="Tahoma" w:hAnsi="Corbel" w:cs="Tahoma"/>
          <w:sz w:val="20"/>
          <w:szCs w:val="22"/>
        </w:rPr>
        <w:t xml:space="preserve"> van de gevolgen voor het algemeen nut</w:t>
      </w:r>
      <w:r w:rsidRPr="00371492">
        <w:rPr>
          <w:rFonts w:ascii="Corbel" w:eastAsia="Tahoma" w:hAnsi="Corbel" w:cs="Tahoma"/>
          <w:sz w:val="20"/>
          <w:szCs w:val="22"/>
        </w:rPr>
        <w:t xml:space="preserve">. </w:t>
      </w:r>
      <w:r w:rsidRPr="00371492">
        <w:rPr>
          <w:rFonts w:ascii="Corbel" w:eastAsia="Tahoma" w:hAnsi="Corbel" w:cs="Tahoma"/>
          <w:color w:val="000000" w:themeColor="text1"/>
          <w:sz w:val="20"/>
        </w:rPr>
        <w:t xml:space="preserve">Hieruit volgt dat het mogelijk is de verwachte kosten en baten van gevolgen te vatten onder een noemer (bijv. geld, pijn, levensjaren etc.) waar men het snel over eens is. Met andere woorden, versmalling van het vraagstuk is mogelijk. </w:t>
      </w:r>
      <w:r w:rsidR="007C0B0F">
        <w:rPr>
          <w:rFonts w:ascii="Corbel" w:eastAsia="Tahoma" w:hAnsi="Corbel" w:cs="Tahoma"/>
          <w:color w:val="000000" w:themeColor="text1"/>
          <w:sz w:val="20"/>
        </w:rPr>
        <w:t xml:space="preserve">Hiermee wordt bedoeld dat een keuzeprobleem </w:t>
      </w:r>
      <w:r w:rsidR="00813AED">
        <w:rPr>
          <w:rFonts w:ascii="Corbel" w:eastAsia="Tahoma" w:hAnsi="Corbel" w:cs="Tahoma"/>
          <w:color w:val="000000" w:themeColor="text1"/>
          <w:sz w:val="20"/>
        </w:rPr>
        <w:t>verkleind</w:t>
      </w:r>
      <w:r w:rsidR="007C0B0F">
        <w:rPr>
          <w:rFonts w:ascii="Corbel" w:eastAsia="Tahoma" w:hAnsi="Corbel" w:cs="Tahoma"/>
          <w:color w:val="000000" w:themeColor="text1"/>
          <w:sz w:val="20"/>
        </w:rPr>
        <w:t xml:space="preserve"> wordt van het gehele probleem tot enkel een geldvraagstuk bijvoorbeeld. </w:t>
      </w:r>
      <w:r w:rsidRPr="00371492">
        <w:rPr>
          <w:rFonts w:ascii="Corbel" w:eastAsia="Tahoma" w:hAnsi="Corbel" w:cs="Tahoma"/>
          <w:color w:val="000000" w:themeColor="text1"/>
          <w:sz w:val="20"/>
        </w:rPr>
        <w:t>Deze rationalisering leidt tot de mogelijkheid om op zoek te gaan naar de ideale utilistische verdeling die volgt uit de kostenbaten afweging. Het optimum dat hier bereikt zou moeten worden volgt uit de doelstelling van nutsmaximalisatie volgens het utiliteitsprincipe.</w:t>
      </w:r>
      <w:r w:rsidRPr="00371492">
        <w:rPr>
          <w:rFonts w:ascii="Corbel" w:eastAsia="Tahoma" w:hAnsi="Corbel" w:cs="Tahoma"/>
          <w:sz w:val="20"/>
          <w:szCs w:val="22"/>
        </w:rPr>
        <w:t xml:space="preserve"> Dit vertaalt zich in het grootste geluk voor het grootste aantal mensen.</w:t>
      </w:r>
      <w:r w:rsidR="009C6905">
        <w:rPr>
          <w:rFonts w:ascii="Corbel" w:eastAsia="Tahoma" w:hAnsi="Corbel" w:cs="Tahoma"/>
          <w:sz w:val="20"/>
          <w:szCs w:val="22"/>
        </w:rPr>
        <w:t xml:space="preserve"> Geluk wordt bij het utilisme dus in kwantitatieve termen weergegeven.</w:t>
      </w:r>
      <w:r w:rsidRPr="00371492">
        <w:rPr>
          <w:rFonts w:ascii="Corbel" w:eastAsia="Tahoma" w:hAnsi="Corbel" w:cs="Tahoma"/>
          <w:sz w:val="20"/>
          <w:szCs w:val="22"/>
        </w:rPr>
        <w:t xml:space="preserve"> Dit kan op verschillende manieren invulling krijgen, denk bijvoorbeeld aan mate van welzijn, welvaart of gezondheid. In lijn met deze redenatie worden risico’s als acceptabel geacht als het nemen of tegengaan van dat risico het meeste nut oplevert voor het grootste aantal mensen. Kortom, het draait binnen het utilisme om de uitkomst van acties. Het afwenden of minimaliseren van schade is een logisch utilistisch streven op basis van de hierboven gepresenteerde logica. </w:t>
      </w:r>
    </w:p>
    <w:p w14:paraId="215E4740" w14:textId="641A3106" w:rsidR="00F2603E" w:rsidRPr="00AD3004" w:rsidRDefault="00F2603E" w:rsidP="00AD3004">
      <w:pPr>
        <w:pStyle w:val="Tekstopmerking"/>
        <w:spacing w:line="360" w:lineRule="auto"/>
        <w:ind w:firstLine="708"/>
        <w:contextualSpacing/>
        <w:jc w:val="both"/>
        <w:rPr>
          <w:rFonts w:ascii="Corbel" w:hAnsi="Corbel"/>
          <w:sz w:val="20"/>
          <w:szCs w:val="20"/>
        </w:rPr>
      </w:pPr>
      <w:r w:rsidRPr="00371492">
        <w:rPr>
          <w:rFonts w:ascii="Corbel" w:eastAsia="Tahoma" w:hAnsi="Corbel" w:cs="Tahoma"/>
          <w:sz w:val="20"/>
          <w:szCs w:val="22"/>
        </w:rPr>
        <w:lastRenderedPageBreak/>
        <w:t>Voor een risicoanalyse betekent de logica van het utilisme het volgende. In het vorige hoofdstuk is al aangegeven dat de relevantie van de ethische theorieën erin ligt dat ze op verschillende manieren kwetsbaarheden beschermen. Elke stroming presenteert haar eigen logica en komt zo op een ander te beschermen ‘goed’. Anders gezegd kijken de drie normatieve theorieën elk naar andere kwetsbaarheden wanneer risico’s geanalyseerd worden. Zoals we gezien hebben kijkt het utilisme naar kwantitatieve gevolgen en definieert het</w:t>
      </w:r>
      <w:r w:rsidRPr="00371492">
        <w:rPr>
          <w:rFonts w:ascii="Corbel" w:eastAsia="Tahoma" w:hAnsi="Corbel" w:cs="Tahoma"/>
          <w:sz w:val="20"/>
        </w:rPr>
        <w:t xml:space="preserve"> kwetsbaarheden in termen van kosten en baten.</w:t>
      </w:r>
      <w:r w:rsidR="00482E38" w:rsidRPr="00371492">
        <w:rPr>
          <w:rFonts w:ascii="Corbel" w:eastAsia="Tahoma" w:hAnsi="Corbel" w:cs="Tahoma"/>
          <w:sz w:val="20"/>
        </w:rPr>
        <w:t xml:space="preserve"> </w:t>
      </w:r>
      <w:r w:rsidRPr="00371492">
        <w:rPr>
          <w:rFonts w:ascii="Corbel" w:eastAsia="Tahoma" w:hAnsi="Corbel" w:cs="Tahoma"/>
          <w:sz w:val="20"/>
        </w:rPr>
        <w:t>De kwetsbaarheden die hierin meegenomen worden zijn geformuleerd als schade, wat geoperationaliseerd wordt in hoge kosten (materiële schade) of een hoge mate van pijn en leed (immateriële schade). In een risicoanalyse zal een utilist zich focussen op deze kwetsbaarheden, bijvoorbeeld in het aantal doden of monetaire schade. De kerngedachte hierbij is dat de schade moet worden geminimaliseerd. De rationaliseringswijze van het utilisme is het kwantificeren van deze schadeposten</w:t>
      </w:r>
      <w:r w:rsidR="000940EF">
        <w:rPr>
          <w:rFonts w:ascii="Corbel" w:eastAsia="Tahoma" w:hAnsi="Corbel" w:cs="Tahoma"/>
          <w:sz w:val="20"/>
        </w:rPr>
        <w:t>, om zo op zoek te gaan naar nutsmaximalisatie volgens het utiliteitsprincipe</w:t>
      </w:r>
      <w:r w:rsidRPr="00371492">
        <w:rPr>
          <w:rFonts w:ascii="Corbel" w:eastAsia="Tahoma" w:hAnsi="Corbel" w:cs="Tahoma"/>
          <w:sz w:val="20"/>
        </w:rPr>
        <w:t>. Schematisch ziet de toepassing van het utilisme er als volgt uit (zie tabel 1):</w:t>
      </w:r>
    </w:p>
    <w:p w14:paraId="38E029BB" w14:textId="77777777" w:rsidR="00F2603E" w:rsidRPr="00371492" w:rsidRDefault="00F2603E" w:rsidP="00F2603E">
      <w:pPr>
        <w:pStyle w:val="Bijschrift"/>
        <w:keepNext/>
        <w:rPr>
          <w:rFonts w:ascii="Corbel" w:hAnsi="Corbel"/>
          <w:sz w:val="16"/>
        </w:rPr>
      </w:pPr>
      <w:r w:rsidRPr="00371492">
        <w:rPr>
          <w:rFonts w:ascii="Corbel" w:hAnsi="Corbel"/>
          <w:sz w:val="16"/>
        </w:rPr>
        <w:t xml:space="preserve">Tabel </w:t>
      </w:r>
      <w:r w:rsidR="00A61297" w:rsidRPr="00371492">
        <w:rPr>
          <w:rFonts w:ascii="Corbel" w:hAnsi="Corbel"/>
          <w:sz w:val="16"/>
        </w:rPr>
        <w:fldChar w:fldCharType="begin"/>
      </w:r>
      <w:r w:rsidRPr="00371492">
        <w:rPr>
          <w:rFonts w:ascii="Corbel" w:hAnsi="Corbel"/>
          <w:sz w:val="16"/>
        </w:rPr>
        <w:instrText xml:space="preserve"> SEQ Tabel \* ARABIC </w:instrText>
      </w:r>
      <w:r w:rsidR="00A61297" w:rsidRPr="00371492">
        <w:rPr>
          <w:rFonts w:ascii="Corbel" w:hAnsi="Corbel"/>
          <w:sz w:val="16"/>
        </w:rPr>
        <w:fldChar w:fldCharType="separate"/>
      </w:r>
      <w:r w:rsidR="00BA122C">
        <w:rPr>
          <w:rFonts w:ascii="Corbel" w:hAnsi="Corbel"/>
          <w:noProof/>
          <w:sz w:val="16"/>
        </w:rPr>
        <w:t>2</w:t>
      </w:r>
      <w:r w:rsidR="00A61297" w:rsidRPr="00371492">
        <w:rPr>
          <w:rFonts w:ascii="Corbel" w:hAnsi="Corbel"/>
          <w:sz w:val="16"/>
        </w:rPr>
        <w:fldChar w:fldCharType="end"/>
      </w:r>
      <w:r w:rsidRPr="00371492">
        <w:rPr>
          <w:rFonts w:ascii="Corbel" w:hAnsi="Corbel"/>
          <w:sz w:val="16"/>
        </w:rPr>
        <w:t xml:space="preserve"> - toepassing utilisme op praktijk risicoanalyse</w:t>
      </w:r>
    </w:p>
    <w:tbl>
      <w:tblPr>
        <w:tblStyle w:val="Tabelraster"/>
        <w:tblW w:w="0" w:type="auto"/>
        <w:tblLook w:val="04A0" w:firstRow="1" w:lastRow="0" w:firstColumn="1" w:lastColumn="0" w:noHBand="0" w:noVBand="1"/>
      </w:tblPr>
      <w:tblGrid>
        <w:gridCol w:w="1966"/>
        <w:gridCol w:w="7090"/>
      </w:tblGrid>
      <w:tr w:rsidR="00F2603E" w:rsidRPr="00371492" w14:paraId="15D87239" w14:textId="77777777" w:rsidTr="00E97355">
        <w:trPr>
          <w:trHeight w:val="841"/>
        </w:trPr>
        <w:tc>
          <w:tcPr>
            <w:tcW w:w="1789" w:type="dxa"/>
          </w:tcPr>
          <w:p w14:paraId="0AADCFB7" w14:textId="77777777" w:rsidR="00F2603E" w:rsidRPr="00371492" w:rsidRDefault="00F2603E" w:rsidP="00E97355">
            <w:pPr>
              <w:spacing w:line="360" w:lineRule="auto"/>
              <w:jc w:val="both"/>
              <w:rPr>
                <w:rFonts w:ascii="Corbel" w:eastAsia="Tahoma" w:hAnsi="Corbel" w:cs="Tahoma"/>
                <w:i/>
                <w:color w:val="000000" w:themeColor="text1"/>
                <w:sz w:val="20"/>
              </w:rPr>
            </w:pPr>
            <w:r w:rsidRPr="00371492">
              <w:rPr>
                <w:rFonts w:ascii="Corbel" w:eastAsia="Tahoma" w:hAnsi="Corbel" w:cs="Tahoma"/>
                <w:i/>
                <w:color w:val="000000" w:themeColor="text1"/>
                <w:sz w:val="20"/>
              </w:rPr>
              <w:t>Logica</w:t>
            </w:r>
          </w:p>
          <w:p w14:paraId="49065EB8" w14:textId="77777777" w:rsidR="00F2603E" w:rsidRPr="00371492" w:rsidRDefault="00F2603E" w:rsidP="00E97355">
            <w:pPr>
              <w:spacing w:line="360" w:lineRule="auto"/>
              <w:jc w:val="both"/>
              <w:rPr>
                <w:rFonts w:ascii="Corbel" w:eastAsia="Tahoma" w:hAnsi="Corbel" w:cs="Tahoma"/>
                <w:i/>
                <w:color w:val="000000" w:themeColor="text1"/>
                <w:sz w:val="20"/>
              </w:rPr>
            </w:pPr>
          </w:p>
        </w:tc>
        <w:tc>
          <w:tcPr>
            <w:tcW w:w="7493" w:type="dxa"/>
          </w:tcPr>
          <w:p w14:paraId="146C9E60" w14:textId="77777777" w:rsidR="00F2603E" w:rsidRPr="00371492" w:rsidRDefault="00F2603E" w:rsidP="00E97355">
            <w:p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 xml:space="preserve">Het utilisme kijkt naar </w:t>
            </w:r>
            <w:r w:rsidRPr="00371492">
              <w:rPr>
                <w:rFonts w:ascii="Corbel" w:eastAsia="Tahoma" w:hAnsi="Corbel" w:cs="Tahoma"/>
                <w:b/>
                <w:color w:val="000000" w:themeColor="text1"/>
                <w:sz w:val="20"/>
              </w:rPr>
              <w:t>gevolgen</w:t>
            </w:r>
            <w:r w:rsidRPr="00371492">
              <w:rPr>
                <w:rFonts w:ascii="Corbel" w:eastAsia="Tahoma" w:hAnsi="Corbel" w:cs="Tahoma"/>
                <w:color w:val="000000" w:themeColor="text1"/>
                <w:sz w:val="20"/>
              </w:rPr>
              <w:t xml:space="preserve"> van een handeling (</w:t>
            </w:r>
            <w:r w:rsidRPr="00371492">
              <w:rPr>
                <w:rFonts w:ascii="Corbel" w:eastAsia="Tahoma" w:hAnsi="Corbel" w:cs="Tahoma"/>
                <w:b/>
                <w:color w:val="000000" w:themeColor="text1"/>
                <w:sz w:val="20"/>
              </w:rPr>
              <w:t>kwantiteit</w:t>
            </w:r>
            <w:r w:rsidRPr="00371492">
              <w:rPr>
                <w:rFonts w:ascii="Corbel" w:eastAsia="Tahoma" w:hAnsi="Corbel" w:cs="Tahoma"/>
                <w:color w:val="000000" w:themeColor="text1"/>
                <w:sz w:val="20"/>
              </w:rPr>
              <w:t xml:space="preserve">). </w:t>
            </w:r>
          </w:p>
          <w:p w14:paraId="26048113" w14:textId="77777777" w:rsidR="00F2603E" w:rsidRPr="00371492" w:rsidRDefault="00F2603E" w:rsidP="00E97355">
            <w:p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 xml:space="preserve">Centraal staan de gegeven preferenties die </w:t>
            </w:r>
            <w:r w:rsidRPr="00371492">
              <w:rPr>
                <w:rFonts w:ascii="Corbel" w:eastAsia="Tahoma" w:hAnsi="Corbel" w:cs="Tahoma"/>
                <w:b/>
                <w:color w:val="000000" w:themeColor="text1"/>
                <w:sz w:val="20"/>
              </w:rPr>
              <w:t>voor iedereen (her)kenbaar</w:t>
            </w:r>
            <w:r w:rsidRPr="00371492">
              <w:rPr>
                <w:rFonts w:ascii="Corbel" w:eastAsia="Tahoma" w:hAnsi="Corbel" w:cs="Tahoma"/>
                <w:color w:val="000000" w:themeColor="text1"/>
                <w:sz w:val="20"/>
              </w:rPr>
              <w:t xml:space="preserve"> zijn en die iedereen positief en negatief kan waarderen. Beoordeling vindt plaats aan de hand van </w:t>
            </w:r>
            <w:r w:rsidRPr="00371492">
              <w:rPr>
                <w:rFonts w:ascii="Corbel" w:eastAsia="Tahoma" w:hAnsi="Corbel" w:cs="Tahoma"/>
                <w:b/>
                <w:color w:val="000000" w:themeColor="text1"/>
                <w:sz w:val="20"/>
              </w:rPr>
              <w:t>nut</w:t>
            </w:r>
            <w:r w:rsidRPr="00371492">
              <w:rPr>
                <w:rFonts w:ascii="Corbel" w:eastAsia="Tahoma" w:hAnsi="Corbel" w:cs="Tahoma"/>
                <w:color w:val="000000" w:themeColor="text1"/>
                <w:sz w:val="20"/>
              </w:rPr>
              <w:t xml:space="preserve"> waar voor en nadelen tegen elkaar worden afgewogen.</w:t>
            </w:r>
          </w:p>
        </w:tc>
      </w:tr>
      <w:tr w:rsidR="00F2603E" w:rsidRPr="00371492" w14:paraId="41DB0A6C" w14:textId="77777777" w:rsidTr="00E97355">
        <w:trPr>
          <w:trHeight w:val="1107"/>
        </w:trPr>
        <w:tc>
          <w:tcPr>
            <w:tcW w:w="1789" w:type="dxa"/>
          </w:tcPr>
          <w:p w14:paraId="2BA2B0A7" w14:textId="77777777" w:rsidR="00F2603E" w:rsidRPr="00371492" w:rsidRDefault="00F2603E" w:rsidP="00E97355">
            <w:pPr>
              <w:spacing w:line="360" w:lineRule="auto"/>
              <w:jc w:val="both"/>
              <w:rPr>
                <w:rFonts w:ascii="Corbel" w:eastAsia="Tahoma" w:hAnsi="Corbel" w:cs="Tahoma"/>
                <w:i/>
                <w:color w:val="000000" w:themeColor="text1"/>
                <w:sz w:val="20"/>
              </w:rPr>
            </w:pPr>
            <w:r w:rsidRPr="00371492">
              <w:rPr>
                <w:rFonts w:ascii="Corbel" w:eastAsia="Tahoma" w:hAnsi="Corbel" w:cs="Tahoma"/>
                <w:i/>
                <w:color w:val="000000" w:themeColor="text1"/>
                <w:sz w:val="20"/>
              </w:rPr>
              <w:t>Focus (waar kijkt de theorie naar?)</w:t>
            </w:r>
          </w:p>
        </w:tc>
        <w:tc>
          <w:tcPr>
            <w:tcW w:w="7493" w:type="dxa"/>
          </w:tcPr>
          <w:p w14:paraId="1B5FB623" w14:textId="77777777" w:rsidR="00F2603E" w:rsidRPr="00371492" w:rsidRDefault="00F2603E" w:rsidP="00482E38">
            <w:pPr>
              <w:spacing w:line="360" w:lineRule="auto"/>
              <w:jc w:val="both"/>
              <w:rPr>
                <w:rFonts w:ascii="Corbel" w:eastAsia="Tahoma" w:hAnsi="Corbel" w:cs="Tahoma"/>
                <w:color w:val="FF0000"/>
                <w:sz w:val="20"/>
              </w:rPr>
            </w:pPr>
            <w:r w:rsidRPr="00371492">
              <w:rPr>
                <w:rFonts w:ascii="Corbel" w:eastAsia="Tahoma" w:hAnsi="Corbel" w:cs="Tahoma"/>
                <w:color w:val="000000" w:themeColor="text1"/>
                <w:sz w:val="20"/>
              </w:rPr>
              <w:t xml:space="preserve">Consequenties op een manier waarop iedereen kan begrijpen waarom die voor- of nadelig zouden zijn (een </w:t>
            </w:r>
            <w:r w:rsidRPr="00371492">
              <w:rPr>
                <w:rFonts w:ascii="Corbel" w:eastAsia="Tahoma" w:hAnsi="Corbel" w:cs="Tahoma"/>
                <w:b/>
                <w:color w:val="000000" w:themeColor="text1"/>
                <w:sz w:val="20"/>
              </w:rPr>
              <w:t>outsider</w:t>
            </w:r>
            <w:r w:rsidRPr="00371492">
              <w:rPr>
                <w:rFonts w:ascii="Corbel" w:eastAsia="Tahoma" w:hAnsi="Corbel" w:cs="Tahoma"/>
                <w:color w:val="000000" w:themeColor="text1"/>
                <w:sz w:val="20"/>
              </w:rPr>
              <w:t xml:space="preserve"> perspectief). De gevolgen dienen een bepaald </w:t>
            </w:r>
            <w:r w:rsidRPr="00371492">
              <w:rPr>
                <w:rFonts w:ascii="Corbel" w:eastAsia="Tahoma" w:hAnsi="Corbel" w:cs="Tahoma"/>
                <w:b/>
                <w:color w:val="000000" w:themeColor="text1"/>
                <w:sz w:val="20"/>
              </w:rPr>
              <w:t>belang</w:t>
            </w:r>
            <w:r w:rsidRPr="00371492">
              <w:rPr>
                <w:rFonts w:ascii="Corbel" w:eastAsia="Tahoma" w:hAnsi="Corbel" w:cs="Tahoma"/>
                <w:color w:val="000000" w:themeColor="text1"/>
                <w:sz w:val="20"/>
              </w:rPr>
              <w:t>.</w:t>
            </w:r>
            <w:r w:rsidRPr="00371492">
              <w:rPr>
                <w:rFonts w:ascii="Corbel" w:eastAsia="Tahoma" w:hAnsi="Corbel" w:cs="Tahoma"/>
                <w:color w:val="FF0000"/>
                <w:sz w:val="20"/>
              </w:rPr>
              <w:t xml:space="preserve"> </w:t>
            </w:r>
          </w:p>
        </w:tc>
      </w:tr>
      <w:tr w:rsidR="00F2603E" w:rsidRPr="00371492" w14:paraId="3FEF764A" w14:textId="77777777" w:rsidTr="00E97355">
        <w:tc>
          <w:tcPr>
            <w:tcW w:w="1789" w:type="dxa"/>
          </w:tcPr>
          <w:p w14:paraId="0B2BA36F" w14:textId="77777777" w:rsidR="00F2603E" w:rsidRPr="00371492" w:rsidRDefault="00F2603E" w:rsidP="00E97355">
            <w:pPr>
              <w:spacing w:line="360" w:lineRule="auto"/>
              <w:jc w:val="both"/>
              <w:rPr>
                <w:rFonts w:ascii="Corbel" w:eastAsia="Tahoma" w:hAnsi="Corbel" w:cs="Tahoma"/>
                <w:i/>
                <w:color w:val="000000" w:themeColor="text1"/>
                <w:sz w:val="20"/>
              </w:rPr>
            </w:pPr>
            <w:r w:rsidRPr="00371492">
              <w:rPr>
                <w:rFonts w:ascii="Corbel" w:eastAsia="Tahoma" w:hAnsi="Corbel" w:cs="Tahoma"/>
                <w:i/>
                <w:color w:val="000000" w:themeColor="text1"/>
                <w:sz w:val="20"/>
              </w:rPr>
              <w:t>Benadering (rationaliseringswijze)</w:t>
            </w:r>
          </w:p>
        </w:tc>
        <w:tc>
          <w:tcPr>
            <w:tcW w:w="7493" w:type="dxa"/>
          </w:tcPr>
          <w:p w14:paraId="242996C4" w14:textId="77777777" w:rsidR="00F2603E" w:rsidRPr="00371492" w:rsidRDefault="00F2603E" w:rsidP="00E97355">
            <w:p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 xml:space="preserve">Uit de </w:t>
            </w:r>
            <w:r w:rsidRPr="00371492">
              <w:rPr>
                <w:rFonts w:ascii="Corbel" w:eastAsia="Tahoma" w:hAnsi="Corbel" w:cs="Tahoma"/>
                <w:b/>
                <w:color w:val="000000" w:themeColor="text1"/>
                <w:sz w:val="20"/>
              </w:rPr>
              <w:t>algemene kenbaarheid/vergelijkbaarheid</w:t>
            </w:r>
            <w:r w:rsidRPr="00371492">
              <w:rPr>
                <w:rFonts w:ascii="Corbel" w:eastAsia="Tahoma" w:hAnsi="Corbel" w:cs="Tahoma"/>
                <w:color w:val="000000" w:themeColor="text1"/>
                <w:sz w:val="20"/>
              </w:rPr>
              <w:t xml:space="preserve"> volgt de mogelijkheid tot het </w:t>
            </w:r>
            <w:r w:rsidRPr="00371492">
              <w:rPr>
                <w:rFonts w:ascii="Corbel" w:eastAsia="Tahoma" w:hAnsi="Corbel" w:cs="Tahoma"/>
                <w:b/>
                <w:color w:val="000000" w:themeColor="text1"/>
                <w:sz w:val="20"/>
              </w:rPr>
              <w:t>kwantificeren</w:t>
            </w:r>
            <w:r w:rsidRPr="00371492">
              <w:rPr>
                <w:rFonts w:ascii="Corbel" w:eastAsia="Tahoma" w:hAnsi="Corbel" w:cs="Tahoma"/>
                <w:color w:val="000000" w:themeColor="text1"/>
                <w:sz w:val="20"/>
              </w:rPr>
              <w:t xml:space="preserve">: het is mogelijk de verwachte kosten en baten van gevolgen te vatten onder een noemer (bijv. geld, pijn, levensjaren etc.) waar men het snel over eens is. Met andere woorden, </w:t>
            </w:r>
            <w:r w:rsidRPr="00371492">
              <w:rPr>
                <w:rFonts w:ascii="Corbel" w:eastAsia="Tahoma" w:hAnsi="Corbel" w:cs="Tahoma"/>
                <w:b/>
                <w:color w:val="000000" w:themeColor="text1"/>
                <w:sz w:val="20"/>
              </w:rPr>
              <w:t>versmalling</w:t>
            </w:r>
            <w:r w:rsidRPr="00371492">
              <w:rPr>
                <w:rFonts w:ascii="Corbel" w:eastAsia="Tahoma" w:hAnsi="Corbel" w:cs="Tahoma"/>
                <w:color w:val="000000" w:themeColor="text1"/>
                <w:sz w:val="20"/>
              </w:rPr>
              <w:t xml:space="preserve"> van het vraagstuk is mogelijk. </w:t>
            </w:r>
          </w:p>
          <w:p w14:paraId="6A89B4F1" w14:textId="77777777" w:rsidR="00F2603E" w:rsidRPr="00371492" w:rsidRDefault="00F2603E" w:rsidP="00E97355">
            <w:p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 xml:space="preserve">Men gaat met een </w:t>
            </w:r>
            <w:r w:rsidRPr="00371492">
              <w:rPr>
                <w:rFonts w:ascii="Corbel" w:eastAsia="Tahoma" w:hAnsi="Corbel" w:cs="Tahoma"/>
                <w:b/>
                <w:color w:val="000000" w:themeColor="text1"/>
                <w:sz w:val="20"/>
              </w:rPr>
              <w:t>kosten-batenanalyses</w:t>
            </w:r>
            <w:r w:rsidRPr="00371492">
              <w:rPr>
                <w:rFonts w:ascii="Corbel" w:eastAsia="Tahoma" w:hAnsi="Corbel" w:cs="Tahoma"/>
                <w:color w:val="000000" w:themeColor="text1"/>
                <w:sz w:val="20"/>
              </w:rPr>
              <w:t xml:space="preserve"> op zoek naar een </w:t>
            </w:r>
            <w:r w:rsidRPr="00371492">
              <w:rPr>
                <w:rFonts w:ascii="Corbel" w:eastAsia="Tahoma" w:hAnsi="Corbel" w:cs="Tahoma"/>
                <w:b/>
                <w:color w:val="000000" w:themeColor="text1"/>
                <w:sz w:val="20"/>
              </w:rPr>
              <w:t>optimum</w:t>
            </w:r>
            <w:r w:rsidRPr="00371492">
              <w:rPr>
                <w:rFonts w:ascii="Corbel" w:eastAsia="Tahoma" w:hAnsi="Corbel" w:cs="Tahoma"/>
                <w:color w:val="000000" w:themeColor="text1"/>
                <w:sz w:val="20"/>
              </w:rPr>
              <w:t xml:space="preserve">. De logica die men hierbij hanteert is </w:t>
            </w:r>
            <w:r w:rsidRPr="00371492">
              <w:rPr>
                <w:rFonts w:ascii="Corbel" w:eastAsia="Tahoma" w:hAnsi="Corbel" w:cs="Tahoma"/>
                <w:b/>
                <w:color w:val="000000" w:themeColor="text1"/>
                <w:sz w:val="20"/>
              </w:rPr>
              <w:t>nutsmaximalisatie</w:t>
            </w:r>
            <w:r w:rsidRPr="00371492">
              <w:rPr>
                <w:rFonts w:ascii="Corbel" w:eastAsia="Tahoma" w:hAnsi="Corbel" w:cs="Tahoma"/>
                <w:color w:val="000000" w:themeColor="text1"/>
                <w:sz w:val="20"/>
              </w:rPr>
              <w:t xml:space="preserve"> volgens het </w:t>
            </w:r>
            <w:r w:rsidRPr="00371492">
              <w:rPr>
                <w:rFonts w:ascii="Corbel" w:eastAsia="Tahoma" w:hAnsi="Corbel" w:cs="Tahoma"/>
                <w:b/>
                <w:color w:val="000000" w:themeColor="text1"/>
                <w:sz w:val="20"/>
              </w:rPr>
              <w:t>utiliteitsprincipe</w:t>
            </w:r>
            <w:r w:rsidRPr="00371492">
              <w:rPr>
                <w:rFonts w:ascii="Corbel" w:eastAsia="Tahoma" w:hAnsi="Corbel" w:cs="Tahoma"/>
                <w:color w:val="000000" w:themeColor="text1"/>
                <w:sz w:val="20"/>
              </w:rPr>
              <w:t xml:space="preserve">. </w:t>
            </w:r>
          </w:p>
        </w:tc>
      </w:tr>
      <w:tr w:rsidR="00F2603E" w:rsidRPr="00371492" w14:paraId="38B09D59" w14:textId="77777777" w:rsidTr="00E97355">
        <w:tc>
          <w:tcPr>
            <w:tcW w:w="1789" w:type="dxa"/>
          </w:tcPr>
          <w:p w14:paraId="6099CE92" w14:textId="77777777" w:rsidR="00F2603E" w:rsidRPr="00371492" w:rsidRDefault="00F2603E" w:rsidP="00E97355">
            <w:pPr>
              <w:tabs>
                <w:tab w:val="left" w:pos="1166"/>
              </w:tabs>
              <w:spacing w:line="360" w:lineRule="auto"/>
              <w:jc w:val="both"/>
              <w:rPr>
                <w:rFonts w:ascii="Corbel" w:eastAsia="Tahoma" w:hAnsi="Corbel" w:cs="Tahoma"/>
                <w:i/>
                <w:color w:val="000000" w:themeColor="text1"/>
                <w:sz w:val="20"/>
              </w:rPr>
            </w:pPr>
            <w:r w:rsidRPr="00371492">
              <w:rPr>
                <w:rFonts w:ascii="Corbel" w:eastAsia="Tahoma" w:hAnsi="Corbel" w:cs="Tahoma"/>
                <w:i/>
                <w:color w:val="000000" w:themeColor="text1"/>
                <w:sz w:val="20"/>
              </w:rPr>
              <w:t>Kwetsbaarheden (wat wil men beschermen?)</w:t>
            </w:r>
          </w:p>
        </w:tc>
        <w:tc>
          <w:tcPr>
            <w:tcW w:w="7493" w:type="dxa"/>
          </w:tcPr>
          <w:p w14:paraId="0796A124" w14:textId="77777777" w:rsidR="00F2603E" w:rsidRPr="00371492" w:rsidRDefault="00F2603E" w:rsidP="00E97355">
            <w:p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 xml:space="preserve">Kwetsbaarheden zijn die resultaten die negatief kunnen uitvallen en die worden beoordeeld in </w:t>
            </w:r>
            <w:r w:rsidRPr="00371492">
              <w:rPr>
                <w:rFonts w:ascii="Corbel" w:eastAsia="Tahoma" w:hAnsi="Corbel" w:cs="Tahoma"/>
                <w:b/>
                <w:color w:val="000000" w:themeColor="text1"/>
                <w:sz w:val="20"/>
              </w:rPr>
              <w:t>termen van schade</w:t>
            </w:r>
            <w:r w:rsidRPr="00371492">
              <w:rPr>
                <w:rFonts w:ascii="Corbel" w:eastAsia="Tahoma" w:hAnsi="Corbel" w:cs="Tahoma"/>
                <w:color w:val="000000" w:themeColor="text1"/>
                <w:sz w:val="20"/>
              </w:rPr>
              <w:t xml:space="preserve">. Deze schade kan </w:t>
            </w:r>
            <w:r w:rsidRPr="00371492">
              <w:rPr>
                <w:rFonts w:ascii="Corbel" w:eastAsia="Tahoma" w:hAnsi="Corbel" w:cs="Tahoma"/>
                <w:b/>
                <w:color w:val="000000" w:themeColor="text1"/>
                <w:sz w:val="20"/>
              </w:rPr>
              <w:t>materieel</w:t>
            </w:r>
            <w:r w:rsidRPr="00371492">
              <w:rPr>
                <w:rFonts w:ascii="Corbel" w:eastAsia="Tahoma" w:hAnsi="Corbel" w:cs="Tahoma"/>
                <w:color w:val="000000" w:themeColor="text1"/>
                <w:sz w:val="20"/>
              </w:rPr>
              <w:t xml:space="preserve"> of </w:t>
            </w:r>
            <w:r w:rsidRPr="00371492">
              <w:rPr>
                <w:rFonts w:ascii="Corbel" w:eastAsia="Tahoma" w:hAnsi="Corbel" w:cs="Tahoma"/>
                <w:b/>
                <w:color w:val="000000" w:themeColor="text1"/>
                <w:sz w:val="20"/>
              </w:rPr>
              <w:t>immaterieel</w:t>
            </w:r>
            <w:r w:rsidRPr="00371492">
              <w:rPr>
                <w:rFonts w:ascii="Corbel" w:eastAsia="Tahoma" w:hAnsi="Corbel" w:cs="Tahoma"/>
                <w:color w:val="000000" w:themeColor="text1"/>
                <w:sz w:val="20"/>
              </w:rPr>
              <w:t xml:space="preserve"> zijn. </w:t>
            </w:r>
          </w:p>
        </w:tc>
      </w:tr>
      <w:tr w:rsidR="00F2603E" w:rsidRPr="00371492" w14:paraId="2EBEB7DD" w14:textId="77777777" w:rsidTr="00E97355">
        <w:trPr>
          <w:trHeight w:val="841"/>
        </w:trPr>
        <w:tc>
          <w:tcPr>
            <w:tcW w:w="1789" w:type="dxa"/>
          </w:tcPr>
          <w:p w14:paraId="6A912CCE" w14:textId="77777777" w:rsidR="00F2603E" w:rsidRPr="00371492" w:rsidRDefault="00F2603E" w:rsidP="00E97355">
            <w:pPr>
              <w:spacing w:line="360" w:lineRule="auto"/>
              <w:jc w:val="both"/>
              <w:rPr>
                <w:rFonts w:ascii="Corbel" w:eastAsia="Tahoma" w:hAnsi="Corbel" w:cs="Tahoma"/>
                <w:i/>
                <w:color w:val="000000" w:themeColor="text1"/>
                <w:sz w:val="20"/>
              </w:rPr>
            </w:pPr>
            <w:r w:rsidRPr="00371492">
              <w:rPr>
                <w:rFonts w:ascii="Corbel" w:eastAsia="Tahoma" w:hAnsi="Corbel" w:cs="Tahoma"/>
                <w:i/>
                <w:color w:val="000000" w:themeColor="text1"/>
                <w:sz w:val="20"/>
              </w:rPr>
              <w:t>Operationalisatie (hoe zie je dat terug?)</w:t>
            </w:r>
          </w:p>
        </w:tc>
        <w:tc>
          <w:tcPr>
            <w:tcW w:w="7493" w:type="dxa"/>
          </w:tcPr>
          <w:p w14:paraId="5E70D3FE" w14:textId="77777777" w:rsidR="00F2603E" w:rsidRPr="00371492" w:rsidRDefault="00F2603E" w:rsidP="00E97355">
            <w:p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Hoge kosten (materiële schade):</w:t>
            </w:r>
          </w:p>
          <w:p w14:paraId="2981AC77" w14:textId="77777777" w:rsidR="00F2603E" w:rsidRPr="00371492" w:rsidRDefault="00F2603E" w:rsidP="00200C74">
            <w:pPr>
              <w:pStyle w:val="Lijstalinea"/>
              <w:numPr>
                <w:ilvl w:val="0"/>
                <w:numId w:val="8"/>
              </w:num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Herstelkosten</w:t>
            </w:r>
          </w:p>
          <w:p w14:paraId="6EC20800" w14:textId="77777777" w:rsidR="00F2603E" w:rsidRPr="00371492" w:rsidRDefault="00F2603E" w:rsidP="00200C74">
            <w:pPr>
              <w:pStyle w:val="Lijstalinea"/>
              <w:numPr>
                <w:ilvl w:val="0"/>
                <w:numId w:val="8"/>
              </w:num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 xml:space="preserve">Verloren arbeidsproductiviteit </w:t>
            </w:r>
          </w:p>
          <w:p w14:paraId="24B9DFBD" w14:textId="77777777" w:rsidR="00F2603E" w:rsidRPr="00371492" w:rsidRDefault="00F2603E" w:rsidP="00200C74">
            <w:pPr>
              <w:pStyle w:val="Lijstalinea"/>
              <w:numPr>
                <w:ilvl w:val="0"/>
                <w:numId w:val="8"/>
              </w:num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Doden</w:t>
            </w:r>
          </w:p>
          <w:p w14:paraId="09C91354" w14:textId="77777777" w:rsidR="00F2603E" w:rsidRPr="00371492" w:rsidRDefault="00F2603E" w:rsidP="00200C74">
            <w:pPr>
              <w:pStyle w:val="Lijstalinea"/>
              <w:numPr>
                <w:ilvl w:val="0"/>
                <w:numId w:val="8"/>
              </w:num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Verloren levensjaren</w:t>
            </w:r>
          </w:p>
          <w:p w14:paraId="01F743CD" w14:textId="77777777" w:rsidR="00F2603E" w:rsidRPr="00371492" w:rsidRDefault="00F2603E" w:rsidP="00E97355">
            <w:pPr>
              <w:pStyle w:val="Lijstalinea"/>
              <w:spacing w:line="360" w:lineRule="auto"/>
              <w:jc w:val="both"/>
              <w:rPr>
                <w:rFonts w:ascii="Corbel" w:eastAsia="Tahoma" w:hAnsi="Corbel" w:cs="Tahoma"/>
                <w:color w:val="000000" w:themeColor="text1"/>
                <w:sz w:val="20"/>
              </w:rPr>
            </w:pPr>
          </w:p>
          <w:p w14:paraId="05F0D17D" w14:textId="77777777" w:rsidR="00F2603E" w:rsidRPr="00371492" w:rsidRDefault="00F2603E" w:rsidP="00E97355">
            <w:p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Hoge mate van pijn en leed (immateriële schade)</w:t>
            </w:r>
          </w:p>
          <w:p w14:paraId="02A15CDE" w14:textId="77777777" w:rsidR="00F2603E" w:rsidRPr="00371492" w:rsidRDefault="00F2603E" w:rsidP="00200C74">
            <w:pPr>
              <w:pStyle w:val="Lijstalinea"/>
              <w:numPr>
                <w:ilvl w:val="0"/>
                <w:numId w:val="8"/>
              </w:num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Smart</w:t>
            </w:r>
          </w:p>
          <w:p w14:paraId="03745A74" w14:textId="77777777" w:rsidR="00F2603E" w:rsidRPr="00371492" w:rsidRDefault="00F2603E" w:rsidP="00200C74">
            <w:pPr>
              <w:pStyle w:val="Lijstalinea"/>
              <w:numPr>
                <w:ilvl w:val="0"/>
                <w:numId w:val="8"/>
              </w:num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lastRenderedPageBreak/>
              <w:t>Leed</w:t>
            </w:r>
          </w:p>
          <w:p w14:paraId="21BEC600" w14:textId="77777777" w:rsidR="00F2603E" w:rsidRPr="00371492" w:rsidRDefault="00F2603E" w:rsidP="00200C74">
            <w:pPr>
              <w:pStyle w:val="Lijstalinea"/>
              <w:numPr>
                <w:ilvl w:val="0"/>
                <w:numId w:val="8"/>
              </w:num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Levensvreugde</w:t>
            </w:r>
          </w:p>
        </w:tc>
      </w:tr>
      <w:tr w:rsidR="00F2603E" w:rsidRPr="00371492" w14:paraId="527BE608" w14:textId="77777777" w:rsidTr="00E97355">
        <w:tc>
          <w:tcPr>
            <w:tcW w:w="1789" w:type="dxa"/>
          </w:tcPr>
          <w:p w14:paraId="65A0585F" w14:textId="77777777" w:rsidR="00F2603E" w:rsidRPr="00371492" w:rsidRDefault="00F2603E" w:rsidP="00E97355">
            <w:pPr>
              <w:spacing w:line="360" w:lineRule="auto"/>
              <w:jc w:val="both"/>
              <w:rPr>
                <w:rFonts w:ascii="Corbel" w:eastAsia="Tahoma" w:hAnsi="Corbel" w:cs="Tahoma"/>
                <w:i/>
                <w:color w:val="000000" w:themeColor="text1"/>
                <w:sz w:val="20"/>
              </w:rPr>
            </w:pPr>
            <w:r w:rsidRPr="00371492">
              <w:rPr>
                <w:rFonts w:ascii="Corbel" w:eastAsia="Tahoma" w:hAnsi="Corbel" w:cs="Tahoma"/>
                <w:i/>
                <w:color w:val="000000" w:themeColor="text1"/>
                <w:sz w:val="20"/>
              </w:rPr>
              <w:lastRenderedPageBreak/>
              <w:t>Gremium</w:t>
            </w:r>
          </w:p>
        </w:tc>
        <w:tc>
          <w:tcPr>
            <w:tcW w:w="7493" w:type="dxa"/>
          </w:tcPr>
          <w:p w14:paraId="536B3277" w14:textId="77777777" w:rsidR="00F2603E" w:rsidRPr="00371492" w:rsidRDefault="00F2603E" w:rsidP="00E97355">
            <w:p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 xml:space="preserve">Risicoanalisten (RA) of uitvoerders maatschappelijke kostenbaten analyse (MKBA) </w:t>
            </w:r>
            <w:r w:rsidRPr="00371492">
              <w:rPr>
                <w:rFonts w:ascii="Corbel" w:eastAsia="Tahoma" w:hAnsi="Corbel" w:cs="Tahoma"/>
                <w:color w:val="000000" w:themeColor="text1"/>
                <w:sz w:val="20"/>
              </w:rPr>
              <w:sym w:font="Wingdings" w:char="F0E0"/>
            </w:r>
            <w:r w:rsidRPr="00371492">
              <w:rPr>
                <w:rFonts w:ascii="Corbel" w:eastAsia="Tahoma" w:hAnsi="Corbel" w:cs="Tahoma"/>
                <w:color w:val="000000" w:themeColor="text1"/>
                <w:sz w:val="20"/>
              </w:rPr>
              <w:t xml:space="preserve"> </w:t>
            </w:r>
            <w:r w:rsidRPr="00371492">
              <w:rPr>
                <w:rFonts w:ascii="Corbel" w:eastAsia="Tahoma" w:hAnsi="Corbel" w:cs="Tahoma"/>
                <w:b/>
                <w:color w:val="000000" w:themeColor="text1"/>
                <w:sz w:val="20"/>
              </w:rPr>
              <w:t>technische</w:t>
            </w:r>
            <w:r w:rsidRPr="00371492">
              <w:rPr>
                <w:rFonts w:ascii="Corbel" w:eastAsia="Tahoma" w:hAnsi="Corbel" w:cs="Tahoma"/>
                <w:color w:val="000000" w:themeColor="text1"/>
                <w:sz w:val="20"/>
              </w:rPr>
              <w:t xml:space="preserve"> </w:t>
            </w:r>
            <w:r w:rsidRPr="00371492">
              <w:rPr>
                <w:rFonts w:ascii="Corbel" w:eastAsia="Tahoma" w:hAnsi="Corbel" w:cs="Tahoma"/>
                <w:b/>
                <w:color w:val="000000" w:themeColor="text1"/>
                <w:sz w:val="20"/>
              </w:rPr>
              <w:t>deskundigheid</w:t>
            </w:r>
            <w:r w:rsidRPr="00371492">
              <w:rPr>
                <w:rFonts w:ascii="Corbel" w:eastAsia="Tahoma" w:hAnsi="Corbel" w:cs="Tahoma"/>
                <w:color w:val="000000" w:themeColor="text1"/>
                <w:sz w:val="20"/>
              </w:rPr>
              <w:t xml:space="preserve"> (weten en kunnen) staat centraal</w:t>
            </w:r>
          </w:p>
        </w:tc>
      </w:tr>
    </w:tbl>
    <w:p w14:paraId="7634A2D6" w14:textId="77777777" w:rsidR="00F2603E" w:rsidRPr="00371492" w:rsidRDefault="00F2603E" w:rsidP="00F2603E">
      <w:pPr>
        <w:spacing w:line="360" w:lineRule="auto"/>
        <w:jc w:val="both"/>
        <w:rPr>
          <w:rFonts w:ascii="Corbel" w:eastAsia="Tahoma" w:hAnsi="Corbel" w:cs="Tahoma"/>
          <w:sz w:val="20"/>
        </w:rPr>
      </w:pPr>
    </w:p>
    <w:p w14:paraId="5C57D517" w14:textId="01048622" w:rsidR="00F2603E" w:rsidRPr="00F91683" w:rsidRDefault="00F2603E" w:rsidP="00F91683">
      <w:pPr>
        <w:spacing w:line="360" w:lineRule="auto"/>
        <w:ind w:firstLine="360"/>
        <w:jc w:val="both"/>
        <w:rPr>
          <w:rFonts w:ascii="Corbel" w:hAnsi="Corbel" w:cs="Times"/>
          <w:sz w:val="20"/>
          <w:lang w:eastAsia="en-US"/>
        </w:rPr>
      </w:pPr>
      <w:r w:rsidRPr="00371492">
        <w:rPr>
          <w:rFonts w:ascii="Corbel" w:eastAsia="Tahoma" w:hAnsi="Corbel" w:cs="Tahoma"/>
          <w:sz w:val="20"/>
        </w:rPr>
        <w:t>De verdeling van risico vindt plaats aan de hand van het utiliteitsprincipe: het grootste geluk moet gerealiseerd worden voor het grootste aantal mensen. Belangrijk hierbij is dat de aandacht hier volledig ligt op de gevolgen van de risico’s. Dit betekent dat de risicoverdeling nuttig moet zijn voor de samenleving als geheel</w:t>
      </w:r>
      <w:r w:rsidR="00F91683">
        <w:rPr>
          <w:rFonts w:ascii="Corbel" w:eastAsia="Tahoma" w:hAnsi="Corbel" w:cs="Tahoma"/>
          <w:sz w:val="20"/>
        </w:rPr>
        <w:t xml:space="preserve"> (maatschappelijk nut)</w:t>
      </w:r>
      <w:r w:rsidRPr="00371492">
        <w:rPr>
          <w:rFonts w:ascii="Corbel" w:eastAsia="Tahoma" w:hAnsi="Corbel" w:cs="Tahoma"/>
          <w:sz w:val="20"/>
        </w:rPr>
        <w:t>. Wat tevens uit de logica van het utilisme volgt is dat individuele uitkomsten ondergeschikt kunnen zijn aan die van de samenleving in het geheel. Het is volgens he</w:t>
      </w:r>
      <w:r w:rsidR="00813AED">
        <w:rPr>
          <w:rFonts w:ascii="Corbel" w:eastAsia="Tahoma" w:hAnsi="Corbel" w:cs="Tahoma"/>
          <w:sz w:val="20"/>
        </w:rPr>
        <w:t>t</w:t>
      </w:r>
      <w:r w:rsidRPr="00371492">
        <w:rPr>
          <w:rFonts w:ascii="Corbel" w:eastAsia="Tahoma" w:hAnsi="Corbel" w:cs="Tahoma"/>
          <w:sz w:val="20"/>
        </w:rPr>
        <w:t xml:space="preserve"> utilisme logisch om een minderheid op te offeren voor een meerderheid om zo de grootste hoeveelheid geluk te realiseren. </w:t>
      </w:r>
      <w:r w:rsidR="00F91683" w:rsidRPr="00371492">
        <w:rPr>
          <w:rFonts w:ascii="Corbel" w:hAnsi="Corbel" w:cs="Times"/>
          <w:sz w:val="20"/>
          <w:lang w:eastAsia="en-US"/>
        </w:rPr>
        <w:t>Het gremium dat het meest voor de hand ligt om op een utilistische wijze vorm te geven aan een risicoanalyse wordt gekenmerkt door technische deskundigheid. Hierbij moet gedacht worden aan bijvoorbeeld (een groep van) risicoanalisten of de uitvoering van een maatsch</w:t>
      </w:r>
      <w:r w:rsidR="00F91683">
        <w:rPr>
          <w:rFonts w:ascii="Corbel" w:hAnsi="Corbel" w:cs="Times"/>
          <w:sz w:val="20"/>
          <w:lang w:eastAsia="en-US"/>
        </w:rPr>
        <w:t xml:space="preserve">appelijke kostenbaten analyse. </w:t>
      </w:r>
    </w:p>
    <w:p w14:paraId="3096BC2E" w14:textId="6BCEF6FB" w:rsidR="00F2603E" w:rsidRPr="00371492" w:rsidRDefault="00F2603E" w:rsidP="00F2603E">
      <w:pPr>
        <w:spacing w:line="360" w:lineRule="auto"/>
        <w:ind w:firstLine="360"/>
        <w:jc w:val="both"/>
        <w:rPr>
          <w:rFonts w:ascii="Corbel" w:hAnsi="Corbel" w:cs="Times"/>
          <w:sz w:val="22"/>
          <w:lang w:eastAsia="en-US"/>
        </w:rPr>
      </w:pPr>
      <w:r w:rsidRPr="00371492">
        <w:rPr>
          <w:rFonts w:ascii="Corbel" w:eastAsia="Tahoma" w:hAnsi="Corbel" w:cs="Tahoma"/>
          <w:sz w:val="20"/>
        </w:rPr>
        <w:t>Bij het bestuderen van de politiek-bestuurlijke omgang met risico</w:t>
      </w:r>
      <w:r w:rsidR="00F91683">
        <w:rPr>
          <w:rFonts w:ascii="Corbel" w:eastAsia="Tahoma" w:hAnsi="Corbel" w:cs="Tahoma"/>
          <w:sz w:val="20"/>
        </w:rPr>
        <w:t>’</w:t>
      </w:r>
      <w:r w:rsidRPr="00371492">
        <w:rPr>
          <w:rFonts w:ascii="Corbel" w:eastAsia="Tahoma" w:hAnsi="Corbel" w:cs="Tahoma"/>
          <w:sz w:val="20"/>
        </w:rPr>
        <w:t xml:space="preserve">s </w:t>
      </w:r>
      <w:r w:rsidR="00F91683">
        <w:rPr>
          <w:rFonts w:ascii="Corbel" w:eastAsia="Tahoma" w:hAnsi="Corbel" w:cs="Tahoma"/>
          <w:sz w:val="20"/>
        </w:rPr>
        <w:t>is het niet moeilijk de utilistische toon op te merken.</w:t>
      </w:r>
      <w:r w:rsidRPr="00371492">
        <w:rPr>
          <w:rFonts w:ascii="Corbel" w:eastAsia="Tahoma" w:hAnsi="Corbel" w:cs="Tahoma"/>
          <w:sz w:val="20"/>
        </w:rPr>
        <w:t xml:space="preserve"> Schade dient beperkt te worden, en hoe groter de schade wordt geschat des te meer capaciteit dient ertoe aangewend te worden om deze te voorkomen. De casus van de ondergrondse CO</w:t>
      </w:r>
      <w:r w:rsidRPr="00371492">
        <w:rPr>
          <w:rFonts w:ascii="Corbel" w:eastAsia="Tahoma" w:hAnsi="Corbel" w:cs="Tahoma"/>
          <w:sz w:val="20"/>
          <w:vertAlign w:val="superscript"/>
        </w:rPr>
        <w:t>2</w:t>
      </w:r>
      <w:r w:rsidRPr="00371492">
        <w:rPr>
          <w:rFonts w:ascii="Corbel" w:eastAsia="Tahoma" w:hAnsi="Corbel" w:cs="Tahoma"/>
          <w:sz w:val="20"/>
        </w:rPr>
        <w:t>-opslag in Barendrecht laat bijvoorbeeld zien dat burgers dit nutsstreven dienen te respecteren. Zoals al is aangegeven blijk individuele gevallen ondergeschikt aan het grootste geluk voor het grootste aantal mensen. Hierbij valt meteen op dat mensen ook andere morele overwegingen meenemen dan alleen een nutsafweging. Dit kwam ook terug in het beleidskader, zoals de onderzoeken</w:t>
      </w:r>
      <w:r w:rsidR="007D504B">
        <w:rPr>
          <w:rFonts w:ascii="Corbel" w:eastAsia="Tahoma" w:hAnsi="Corbel" w:cs="Tahoma"/>
          <w:sz w:val="20"/>
        </w:rPr>
        <w:t xml:space="preserve"> van </w:t>
      </w:r>
      <w:proofErr w:type="spellStart"/>
      <w:r w:rsidR="007D504B">
        <w:rPr>
          <w:rFonts w:ascii="Corbel" w:eastAsia="Tahoma" w:hAnsi="Corbel" w:cs="Tahoma"/>
          <w:sz w:val="20"/>
        </w:rPr>
        <w:t>Slovic</w:t>
      </w:r>
      <w:proofErr w:type="spellEnd"/>
      <w:r w:rsidR="007D504B">
        <w:rPr>
          <w:rFonts w:ascii="Corbel" w:eastAsia="Tahoma" w:hAnsi="Corbel" w:cs="Tahoma"/>
          <w:sz w:val="20"/>
        </w:rPr>
        <w:t xml:space="preserve"> (1987), </w:t>
      </w:r>
      <w:proofErr w:type="spellStart"/>
      <w:r w:rsidR="007D504B">
        <w:rPr>
          <w:rFonts w:ascii="Corbel" w:eastAsia="Tahoma" w:hAnsi="Corbel" w:cs="Tahoma"/>
          <w:sz w:val="20"/>
        </w:rPr>
        <w:t>Roeser</w:t>
      </w:r>
      <w:proofErr w:type="spellEnd"/>
      <w:r w:rsidR="007D504B">
        <w:rPr>
          <w:rFonts w:ascii="Corbel" w:eastAsia="Tahoma" w:hAnsi="Corbel" w:cs="Tahoma"/>
          <w:sz w:val="20"/>
        </w:rPr>
        <w:t xml:space="preserve"> (2013</w:t>
      </w:r>
      <w:r w:rsidRPr="00371492">
        <w:rPr>
          <w:rFonts w:ascii="Corbel" w:eastAsia="Tahoma" w:hAnsi="Corbel" w:cs="Tahoma"/>
          <w:sz w:val="20"/>
        </w:rPr>
        <w:t xml:space="preserve">) en </w:t>
      </w:r>
      <w:proofErr w:type="spellStart"/>
      <w:r w:rsidRPr="00371492">
        <w:rPr>
          <w:rFonts w:ascii="Corbel" w:eastAsia="Tahoma" w:hAnsi="Corbel" w:cs="Tahoma"/>
          <w:sz w:val="20"/>
        </w:rPr>
        <w:t>Stirling</w:t>
      </w:r>
      <w:proofErr w:type="spellEnd"/>
      <w:r w:rsidR="007D5E23">
        <w:rPr>
          <w:rFonts w:ascii="Corbel" w:eastAsia="Tahoma" w:hAnsi="Corbel" w:cs="Tahoma"/>
          <w:sz w:val="20"/>
        </w:rPr>
        <w:t xml:space="preserve"> &amp; Mayer</w:t>
      </w:r>
      <w:r w:rsidRPr="00371492">
        <w:rPr>
          <w:rFonts w:ascii="Corbel" w:eastAsia="Tahoma" w:hAnsi="Corbel" w:cs="Tahoma"/>
          <w:sz w:val="20"/>
        </w:rPr>
        <w:t xml:space="preserve"> (2000) lieten zien. Een kosten-batenanalyse past bij de technocratische opvatting van </w:t>
      </w:r>
      <w:r w:rsidR="00F91683">
        <w:rPr>
          <w:rFonts w:ascii="Corbel" w:eastAsia="Tahoma" w:hAnsi="Corbel" w:cs="Tahoma"/>
          <w:sz w:val="20"/>
        </w:rPr>
        <w:t>risicomanagement</w:t>
      </w:r>
      <w:r w:rsidRPr="00371492">
        <w:rPr>
          <w:rFonts w:ascii="Corbel" w:eastAsia="Tahoma" w:hAnsi="Corbel" w:cs="Tahoma"/>
          <w:sz w:val="20"/>
        </w:rPr>
        <w:t xml:space="preserve"> waarbij risico’s tegen elkaar afgewogen worden zonder morele onderbouwing. De zware nadruk op de gevolgen bij het utilisme biedt geen ruimte voor een eerlijke verdeling van deze kosten en baten (</w:t>
      </w:r>
      <w:proofErr w:type="spellStart"/>
      <w:r w:rsidRPr="00371492">
        <w:rPr>
          <w:rFonts w:ascii="Corbel" w:eastAsia="Tahoma" w:hAnsi="Corbel" w:cs="Tahoma"/>
          <w:sz w:val="20"/>
        </w:rPr>
        <w:t>Asveld</w:t>
      </w:r>
      <w:proofErr w:type="spellEnd"/>
      <w:r w:rsidRPr="00371492">
        <w:rPr>
          <w:rFonts w:ascii="Corbel" w:eastAsia="Tahoma" w:hAnsi="Corbel" w:cs="Tahoma"/>
          <w:sz w:val="20"/>
        </w:rPr>
        <w:t xml:space="preserve"> &amp; </w:t>
      </w:r>
      <w:proofErr w:type="spellStart"/>
      <w:r w:rsidRPr="00371492">
        <w:rPr>
          <w:rFonts w:ascii="Corbel" w:eastAsia="Tahoma" w:hAnsi="Corbel" w:cs="Tahoma"/>
          <w:sz w:val="20"/>
        </w:rPr>
        <w:t>Roeser</w:t>
      </w:r>
      <w:proofErr w:type="spellEnd"/>
      <w:r w:rsidRPr="00371492">
        <w:rPr>
          <w:rFonts w:ascii="Corbel" w:eastAsia="Tahoma" w:hAnsi="Corbel" w:cs="Tahoma"/>
          <w:sz w:val="20"/>
        </w:rPr>
        <w:t>, 2009). De deontologie</w:t>
      </w:r>
      <w:r w:rsidR="00F91683">
        <w:rPr>
          <w:rFonts w:ascii="Corbel" w:eastAsia="Tahoma" w:hAnsi="Corbel" w:cs="Tahoma"/>
          <w:sz w:val="20"/>
        </w:rPr>
        <w:t xml:space="preserve"> en deugdethiek</w:t>
      </w:r>
      <w:r w:rsidRPr="00371492">
        <w:rPr>
          <w:rFonts w:ascii="Corbel" w:eastAsia="Tahoma" w:hAnsi="Corbel" w:cs="Tahoma"/>
          <w:sz w:val="20"/>
        </w:rPr>
        <w:t xml:space="preserve"> </w:t>
      </w:r>
      <w:r w:rsidR="00F91683">
        <w:rPr>
          <w:rFonts w:ascii="Corbel" w:eastAsia="Tahoma" w:hAnsi="Corbel" w:cs="Tahoma"/>
          <w:sz w:val="20"/>
        </w:rPr>
        <w:t>bieden</w:t>
      </w:r>
      <w:r w:rsidRPr="00371492">
        <w:rPr>
          <w:rFonts w:ascii="Corbel" w:eastAsia="Tahoma" w:hAnsi="Corbel" w:cs="Tahoma"/>
          <w:sz w:val="20"/>
        </w:rPr>
        <w:t xml:space="preserve"> op dit vlak aanknopingspunten.</w:t>
      </w:r>
    </w:p>
    <w:p w14:paraId="13512D44" w14:textId="77777777" w:rsidR="00F2603E" w:rsidRPr="00371492" w:rsidRDefault="00F2603E" w:rsidP="00F2603E">
      <w:pPr>
        <w:spacing w:line="360" w:lineRule="auto"/>
        <w:ind w:firstLine="360"/>
        <w:jc w:val="both"/>
        <w:rPr>
          <w:rFonts w:ascii="Corbel" w:hAnsi="Corbel"/>
          <w:i/>
          <w:sz w:val="20"/>
          <w:szCs w:val="22"/>
        </w:rPr>
      </w:pPr>
    </w:p>
    <w:p w14:paraId="2C425622" w14:textId="0A8771D6" w:rsidR="00F2603E" w:rsidRPr="00371492" w:rsidRDefault="00F2603E" w:rsidP="00510131">
      <w:pPr>
        <w:pStyle w:val="Stijl2"/>
        <w:numPr>
          <w:ilvl w:val="1"/>
          <w:numId w:val="5"/>
        </w:numPr>
      </w:pPr>
      <w:bookmarkStart w:id="31" w:name="_Toc485990871"/>
      <w:r w:rsidRPr="00371492">
        <w:t>Toepassing deontologie: onvervreemdbare waarden</w:t>
      </w:r>
      <w:bookmarkEnd w:id="31"/>
    </w:p>
    <w:p w14:paraId="07EF1452" w14:textId="45AC581D" w:rsidR="00F2603E" w:rsidRPr="00371492" w:rsidRDefault="00F2603E" w:rsidP="00F2603E">
      <w:pPr>
        <w:widowControl w:val="0"/>
        <w:autoSpaceDE w:val="0"/>
        <w:autoSpaceDN w:val="0"/>
        <w:adjustRightInd w:val="0"/>
        <w:spacing w:after="240" w:line="360" w:lineRule="auto"/>
        <w:contextualSpacing/>
        <w:jc w:val="both"/>
        <w:rPr>
          <w:rFonts w:ascii="Corbel" w:hAnsi="Corbel" w:cs="Times"/>
          <w:color w:val="000000" w:themeColor="text1"/>
          <w:sz w:val="20"/>
          <w:szCs w:val="22"/>
        </w:rPr>
      </w:pPr>
      <w:r w:rsidRPr="00371492">
        <w:rPr>
          <w:rFonts w:ascii="Corbel" w:hAnsi="Corbel" w:cs="Times"/>
          <w:color w:val="000000" w:themeColor="text1"/>
          <w:sz w:val="20"/>
          <w:szCs w:val="22"/>
        </w:rPr>
        <w:t>De logica van de deontologie richt zich op de intrinsieke waarde van principes en de daaruit voortvloeiende plichten die mensen en dus ook bestuurders hebben. In tegenstelling tot het utilisme staan de motieven die ten grondslag liggen aan het handelen centraal, in plaats van de gevolgen.</w:t>
      </w:r>
      <w:r w:rsidR="00977506">
        <w:rPr>
          <w:rFonts w:ascii="Corbel" w:hAnsi="Corbel" w:cs="Times"/>
          <w:color w:val="000000" w:themeColor="text1"/>
          <w:sz w:val="20"/>
          <w:szCs w:val="22"/>
        </w:rPr>
        <w:t xml:space="preserve"> Handelingen worden beoordeeld aan de hand van de vraag of ze rechtvaardig of verplicht zijn.</w:t>
      </w:r>
      <w:r w:rsidRPr="00371492">
        <w:rPr>
          <w:rFonts w:ascii="Corbel" w:hAnsi="Corbel" w:cs="Times"/>
          <w:color w:val="000000" w:themeColor="text1"/>
          <w:sz w:val="20"/>
          <w:szCs w:val="22"/>
        </w:rPr>
        <w:t xml:space="preserve"> Een ander onderscheid met het utilisme is het feit dat de deontologie beoordeelt op kwaliteit en niet op kwantiteit. </w:t>
      </w:r>
      <w:r w:rsidR="00530CF9">
        <w:rPr>
          <w:rFonts w:ascii="Corbel" w:hAnsi="Corbel" w:cs="Times"/>
          <w:color w:val="000000" w:themeColor="text1"/>
          <w:sz w:val="20"/>
          <w:szCs w:val="22"/>
        </w:rPr>
        <w:t>Dit betekent dat d</w:t>
      </w:r>
      <w:r w:rsidRPr="00371492">
        <w:rPr>
          <w:rFonts w:ascii="Corbel" w:hAnsi="Corbel" w:cs="Times"/>
          <w:color w:val="000000" w:themeColor="text1"/>
          <w:sz w:val="20"/>
          <w:szCs w:val="22"/>
        </w:rPr>
        <w:t>e kwaliteit van de handeling voorafgaand a</w:t>
      </w:r>
      <w:r w:rsidR="00530CF9">
        <w:rPr>
          <w:rFonts w:ascii="Corbel" w:hAnsi="Corbel" w:cs="Times"/>
          <w:color w:val="000000" w:themeColor="text1"/>
          <w:sz w:val="20"/>
          <w:szCs w:val="22"/>
        </w:rPr>
        <w:t>an het gevolg wordt beoordeeld. A</w:t>
      </w:r>
      <w:r w:rsidR="00813AED">
        <w:rPr>
          <w:rFonts w:ascii="Corbel" w:hAnsi="Corbel" w:cs="Times"/>
          <w:color w:val="000000" w:themeColor="text1"/>
          <w:sz w:val="20"/>
          <w:szCs w:val="22"/>
        </w:rPr>
        <w:t>an</w:t>
      </w:r>
      <w:r w:rsidRPr="00371492">
        <w:rPr>
          <w:rFonts w:ascii="Corbel" w:hAnsi="Corbel" w:cs="Times"/>
          <w:color w:val="000000" w:themeColor="text1"/>
          <w:sz w:val="20"/>
          <w:szCs w:val="22"/>
        </w:rPr>
        <w:t xml:space="preserve"> de </w:t>
      </w:r>
      <w:r w:rsidR="00813AED">
        <w:rPr>
          <w:rFonts w:ascii="Corbel" w:hAnsi="Corbel" w:cs="Times"/>
          <w:color w:val="000000" w:themeColor="text1"/>
          <w:sz w:val="20"/>
          <w:szCs w:val="22"/>
        </w:rPr>
        <w:t>consequenties</w:t>
      </w:r>
      <w:r w:rsidRPr="00371492">
        <w:rPr>
          <w:rFonts w:ascii="Corbel" w:hAnsi="Corbel" w:cs="Times"/>
          <w:color w:val="000000" w:themeColor="text1"/>
          <w:sz w:val="20"/>
          <w:szCs w:val="22"/>
        </w:rPr>
        <w:t xml:space="preserve"> die deze handeling tot gevolg </w:t>
      </w:r>
      <w:r w:rsidR="00530CF9">
        <w:rPr>
          <w:rFonts w:ascii="Corbel" w:hAnsi="Corbel" w:cs="Times"/>
          <w:color w:val="000000" w:themeColor="text1"/>
          <w:sz w:val="20"/>
          <w:szCs w:val="22"/>
        </w:rPr>
        <w:t>heeft wordt geen waarde gehecht volgen</w:t>
      </w:r>
      <w:r w:rsidR="00977506">
        <w:rPr>
          <w:rFonts w:ascii="Corbel" w:hAnsi="Corbel" w:cs="Times"/>
          <w:color w:val="000000" w:themeColor="text1"/>
          <w:sz w:val="20"/>
          <w:szCs w:val="22"/>
        </w:rPr>
        <w:t>s de deontologie. De deontologische benadering van de ethiek</w:t>
      </w:r>
      <w:r w:rsidR="00530CF9">
        <w:rPr>
          <w:rFonts w:ascii="Corbel" w:hAnsi="Corbel" w:cs="Times"/>
          <w:color w:val="000000" w:themeColor="text1"/>
          <w:sz w:val="20"/>
          <w:szCs w:val="22"/>
        </w:rPr>
        <w:t xml:space="preserve"> zou dus </w:t>
      </w:r>
      <w:r w:rsidR="00530CF9" w:rsidRPr="00530CF9">
        <w:rPr>
          <w:rFonts w:ascii="Corbel" w:hAnsi="Corbel" w:cs="Times"/>
          <w:i/>
          <w:color w:val="000000" w:themeColor="text1"/>
          <w:sz w:val="20"/>
          <w:szCs w:val="22"/>
        </w:rPr>
        <w:t>principieel</w:t>
      </w:r>
      <w:r w:rsidR="00530CF9">
        <w:rPr>
          <w:rFonts w:ascii="Corbel" w:hAnsi="Corbel" w:cs="Times"/>
          <w:color w:val="000000" w:themeColor="text1"/>
          <w:sz w:val="20"/>
          <w:szCs w:val="22"/>
        </w:rPr>
        <w:t xml:space="preserve"> genoemd kunnen worden. </w:t>
      </w:r>
    </w:p>
    <w:p w14:paraId="79EB4994" w14:textId="76D7C60D" w:rsidR="00F2603E" w:rsidRPr="00371492" w:rsidRDefault="00F2603E" w:rsidP="00F2603E">
      <w:pPr>
        <w:widowControl w:val="0"/>
        <w:autoSpaceDE w:val="0"/>
        <w:autoSpaceDN w:val="0"/>
        <w:adjustRightInd w:val="0"/>
        <w:spacing w:after="240" w:line="360" w:lineRule="auto"/>
        <w:contextualSpacing/>
        <w:jc w:val="both"/>
        <w:rPr>
          <w:rFonts w:ascii="Corbel" w:eastAsia="Tahoma" w:hAnsi="Corbel" w:cs="Tahoma"/>
          <w:sz w:val="20"/>
          <w:szCs w:val="22"/>
        </w:rPr>
      </w:pPr>
      <w:r w:rsidRPr="00371492">
        <w:rPr>
          <w:rFonts w:ascii="Corbel" w:hAnsi="Corbel" w:cs="Times"/>
          <w:color w:val="000000" w:themeColor="text1"/>
          <w:sz w:val="20"/>
          <w:szCs w:val="22"/>
        </w:rPr>
        <w:tab/>
        <w:t xml:space="preserve">De focus van de deontologie volgt uit deze principiële logica. </w:t>
      </w:r>
      <w:r w:rsidR="00977506">
        <w:rPr>
          <w:rFonts w:ascii="Corbel" w:hAnsi="Corbel" w:cs="Times"/>
          <w:color w:val="000000" w:themeColor="text1"/>
          <w:sz w:val="20"/>
          <w:szCs w:val="22"/>
        </w:rPr>
        <w:t xml:space="preserve">Een beoordeling moet plaatsvinden op basis van de intrinsieke kwaliteit van de handeling. </w:t>
      </w:r>
      <w:r w:rsidRPr="00371492">
        <w:rPr>
          <w:rFonts w:ascii="Corbel" w:hAnsi="Corbel" w:cs="Times"/>
          <w:color w:val="000000" w:themeColor="text1"/>
          <w:sz w:val="20"/>
          <w:szCs w:val="22"/>
        </w:rPr>
        <w:t xml:space="preserve">Men kijkt naar universele waarden en gedragsregels die </w:t>
      </w:r>
      <w:r w:rsidRPr="00371492">
        <w:rPr>
          <w:rFonts w:ascii="Corbel" w:hAnsi="Corbel" w:cs="Times"/>
          <w:color w:val="000000" w:themeColor="text1"/>
          <w:sz w:val="20"/>
          <w:szCs w:val="22"/>
        </w:rPr>
        <w:lastRenderedPageBreak/>
        <w:t xml:space="preserve">voortkomen uit de categorische imperatief. </w:t>
      </w:r>
      <w:r w:rsidR="00932209" w:rsidRPr="00371492">
        <w:rPr>
          <w:rFonts w:ascii="Corbel" w:hAnsi="Corbel" w:cs="Times"/>
          <w:color w:val="000000" w:themeColor="text1"/>
          <w:sz w:val="20"/>
          <w:szCs w:val="22"/>
        </w:rPr>
        <w:t xml:space="preserve">De categorische imperatief vormt de basis voor het handelen: </w:t>
      </w:r>
      <w:r w:rsidR="00932209" w:rsidRPr="00371492">
        <w:rPr>
          <w:rFonts w:ascii="Corbel" w:eastAsia="Tahoma" w:hAnsi="Corbel" w:cs="Tahoma"/>
          <w:sz w:val="20"/>
          <w:szCs w:val="22"/>
        </w:rPr>
        <w:t xml:space="preserve">een gebod die voorschrijft dat handelingen universeel acceptabel moeten zijn en handelingen mensen nooit enkel als middel, maar ook als doel op zich behandelen. Centraal </w:t>
      </w:r>
      <w:r w:rsidR="00452908">
        <w:rPr>
          <w:rFonts w:ascii="Corbel" w:eastAsia="Tahoma" w:hAnsi="Corbel" w:cs="Tahoma"/>
          <w:sz w:val="20"/>
          <w:szCs w:val="22"/>
        </w:rPr>
        <w:t xml:space="preserve">in deze theorie </w:t>
      </w:r>
      <w:r w:rsidR="00932209" w:rsidRPr="00371492">
        <w:rPr>
          <w:rFonts w:ascii="Corbel" w:eastAsia="Tahoma" w:hAnsi="Corbel" w:cs="Tahoma"/>
          <w:sz w:val="20"/>
          <w:szCs w:val="22"/>
        </w:rPr>
        <w:t>staan universeel geldende principes ten behoeve van ‘het go</w:t>
      </w:r>
      <w:r w:rsidR="00DC4926">
        <w:rPr>
          <w:rFonts w:ascii="Corbel" w:eastAsia="Tahoma" w:hAnsi="Corbel" w:cs="Tahoma"/>
          <w:sz w:val="20"/>
          <w:szCs w:val="22"/>
        </w:rPr>
        <w:t>ede’</w:t>
      </w:r>
      <w:r w:rsidR="002E6337">
        <w:rPr>
          <w:rFonts w:ascii="Corbel" w:eastAsia="Tahoma" w:hAnsi="Corbel" w:cs="Tahoma"/>
          <w:sz w:val="20"/>
          <w:szCs w:val="22"/>
        </w:rPr>
        <w:t>, met een focus op plicht, wet, recht en rechtvaardigheid</w:t>
      </w:r>
      <w:r w:rsidR="00DC4926">
        <w:rPr>
          <w:rFonts w:ascii="Corbel" w:eastAsia="Tahoma" w:hAnsi="Corbel" w:cs="Tahoma"/>
          <w:sz w:val="20"/>
          <w:szCs w:val="22"/>
        </w:rPr>
        <w:t xml:space="preserve">. </w:t>
      </w:r>
      <w:r w:rsidRPr="00371492">
        <w:rPr>
          <w:rFonts w:ascii="Corbel" w:hAnsi="Corbel" w:cs="Times"/>
          <w:color w:val="000000" w:themeColor="text1"/>
          <w:sz w:val="20"/>
          <w:szCs w:val="22"/>
        </w:rPr>
        <w:t>Belangrijk</w:t>
      </w:r>
      <w:r w:rsidR="0040383C">
        <w:rPr>
          <w:rFonts w:ascii="Corbel" w:hAnsi="Corbel" w:cs="Times"/>
          <w:color w:val="000000" w:themeColor="text1"/>
          <w:sz w:val="20"/>
          <w:szCs w:val="22"/>
        </w:rPr>
        <w:t xml:space="preserve"> punt hierbij</w:t>
      </w:r>
      <w:r w:rsidRPr="00371492">
        <w:rPr>
          <w:rFonts w:ascii="Corbel" w:hAnsi="Corbel" w:cs="Times"/>
          <w:color w:val="000000" w:themeColor="text1"/>
          <w:sz w:val="20"/>
          <w:szCs w:val="22"/>
        </w:rPr>
        <w:t xml:space="preserve"> is dat iedereen moet kunnen instemmen met de beoordeling</w:t>
      </w:r>
      <w:r w:rsidR="00DC4926">
        <w:rPr>
          <w:rFonts w:ascii="Corbel" w:hAnsi="Corbel" w:cs="Times"/>
          <w:color w:val="000000" w:themeColor="text1"/>
          <w:sz w:val="20"/>
          <w:szCs w:val="22"/>
        </w:rPr>
        <w:t xml:space="preserve"> op basis van deze principes</w:t>
      </w:r>
      <w:r w:rsidRPr="00371492">
        <w:rPr>
          <w:rFonts w:ascii="Corbel" w:hAnsi="Corbel" w:cs="Times"/>
          <w:color w:val="000000" w:themeColor="text1"/>
          <w:sz w:val="20"/>
          <w:szCs w:val="22"/>
        </w:rPr>
        <w:t xml:space="preserve">. Dit kan denkbeeldig, zoals bij een gedachte-experiment van </w:t>
      </w:r>
      <w:proofErr w:type="spellStart"/>
      <w:r w:rsidRPr="00371492">
        <w:rPr>
          <w:rFonts w:ascii="Corbel" w:hAnsi="Corbel" w:cs="Times"/>
          <w:color w:val="000000" w:themeColor="text1"/>
          <w:sz w:val="20"/>
          <w:szCs w:val="22"/>
        </w:rPr>
        <w:t>Rawls</w:t>
      </w:r>
      <w:proofErr w:type="spellEnd"/>
      <w:r w:rsidRPr="00371492">
        <w:rPr>
          <w:rStyle w:val="Voetnootmarkering"/>
          <w:rFonts w:ascii="Corbel" w:hAnsi="Corbel" w:cs="Times"/>
          <w:color w:val="000000" w:themeColor="text1"/>
          <w:sz w:val="20"/>
          <w:szCs w:val="22"/>
        </w:rPr>
        <w:footnoteReference w:id="7"/>
      </w:r>
      <w:r w:rsidRPr="00371492">
        <w:rPr>
          <w:rFonts w:ascii="Corbel" w:hAnsi="Corbel" w:cs="Times"/>
          <w:color w:val="000000" w:themeColor="text1"/>
          <w:sz w:val="20"/>
          <w:szCs w:val="22"/>
        </w:rPr>
        <w:t xml:space="preserve"> of in een werkelijke vorm. Overeenkomstig het utilisme biedt de deontologie dus een outsider perspectief, dat wil zeggen dat een buitenstaander de beoordeling moet kunnen uitvoeren</w:t>
      </w:r>
    </w:p>
    <w:p w14:paraId="5272B105" w14:textId="7C1094BA" w:rsidR="00F2603E" w:rsidRPr="00371492" w:rsidRDefault="00F2603E" w:rsidP="00F2603E">
      <w:pPr>
        <w:widowControl w:val="0"/>
        <w:autoSpaceDE w:val="0"/>
        <w:autoSpaceDN w:val="0"/>
        <w:adjustRightInd w:val="0"/>
        <w:spacing w:after="240" w:line="360" w:lineRule="auto"/>
        <w:contextualSpacing/>
        <w:jc w:val="both"/>
        <w:rPr>
          <w:rFonts w:ascii="Corbel" w:hAnsi="Corbel" w:cs="Times"/>
          <w:color w:val="000000" w:themeColor="text1"/>
          <w:sz w:val="20"/>
          <w:szCs w:val="22"/>
        </w:rPr>
      </w:pPr>
      <w:r w:rsidRPr="00371492">
        <w:rPr>
          <w:rFonts w:ascii="Corbel" w:eastAsia="Tahoma" w:hAnsi="Corbel" w:cs="Tahoma"/>
          <w:sz w:val="20"/>
          <w:szCs w:val="22"/>
        </w:rPr>
        <w:tab/>
        <w:t xml:space="preserve">De rationaliseringswijze die uit deze logica en focus volgt leidt tot een blik op de onderliggende principes van handelingen en de notie dat men daar mee in moet stemmen. Met andere woorden: de vrije wil, als in een redelijke wil die in autonomie kan beslissen, van het individu staat centraal. De benadering die hierbij past is door te kijken of bepaalde procedures gevolgd worden of door te beoordelen of bepaalde principes gehandhaafd zijn. In tegenstelling tot het utilisme is een waardering op basis van de deontologie </w:t>
      </w:r>
      <w:r w:rsidRPr="00530CF9">
        <w:rPr>
          <w:rFonts w:ascii="Corbel" w:eastAsia="Tahoma" w:hAnsi="Corbel" w:cs="Tahoma"/>
          <w:i/>
          <w:sz w:val="20"/>
          <w:szCs w:val="22"/>
        </w:rPr>
        <w:t>incommensurabel</w:t>
      </w:r>
      <w:r w:rsidRPr="00371492">
        <w:rPr>
          <w:rFonts w:ascii="Corbel" w:eastAsia="Tahoma" w:hAnsi="Corbel" w:cs="Tahoma"/>
          <w:sz w:val="20"/>
          <w:szCs w:val="22"/>
        </w:rPr>
        <w:t>. Dit houdt in dat e</w:t>
      </w:r>
      <w:r w:rsidR="00530CF9">
        <w:rPr>
          <w:rFonts w:ascii="Corbel" w:eastAsia="Tahoma" w:hAnsi="Corbel" w:cs="Tahoma"/>
          <w:sz w:val="20"/>
          <w:szCs w:val="22"/>
        </w:rPr>
        <w:t xml:space="preserve">r geen gemeenschappelijke maat </w:t>
      </w:r>
      <w:r w:rsidRPr="00371492">
        <w:rPr>
          <w:rFonts w:ascii="Corbel" w:eastAsia="Tahoma" w:hAnsi="Corbel" w:cs="Tahoma"/>
          <w:sz w:val="20"/>
          <w:szCs w:val="22"/>
        </w:rPr>
        <w:t>bestaat om tot een oordeel te komen. Met andere woorden: als beide principes voldoen aan de categorische imperatief is het ene principe is niet beter dan de andere.</w:t>
      </w:r>
      <w:r w:rsidR="00530CF9">
        <w:rPr>
          <w:rFonts w:ascii="Corbel" w:eastAsia="Tahoma" w:hAnsi="Corbel" w:cs="Tahoma"/>
          <w:sz w:val="20"/>
          <w:szCs w:val="22"/>
        </w:rPr>
        <w:t xml:space="preserve"> Deze gemeenschappelijk maat is expliciet wel aanwezig bij het utilisme, waar een versmalling van het vraagstuk onder een gemeenschappelijke noemer van belang is om tot een optimum te komen. </w:t>
      </w:r>
    </w:p>
    <w:p w14:paraId="6BE8484E" w14:textId="6C27A7D7" w:rsidR="00F2603E" w:rsidRPr="00371492" w:rsidRDefault="00F2603E" w:rsidP="00F2603E">
      <w:pPr>
        <w:widowControl w:val="0"/>
        <w:autoSpaceDE w:val="0"/>
        <w:autoSpaceDN w:val="0"/>
        <w:adjustRightInd w:val="0"/>
        <w:spacing w:after="240" w:line="360" w:lineRule="auto"/>
        <w:contextualSpacing/>
        <w:jc w:val="both"/>
        <w:rPr>
          <w:rFonts w:ascii="Corbel" w:eastAsia="Tahoma" w:hAnsi="Corbel" w:cs="Tahoma"/>
          <w:sz w:val="20"/>
          <w:szCs w:val="22"/>
        </w:rPr>
      </w:pPr>
      <w:r w:rsidRPr="00371492">
        <w:rPr>
          <w:rFonts w:ascii="Corbel" w:eastAsia="Tahoma" w:hAnsi="Corbel" w:cs="Tahoma"/>
          <w:sz w:val="20"/>
          <w:szCs w:val="22"/>
        </w:rPr>
        <w:tab/>
        <w:t>Wat betekenen deze uitwerkingen van logica, focus en rationaliseringswijze? Door te kijken hoe de deontologie omgaat met kwetsbaarheden wordt deze toepasbaar gemaakt vo</w:t>
      </w:r>
      <w:r w:rsidR="00530CF9">
        <w:rPr>
          <w:rFonts w:ascii="Corbel" w:eastAsia="Tahoma" w:hAnsi="Corbel" w:cs="Tahoma"/>
          <w:sz w:val="20"/>
          <w:szCs w:val="22"/>
        </w:rPr>
        <w:t xml:space="preserve">or het analyseren van risico’s. </w:t>
      </w:r>
      <w:r w:rsidRPr="00371492">
        <w:rPr>
          <w:rFonts w:ascii="Corbel" w:eastAsia="Tahoma" w:hAnsi="Corbel" w:cs="Tahoma"/>
          <w:sz w:val="20"/>
          <w:szCs w:val="22"/>
        </w:rPr>
        <w:t>Uit de logica volgt dat bepaalde waarden voorop staan, met de expliciete notie dat deze niet geschonden mogen worden (wat de context ook is). De principes, zoals gelijkheid, redelijkheid en autonomie, komen door</w:t>
      </w:r>
      <w:r w:rsidR="006C74E3" w:rsidRPr="00371492">
        <w:rPr>
          <w:rFonts w:ascii="Corbel" w:eastAsia="Tahoma" w:hAnsi="Corbel" w:cs="Tahoma"/>
          <w:sz w:val="20"/>
          <w:szCs w:val="22"/>
        </w:rPr>
        <w:t xml:space="preserve"> </w:t>
      </w:r>
      <w:r w:rsidRPr="00371492">
        <w:rPr>
          <w:rFonts w:ascii="Corbel" w:eastAsia="Tahoma" w:hAnsi="Corbel" w:cs="Tahoma"/>
          <w:sz w:val="20"/>
          <w:szCs w:val="22"/>
        </w:rPr>
        <w:t xml:space="preserve">de test met de categorische imperatief. Zijn de principes die aan het handelen ten grondslag in overeenstemming met de categorische imperatief, dan wordt de uitkomst vanuit de deontologie geaccepteerd. </w:t>
      </w:r>
      <w:r w:rsidRPr="00541EB0">
        <w:rPr>
          <w:rFonts w:ascii="Corbel" w:eastAsia="Tahoma" w:hAnsi="Corbel" w:cs="Tahoma"/>
          <w:color w:val="000000" w:themeColor="text1"/>
          <w:sz w:val="20"/>
          <w:szCs w:val="22"/>
        </w:rPr>
        <w:t xml:space="preserve">De principes die met name van belang zijn voor de praktijk van risicoanalyse zijn redelijkheid, gelijkheid en autonomie. Risico’s </w:t>
      </w:r>
      <w:r w:rsidRPr="00371492">
        <w:rPr>
          <w:rFonts w:ascii="Corbel" w:eastAsia="Tahoma" w:hAnsi="Corbel" w:cs="Tahoma"/>
          <w:sz w:val="20"/>
          <w:szCs w:val="22"/>
        </w:rPr>
        <w:t>dienen volgens de deontologie zo verdeeld te worden over de samenleving dat iedereen er werkelijk of denkbeeldig mee in zou kunnen stemmen. Wanneer mensen blootgesteld worden aan risico’s zonder instemming doet dit geen recht aan het respect voor de medemens.</w:t>
      </w:r>
    </w:p>
    <w:p w14:paraId="7C2191BE" w14:textId="52680DCF" w:rsidR="00AD3004" w:rsidRPr="00371492" w:rsidRDefault="00F2603E" w:rsidP="00F2603E">
      <w:pPr>
        <w:widowControl w:val="0"/>
        <w:autoSpaceDE w:val="0"/>
        <w:autoSpaceDN w:val="0"/>
        <w:adjustRightInd w:val="0"/>
        <w:spacing w:after="240" w:line="360" w:lineRule="auto"/>
        <w:contextualSpacing/>
        <w:jc w:val="both"/>
        <w:rPr>
          <w:rFonts w:ascii="Corbel" w:eastAsia="Tahoma" w:hAnsi="Corbel" w:cs="Tahoma"/>
          <w:sz w:val="20"/>
          <w:szCs w:val="22"/>
        </w:rPr>
      </w:pPr>
      <w:r w:rsidRPr="00371492">
        <w:rPr>
          <w:rFonts w:ascii="Corbel" w:eastAsia="Tahoma" w:hAnsi="Corbel" w:cs="Tahoma"/>
          <w:sz w:val="20"/>
          <w:szCs w:val="22"/>
        </w:rPr>
        <w:tab/>
        <w:t xml:space="preserve">Deze omgang met kwetsbaarheden ziet men terug in zaken zoals </w:t>
      </w:r>
      <w:proofErr w:type="spellStart"/>
      <w:r w:rsidRPr="00371492">
        <w:rPr>
          <w:rFonts w:ascii="Corbel" w:eastAsia="Tahoma" w:hAnsi="Corbel" w:cs="Tahoma"/>
          <w:i/>
          <w:sz w:val="20"/>
          <w:szCs w:val="22"/>
        </w:rPr>
        <w:t>informed</w:t>
      </w:r>
      <w:proofErr w:type="spellEnd"/>
      <w:r w:rsidRPr="00371492">
        <w:rPr>
          <w:rFonts w:ascii="Corbel" w:eastAsia="Tahoma" w:hAnsi="Corbel" w:cs="Tahoma"/>
          <w:i/>
          <w:sz w:val="20"/>
          <w:szCs w:val="22"/>
        </w:rPr>
        <w:t xml:space="preserve"> consen</w:t>
      </w:r>
      <w:r w:rsidRPr="00371492">
        <w:rPr>
          <w:rFonts w:ascii="Corbel" w:eastAsia="Tahoma" w:hAnsi="Corbel" w:cs="Tahoma"/>
          <w:sz w:val="20"/>
          <w:szCs w:val="22"/>
        </w:rPr>
        <w:t xml:space="preserve">t, analyses van draagvlak en het sluiten van convenanten en contracten waar op verschillende manieren principiële overwegingen in terugkomen. </w:t>
      </w:r>
      <w:r w:rsidR="00C310FB">
        <w:rPr>
          <w:rFonts w:ascii="Corbel" w:eastAsia="Tahoma" w:hAnsi="Corbel" w:cs="Tahoma"/>
          <w:sz w:val="20"/>
          <w:szCs w:val="22"/>
        </w:rPr>
        <w:t xml:space="preserve">Deze zaken zouden ook van toepassing moeten of kunnen zijn in de case wil er sprake zijn van deontologie. </w:t>
      </w:r>
      <w:r w:rsidRPr="00371492">
        <w:rPr>
          <w:rFonts w:ascii="Corbel" w:eastAsia="Tahoma" w:hAnsi="Corbel" w:cs="Tahoma"/>
          <w:sz w:val="20"/>
          <w:szCs w:val="22"/>
        </w:rPr>
        <w:t xml:space="preserve">Vanuit de toepassing van de deontologie kan er op twee manieren een gremium gekozen worden. Wanneer de focus met name ligt op de notie dat iedereen moet kunnen instemmen met een risicoverdeling, ligt het voor de hand een willekeurig panel uit de samenleving te nemen. Dit is min of meer de democratische variant, waarbij de vrije keuze van een willekeurig individu centraal staat. Wanneer er echter met name waarde gehecht wordt aan het toepassen van principes, ligt het meer voor de hand om te kiezen voor een </w:t>
      </w:r>
      <w:r w:rsidRPr="00371492">
        <w:rPr>
          <w:rFonts w:ascii="Corbel" w:eastAsia="Tahoma" w:hAnsi="Corbel" w:cs="Tahoma"/>
          <w:sz w:val="20"/>
          <w:szCs w:val="22"/>
        </w:rPr>
        <w:lastRenderedPageBreak/>
        <w:t>gremium waar juristen toetsen of bepaalde principes toegepast worden. Schematisch ziet de praktische toepassing van de deontologie er als volgt uit (zie tabel 2):</w:t>
      </w:r>
    </w:p>
    <w:p w14:paraId="35CAB046" w14:textId="77777777" w:rsidR="00F2603E" w:rsidRPr="00371492" w:rsidRDefault="00F2603E" w:rsidP="00F2603E">
      <w:pPr>
        <w:pStyle w:val="Bijschrift"/>
        <w:keepNext/>
        <w:rPr>
          <w:rFonts w:ascii="Corbel" w:hAnsi="Corbel"/>
          <w:sz w:val="16"/>
        </w:rPr>
      </w:pPr>
      <w:r w:rsidRPr="00371492">
        <w:rPr>
          <w:rFonts w:ascii="Corbel" w:hAnsi="Corbel"/>
          <w:sz w:val="16"/>
        </w:rPr>
        <w:t xml:space="preserve">Tabel </w:t>
      </w:r>
      <w:r w:rsidR="00A61297" w:rsidRPr="00371492">
        <w:rPr>
          <w:rFonts w:ascii="Corbel" w:hAnsi="Corbel"/>
          <w:sz w:val="16"/>
        </w:rPr>
        <w:fldChar w:fldCharType="begin"/>
      </w:r>
      <w:r w:rsidRPr="00371492">
        <w:rPr>
          <w:rFonts w:ascii="Corbel" w:hAnsi="Corbel"/>
          <w:sz w:val="16"/>
        </w:rPr>
        <w:instrText xml:space="preserve"> SEQ Tabel \* ARABIC </w:instrText>
      </w:r>
      <w:r w:rsidR="00A61297" w:rsidRPr="00371492">
        <w:rPr>
          <w:rFonts w:ascii="Corbel" w:hAnsi="Corbel"/>
          <w:sz w:val="16"/>
        </w:rPr>
        <w:fldChar w:fldCharType="separate"/>
      </w:r>
      <w:r w:rsidR="00BA122C">
        <w:rPr>
          <w:rFonts w:ascii="Corbel" w:hAnsi="Corbel"/>
          <w:noProof/>
          <w:sz w:val="16"/>
        </w:rPr>
        <w:t>3</w:t>
      </w:r>
      <w:r w:rsidR="00A61297" w:rsidRPr="00371492">
        <w:rPr>
          <w:rFonts w:ascii="Corbel" w:hAnsi="Corbel"/>
          <w:sz w:val="16"/>
        </w:rPr>
        <w:fldChar w:fldCharType="end"/>
      </w:r>
      <w:r w:rsidRPr="00371492">
        <w:rPr>
          <w:rFonts w:ascii="Corbel" w:hAnsi="Corbel"/>
          <w:sz w:val="16"/>
        </w:rPr>
        <w:t xml:space="preserve"> - toepassing deontologie op praktijk risicoanalyse</w:t>
      </w:r>
    </w:p>
    <w:tbl>
      <w:tblPr>
        <w:tblStyle w:val="Tabelraster"/>
        <w:tblW w:w="9054" w:type="dxa"/>
        <w:tblLook w:val="04A0" w:firstRow="1" w:lastRow="0" w:firstColumn="1" w:lastColumn="0" w:noHBand="0" w:noVBand="1"/>
      </w:tblPr>
      <w:tblGrid>
        <w:gridCol w:w="2141"/>
        <w:gridCol w:w="6913"/>
      </w:tblGrid>
      <w:tr w:rsidR="00F2603E" w:rsidRPr="00371492" w14:paraId="697B5C1C" w14:textId="77777777" w:rsidTr="00E97355">
        <w:tc>
          <w:tcPr>
            <w:tcW w:w="2141" w:type="dxa"/>
          </w:tcPr>
          <w:p w14:paraId="3BD92B3F" w14:textId="77777777" w:rsidR="00F2603E" w:rsidRPr="00371492" w:rsidRDefault="00F2603E" w:rsidP="00E97355">
            <w:pPr>
              <w:spacing w:line="360" w:lineRule="auto"/>
              <w:jc w:val="both"/>
              <w:rPr>
                <w:rFonts w:ascii="Corbel" w:eastAsia="Tahoma" w:hAnsi="Corbel" w:cs="Tahoma"/>
                <w:sz w:val="20"/>
              </w:rPr>
            </w:pPr>
            <w:r w:rsidRPr="00371492">
              <w:rPr>
                <w:rFonts w:ascii="Corbel" w:eastAsia="Tahoma" w:hAnsi="Corbel" w:cs="Tahoma"/>
                <w:i/>
                <w:sz w:val="20"/>
              </w:rPr>
              <w:t>Logica</w:t>
            </w:r>
          </w:p>
        </w:tc>
        <w:tc>
          <w:tcPr>
            <w:tcW w:w="6913" w:type="dxa"/>
          </w:tcPr>
          <w:p w14:paraId="155CE41C" w14:textId="77777777" w:rsidR="00F2603E" w:rsidRPr="00371492" w:rsidRDefault="00F2603E" w:rsidP="00E97355">
            <w:pPr>
              <w:spacing w:line="360" w:lineRule="auto"/>
              <w:jc w:val="both"/>
              <w:rPr>
                <w:rFonts w:ascii="Corbel" w:eastAsia="Tahoma" w:hAnsi="Corbel" w:cs="Tahoma"/>
                <w:sz w:val="20"/>
              </w:rPr>
            </w:pPr>
            <w:r w:rsidRPr="00371492">
              <w:rPr>
                <w:rFonts w:ascii="Corbel" w:eastAsia="Tahoma" w:hAnsi="Corbel" w:cs="Tahoma"/>
                <w:b/>
                <w:sz w:val="20"/>
              </w:rPr>
              <w:t>Praktijkonafhankelijk</w:t>
            </w:r>
            <w:r w:rsidRPr="00371492">
              <w:rPr>
                <w:rFonts w:ascii="Corbel" w:eastAsia="Tahoma" w:hAnsi="Corbel" w:cs="Tahoma"/>
                <w:sz w:val="20"/>
              </w:rPr>
              <w:t xml:space="preserve"> (los van de context) plichtsgetrouw handelen. </w:t>
            </w:r>
          </w:p>
          <w:p w14:paraId="27A7BFF2" w14:textId="77777777" w:rsidR="00F2603E" w:rsidRPr="00371492" w:rsidRDefault="00F2603E" w:rsidP="00E97355">
            <w:pPr>
              <w:spacing w:line="360" w:lineRule="auto"/>
              <w:jc w:val="both"/>
              <w:rPr>
                <w:rFonts w:ascii="Corbel" w:eastAsia="Tahoma" w:hAnsi="Corbel" w:cs="Tahoma"/>
                <w:sz w:val="20"/>
              </w:rPr>
            </w:pPr>
            <w:r w:rsidRPr="00371492">
              <w:rPr>
                <w:rFonts w:ascii="Corbel" w:eastAsia="Tahoma" w:hAnsi="Corbel" w:cs="Tahoma"/>
                <w:sz w:val="20"/>
              </w:rPr>
              <w:t xml:space="preserve">Men kijkt alleen naar de </w:t>
            </w:r>
            <w:r w:rsidRPr="00371492">
              <w:rPr>
                <w:rFonts w:ascii="Corbel" w:eastAsia="Tahoma" w:hAnsi="Corbel" w:cs="Tahoma"/>
                <w:b/>
                <w:sz w:val="20"/>
              </w:rPr>
              <w:t>principes</w:t>
            </w:r>
            <w:r w:rsidRPr="00371492">
              <w:rPr>
                <w:rFonts w:ascii="Corbel" w:eastAsia="Tahoma" w:hAnsi="Corbel" w:cs="Tahoma"/>
                <w:sz w:val="20"/>
              </w:rPr>
              <w:t xml:space="preserve"> ten grondslag van een handeling (dus op </w:t>
            </w:r>
            <w:r w:rsidRPr="00371492">
              <w:rPr>
                <w:rFonts w:ascii="Corbel" w:eastAsia="Tahoma" w:hAnsi="Corbel" w:cs="Tahoma"/>
                <w:b/>
                <w:sz w:val="20"/>
              </w:rPr>
              <w:t>kwaliteit</w:t>
            </w:r>
            <w:r w:rsidRPr="00371492">
              <w:rPr>
                <w:rFonts w:ascii="Corbel" w:eastAsia="Tahoma" w:hAnsi="Corbel" w:cs="Tahoma"/>
                <w:sz w:val="20"/>
              </w:rPr>
              <w:t xml:space="preserve">). Men beoordeelt een </w:t>
            </w:r>
            <w:r w:rsidRPr="00371492">
              <w:rPr>
                <w:rFonts w:ascii="Corbel" w:eastAsia="Tahoma" w:hAnsi="Corbel" w:cs="Tahoma"/>
                <w:b/>
                <w:sz w:val="20"/>
              </w:rPr>
              <w:t>handeling</w:t>
            </w:r>
            <w:r w:rsidRPr="00371492">
              <w:rPr>
                <w:rFonts w:ascii="Corbel" w:eastAsia="Tahoma" w:hAnsi="Corbel" w:cs="Tahoma"/>
                <w:sz w:val="20"/>
              </w:rPr>
              <w:t xml:space="preserve"> voorafgaand aan het gevolg (vgl. utilisme) </w:t>
            </w:r>
          </w:p>
        </w:tc>
      </w:tr>
      <w:tr w:rsidR="00F2603E" w:rsidRPr="00371492" w14:paraId="407B5438" w14:textId="77777777" w:rsidTr="00E97355">
        <w:tc>
          <w:tcPr>
            <w:tcW w:w="2141" w:type="dxa"/>
          </w:tcPr>
          <w:p w14:paraId="3C899D07" w14:textId="77777777" w:rsidR="00F2603E" w:rsidRPr="00371492" w:rsidRDefault="00F2603E" w:rsidP="00E97355">
            <w:pPr>
              <w:spacing w:line="360" w:lineRule="auto"/>
              <w:jc w:val="both"/>
              <w:rPr>
                <w:rFonts w:ascii="Corbel" w:eastAsia="Tahoma" w:hAnsi="Corbel" w:cs="Tahoma"/>
                <w:sz w:val="20"/>
              </w:rPr>
            </w:pPr>
            <w:r w:rsidRPr="00371492">
              <w:rPr>
                <w:rFonts w:ascii="Corbel" w:eastAsia="Tahoma" w:hAnsi="Corbel" w:cs="Tahoma"/>
                <w:i/>
                <w:sz w:val="20"/>
              </w:rPr>
              <w:t>Focus (waar kijkt de theorie naar?)</w:t>
            </w:r>
          </w:p>
        </w:tc>
        <w:tc>
          <w:tcPr>
            <w:tcW w:w="6913" w:type="dxa"/>
          </w:tcPr>
          <w:p w14:paraId="0659DCE1" w14:textId="77777777" w:rsidR="00F2603E" w:rsidRPr="00371492" w:rsidRDefault="00F2603E" w:rsidP="00E97355">
            <w:pPr>
              <w:spacing w:line="360" w:lineRule="auto"/>
              <w:jc w:val="both"/>
              <w:rPr>
                <w:rFonts w:ascii="Corbel" w:eastAsia="Tahoma" w:hAnsi="Corbel" w:cs="Tahoma"/>
                <w:sz w:val="20"/>
              </w:rPr>
            </w:pPr>
            <w:r w:rsidRPr="00371492">
              <w:rPr>
                <w:rFonts w:ascii="Corbel" w:eastAsia="Tahoma" w:hAnsi="Corbel" w:cs="Tahoma"/>
                <w:b/>
                <w:sz w:val="20"/>
              </w:rPr>
              <w:t>Universele waarden en gedragsregels</w:t>
            </w:r>
            <w:r w:rsidRPr="00371492">
              <w:rPr>
                <w:rFonts w:ascii="Corbel" w:eastAsia="Tahoma" w:hAnsi="Corbel" w:cs="Tahoma"/>
                <w:sz w:val="20"/>
              </w:rPr>
              <w:t xml:space="preserve"> die voortkomen uit </w:t>
            </w:r>
            <w:r w:rsidRPr="00371492">
              <w:rPr>
                <w:rFonts w:ascii="Corbel" w:eastAsia="Tahoma" w:hAnsi="Corbel" w:cs="Tahoma"/>
                <w:b/>
                <w:sz w:val="20"/>
              </w:rPr>
              <w:t>categorische</w:t>
            </w:r>
            <w:r w:rsidRPr="00371492">
              <w:rPr>
                <w:rFonts w:ascii="Corbel" w:eastAsia="Tahoma" w:hAnsi="Corbel" w:cs="Tahoma"/>
                <w:sz w:val="20"/>
              </w:rPr>
              <w:t xml:space="preserve"> </w:t>
            </w:r>
            <w:r w:rsidRPr="00371492">
              <w:rPr>
                <w:rFonts w:ascii="Corbel" w:eastAsia="Tahoma" w:hAnsi="Corbel" w:cs="Tahoma"/>
                <w:b/>
                <w:sz w:val="20"/>
              </w:rPr>
              <w:t>imperatief</w:t>
            </w:r>
            <w:r w:rsidRPr="00371492">
              <w:rPr>
                <w:rFonts w:ascii="Corbel" w:eastAsia="Tahoma" w:hAnsi="Corbel" w:cs="Tahoma"/>
                <w:sz w:val="20"/>
              </w:rPr>
              <w:t xml:space="preserve">. Iedereen moet er mee in kunnen stemmen (een </w:t>
            </w:r>
            <w:r w:rsidRPr="00371492">
              <w:rPr>
                <w:rFonts w:ascii="Corbel" w:eastAsia="Tahoma" w:hAnsi="Corbel" w:cs="Tahoma"/>
                <w:b/>
                <w:sz w:val="20"/>
              </w:rPr>
              <w:t>outsider</w:t>
            </w:r>
            <w:r w:rsidRPr="00371492">
              <w:rPr>
                <w:rFonts w:ascii="Corbel" w:eastAsia="Tahoma" w:hAnsi="Corbel" w:cs="Tahoma"/>
                <w:sz w:val="20"/>
              </w:rPr>
              <w:t xml:space="preserve"> perspectief).</w:t>
            </w:r>
          </w:p>
        </w:tc>
      </w:tr>
      <w:tr w:rsidR="00F2603E" w:rsidRPr="00371492" w14:paraId="17103671" w14:textId="77777777" w:rsidTr="00E97355">
        <w:trPr>
          <w:trHeight w:val="2045"/>
        </w:trPr>
        <w:tc>
          <w:tcPr>
            <w:tcW w:w="2141" w:type="dxa"/>
          </w:tcPr>
          <w:p w14:paraId="565AAFD3" w14:textId="77777777" w:rsidR="00F2603E" w:rsidRPr="00371492" w:rsidRDefault="00F2603E" w:rsidP="00E97355">
            <w:pPr>
              <w:spacing w:line="360" w:lineRule="auto"/>
              <w:jc w:val="both"/>
              <w:rPr>
                <w:rFonts w:ascii="Corbel" w:eastAsia="Tahoma" w:hAnsi="Corbel" w:cs="Tahoma"/>
                <w:sz w:val="20"/>
              </w:rPr>
            </w:pPr>
            <w:r w:rsidRPr="00371492">
              <w:rPr>
                <w:rFonts w:ascii="Corbel" w:eastAsia="Tahoma" w:hAnsi="Corbel" w:cs="Tahoma"/>
                <w:i/>
                <w:sz w:val="20"/>
              </w:rPr>
              <w:t>Benadering (rationaliseringswijze)</w:t>
            </w:r>
          </w:p>
        </w:tc>
        <w:tc>
          <w:tcPr>
            <w:tcW w:w="6913" w:type="dxa"/>
          </w:tcPr>
          <w:p w14:paraId="7018166E" w14:textId="77777777" w:rsidR="00F2603E" w:rsidRPr="00371492" w:rsidRDefault="00F2603E" w:rsidP="00E97355">
            <w:pPr>
              <w:spacing w:line="360" w:lineRule="auto"/>
              <w:jc w:val="both"/>
              <w:rPr>
                <w:rFonts w:ascii="Corbel" w:eastAsia="Tahoma" w:hAnsi="Corbel" w:cs="Tahoma"/>
                <w:sz w:val="20"/>
              </w:rPr>
            </w:pPr>
            <w:r w:rsidRPr="00371492">
              <w:rPr>
                <w:rFonts w:ascii="Corbel" w:eastAsia="Tahoma" w:hAnsi="Corbel" w:cs="Tahoma"/>
                <w:sz w:val="20"/>
              </w:rPr>
              <w:t xml:space="preserve">Rationalisering volgens onderliggende </w:t>
            </w:r>
            <w:r w:rsidRPr="00371492">
              <w:rPr>
                <w:rFonts w:ascii="Corbel" w:eastAsia="Tahoma" w:hAnsi="Corbel" w:cs="Tahoma"/>
                <w:b/>
                <w:sz w:val="20"/>
              </w:rPr>
              <w:t>principes</w:t>
            </w:r>
            <w:r w:rsidRPr="00371492">
              <w:rPr>
                <w:rFonts w:ascii="Corbel" w:eastAsia="Tahoma" w:hAnsi="Corbel" w:cs="Tahoma"/>
                <w:sz w:val="20"/>
              </w:rPr>
              <w:t xml:space="preserve">. Mensen moeten denkbeeldig of werkelijk kunnen </w:t>
            </w:r>
            <w:r w:rsidRPr="00371492">
              <w:rPr>
                <w:rFonts w:ascii="Corbel" w:eastAsia="Tahoma" w:hAnsi="Corbel" w:cs="Tahoma"/>
                <w:b/>
                <w:sz w:val="20"/>
              </w:rPr>
              <w:t>instemmen</w:t>
            </w:r>
            <w:r w:rsidRPr="00371492">
              <w:rPr>
                <w:rFonts w:ascii="Corbel" w:eastAsia="Tahoma" w:hAnsi="Corbel" w:cs="Tahoma"/>
                <w:sz w:val="20"/>
              </w:rPr>
              <w:t xml:space="preserve"> met de verdeling. </w:t>
            </w:r>
            <w:r w:rsidRPr="00371492">
              <w:rPr>
                <w:rFonts w:ascii="Corbel" w:eastAsia="Tahoma" w:hAnsi="Corbel" w:cs="Tahoma"/>
                <w:b/>
                <w:sz w:val="20"/>
              </w:rPr>
              <w:t>Vrije wil</w:t>
            </w:r>
            <w:r w:rsidRPr="00371492">
              <w:rPr>
                <w:rFonts w:ascii="Corbel" w:eastAsia="Tahoma" w:hAnsi="Corbel" w:cs="Tahoma"/>
                <w:sz w:val="20"/>
              </w:rPr>
              <w:t xml:space="preserve"> van het individu staat centraal. </w:t>
            </w:r>
          </w:p>
          <w:p w14:paraId="67215F90" w14:textId="77777777" w:rsidR="00F2603E" w:rsidRPr="00371492" w:rsidRDefault="00F2603E" w:rsidP="00E97355">
            <w:p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 xml:space="preserve">Bepaalde </w:t>
            </w:r>
            <w:r w:rsidRPr="00371492">
              <w:rPr>
                <w:rFonts w:ascii="Corbel" w:eastAsia="Tahoma" w:hAnsi="Corbel" w:cs="Tahoma"/>
                <w:b/>
                <w:color w:val="000000" w:themeColor="text1"/>
                <w:sz w:val="20"/>
              </w:rPr>
              <w:t>procedures</w:t>
            </w:r>
            <w:r w:rsidRPr="00371492">
              <w:rPr>
                <w:rFonts w:ascii="Corbel" w:eastAsia="Tahoma" w:hAnsi="Corbel" w:cs="Tahoma"/>
                <w:color w:val="000000" w:themeColor="text1"/>
                <w:sz w:val="20"/>
              </w:rPr>
              <w:t xml:space="preserve"> moeten gevolgd worden (bijv. gedachte-experiment van </w:t>
            </w:r>
            <w:proofErr w:type="spellStart"/>
            <w:r w:rsidRPr="00371492">
              <w:rPr>
                <w:rFonts w:ascii="Corbel" w:eastAsia="Tahoma" w:hAnsi="Corbel" w:cs="Tahoma"/>
                <w:color w:val="000000" w:themeColor="text1"/>
                <w:sz w:val="20"/>
              </w:rPr>
              <w:t>Rawls</w:t>
            </w:r>
            <w:proofErr w:type="spellEnd"/>
            <w:r w:rsidRPr="00371492">
              <w:rPr>
                <w:rFonts w:ascii="Corbel" w:eastAsia="Tahoma" w:hAnsi="Corbel" w:cs="Tahoma"/>
                <w:color w:val="000000" w:themeColor="text1"/>
                <w:sz w:val="20"/>
              </w:rPr>
              <w:t xml:space="preserve">) of toepassen van een </w:t>
            </w:r>
            <w:r w:rsidRPr="00371492">
              <w:rPr>
                <w:rFonts w:ascii="Corbel" w:eastAsia="Tahoma" w:hAnsi="Corbel" w:cs="Tahoma"/>
                <w:b/>
                <w:color w:val="000000" w:themeColor="text1"/>
                <w:sz w:val="20"/>
              </w:rPr>
              <w:t>principe</w:t>
            </w:r>
            <w:r w:rsidRPr="00371492">
              <w:rPr>
                <w:rFonts w:ascii="Corbel" w:eastAsia="Tahoma" w:hAnsi="Corbel" w:cs="Tahoma"/>
                <w:color w:val="000000" w:themeColor="text1"/>
                <w:sz w:val="20"/>
              </w:rPr>
              <w:t>.</w:t>
            </w:r>
          </w:p>
          <w:p w14:paraId="065BFCD8" w14:textId="77777777" w:rsidR="00F2603E" w:rsidRPr="00371492" w:rsidRDefault="00F2603E" w:rsidP="00E97355">
            <w:pPr>
              <w:spacing w:line="360" w:lineRule="auto"/>
              <w:jc w:val="both"/>
              <w:rPr>
                <w:rFonts w:ascii="Corbel" w:eastAsia="Tahoma" w:hAnsi="Corbel" w:cs="Tahoma"/>
                <w:color w:val="000000" w:themeColor="text1"/>
                <w:sz w:val="20"/>
              </w:rPr>
            </w:pPr>
          </w:p>
          <w:p w14:paraId="11FFA2AB" w14:textId="77777777" w:rsidR="00F2603E" w:rsidRPr="00371492" w:rsidRDefault="00F2603E" w:rsidP="00E97355">
            <w:p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 xml:space="preserve">In tegenstelling tot het utilisme is de waardering </w:t>
            </w:r>
            <w:r w:rsidRPr="00371492">
              <w:rPr>
                <w:rFonts w:ascii="Corbel" w:eastAsia="Tahoma" w:hAnsi="Corbel" w:cs="Tahoma"/>
                <w:b/>
                <w:color w:val="000000" w:themeColor="text1"/>
                <w:sz w:val="20"/>
              </w:rPr>
              <w:t>incommensurabel</w:t>
            </w:r>
            <w:r w:rsidRPr="00371492">
              <w:rPr>
                <w:rFonts w:ascii="Corbel" w:eastAsia="Tahoma" w:hAnsi="Corbel" w:cs="Tahoma"/>
                <w:color w:val="000000" w:themeColor="text1"/>
                <w:sz w:val="20"/>
              </w:rPr>
              <w:t xml:space="preserve"> (zoals ook bij de deugdethiek het geval is). </w:t>
            </w:r>
          </w:p>
        </w:tc>
      </w:tr>
      <w:tr w:rsidR="00F2603E" w:rsidRPr="00371492" w14:paraId="5CA55D26" w14:textId="77777777" w:rsidTr="00E97355">
        <w:tc>
          <w:tcPr>
            <w:tcW w:w="2141" w:type="dxa"/>
          </w:tcPr>
          <w:p w14:paraId="640548FE" w14:textId="77777777" w:rsidR="00F2603E" w:rsidRPr="00371492" w:rsidRDefault="00F2603E" w:rsidP="00E97355">
            <w:pPr>
              <w:tabs>
                <w:tab w:val="left" w:pos="1166"/>
              </w:tabs>
              <w:spacing w:line="360" w:lineRule="auto"/>
              <w:jc w:val="both"/>
              <w:rPr>
                <w:rFonts w:ascii="Corbel" w:eastAsia="Tahoma" w:hAnsi="Corbel" w:cs="Tahoma"/>
                <w:sz w:val="20"/>
              </w:rPr>
            </w:pPr>
            <w:r w:rsidRPr="00371492">
              <w:rPr>
                <w:rFonts w:ascii="Corbel" w:eastAsia="Tahoma" w:hAnsi="Corbel" w:cs="Tahoma"/>
                <w:i/>
                <w:sz w:val="20"/>
              </w:rPr>
              <w:t>Kwetsbaarheden (wat wil men beschermen?)</w:t>
            </w:r>
          </w:p>
        </w:tc>
        <w:tc>
          <w:tcPr>
            <w:tcW w:w="6913" w:type="dxa"/>
          </w:tcPr>
          <w:p w14:paraId="33659F84" w14:textId="14CEBBAF" w:rsidR="00F2603E" w:rsidRPr="00371492" w:rsidRDefault="00F2603E" w:rsidP="00E97355">
            <w:pPr>
              <w:spacing w:line="360" w:lineRule="auto"/>
              <w:jc w:val="both"/>
              <w:rPr>
                <w:rFonts w:ascii="Corbel" w:eastAsia="Tahoma" w:hAnsi="Corbel" w:cs="Tahoma"/>
                <w:sz w:val="20"/>
              </w:rPr>
            </w:pPr>
            <w:r w:rsidRPr="00371492">
              <w:rPr>
                <w:rFonts w:ascii="Corbel" w:eastAsia="Tahoma" w:hAnsi="Corbel" w:cs="Tahoma"/>
                <w:sz w:val="20"/>
              </w:rPr>
              <w:t xml:space="preserve">Principes die voortkomen uit een geslaagde test met </w:t>
            </w:r>
            <w:r w:rsidRPr="00371492">
              <w:rPr>
                <w:rFonts w:ascii="Corbel" w:eastAsia="Tahoma" w:hAnsi="Corbel" w:cs="Tahoma"/>
                <w:b/>
                <w:sz w:val="20"/>
              </w:rPr>
              <w:t>de categorische imperatief</w:t>
            </w:r>
            <w:r w:rsidRPr="00371492">
              <w:rPr>
                <w:rFonts w:ascii="Corbel" w:eastAsia="Tahoma" w:hAnsi="Corbel" w:cs="Tahoma"/>
                <w:sz w:val="20"/>
              </w:rPr>
              <w:t xml:space="preserve">: redelijkheid, gelijkheid en autonomie bijvoorbeeld. </w:t>
            </w:r>
          </w:p>
        </w:tc>
      </w:tr>
      <w:tr w:rsidR="00F2603E" w:rsidRPr="00371492" w14:paraId="31114051" w14:textId="77777777" w:rsidTr="00E97355">
        <w:trPr>
          <w:trHeight w:val="435"/>
        </w:trPr>
        <w:tc>
          <w:tcPr>
            <w:tcW w:w="2141" w:type="dxa"/>
          </w:tcPr>
          <w:p w14:paraId="4EF35E9C" w14:textId="77777777" w:rsidR="00F2603E" w:rsidRPr="00371492" w:rsidRDefault="00F2603E" w:rsidP="00E97355">
            <w:pPr>
              <w:spacing w:line="360" w:lineRule="auto"/>
              <w:jc w:val="both"/>
              <w:rPr>
                <w:rFonts w:ascii="Corbel" w:eastAsia="Tahoma" w:hAnsi="Corbel" w:cs="Tahoma"/>
                <w:sz w:val="20"/>
              </w:rPr>
            </w:pPr>
            <w:r w:rsidRPr="00371492">
              <w:rPr>
                <w:rFonts w:ascii="Corbel" w:eastAsia="Tahoma" w:hAnsi="Corbel" w:cs="Tahoma"/>
                <w:i/>
                <w:sz w:val="20"/>
              </w:rPr>
              <w:t>Operationalisatie (hoe zie je dat terug?)</w:t>
            </w:r>
          </w:p>
        </w:tc>
        <w:tc>
          <w:tcPr>
            <w:tcW w:w="6913" w:type="dxa"/>
          </w:tcPr>
          <w:p w14:paraId="69815E69" w14:textId="77777777" w:rsidR="00F2603E" w:rsidRPr="00371492" w:rsidRDefault="00F2603E" w:rsidP="00200C74">
            <w:pPr>
              <w:pStyle w:val="Lijstalinea"/>
              <w:numPr>
                <w:ilvl w:val="0"/>
                <w:numId w:val="7"/>
              </w:numPr>
              <w:spacing w:line="360" w:lineRule="auto"/>
              <w:jc w:val="both"/>
              <w:rPr>
                <w:rFonts w:ascii="Corbel" w:eastAsia="Tahoma" w:hAnsi="Corbel" w:cs="Tahoma"/>
                <w:sz w:val="20"/>
              </w:rPr>
            </w:pPr>
            <w:proofErr w:type="spellStart"/>
            <w:r w:rsidRPr="00371492">
              <w:rPr>
                <w:rFonts w:ascii="Corbel" w:eastAsia="Tahoma" w:hAnsi="Corbel" w:cs="Tahoma"/>
                <w:sz w:val="20"/>
              </w:rPr>
              <w:t>Informed</w:t>
            </w:r>
            <w:proofErr w:type="spellEnd"/>
            <w:r w:rsidRPr="00371492">
              <w:rPr>
                <w:rFonts w:ascii="Corbel" w:eastAsia="Tahoma" w:hAnsi="Corbel" w:cs="Tahoma"/>
                <w:sz w:val="20"/>
              </w:rPr>
              <w:t xml:space="preserve"> consent</w:t>
            </w:r>
          </w:p>
          <w:p w14:paraId="230FD6E3" w14:textId="77777777" w:rsidR="00F2603E" w:rsidRPr="00371492" w:rsidRDefault="00F2603E" w:rsidP="00200C74">
            <w:pPr>
              <w:pStyle w:val="Lijstalinea"/>
              <w:numPr>
                <w:ilvl w:val="0"/>
                <w:numId w:val="7"/>
              </w:num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Draagvlak</w:t>
            </w:r>
          </w:p>
          <w:p w14:paraId="31B375CB" w14:textId="77777777" w:rsidR="00F2603E" w:rsidRPr="00371492" w:rsidRDefault="00F2603E" w:rsidP="00200C74">
            <w:pPr>
              <w:pStyle w:val="Lijstalinea"/>
              <w:numPr>
                <w:ilvl w:val="0"/>
                <w:numId w:val="7"/>
              </w:num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Convenant</w:t>
            </w:r>
          </w:p>
          <w:p w14:paraId="4CBAB07B" w14:textId="77777777" w:rsidR="00F2603E" w:rsidRPr="00371492" w:rsidRDefault="00F2603E" w:rsidP="00200C74">
            <w:pPr>
              <w:pStyle w:val="Lijstalinea"/>
              <w:numPr>
                <w:ilvl w:val="0"/>
                <w:numId w:val="7"/>
              </w:numPr>
              <w:spacing w:line="360" w:lineRule="auto"/>
              <w:jc w:val="both"/>
              <w:rPr>
                <w:rFonts w:ascii="Corbel" w:eastAsia="Tahoma" w:hAnsi="Corbel" w:cs="Tahoma"/>
                <w:sz w:val="20"/>
              </w:rPr>
            </w:pPr>
            <w:r w:rsidRPr="00371492">
              <w:rPr>
                <w:rFonts w:ascii="Corbel" w:eastAsia="Tahoma" w:hAnsi="Corbel" w:cs="Tahoma"/>
                <w:color w:val="000000" w:themeColor="text1"/>
                <w:sz w:val="20"/>
              </w:rPr>
              <w:t>contract</w:t>
            </w:r>
          </w:p>
        </w:tc>
      </w:tr>
      <w:tr w:rsidR="00F2603E" w:rsidRPr="00371492" w14:paraId="323BBC58" w14:textId="77777777" w:rsidTr="00E97355">
        <w:tc>
          <w:tcPr>
            <w:tcW w:w="2141" w:type="dxa"/>
          </w:tcPr>
          <w:p w14:paraId="7DDD30E6" w14:textId="77777777" w:rsidR="00F2603E" w:rsidRPr="00371492" w:rsidRDefault="00F2603E" w:rsidP="00E97355">
            <w:pPr>
              <w:spacing w:line="360" w:lineRule="auto"/>
              <w:jc w:val="both"/>
              <w:rPr>
                <w:rFonts w:ascii="Corbel" w:eastAsia="Tahoma" w:hAnsi="Corbel" w:cs="Tahoma"/>
                <w:sz w:val="20"/>
              </w:rPr>
            </w:pPr>
            <w:r w:rsidRPr="00371492">
              <w:rPr>
                <w:rFonts w:ascii="Corbel" w:eastAsia="Tahoma" w:hAnsi="Corbel" w:cs="Tahoma"/>
                <w:i/>
                <w:sz w:val="20"/>
              </w:rPr>
              <w:t>Gremium</w:t>
            </w:r>
          </w:p>
        </w:tc>
        <w:tc>
          <w:tcPr>
            <w:tcW w:w="6913" w:type="dxa"/>
          </w:tcPr>
          <w:p w14:paraId="29A9E0B7" w14:textId="77777777" w:rsidR="00F2603E" w:rsidRPr="00371492" w:rsidRDefault="00F2603E" w:rsidP="00200C74">
            <w:pPr>
              <w:pStyle w:val="Lijstalinea"/>
              <w:numPr>
                <w:ilvl w:val="0"/>
                <w:numId w:val="9"/>
              </w:numPr>
              <w:spacing w:line="360" w:lineRule="auto"/>
              <w:jc w:val="both"/>
              <w:rPr>
                <w:rFonts w:ascii="Corbel" w:eastAsia="Tahoma" w:hAnsi="Corbel" w:cs="Tahoma"/>
                <w:sz w:val="20"/>
              </w:rPr>
            </w:pPr>
            <w:r w:rsidRPr="00371492">
              <w:rPr>
                <w:rFonts w:ascii="Corbel" w:eastAsia="Tahoma" w:hAnsi="Corbel" w:cs="Tahoma"/>
                <w:sz w:val="20"/>
              </w:rPr>
              <w:t xml:space="preserve">Vanuit de </w:t>
            </w:r>
            <w:r w:rsidRPr="00371492">
              <w:rPr>
                <w:rFonts w:ascii="Corbel" w:eastAsia="Tahoma" w:hAnsi="Corbel" w:cs="Tahoma"/>
                <w:b/>
                <w:sz w:val="20"/>
              </w:rPr>
              <w:t>democratische</w:t>
            </w:r>
            <w:r w:rsidRPr="00371492">
              <w:rPr>
                <w:rFonts w:ascii="Corbel" w:eastAsia="Tahoma" w:hAnsi="Corbel" w:cs="Tahoma"/>
                <w:sz w:val="20"/>
              </w:rPr>
              <w:t xml:space="preserve"> gedachte: willekeurig panel uit de samenleving (indien je de vrije keuze centraal stelt)</w:t>
            </w:r>
          </w:p>
          <w:p w14:paraId="751E9B61" w14:textId="77777777" w:rsidR="00F2603E" w:rsidRPr="00371492" w:rsidRDefault="00F2603E" w:rsidP="00200C74">
            <w:pPr>
              <w:pStyle w:val="Lijstalinea"/>
              <w:numPr>
                <w:ilvl w:val="0"/>
                <w:numId w:val="9"/>
              </w:numPr>
              <w:spacing w:line="360" w:lineRule="auto"/>
              <w:jc w:val="both"/>
              <w:rPr>
                <w:rFonts w:ascii="Corbel" w:eastAsia="Tahoma" w:hAnsi="Corbel" w:cs="Tahoma"/>
                <w:sz w:val="20"/>
              </w:rPr>
            </w:pPr>
            <w:r w:rsidRPr="00371492">
              <w:rPr>
                <w:rFonts w:ascii="Corbel" w:eastAsia="Tahoma" w:hAnsi="Corbel" w:cs="Tahoma"/>
                <w:sz w:val="20"/>
              </w:rPr>
              <w:t xml:space="preserve">Toepassen van </w:t>
            </w:r>
            <w:r w:rsidRPr="00371492">
              <w:rPr>
                <w:rFonts w:ascii="Corbel" w:eastAsia="Tahoma" w:hAnsi="Corbel" w:cs="Tahoma"/>
                <w:b/>
                <w:sz w:val="20"/>
              </w:rPr>
              <w:t>principes</w:t>
            </w:r>
            <w:r w:rsidRPr="00371492">
              <w:rPr>
                <w:rFonts w:ascii="Corbel" w:eastAsia="Tahoma" w:hAnsi="Corbel" w:cs="Tahoma"/>
                <w:sz w:val="20"/>
              </w:rPr>
              <w:t>: juristenkwestie (indien principes centraal stelt)</w:t>
            </w:r>
          </w:p>
        </w:tc>
      </w:tr>
    </w:tbl>
    <w:p w14:paraId="38B54938" w14:textId="77777777" w:rsidR="00F2603E" w:rsidRPr="00371492" w:rsidRDefault="00F2603E" w:rsidP="00F2603E">
      <w:pPr>
        <w:widowControl w:val="0"/>
        <w:autoSpaceDE w:val="0"/>
        <w:autoSpaceDN w:val="0"/>
        <w:adjustRightInd w:val="0"/>
        <w:spacing w:after="240" w:line="360" w:lineRule="auto"/>
        <w:contextualSpacing/>
        <w:jc w:val="both"/>
        <w:rPr>
          <w:rFonts w:ascii="Corbel" w:eastAsia="Tahoma" w:hAnsi="Corbel" w:cs="Tahoma"/>
          <w:color w:val="FF0000"/>
          <w:sz w:val="20"/>
          <w:szCs w:val="22"/>
        </w:rPr>
      </w:pPr>
    </w:p>
    <w:p w14:paraId="1DC6CD9A" w14:textId="0624F217" w:rsidR="00F2603E" w:rsidRPr="00371492" w:rsidRDefault="00F2603E" w:rsidP="00F2603E">
      <w:pPr>
        <w:widowControl w:val="0"/>
        <w:autoSpaceDE w:val="0"/>
        <w:autoSpaceDN w:val="0"/>
        <w:adjustRightInd w:val="0"/>
        <w:spacing w:after="240" w:line="360" w:lineRule="auto"/>
        <w:ind w:firstLine="360"/>
        <w:contextualSpacing/>
        <w:jc w:val="both"/>
        <w:rPr>
          <w:rFonts w:ascii="Corbel" w:hAnsi="Corbel" w:cs="Times"/>
          <w:i/>
          <w:color w:val="000000" w:themeColor="text1"/>
          <w:sz w:val="20"/>
          <w:szCs w:val="22"/>
          <w:lang w:eastAsia="en-US"/>
        </w:rPr>
      </w:pPr>
      <w:r w:rsidRPr="00371492">
        <w:rPr>
          <w:rFonts w:ascii="Corbel" w:eastAsia="Tahoma" w:hAnsi="Corbel" w:cs="Tahoma"/>
          <w:color w:val="000000" w:themeColor="text1"/>
          <w:sz w:val="20"/>
        </w:rPr>
        <w:t>Risico’s en bijbehorende effecten worden volgens de deontologie dus verdeeld aan de hand van principes</w:t>
      </w:r>
      <w:r w:rsidR="002A42AA" w:rsidRPr="00371492">
        <w:rPr>
          <w:rFonts w:ascii="Corbel" w:eastAsia="Tahoma" w:hAnsi="Corbel" w:cs="Tahoma"/>
          <w:color w:val="000000" w:themeColor="text1"/>
          <w:sz w:val="20"/>
        </w:rPr>
        <w:t xml:space="preserve"> waar iedereen mee in kan stemmen</w:t>
      </w:r>
      <w:r w:rsidRPr="00371492">
        <w:rPr>
          <w:rFonts w:ascii="Corbel" w:eastAsia="Tahoma" w:hAnsi="Corbel" w:cs="Tahoma"/>
          <w:color w:val="000000" w:themeColor="text1"/>
          <w:sz w:val="20"/>
        </w:rPr>
        <w:t>.</w:t>
      </w:r>
      <w:r w:rsidRPr="00371492">
        <w:rPr>
          <w:rFonts w:ascii="Corbel" w:eastAsia="Tahoma" w:hAnsi="Corbel" w:cs="Tahoma"/>
          <w:sz w:val="20"/>
        </w:rPr>
        <w:t xml:space="preserve"> Centraal staan niet de gevolgen </w:t>
      </w:r>
      <w:r w:rsidR="002A42AA" w:rsidRPr="00371492">
        <w:rPr>
          <w:rFonts w:ascii="Corbel" w:eastAsia="Tahoma" w:hAnsi="Corbel" w:cs="Tahoma"/>
          <w:sz w:val="20"/>
        </w:rPr>
        <w:t xml:space="preserve">van het handelen </w:t>
      </w:r>
      <w:r w:rsidRPr="00371492">
        <w:rPr>
          <w:rFonts w:ascii="Corbel" w:eastAsia="Tahoma" w:hAnsi="Corbel" w:cs="Tahoma"/>
          <w:sz w:val="20"/>
        </w:rPr>
        <w:t xml:space="preserve">maar de principes die ten grondslag liggen aan </w:t>
      </w:r>
      <w:r w:rsidR="002A42AA" w:rsidRPr="00371492">
        <w:rPr>
          <w:rFonts w:ascii="Corbel" w:eastAsia="Tahoma" w:hAnsi="Corbel" w:cs="Tahoma"/>
          <w:sz w:val="20"/>
        </w:rPr>
        <w:t>een</w:t>
      </w:r>
      <w:r w:rsidRPr="00371492">
        <w:rPr>
          <w:rFonts w:ascii="Corbel" w:eastAsia="Tahoma" w:hAnsi="Corbel" w:cs="Tahoma"/>
          <w:sz w:val="20"/>
        </w:rPr>
        <w:t xml:space="preserve"> handeling. De deontologische logica van ‘afspraak is afspraak’ is te herkennen binnen bijvoorbeeld de Eurocrisis (Griekenland moet zich aan de belofte houden en afgerekend worden indien ze die verbreekt). </w:t>
      </w:r>
      <w:r w:rsidRPr="00371492">
        <w:rPr>
          <w:rFonts w:ascii="Corbel" w:hAnsi="Corbel" w:cs="Times"/>
          <w:color w:val="000000" w:themeColor="text1"/>
          <w:sz w:val="20"/>
          <w:szCs w:val="22"/>
          <w:lang w:eastAsia="en-US"/>
        </w:rPr>
        <w:t>Dit ongeacht wat zulke sancties betekenen voor de uitkomst van de situatie, dat wil zeggen voor het effect op de wereldeconomie. Deontologisch is ook de nadruk op het principe van een rechtvaardige verdeling van belang. Dit zie je terug in de casus van de ondergrondse CO</w:t>
      </w:r>
      <w:r w:rsidRPr="00371492">
        <w:rPr>
          <w:rFonts w:ascii="Corbel" w:hAnsi="Corbel" w:cs="Times"/>
          <w:color w:val="000000" w:themeColor="text1"/>
          <w:sz w:val="20"/>
          <w:szCs w:val="22"/>
          <w:vertAlign w:val="superscript"/>
          <w:lang w:eastAsia="en-US"/>
        </w:rPr>
        <w:t>2</w:t>
      </w:r>
      <w:r w:rsidRPr="00371492">
        <w:rPr>
          <w:rFonts w:ascii="Corbel" w:hAnsi="Corbel" w:cs="Times"/>
          <w:color w:val="000000" w:themeColor="text1"/>
          <w:sz w:val="20"/>
          <w:szCs w:val="22"/>
          <w:lang w:eastAsia="en-US"/>
        </w:rPr>
        <w:t xml:space="preserve">-opslag bij het argument dat het niet rechtvaardig is als de bewoners van Barendrecht opdraaien voor het belang van de samenleving als geheel (Van </w:t>
      </w:r>
      <w:proofErr w:type="spellStart"/>
      <w:r w:rsidRPr="00371492">
        <w:rPr>
          <w:rFonts w:ascii="Corbel" w:hAnsi="Corbel" w:cs="Times"/>
          <w:color w:val="000000" w:themeColor="text1"/>
          <w:sz w:val="20"/>
          <w:szCs w:val="22"/>
          <w:lang w:eastAsia="en-US"/>
        </w:rPr>
        <w:t>Eeten</w:t>
      </w:r>
      <w:proofErr w:type="spellEnd"/>
      <w:r w:rsidRPr="00371492">
        <w:rPr>
          <w:rFonts w:ascii="Corbel" w:hAnsi="Corbel" w:cs="Times"/>
          <w:color w:val="000000" w:themeColor="text1"/>
          <w:sz w:val="20"/>
          <w:szCs w:val="22"/>
          <w:lang w:eastAsia="en-US"/>
        </w:rPr>
        <w:t>, 2012).</w:t>
      </w:r>
      <w:r w:rsidR="006C74E3" w:rsidRPr="00371492">
        <w:rPr>
          <w:rFonts w:ascii="Corbel" w:hAnsi="Corbel" w:cs="Times"/>
          <w:i/>
          <w:color w:val="000000" w:themeColor="text1"/>
          <w:sz w:val="20"/>
          <w:szCs w:val="22"/>
          <w:lang w:eastAsia="en-US"/>
        </w:rPr>
        <w:t xml:space="preserve"> </w:t>
      </w:r>
    </w:p>
    <w:p w14:paraId="6ECA41C4" w14:textId="05590383" w:rsidR="00F2603E" w:rsidRPr="00371492" w:rsidRDefault="00F2603E" w:rsidP="00F2603E">
      <w:pPr>
        <w:widowControl w:val="0"/>
        <w:autoSpaceDE w:val="0"/>
        <w:autoSpaceDN w:val="0"/>
        <w:adjustRightInd w:val="0"/>
        <w:spacing w:after="240" w:line="360" w:lineRule="auto"/>
        <w:ind w:firstLine="360"/>
        <w:contextualSpacing/>
        <w:jc w:val="both"/>
        <w:rPr>
          <w:rFonts w:ascii="Corbel" w:eastAsia="Tahoma" w:hAnsi="Corbel" w:cs="Tahoma"/>
          <w:sz w:val="20"/>
          <w:szCs w:val="22"/>
        </w:rPr>
      </w:pPr>
      <w:r w:rsidRPr="00371492">
        <w:rPr>
          <w:rFonts w:ascii="Corbel" w:eastAsia="Tahoma" w:hAnsi="Corbel" w:cs="Tahoma"/>
          <w:sz w:val="20"/>
          <w:szCs w:val="22"/>
        </w:rPr>
        <w:t xml:space="preserve">Maar ook de persoon die handelt is belangrijk. Om hier aandacht aan te geven, wordt in het volgende deel de deugdethiek besproken. De naam zegt het al: de deugd staat voorop. Een deugd is dispositie om op een </w:t>
      </w:r>
      <w:r w:rsidRPr="00371492">
        <w:rPr>
          <w:rFonts w:ascii="Corbel" w:eastAsia="Tahoma" w:hAnsi="Corbel" w:cs="Tahoma"/>
          <w:sz w:val="20"/>
          <w:szCs w:val="22"/>
        </w:rPr>
        <w:lastRenderedPageBreak/>
        <w:t>bepaalde manier te handelen en te reageren op stimuli. Het motief van een handeling is direct verbonden met de handeling. De deugd is dat niet, die is via de persoon verbonden aan de handeling.</w:t>
      </w:r>
      <w:r w:rsidR="006C74E3" w:rsidRPr="00371492">
        <w:rPr>
          <w:rFonts w:ascii="Corbel" w:eastAsia="Tahoma" w:hAnsi="Corbel" w:cs="Tahoma"/>
          <w:sz w:val="20"/>
          <w:szCs w:val="22"/>
        </w:rPr>
        <w:t xml:space="preserve"> </w:t>
      </w:r>
      <w:r w:rsidRPr="00371492">
        <w:rPr>
          <w:rFonts w:ascii="Corbel" w:eastAsia="Tahoma" w:hAnsi="Corbel" w:cs="Tahoma"/>
          <w:sz w:val="20"/>
          <w:szCs w:val="22"/>
        </w:rPr>
        <w:t xml:space="preserve">Of anders gezegd: de toezichthouder moet deugdzaam handelen bij het verdelen van risico’s. Wanneer een risico het gevolg is van ‘opzet, nalatigheid of dat het zich heeft voorgedaan ondanks verantwoord gedrag’ speelt volgens </w:t>
      </w:r>
      <w:proofErr w:type="spellStart"/>
      <w:r w:rsidRPr="00371492">
        <w:rPr>
          <w:rFonts w:ascii="Corbel" w:eastAsia="Tahoma" w:hAnsi="Corbel" w:cs="Tahoma"/>
          <w:sz w:val="20"/>
          <w:szCs w:val="22"/>
        </w:rPr>
        <w:t>Roeser</w:t>
      </w:r>
      <w:proofErr w:type="spellEnd"/>
      <w:r w:rsidRPr="00371492">
        <w:rPr>
          <w:rFonts w:ascii="Corbel" w:eastAsia="Tahoma" w:hAnsi="Corbel" w:cs="Tahoma"/>
          <w:sz w:val="20"/>
          <w:szCs w:val="22"/>
        </w:rPr>
        <w:t xml:space="preserve"> (201</w:t>
      </w:r>
      <w:r w:rsidR="007D504B">
        <w:rPr>
          <w:rFonts w:ascii="Corbel" w:eastAsia="Tahoma" w:hAnsi="Corbel" w:cs="Tahoma"/>
          <w:sz w:val="20"/>
          <w:szCs w:val="22"/>
        </w:rPr>
        <w:t>3</w:t>
      </w:r>
      <w:r w:rsidRPr="00371492">
        <w:rPr>
          <w:rFonts w:ascii="Corbel" w:eastAsia="Tahoma" w:hAnsi="Corbel" w:cs="Tahoma"/>
          <w:sz w:val="20"/>
          <w:szCs w:val="22"/>
        </w:rPr>
        <w:t xml:space="preserve">, p. 7) een minstens zo belangrijke rol. Wat dit betekent laat de praktische toepassing van de deugdethiek ons zien. </w:t>
      </w:r>
    </w:p>
    <w:p w14:paraId="6049FE94" w14:textId="295D57F9" w:rsidR="00F2603E" w:rsidRPr="00371492" w:rsidRDefault="00F2603E" w:rsidP="00510131">
      <w:pPr>
        <w:pStyle w:val="Stijl2"/>
        <w:numPr>
          <w:ilvl w:val="1"/>
          <w:numId w:val="5"/>
        </w:numPr>
      </w:pPr>
      <w:bookmarkStart w:id="32" w:name="_Toc485990872"/>
      <w:r w:rsidRPr="00371492">
        <w:t>Toepassing deugdethiek: kwaliteit</w:t>
      </w:r>
      <w:bookmarkEnd w:id="32"/>
      <w:r w:rsidRPr="00371492">
        <w:t xml:space="preserve"> </w:t>
      </w:r>
    </w:p>
    <w:p w14:paraId="11B84FB5" w14:textId="6B4C43F0" w:rsidR="00F2603E" w:rsidRPr="00371492" w:rsidRDefault="00F2603E" w:rsidP="00F2603E">
      <w:pPr>
        <w:spacing w:line="360" w:lineRule="auto"/>
        <w:jc w:val="both"/>
        <w:rPr>
          <w:rFonts w:ascii="Corbel" w:eastAsia="Garamond" w:hAnsi="Corbel" w:cs="Tahoma"/>
          <w:sz w:val="20"/>
          <w:szCs w:val="22"/>
        </w:rPr>
      </w:pPr>
      <w:r w:rsidRPr="00371492">
        <w:rPr>
          <w:rFonts w:ascii="Corbel" w:eastAsia="Garamond" w:hAnsi="Corbel" w:cs="Tahoma"/>
          <w:sz w:val="20"/>
          <w:szCs w:val="22"/>
        </w:rPr>
        <w:t xml:space="preserve">Ten slotte is in het vorige hoofdstuk de deugdethiek besproken. Waar het utilisme en de deontologie zich richten op de handeling (respectievelijk op de uitkomst ervan en de onderliggende principes), richt deze ethische stroming zich op de actor die handelt in de concrete praktijk. Overeenkomstig het utilisme kijkt de deugdethiek naar de gevolgen, maar maakt hier een kwalitatieve beoordeling van. De gevolgen voor de ‘praktijk’ staan centraal. De deugdethiek hanteert hierdoor een insider perspectief, aangezien betrokkenheid bij de praktijk essentieel is. </w:t>
      </w:r>
      <w:r w:rsidR="00C108C6">
        <w:rPr>
          <w:rFonts w:ascii="Corbel" w:eastAsia="Garamond" w:hAnsi="Corbel" w:cs="Tahoma"/>
          <w:sz w:val="20"/>
          <w:szCs w:val="22"/>
        </w:rPr>
        <w:t>Wat deze praktijken precies zijn wordt later in deze paragraaf behandeld. Voor nu is het van belang dat de</w:t>
      </w:r>
      <w:r w:rsidRPr="00371492">
        <w:rPr>
          <w:rFonts w:ascii="Corbel" w:eastAsia="Garamond" w:hAnsi="Corbel" w:cs="Tahoma"/>
          <w:sz w:val="20"/>
          <w:szCs w:val="22"/>
        </w:rPr>
        <w:t xml:space="preserve"> focus van de deugdethiek niet</w:t>
      </w:r>
      <w:r w:rsidR="00C108C6">
        <w:rPr>
          <w:rFonts w:ascii="Corbel" w:eastAsia="Garamond" w:hAnsi="Corbel" w:cs="Tahoma"/>
          <w:sz w:val="20"/>
          <w:szCs w:val="22"/>
        </w:rPr>
        <w:t xml:space="preserve"> op een noemer terug te brengen. De ene waardering is niet te vergelijken met de andere, i.e. deze is incommensurabel (gemeenschappelijke meetlat ontbreekt). </w:t>
      </w:r>
      <w:r w:rsidRPr="00371492">
        <w:rPr>
          <w:rFonts w:ascii="Corbel" w:eastAsia="Garamond" w:hAnsi="Corbel" w:cs="Tahoma"/>
          <w:sz w:val="20"/>
          <w:szCs w:val="22"/>
        </w:rPr>
        <w:t>Op dit punt zijn dus scherpe onderscheiden aan te brengen tussen de drie theorieën. De benadering die volgt uit de deugdethiek richt zich enerzijds op de actoren: hebben bepaalde mensen deugden in voldoende mate? Anderzijds ligt de nadruk meer op het proces en probeer je te participeren: wordt de kwaliteit g</w:t>
      </w:r>
      <w:r w:rsidR="00C26B4D">
        <w:rPr>
          <w:rFonts w:ascii="Corbel" w:eastAsia="Garamond" w:hAnsi="Corbel" w:cs="Tahoma"/>
          <w:sz w:val="20"/>
          <w:szCs w:val="22"/>
        </w:rPr>
        <w:t>ehaald in de concrete praktijk?</w:t>
      </w:r>
    </w:p>
    <w:p w14:paraId="66D6815B" w14:textId="77777777" w:rsidR="00F2603E" w:rsidRPr="00371492" w:rsidRDefault="00F2603E" w:rsidP="00F2603E">
      <w:pPr>
        <w:spacing w:line="360" w:lineRule="auto"/>
        <w:ind w:firstLine="708"/>
        <w:jc w:val="both"/>
        <w:rPr>
          <w:rFonts w:ascii="Corbel" w:eastAsia="Garamond" w:hAnsi="Corbel" w:cs="Tahoma"/>
          <w:sz w:val="20"/>
          <w:szCs w:val="22"/>
        </w:rPr>
      </w:pPr>
      <w:r w:rsidRPr="00371492">
        <w:rPr>
          <w:rFonts w:ascii="Corbel" w:eastAsia="Garamond" w:hAnsi="Corbel" w:cs="Tahoma"/>
          <w:sz w:val="20"/>
          <w:szCs w:val="22"/>
        </w:rPr>
        <w:t xml:space="preserve">Centraal staat de opvatting van het deugdzame leven waarin </w:t>
      </w:r>
      <w:r w:rsidRPr="00C26B4D">
        <w:rPr>
          <w:rFonts w:ascii="Corbel" w:eastAsia="Garamond" w:hAnsi="Corbel" w:cs="Tahoma"/>
          <w:i/>
          <w:sz w:val="20"/>
          <w:szCs w:val="22"/>
        </w:rPr>
        <w:t>voortreffelijkheid</w:t>
      </w:r>
      <w:r w:rsidRPr="00371492">
        <w:rPr>
          <w:rFonts w:ascii="Corbel" w:eastAsia="Garamond" w:hAnsi="Corbel" w:cs="Tahoma"/>
          <w:sz w:val="20"/>
          <w:szCs w:val="22"/>
        </w:rPr>
        <w:t xml:space="preserve"> een belangrijk begrip is. In de praktijk van het analyseren van risico’s wijst de deugdethiek zich op de houding die men aanneemt ten aanzien van de situatie. Men moet deugdzaam handelen in de context van de situatie.</w:t>
      </w:r>
      <w:r w:rsidRPr="00371492">
        <w:rPr>
          <w:rFonts w:ascii="Corbel" w:eastAsia="Tahoma" w:hAnsi="Corbel" w:cs="Tahoma"/>
          <w:sz w:val="20"/>
          <w:szCs w:val="22"/>
        </w:rPr>
        <w:t xml:space="preserve"> Men spreek hier ook wel van het morele karakter van een persoon. Zoals we gezien hebben in de voorgaande hoofdstukken is bij de analyse van risico’s een hoge mate van onzekerheid gemoeid. Deze onzekerheid lijkt bij een utilistische benadering de beslissende actor te ontdoen van verantwoordelijkheid (</w:t>
      </w:r>
      <w:proofErr w:type="spellStart"/>
      <w:r w:rsidRPr="00371492">
        <w:rPr>
          <w:rFonts w:ascii="Corbel" w:eastAsia="Tahoma" w:hAnsi="Corbel" w:cs="Tahoma"/>
          <w:sz w:val="20"/>
          <w:szCs w:val="22"/>
        </w:rPr>
        <w:t>Athanassoulis</w:t>
      </w:r>
      <w:proofErr w:type="spellEnd"/>
      <w:r w:rsidRPr="00371492">
        <w:rPr>
          <w:rFonts w:ascii="Corbel" w:eastAsia="Tahoma" w:hAnsi="Corbel" w:cs="Tahoma"/>
          <w:sz w:val="20"/>
          <w:szCs w:val="22"/>
        </w:rPr>
        <w:t xml:space="preserve"> &amp; Ross, 2010, p. 217). Het utilisme weet geen antwoord te formuleren voor het verantwoordelijkheidsvraagstuk aangezien het alleen naar gevolgen kijkt. Wanneer deze gevolgen onzeker zijn moet er op een andere manier naar risico’s gekeken worden. De deugdethiek doet dit door te kijken naar de keuze </w:t>
      </w:r>
      <w:r w:rsidRPr="00371492">
        <w:rPr>
          <w:rFonts w:ascii="Corbel" w:eastAsia="Tahoma" w:hAnsi="Corbel" w:cs="Tahoma"/>
          <w:i/>
          <w:sz w:val="20"/>
          <w:szCs w:val="22"/>
        </w:rPr>
        <w:t>an sich</w:t>
      </w:r>
      <w:r w:rsidRPr="00371492">
        <w:rPr>
          <w:rFonts w:ascii="Corbel" w:eastAsia="Tahoma" w:hAnsi="Corbel" w:cs="Tahoma"/>
          <w:sz w:val="20"/>
          <w:szCs w:val="22"/>
        </w:rPr>
        <w:t xml:space="preserve"> om een risico te nemen, niet naar de gevolgen die dat risico eventueel in gang zou kunnen zetten (</w:t>
      </w:r>
      <w:proofErr w:type="spellStart"/>
      <w:r w:rsidRPr="00371492">
        <w:rPr>
          <w:rFonts w:ascii="Corbel" w:eastAsia="Tahoma" w:hAnsi="Corbel" w:cs="Tahoma"/>
          <w:sz w:val="20"/>
          <w:szCs w:val="22"/>
        </w:rPr>
        <w:t>Athanassoulis</w:t>
      </w:r>
      <w:proofErr w:type="spellEnd"/>
      <w:r w:rsidRPr="00371492">
        <w:rPr>
          <w:rFonts w:ascii="Corbel" w:eastAsia="Tahoma" w:hAnsi="Corbel" w:cs="Tahoma"/>
          <w:sz w:val="20"/>
          <w:szCs w:val="22"/>
        </w:rPr>
        <w:t xml:space="preserve"> &amp; Ross, 2010, p. 217). </w:t>
      </w:r>
    </w:p>
    <w:p w14:paraId="01A1BC89" w14:textId="77777777" w:rsidR="00C26B4D" w:rsidRDefault="00F2603E" w:rsidP="00F2603E">
      <w:pPr>
        <w:spacing w:line="360" w:lineRule="auto"/>
        <w:jc w:val="both"/>
        <w:rPr>
          <w:rFonts w:ascii="Corbel" w:eastAsia="Tahoma" w:hAnsi="Corbel" w:cs="Tahoma"/>
          <w:sz w:val="20"/>
          <w:szCs w:val="22"/>
        </w:rPr>
      </w:pPr>
      <w:r w:rsidRPr="00371492">
        <w:rPr>
          <w:rFonts w:ascii="Corbel" w:eastAsia="Tahoma" w:hAnsi="Corbel" w:cs="Tahoma"/>
          <w:sz w:val="20"/>
          <w:szCs w:val="22"/>
        </w:rPr>
        <w:tab/>
        <w:t xml:space="preserve">Voor de praktijk van risicoanalysering betekent dit dat er bepaalde deugden gerespecteerd moeten worden. In deze zin klinkt de deugdethiek een beetje zoals de deontologie, maar er is een belangrijk verschil. De deugdethiek richt zich op de handelende actor, waar de deontologie zich richt op de principes die aan een handeling ten grondslag liggen. Het is </w:t>
      </w:r>
      <w:r w:rsidR="00C26B4D">
        <w:rPr>
          <w:rFonts w:ascii="Corbel" w:eastAsia="Tahoma" w:hAnsi="Corbel" w:cs="Tahoma"/>
          <w:sz w:val="20"/>
          <w:szCs w:val="22"/>
        </w:rPr>
        <w:t xml:space="preserve">het streven </w:t>
      </w:r>
      <w:r w:rsidRPr="00371492">
        <w:rPr>
          <w:rFonts w:ascii="Corbel" w:eastAsia="Tahoma" w:hAnsi="Corbel" w:cs="Tahoma"/>
          <w:sz w:val="20"/>
          <w:szCs w:val="22"/>
        </w:rPr>
        <w:t>van IBRA om tot een eerlijke en te verdedigen verdeling van toezichtscapaciteit te komen. Men kijkt naar de karakters die handelen en beoordeelt de beslissing op deugdzaamheid. Hierbij is de notie van praktische wijsheid van belang: binnen een bepaalde context</w:t>
      </w:r>
      <w:r w:rsidR="006C74E3" w:rsidRPr="00371492">
        <w:rPr>
          <w:rFonts w:ascii="Corbel" w:eastAsia="Tahoma" w:hAnsi="Corbel" w:cs="Tahoma"/>
          <w:sz w:val="20"/>
          <w:szCs w:val="22"/>
        </w:rPr>
        <w:t xml:space="preserve"> </w:t>
      </w:r>
      <w:r w:rsidRPr="00371492">
        <w:rPr>
          <w:rFonts w:ascii="Corbel" w:eastAsia="Tahoma" w:hAnsi="Corbel" w:cs="Tahoma"/>
          <w:sz w:val="20"/>
          <w:szCs w:val="22"/>
        </w:rPr>
        <w:t xml:space="preserve">deugdzaam handelen. </w:t>
      </w:r>
    </w:p>
    <w:p w14:paraId="42819D4E" w14:textId="34CA757D" w:rsidR="00F2603E" w:rsidRPr="00C26B4D" w:rsidRDefault="00C26B4D" w:rsidP="00C26B4D">
      <w:pPr>
        <w:spacing w:line="360" w:lineRule="auto"/>
        <w:ind w:firstLine="709"/>
        <w:jc w:val="both"/>
        <w:rPr>
          <w:rFonts w:ascii="Corbel" w:eastAsia="Tahoma" w:hAnsi="Corbel" w:cs="Tahoma"/>
          <w:sz w:val="20"/>
          <w:szCs w:val="22"/>
        </w:rPr>
      </w:pPr>
      <w:r>
        <w:rPr>
          <w:rFonts w:ascii="Corbel" w:eastAsia="Tahoma" w:hAnsi="Corbel" w:cs="Tahoma"/>
          <w:sz w:val="20"/>
          <w:szCs w:val="22"/>
        </w:rPr>
        <w:lastRenderedPageBreak/>
        <w:t xml:space="preserve">Dit deugdzaam handelen vindt plaats binnen concrete ‘praktijken’. </w:t>
      </w:r>
      <w:r w:rsidR="00F2603E" w:rsidRPr="00371492">
        <w:rPr>
          <w:rFonts w:ascii="Corbel" w:eastAsia="Tahoma" w:hAnsi="Corbel" w:cs="Tahoma"/>
          <w:color w:val="000000" w:themeColor="text1"/>
          <w:sz w:val="20"/>
          <w:szCs w:val="22"/>
        </w:rPr>
        <w:t xml:space="preserve">De meest relevante uitwerking van de deugdethiek is de bijdrage van </w:t>
      </w:r>
      <w:proofErr w:type="spellStart"/>
      <w:r w:rsidR="00F2603E" w:rsidRPr="00371492">
        <w:rPr>
          <w:rFonts w:ascii="Corbel" w:eastAsia="Tahoma" w:hAnsi="Corbel" w:cs="Tahoma"/>
          <w:color w:val="000000" w:themeColor="text1"/>
          <w:sz w:val="20"/>
          <w:szCs w:val="22"/>
        </w:rPr>
        <w:t>MacIntyre</w:t>
      </w:r>
      <w:proofErr w:type="spellEnd"/>
      <w:r w:rsidR="00F2603E" w:rsidRPr="00371492">
        <w:rPr>
          <w:rFonts w:ascii="Corbel" w:eastAsia="Tahoma" w:hAnsi="Corbel" w:cs="Tahoma"/>
          <w:color w:val="000000" w:themeColor="text1"/>
          <w:sz w:val="20"/>
          <w:szCs w:val="22"/>
        </w:rPr>
        <w:t xml:space="preserve"> over ‘praktijken’ en het daarbij horende onderscheid tussen interne en externe goederen. </w:t>
      </w:r>
      <w:proofErr w:type="spellStart"/>
      <w:r w:rsidR="00F2603E" w:rsidRPr="00371492">
        <w:rPr>
          <w:rFonts w:ascii="Corbel" w:eastAsia="Tahoma" w:hAnsi="Corbel" w:cs="Tahoma"/>
          <w:color w:val="000000" w:themeColor="text1"/>
          <w:sz w:val="20"/>
          <w:szCs w:val="22"/>
        </w:rPr>
        <w:t>MacIntyre</w:t>
      </w:r>
      <w:proofErr w:type="spellEnd"/>
      <w:r w:rsidR="00F2603E" w:rsidRPr="00371492">
        <w:rPr>
          <w:rFonts w:ascii="Corbel" w:eastAsia="Tahoma" w:hAnsi="Corbel" w:cs="Tahoma"/>
          <w:color w:val="000000" w:themeColor="text1"/>
          <w:sz w:val="20"/>
          <w:szCs w:val="22"/>
        </w:rPr>
        <w:t xml:space="preserve"> stelt dat het de praktijken zijn die deugden vormen. Door deel te nemen aan concrete praktijken worden deugden als rechtvaardigheid, moed en betrouwbaarheid ontwikkelt (Knight, 1998, p. 11). De kwetsbaar</w:t>
      </w:r>
      <w:r w:rsidR="00563ED3" w:rsidRPr="00371492">
        <w:rPr>
          <w:rFonts w:ascii="Corbel" w:eastAsia="Tahoma" w:hAnsi="Corbel" w:cs="Tahoma"/>
          <w:color w:val="000000" w:themeColor="text1"/>
          <w:sz w:val="20"/>
          <w:szCs w:val="22"/>
        </w:rPr>
        <w:t>heden die de deugdethiek wil be</w:t>
      </w:r>
      <w:r w:rsidR="00F2603E" w:rsidRPr="00371492">
        <w:rPr>
          <w:rFonts w:ascii="Corbel" w:eastAsia="Tahoma" w:hAnsi="Corbel" w:cs="Tahoma"/>
          <w:color w:val="000000" w:themeColor="text1"/>
          <w:sz w:val="20"/>
          <w:szCs w:val="22"/>
        </w:rPr>
        <w:t>schermen zijn deze ‘praktijken’. Door onvoldoende toewijding aan de praktijk (bijvoorbeeld door het nastreven van eigenbelang), het afgenomen vertrouwen in de medemens of door het algemeen verdwijnen van de deugdzaamheid kan de praktijk stuk gaan of anders gezegd schade oplopen. Dit ziet men terug door een afbreuk aan vertrouwen in politiek en instituties, of een vermindering van de kwaliteit van de gezondheidszorg in zijn geheel en schade aan het klimaat bijvoorbeeld. Bij de bespreking van de deugdethiek zagen we dat in de praktijk interne en externe goederen tot realisatie komen. Interne goederen zijn intrinsiek waardevolle activiteiten en geven invulling aan het goede leven en handelen. Externe goederen staan los van deze activiteiten, maar worden verkregen door middel van de activiteit zoals macht en geld. Het gremium dat past bij een oordeel op basis van de logica van de deugdethiek heeft het kenmerk dat de mensen de praktijk kennen en kunnen beoordelen. Met andere woorden, het zijn oordeelkundigen (bijvoorbeeld een ethische commissie).</w:t>
      </w:r>
    </w:p>
    <w:p w14:paraId="017C9594" w14:textId="77777777" w:rsidR="00F2603E" w:rsidRPr="00371492" w:rsidRDefault="00F2603E" w:rsidP="00F2603E">
      <w:pPr>
        <w:spacing w:line="360" w:lineRule="auto"/>
        <w:jc w:val="both"/>
        <w:rPr>
          <w:rFonts w:ascii="Corbel" w:eastAsia="Tahoma" w:hAnsi="Corbel" w:cs="Tahoma"/>
          <w:color w:val="000000" w:themeColor="text1"/>
          <w:sz w:val="20"/>
          <w:szCs w:val="22"/>
        </w:rPr>
      </w:pPr>
    </w:p>
    <w:p w14:paraId="2382F2E2" w14:textId="77777777" w:rsidR="00F2603E" w:rsidRPr="00371492" w:rsidRDefault="00F2603E" w:rsidP="00F2603E">
      <w:pPr>
        <w:pStyle w:val="Bijschrift"/>
        <w:keepNext/>
        <w:rPr>
          <w:rFonts w:ascii="Corbel" w:hAnsi="Corbel"/>
          <w:sz w:val="16"/>
        </w:rPr>
      </w:pPr>
      <w:r w:rsidRPr="00371492">
        <w:rPr>
          <w:rFonts w:ascii="Corbel" w:hAnsi="Corbel"/>
          <w:sz w:val="16"/>
        </w:rPr>
        <w:t xml:space="preserve">Tabel </w:t>
      </w:r>
      <w:r w:rsidR="00A61297" w:rsidRPr="00371492">
        <w:rPr>
          <w:rFonts w:ascii="Corbel" w:hAnsi="Corbel"/>
          <w:sz w:val="16"/>
        </w:rPr>
        <w:fldChar w:fldCharType="begin"/>
      </w:r>
      <w:r w:rsidRPr="00371492">
        <w:rPr>
          <w:rFonts w:ascii="Corbel" w:hAnsi="Corbel"/>
          <w:sz w:val="16"/>
        </w:rPr>
        <w:instrText xml:space="preserve"> SEQ Tabel \* ARABIC </w:instrText>
      </w:r>
      <w:r w:rsidR="00A61297" w:rsidRPr="00371492">
        <w:rPr>
          <w:rFonts w:ascii="Corbel" w:hAnsi="Corbel"/>
          <w:sz w:val="16"/>
        </w:rPr>
        <w:fldChar w:fldCharType="separate"/>
      </w:r>
      <w:r w:rsidR="00BA122C">
        <w:rPr>
          <w:rFonts w:ascii="Corbel" w:hAnsi="Corbel"/>
          <w:noProof/>
          <w:sz w:val="16"/>
        </w:rPr>
        <w:t>4</w:t>
      </w:r>
      <w:r w:rsidR="00A61297" w:rsidRPr="00371492">
        <w:rPr>
          <w:rFonts w:ascii="Corbel" w:hAnsi="Corbel"/>
          <w:sz w:val="16"/>
        </w:rPr>
        <w:fldChar w:fldCharType="end"/>
      </w:r>
      <w:r w:rsidRPr="00371492">
        <w:rPr>
          <w:rFonts w:ascii="Corbel" w:hAnsi="Corbel"/>
          <w:sz w:val="16"/>
        </w:rPr>
        <w:t xml:space="preserve"> - toepassing deugdethiek op praktijk risicoanalyse</w:t>
      </w:r>
    </w:p>
    <w:tbl>
      <w:tblPr>
        <w:tblStyle w:val="Tabelraster"/>
        <w:tblW w:w="9209" w:type="dxa"/>
        <w:tblLook w:val="04A0" w:firstRow="1" w:lastRow="0" w:firstColumn="1" w:lastColumn="0" w:noHBand="0" w:noVBand="1"/>
      </w:tblPr>
      <w:tblGrid>
        <w:gridCol w:w="2141"/>
        <w:gridCol w:w="7068"/>
      </w:tblGrid>
      <w:tr w:rsidR="00F2603E" w:rsidRPr="00371492" w14:paraId="0033B96F" w14:textId="77777777" w:rsidTr="00E97355">
        <w:tc>
          <w:tcPr>
            <w:tcW w:w="2141" w:type="dxa"/>
          </w:tcPr>
          <w:p w14:paraId="71AC90B5" w14:textId="77777777" w:rsidR="00F2603E" w:rsidRPr="00371492" w:rsidRDefault="00F2603E" w:rsidP="00E97355">
            <w:pPr>
              <w:spacing w:line="360" w:lineRule="auto"/>
              <w:jc w:val="both"/>
              <w:rPr>
                <w:rFonts w:ascii="Corbel" w:eastAsia="Tahoma" w:hAnsi="Corbel" w:cs="Tahoma"/>
                <w:sz w:val="20"/>
              </w:rPr>
            </w:pPr>
            <w:r w:rsidRPr="00371492">
              <w:rPr>
                <w:rFonts w:ascii="Corbel" w:eastAsia="Tahoma" w:hAnsi="Corbel" w:cs="Tahoma"/>
                <w:i/>
                <w:sz w:val="20"/>
              </w:rPr>
              <w:t>Logica</w:t>
            </w:r>
          </w:p>
        </w:tc>
        <w:tc>
          <w:tcPr>
            <w:tcW w:w="7068" w:type="dxa"/>
          </w:tcPr>
          <w:p w14:paraId="04385579" w14:textId="474A2C7F" w:rsidR="00F2603E" w:rsidRPr="00371492" w:rsidRDefault="00F2603E" w:rsidP="00E97355">
            <w:p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Deugdzaam</w:t>
            </w:r>
            <w:r w:rsidR="00C26B4D">
              <w:rPr>
                <w:rFonts w:ascii="Corbel" w:eastAsia="Tahoma" w:hAnsi="Corbel" w:cs="Tahoma"/>
                <w:color w:val="000000" w:themeColor="text1"/>
                <w:sz w:val="20"/>
              </w:rPr>
              <w:t>/voortreffelijk</w:t>
            </w:r>
            <w:r w:rsidRPr="00371492">
              <w:rPr>
                <w:rFonts w:ascii="Corbel" w:eastAsia="Tahoma" w:hAnsi="Corbel" w:cs="Tahoma"/>
                <w:color w:val="000000" w:themeColor="text1"/>
                <w:sz w:val="20"/>
              </w:rPr>
              <w:t xml:space="preserve"> handelen binnen een </w:t>
            </w:r>
            <w:r w:rsidRPr="00371492">
              <w:rPr>
                <w:rFonts w:ascii="Corbel" w:eastAsia="Tahoma" w:hAnsi="Corbel" w:cs="Tahoma"/>
                <w:b/>
                <w:color w:val="000000" w:themeColor="text1"/>
                <w:sz w:val="20"/>
              </w:rPr>
              <w:t>concrete</w:t>
            </w:r>
            <w:r w:rsidRPr="00371492">
              <w:rPr>
                <w:rFonts w:ascii="Corbel" w:eastAsia="Tahoma" w:hAnsi="Corbel" w:cs="Tahoma"/>
                <w:color w:val="000000" w:themeColor="text1"/>
                <w:sz w:val="20"/>
              </w:rPr>
              <w:t xml:space="preserve"> praktijk. </w:t>
            </w:r>
            <w:r w:rsidRPr="00371492">
              <w:rPr>
                <w:rFonts w:ascii="Corbel" w:eastAsia="Tahoma" w:hAnsi="Corbel" w:cs="Tahoma"/>
                <w:b/>
                <w:color w:val="000000" w:themeColor="text1"/>
                <w:sz w:val="20"/>
              </w:rPr>
              <w:t>Gevolgen</w:t>
            </w:r>
            <w:r w:rsidRPr="00371492">
              <w:rPr>
                <w:rFonts w:ascii="Corbel" w:eastAsia="Tahoma" w:hAnsi="Corbel" w:cs="Tahoma"/>
                <w:color w:val="000000" w:themeColor="text1"/>
                <w:sz w:val="20"/>
              </w:rPr>
              <w:t xml:space="preserve"> (</w:t>
            </w:r>
            <w:r w:rsidRPr="00371492">
              <w:rPr>
                <w:rFonts w:ascii="Corbel" w:eastAsia="Tahoma" w:hAnsi="Corbel" w:cs="Tahoma"/>
                <w:b/>
                <w:color w:val="000000" w:themeColor="text1"/>
                <w:sz w:val="20"/>
              </w:rPr>
              <w:t>kwaliteit</w:t>
            </w:r>
            <w:r w:rsidRPr="00371492">
              <w:rPr>
                <w:rFonts w:ascii="Corbel" w:eastAsia="Tahoma" w:hAnsi="Corbel" w:cs="Tahoma"/>
                <w:color w:val="000000" w:themeColor="text1"/>
                <w:sz w:val="20"/>
              </w:rPr>
              <w:t xml:space="preserve">) (vgl. Utilisme) voor de praktijk: </w:t>
            </w:r>
            <w:r w:rsidRPr="00371492">
              <w:rPr>
                <w:rFonts w:ascii="Corbel" w:eastAsia="Tahoma" w:hAnsi="Corbel" w:cs="Tahoma"/>
                <w:b/>
                <w:color w:val="000000" w:themeColor="text1"/>
                <w:sz w:val="20"/>
              </w:rPr>
              <w:t>betrokkenheid</w:t>
            </w:r>
            <w:r w:rsidRPr="00371492">
              <w:rPr>
                <w:rFonts w:ascii="Corbel" w:eastAsia="Tahoma" w:hAnsi="Corbel" w:cs="Tahoma"/>
                <w:color w:val="000000" w:themeColor="text1"/>
                <w:sz w:val="20"/>
              </w:rPr>
              <w:t xml:space="preserve"> is essentieel voor waardering. </w:t>
            </w:r>
          </w:p>
        </w:tc>
      </w:tr>
      <w:tr w:rsidR="00F2603E" w:rsidRPr="00371492" w14:paraId="53201A44" w14:textId="77777777" w:rsidTr="00E97355">
        <w:tc>
          <w:tcPr>
            <w:tcW w:w="2141" w:type="dxa"/>
          </w:tcPr>
          <w:p w14:paraId="5B5D8CD2" w14:textId="77777777" w:rsidR="00F2603E" w:rsidRPr="00371492" w:rsidRDefault="00F2603E" w:rsidP="00E97355">
            <w:pPr>
              <w:spacing w:line="360" w:lineRule="auto"/>
              <w:jc w:val="both"/>
              <w:rPr>
                <w:rFonts w:ascii="Corbel" w:eastAsia="Tahoma" w:hAnsi="Corbel" w:cs="Tahoma"/>
                <w:sz w:val="20"/>
              </w:rPr>
            </w:pPr>
            <w:r w:rsidRPr="00371492">
              <w:rPr>
                <w:rFonts w:ascii="Corbel" w:eastAsia="Tahoma" w:hAnsi="Corbel" w:cs="Tahoma"/>
                <w:i/>
                <w:sz w:val="20"/>
              </w:rPr>
              <w:t>Focus (waar kijkt de theorie naar?)</w:t>
            </w:r>
          </w:p>
        </w:tc>
        <w:tc>
          <w:tcPr>
            <w:tcW w:w="7068" w:type="dxa"/>
          </w:tcPr>
          <w:p w14:paraId="2EF048A8" w14:textId="77777777" w:rsidR="00F2603E" w:rsidRPr="00371492" w:rsidRDefault="00F2603E" w:rsidP="00E97355">
            <w:p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 xml:space="preserve">Kwaliteit is expliciet niet terug te brengen onder een noemer (vgl. Utilisme en deontologie). De waardering is </w:t>
            </w:r>
            <w:r w:rsidRPr="00371492">
              <w:rPr>
                <w:rFonts w:ascii="Corbel" w:eastAsia="Tahoma" w:hAnsi="Corbel" w:cs="Tahoma"/>
                <w:b/>
                <w:color w:val="000000" w:themeColor="text1"/>
                <w:sz w:val="20"/>
              </w:rPr>
              <w:t>incommensurabel</w:t>
            </w:r>
            <w:r w:rsidRPr="00371492">
              <w:rPr>
                <w:rFonts w:ascii="Corbel" w:eastAsia="Tahoma" w:hAnsi="Corbel" w:cs="Tahoma"/>
                <w:color w:val="000000" w:themeColor="text1"/>
                <w:sz w:val="20"/>
              </w:rPr>
              <w:t xml:space="preserve"> (gemeenschappelijke meetlat is afwezig). </w:t>
            </w:r>
          </w:p>
        </w:tc>
      </w:tr>
      <w:tr w:rsidR="00F2603E" w:rsidRPr="00371492" w14:paraId="253F3632" w14:textId="77777777" w:rsidTr="00E97355">
        <w:tc>
          <w:tcPr>
            <w:tcW w:w="2141" w:type="dxa"/>
          </w:tcPr>
          <w:p w14:paraId="119C7640" w14:textId="77777777" w:rsidR="00F2603E" w:rsidRPr="00371492" w:rsidRDefault="00F2603E" w:rsidP="00E97355">
            <w:pPr>
              <w:spacing w:line="360" w:lineRule="auto"/>
              <w:jc w:val="both"/>
              <w:rPr>
                <w:rFonts w:ascii="Corbel" w:eastAsia="Tahoma" w:hAnsi="Corbel" w:cs="Tahoma"/>
                <w:sz w:val="20"/>
              </w:rPr>
            </w:pPr>
            <w:r w:rsidRPr="00371492">
              <w:rPr>
                <w:rFonts w:ascii="Corbel" w:eastAsia="Tahoma" w:hAnsi="Corbel" w:cs="Tahoma"/>
                <w:i/>
                <w:sz w:val="20"/>
              </w:rPr>
              <w:t>Benadering (rationaliseringswijze)</w:t>
            </w:r>
          </w:p>
        </w:tc>
        <w:tc>
          <w:tcPr>
            <w:tcW w:w="7068" w:type="dxa"/>
          </w:tcPr>
          <w:p w14:paraId="3A713D08" w14:textId="77777777" w:rsidR="00F2603E" w:rsidRPr="00371492" w:rsidRDefault="00F2603E" w:rsidP="00E97355">
            <w:p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 xml:space="preserve">Hebben bepaalde mensen bepaalde </w:t>
            </w:r>
            <w:r w:rsidRPr="00371492">
              <w:rPr>
                <w:rFonts w:ascii="Corbel" w:eastAsia="Tahoma" w:hAnsi="Corbel" w:cs="Tahoma"/>
                <w:b/>
                <w:color w:val="000000" w:themeColor="text1"/>
                <w:sz w:val="20"/>
              </w:rPr>
              <w:t>deugden</w:t>
            </w:r>
            <w:r w:rsidRPr="00371492">
              <w:rPr>
                <w:rFonts w:ascii="Corbel" w:eastAsia="Tahoma" w:hAnsi="Corbel" w:cs="Tahoma"/>
                <w:color w:val="000000" w:themeColor="text1"/>
                <w:sz w:val="20"/>
              </w:rPr>
              <w:t xml:space="preserve"> in voldoende mate (je kijkt naar </w:t>
            </w:r>
            <w:r w:rsidRPr="00371492">
              <w:rPr>
                <w:rFonts w:ascii="Corbel" w:eastAsia="Tahoma" w:hAnsi="Corbel" w:cs="Tahoma"/>
                <w:b/>
                <w:color w:val="000000" w:themeColor="text1"/>
                <w:sz w:val="20"/>
              </w:rPr>
              <w:t>actoren</w:t>
            </w:r>
            <w:r w:rsidRPr="00371492">
              <w:rPr>
                <w:rFonts w:ascii="Corbel" w:eastAsia="Tahoma" w:hAnsi="Corbel" w:cs="Tahoma"/>
                <w:color w:val="000000" w:themeColor="text1"/>
                <w:sz w:val="20"/>
              </w:rPr>
              <w:t xml:space="preserve">)? Of je probeert te participeren en daarmee te ontdekken of de </w:t>
            </w:r>
            <w:r w:rsidRPr="00371492">
              <w:rPr>
                <w:rFonts w:ascii="Corbel" w:eastAsia="Tahoma" w:hAnsi="Corbel" w:cs="Tahoma"/>
                <w:b/>
                <w:color w:val="000000" w:themeColor="text1"/>
                <w:sz w:val="20"/>
              </w:rPr>
              <w:t>kwaliteit</w:t>
            </w:r>
            <w:r w:rsidRPr="00371492">
              <w:rPr>
                <w:rFonts w:ascii="Corbel" w:eastAsia="Tahoma" w:hAnsi="Corbel" w:cs="Tahoma"/>
                <w:color w:val="000000" w:themeColor="text1"/>
                <w:sz w:val="20"/>
              </w:rPr>
              <w:t xml:space="preserve"> gehaald wordt in de </w:t>
            </w:r>
            <w:r w:rsidRPr="00371492">
              <w:rPr>
                <w:rFonts w:ascii="Corbel" w:eastAsia="Tahoma" w:hAnsi="Corbel" w:cs="Tahoma"/>
                <w:b/>
                <w:color w:val="000000" w:themeColor="text1"/>
                <w:sz w:val="20"/>
              </w:rPr>
              <w:t>praktijk</w:t>
            </w:r>
            <w:r w:rsidRPr="00371492">
              <w:rPr>
                <w:rFonts w:ascii="Corbel" w:eastAsia="Tahoma" w:hAnsi="Corbel" w:cs="Tahoma"/>
                <w:color w:val="000000" w:themeColor="text1"/>
                <w:sz w:val="20"/>
              </w:rPr>
              <w:t xml:space="preserve"> (je kijkt naar het </w:t>
            </w:r>
            <w:r w:rsidRPr="00371492">
              <w:rPr>
                <w:rFonts w:ascii="Corbel" w:eastAsia="Tahoma" w:hAnsi="Corbel" w:cs="Tahoma"/>
                <w:b/>
                <w:color w:val="000000" w:themeColor="text1"/>
                <w:sz w:val="20"/>
              </w:rPr>
              <w:t>proces</w:t>
            </w:r>
            <w:r w:rsidRPr="00371492">
              <w:rPr>
                <w:rFonts w:ascii="Corbel" w:eastAsia="Tahoma" w:hAnsi="Corbel" w:cs="Tahoma"/>
                <w:color w:val="000000" w:themeColor="text1"/>
                <w:sz w:val="20"/>
              </w:rPr>
              <w:t xml:space="preserve">) (een </w:t>
            </w:r>
            <w:r w:rsidRPr="00371492">
              <w:rPr>
                <w:rFonts w:ascii="Corbel" w:eastAsia="Tahoma" w:hAnsi="Corbel" w:cs="Tahoma"/>
                <w:b/>
                <w:color w:val="000000" w:themeColor="text1"/>
                <w:sz w:val="20"/>
              </w:rPr>
              <w:t>insider</w:t>
            </w:r>
            <w:r w:rsidRPr="00371492">
              <w:rPr>
                <w:rFonts w:ascii="Corbel" w:eastAsia="Tahoma" w:hAnsi="Corbel" w:cs="Tahoma"/>
                <w:color w:val="000000" w:themeColor="text1"/>
                <w:sz w:val="20"/>
              </w:rPr>
              <w:t xml:space="preserve"> perspectief).</w:t>
            </w:r>
          </w:p>
        </w:tc>
      </w:tr>
      <w:tr w:rsidR="00F2603E" w:rsidRPr="00371492" w14:paraId="2D61F8D3" w14:textId="77777777" w:rsidTr="00E97355">
        <w:tc>
          <w:tcPr>
            <w:tcW w:w="2141" w:type="dxa"/>
          </w:tcPr>
          <w:p w14:paraId="050EF149" w14:textId="77777777" w:rsidR="00F2603E" w:rsidRPr="00371492" w:rsidRDefault="00F2603E" w:rsidP="00E97355">
            <w:pPr>
              <w:tabs>
                <w:tab w:val="left" w:pos="1166"/>
              </w:tabs>
              <w:spacing w:line="360" w:lineRule="auto"/>
              <w:jc w:val="both"/>
              <w:rPr>
                <w:rFonts w:ascii="Corbel" w:eastAsia="Tahoma" w:hAnsi="Corbel" w:cs="Tahoma"/>
                <w:sz w:val="20"/>
              </w:rPr>
            </w:pPr>
            <w:r w:rsidRPr="00371492">
              <w:rPr>
                <w:rFonts w:ascii="Corbel" w:eastAsia="Tahoma" w:hAnsi="Corbel" w:cs="Tahoma"/>
                <w:i/>
                <w:sz w:val="20"/>
              </w:rPr>
              <w:t>Kwetsbaarheden (wat wil men beschermen?)</w:t>
            </w:r>
          </w:p>
        </w:tc>
        <w:tc>
          <w:tcPr>
            <w:tcW w:w="7068" w:type="dxa"/>
          </w:tcPr>
          <w:p w14:paraId="294B3E2F" w14:textId="77777777" w:rsidR="00F2603E" w:rsidRPr="00371492" w:rsidRDefault="00F2603E" w:rsidP="00E97355">
            <w:pPr>
              <w:spacing w:line="360" w:lineRule="auto"/>
              <w:jc w:val="both"/>
              <w:rPr>
                <w:rFonts w:ascii="Corbel" w:eastAsia="Tahoma" w:hAnsi="Corbel" w:cs="Tahoma"/>
                <w:sz w:val="20"/>
              </w:rPr>
            </w:pPr>
            <w:r w:rsidRPr="00371492">
              <w:rPr>
                <w:rFonts w:ascii="Corbel" w:eastAsia="Tahoma" w:hAnsi="Corbel" w:cs="Tahoma"/>
                <w:sz w:val="20"/>
              </w:rPr>
              <w:t>Praktijken die kapotgaan door:</w:t>
            </w:r>
          </w:p>
          <w:p w14:paraId="469D618C" w14:textId="77777777" w:rsidR="00F2603E" w:rsidRPr="00371492" w:rsidRDefault="00F2603E" w:rsidP="00200C74">
            <w:pPr>
              <w:pStyle w:val="Lijstalinea"/>
              <w:numPr>
                <w:ilvl w:val="0"/>
                <w:numId w:val="7"/>
              </w:numPr>
              <w:spacing w:line="360" w:lineRule="auto"/>
              <w:jc w:val="both"/>
              <w:rPr>
                <w:rFonts w:ascii="Corbel" w:eastAsia="Tahoma" w:hAnsi="Corbel" w:cs="Tahoma"/>
                <w:sz w:val="20"/>
              </w:rPr>
            </w:pPr>
            <w:r w:rsidRPr="00371492">
              <w:rPr>
                <w:rFonts w:ascii="Corbel" w:eastAsia="Tahoma" w:hAnsi="Corbel" w:cs="Tahoma"/>
                <w:sz w:val="20"/>
              </w:rPr>
              <w:t xml:space="preserve"> Onvoldoende </w:t>
            </w:r>
            <w:r w:rsidRPr="00371492">
              <w:rPr>
                <w:rFonts w:ascii="Corbel" w:eastAsia="Tahoma" w:hAnsi="Corbel" w:cs="Tahoma"/>
                <w:b/>
                <w:sz w:val="20"/>
              </w:rPr>
              <w:t>toewijding</w:t>
            </w:r>
            <w:r w:rsidRPr="00371492">
              <w:rPr>
                <w:rFonts w:ascii="Corbel" w:eastAsia="Tahoma" w:hAnsi="Corbel" w:cs="Tahoma"/>
                <w:sz w:val="20"/>
              </w:rPr>
              <w:t xml:space="preserve"> (eigenbelang nastreven)</w:t>
            </w:r>
          </w:p>
          <w:p w14:paraId="1EB414D9" w14:textId="77777777" w:rsidR="00F2603E" w:rsidRPr="00371492" w:rsidRDefault="00F2603E" w:rsidP="00200C74">
            <w:pPr>
              <w:pStyle w:val="Lijstalinea"/>
              <w:numPr>
                <w:ilvl w:val="0"/>
                <w:numId w:val="7"/>
              </w:numPr>
              <w:spacing w:line="360" w:lineRule="auto"/>
              <w:jc w:val="both"/>
              <w:rPr>
                <w:rFonts w:ascii="Corbel" w:eastAsia="Tahoma" w:hAnsi="Corbel" w:cs="Tahoma"/>
                <w:sz w:val="20"/>
              </w:rPr>
            </w:pPr>
            <w:r w:rsidRPr="00371492">
              <w:rPr>
                <w:rFonts w:ascii="Corbel" w:eastAsia="Tahoma" w:hAnsi="Corbel" w:cs="Tahoma"/>
                <w:sz w:val="20"/>
              </w:rPr>
              <w:t xml:space="preserve">Afgenomen </w:t>
            </w:r>
            <w:r w:rsidRPr="00371492">
              <w:rPr>
                <w:rFonts w:ascii="Corbel" w:eastAsia="Tahoma" w:hAnsi="Corbel" w:cs="Tahoma"/>
                <w:b/>
                <w:sz w:val="20"/>
              </w:rPr>
              <w:t>vertrouwen</w:t>
            </w:r>
            <w:r w:rsidRPr="00371492">
              <w:rPr>
                <w:rFonts w:ascii="Corbel" w:eastAsia="Tahoma" w:hAnsi="Corbel" w:cs="Tahoma"/>
                <w:sz w:val="20"/>
              </w:rPr>
              <w:t xml:space="preserve"> in de medemens </w:t>
            </w:r>
          </w:p>
          <w:p w14:paraId="7D908C44" w14:textId="77777777" w:rsidR="00F2603E" w:rsidRPr="00371492" w:rsidRDefault="00F2603E" w:rsidP="00200C74">
            <w:pPr>
              <w:pStyle w:val="Lijstalinea"/>
              <w:numPr>
                <w:ilvl w:val="0"/>
                <w:numId w:val="7"/>
              </w:numPr>
              <w:spacing w:line="360" w:lineRule="auto"/>
              <w:jc w:val="both"/>
              <w:rPr>
                <w:rFonts w:ascii="Corbel" w:eastAsia="Tahoma" w:hAnsi="Corbel" w:cs="Tahoma"/>
                <w:sz w:val="20"/>
              </w:rPr>
            </w:pPr>
            <w:r w:rsidRPr="00371492">
              <w:rPr>
                <w:rFonts w:ascii="Corbel" w:eastAsia="Tahoma" w:hAnsi="Corbel" w:cs="Tahoma"/>
                <w:sz w:val="20"/>
              </w:rPr>
              <w:t xml:space="preserve">Verdwijnen </w:t>
            </w:r>
            <w:r w:rsidRPr="00371492">
              <w:rPr>
                <w:rFonts w:ascii="Corbel" w:eastAsia="Tahoma" w:hAnsi="Corbel" w:cs="Tahoma"/>
                <w:b/>
                <w:sz w:val="20"/>
              </w:rPr>
              <w:t>deugdzaamheid</w:t>
            </w:r>
          </w:p>
        </w:tc>
      </w:tr>
      <w:tr w:rsidR="00F2603E" w:rsidRPr="00371492" w14:paraId="4817E46A" w14:textId="77777777" w:rsidTr="00E97355">
        <w:tc>
          <w:tcPr>
            <w:tcW w:w="2141" w:type="dxa"/>
          </w:tcPr>
          <w:p w14:paraId="229394B1" w14:textId="77777777" w:rsidR="00F2603E" w:rsidRPr="00371492" w:rsidRDefault="00F2603E" w:rsidP="00E97355">
            <w:pPr>
              <w:spacing w:line="360" w:lineRule="auto"/>
              <w:jc w:val="both"/>
              <w:rPr>
                <w:rFonts w:ascii="Corbel" w:eastAsia="Tahoma" w:hAnsi="Corbel" w:cs="Tahoma"/>
                <w:sz w:val="20"/>
              </w:rPr>
            </w:pPr>
            <w:r w:rsidRPr="00371492">
              <w:rPr>
                <w:rFonts w:ascii="Corbel" w:eastAsia="Tahoma" w:hAnsi="Corbel" w:cs="Tahoma"/>
                <w:i/>
                <w:sz w:val="20"/>
              </w:rPr>
              <w:t>Operationalisatie (hoe zie je dat terug?)</w:t>
            </w:r>
          </w:p>
        </w:tc>
        <w:tc>
          <w:tcPr>
            <w:tcW w:w="7068" w:type="dxa"/>
          </w:tcPr>
          <w:p w14:paraId="12BBFC35" w14:textId="77777777" w:rsidR="00F2603E" w:rsidRPr="00371492" w:rsidRDefault="00F2603E" w:rsidP="00200C74">
            <w:pPr>
              <w:pStyle w:val="Lijstalinea"/>
              <w:numPr>
                <w:ilvl w:val="0"/>
                <w:numId w:val="7"/>
              </w:num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Vertrouwen in politiek/instituties</w:t>
            </w:r>
          </w:p>
          <w:p w14:paraId="50C72FAE" w14:textId="77777777" w:rsidR="00F2603E" w:rsidRPr="00371492" w:rsidRDefault="00F2603E" w:rsidP="00200C74">
            <w:pPr>
              <w:pStyle w:val="Lijstalinea"/>
              <w:numPr>
                <w:ilvl w:val="0"/>
                <w:numId w:val="7"/>
              </w:num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Gemeenschap van de gezondheidszorg</w:t>
            </w:r>
          </w:p>
          <w:p w14:paraId="047D096C" w14:textId="77777777" w:rsidR="00F2603E" w:rsidRPr="00371492" w:rsidRDefault="00F2603E" w:rsidP="00200C74">
            <w:pPr>
              <w:pStyle w:val="Lijstalinea"/>
              <w:numPr>
                <w:ilvl w:val="0"/>
                <w:numId w:val="7"/>
              </w:numPr>
              <w:spacing w:line="360" w:lineRule="auto"/>
              <w:jc w:val="both"/>
              <w:rPr>
                <w:rFonts w:ascii="Corbel" w:eastAsia="Tahoma" w:hAnsi="Corbel" w:cs="Tahoma"/>
                <w:color w:val="000000" w:themeColor="text1"/>
                <w:sz w:val="20"/>
              </w:rPr>
            </w:pPr>
            <w:r w:rsidRPr="00371492">
              <w:rPr>
                <w:rFonts w:ascii="Corbel" w:eastAsia="Tahoma" w:hAnsi="Corbel" w:cs="Tahoma"/>
                <w:color w:val="000000" w:themeColor="text1"/>
                <w:sz w:val="20"/>
              </w:rPr>
              <w:t>Interne en externe goederen</w:t>
            </w:r>
          </w:p>
          <w:p w14:paraId="4BDF143A" w14:textId="77777777" w:rsidR="00F2603E" w:rsidRPr="00371492" w:rsidRDefault="00F2603E" w:rsidP="00200C74">
            <w:pPr>
              <w:pStyle w:val="Lijstalinea"/>
              <w:numPr>
                <w:ilvl w:val="0"/>
                <w:numId w:val="7"/>
              </w:numPr>
              <w:spacing w:line="360" w:lineRule="auto"/>
              <w:jc w:val="both"/>
              <w:rPr>
                <w:rFonts w:ascii="Corbel" w:eastAsia="Tahoma" w:hAnsi="Corbel" w:cs="Tahoma"/>
                <w:sz w:val="20"/>
              </w:rPr>
            </w:pPr>
            <w:r w:rsidRPr="00371492">
              <w:rPr>
                <w:rFonts w:ascii="Corbel" w:eastAsia="Tahoma" w:hAnsi="Corbel" w:cs="Tahoma"/>
                <w:color w:val="000000" w:themeColor="text1"/>
                <w:sz w:val="20"/>
              </w:rPr>
              <w:t>Klimaat</w:t>
            </w:r>
          </w:p>
        </w:tc>
      </w:tr>
      <w:tr w:rsidR="00F2603E" w:rsidRPr="00371492" w14:paraId="00E33859" w14:textId="77777777" w:rsidTr="00E97355">
        <w:tc>
          <w:tcPr>
            <w:tcW w:w="2141" w:type="dxa"/>
          </w:tcPr>
          <w:p w14:paraId="57A28D33" w14:textId="77777777" w:rsidR="00F2603E" w:rsidRPr="00371492" w:rsidRDefault="00F2603E" w:rsidP="00E97355">
            <w:pPr>
              <w:spacing w:line="360" w:lineRule="auto"/>
              <w:jc w:val="both"/>
              <w:rPr>
                <w:rFonts w:ascii="Corbel" w:eastAsia="Tahoma" w:hAnsi="Corbel" w:cs="Tahoma"/>
                <w:i/>
                <w:sz w:val="20"/>
              </w:rPr>
            </w:pPr>
            <w:r w:rsidRPr="00371492">
              <w:rPr>
                <w:rFonts w:ascii="Corbel" w:eastAsia="Tahoma" w:hAnsi="Corbel" w:cs="Tahoma"/>
                <w:i/>
                <w:sz w:val="20"/>
              </w:rPr>
              <w:t>Gremium</w:t>
            </w:r>
          </w:p>
        </w:tc>
        <w:tc>
          <w:tcPr>
            <w:tcW w:w="7068" w:type="dxa"/>
          </w:tcPr>
          <w:p w14:paraId="120FBD70" w14:textId="77777777" w:rsidR="00F2603E" w:rsidRPr="00371492" w:rsidRDefault="00F2603E" w:rsidP="00E97355">
            <w:pPr>
              <w:spacing w:line="360" w:lineRule="auto"/>
              <w:jc w:val="both"/>
              <w:rPr>
                <w:rFonts w:ascii="Corbel" w:eastAsia="Tahoma" w:hAnsi="Corbel" w:cs="Tahoma"/>
                <w:sz w:val="20"/>
              </w:rPr>
            </w:pPr>
            <w:r w:rsidRPr="00371492">
              <w:rPr>
                <w:rFonts w:ascii="Corbel" w:eastAsia="Tahoma" w:hAnsi="Corbel" w:cs="Tahoma"/>
                <w:b/>
                <w:sz w:val="20"/>
              </w:rPr>
              <w:t>Oordeelkundigen</w:t>
            </w:r>
            <w:r w:rsidRPr="00371492">
              <w:rPr>
                <w:rFonts w:ascii="Corbel" w:eastAsia="Tahoma" w:hAnsi="Corbel" w:cs="Tahoma"/>
                <w:sz w:val="20"/>
              </w:rPr>
              <w:t>, mensen die de praktijk kennen en beoordelen, bijvoorbeeld een ethische commissie.</w:t>
            </w:r>
          </w:p>
        </w:tc>
      </w:tr>
    </w:tbl>
    <w:p w14:paraId="27F56CD3" w14:textId="77777777" w:rsidR="00F2603E" w:rsidRPr="00371492" w:rsidRDefault="00F2603E" w:rsidP="00F2603E">
      <w:pPr>
        <w:rPr>
          <w:sz w:val="22"/>
        </w:rPr>
      </w:pPr>
    </w:p>
    <w:p w14:paraId="0D5CA0DD" w14:textId="70F5C0EE" w:rsidR="00F2603E" w:rsidRPr="00371492" w:rsidRDefault="00F2603E" w:rsidP="00510131">
      <w:pPr>
        <w:pStyle w:val="Stijl2"/>
        <w:numPr>
          <w:ilvl w:val="1"/>
          <w:numId w:val="5"/>
        </w:numPr>
      </w:pPr>
      <w:bookmarkStart w:id="33" w:name="_Toc485990873"/>
      <w:r w:rsidRPr="00371492">
        <w:lastRenderedPageBreak/>
        <w:t>Deelconclusie</w:t>
      </w:r>
      <w:bookmarkEnd w:id="33"/>
    </w:p>
    <w:p w14:paraId="359404D5" w14:textId="77777777" w:rsidR="00F2603E" w:rsidRPr="00371492" w:rsidRDefault="00F2603E" w:rsidP="000C096A">
      <w:pPr>
        <w:spacing w:line="360" w:lineRule="auto"/>
        <w:jc w:val="both"/>
        <w:rPr>
          <w:rFonts w:ascii="Corbel" w:eastAsia="Tahoma" w:hAnsi="Corbel" w:cs="Tahoma"/>
          <w:color w:val="000000" w:themeColor="text1"/>
          <w:sz w:val="20"/>
        </w:rPr>
      </w:pPr>
      <w:r w:rsidRPr="00371492">
        <w:rPr>
          <w:rFonts w:ascii="Corbel" w:hAnsi="Corbel"/>
          <w:sz w:val="20"/>
          <w:szCs w:val="20"/>
        </w:rPr>
        <w:t>In dit hoofdstuk zijn de normatieve theorieën vanuit conceptueel niveau (zie hoofdstuk drie) toegepast op de praktijk van risicoanalyses. Door dit te doen is een antwoord gevonden op de deelvraag: “</w:t>
      </w:r>
      <w:r w:rsidRPr="00371492">
        <w:rPr>
          <w:rFonts w:ascii="Corbel" w:eastAsia="Tahoma" w:hAnsi="Corbel" w:cs="Tahoma"/>
          <w:color w:val="000000" w:themeColor="text1"/>
          <w:sz w:val="20"/>
        </w:rPr>
        <w:t>Wat zijn de elementen van een breed ethisch risicokader in praktische zin?”. Per theorie is gekeken welke logica, focus en benadering zij presenteren. Hiermee is geprobeerd van abstract niveau de vertaalslag naar de praktische toepassing te maken. Uit de beschouwing blijkt dat er verschillen en overeenkomsten zijn tussen de theorieën op bepaalde onderwerpen. Zo kijken het utilisme en deugdethiek allebei naar gevolgen, maar op een andere manier. Daarnaast kijken de deontologie en deugdethiek allebei naar kwaliteit, maar belichten ze allebei een ander aspect van kwetsbaarheden die ze willen beschermen. Vanuit de uiteenzetting van de kwetsbaarheden die elke theorie wil beschermen is het mogelijk dit ethische beoordelingskader te gaan toepassen op de risicoanalyse van de ILT. In de volgende hoofdstuk wordt ingegaan op de analyse, waar antwoord gezocht wordt op de deelvraag: “Welke elementen uit het brede ethische beoordelingskader komen terug in IBRA?”. Eerst is het echter van belang dat de methode van onderzoek geïntroduceerd en toegelicht wordt.</w:t>
      </w:r>
    </w:p>
    <w:p w14:paraId="36F0C50F" w14:textId="77777777" w:rsidR="00F2603E" w:rsidRPr="00371492" w:rsidRDefault="00F2603E" w:rsidP="00F2603E">
      <w:pPr>
        <w:rPr>
          <w:sz w:val="22"/>
        </w:rPr>
      </w:pPr>
    </w:p>
    <w:p w14:paraId="4DC4A9EA" w14:textId="77777777" w:rsidR="00F2603E" w:rsidRPr="00371492" w:rsidRDefault="00F2603E" w:rsidP="00F2603E">
      <w:pPr>
        <w:rPr>
          <w:sz w:val="22"/>
        </w:rPr>
      </w:pPr>
    </w:p>
    <w:p w14:paraId="0CB74B34" w14:textId="77777777" w:rsidR="00F2603E" w:rsidRDefault="00F2603E" w:rsidP="00F2603E">
      <w:pPr>
        <w:rPr>
          <w:sz w:val="22"/>
        </w:rPr>
      </w:pPr>
    </w:p>
    <w:p w14:paraId="5B750F3C" w14:textId="77777777" w:rsidR="008B2888" w:rsidRDefault="008B2888" w:rsidP="00F2603E">
      <w:pPr>
        <w:rPr>
          <w:sz w:val="22"/>
        </w:rPr>
      </w:pPr>
    </w:p>
    <w:p w14:paraId="34D660AA" w14:textId="77777777" w:rsidR="008B2888" w:rsidRDefault="008B2888" w:rsidP="00F2603E">
      <w:pPr>
        <w:rPr>
          <w:sz w:val="22"/>
        </w:rPr>
      </w:pPr>
    </w:p>
    <w:p w14:paraId="1F473ADE" w14:textId="77777777" w:rsidR="008B2888" w:rsidRDefault="008B2888" w:rsidP="00F2603E">
      <w:pPr>
        <w:rPr>
          <w:sz w:val="22"/>
        </w:rPr>
      </w:pPr>
    </w:p>
    <w:p w14:paraId="0AAA19B6" w14:textId="77777777" w:rsidR="008B2888" w:rsidRDefault="008B2888" w:rsidP="00F2603E">
      <w:pPr>
        <w:rPr>
          <w:sz w:val="22"/>
        </w:rPr>
      </w:pPr>
    </w:p>
    <w:p w14:paraId="3AA92466" w14:textId="77777777" w:rsidR="008B2888" w:rsidRDefault="008B2888" w:rsidP="00F2603E">
      <w:pPr>
        <w:rPr>
          <w:sz w:val="22"/>
        </w:rPr>
      </w:pPr>
    </w:p>
    <w:p w14:paraId="05E62943" w14:textId="77777777" w:rsidR="008B2888" w:rsidRDefault="008B2888" w:rsidP="00F2603E">
      <w:pPr>
        <w:rPr>
          <w:sz w:val="22"/>
        </w:rPr>
      </w:pPr>
    </w:p>
    <w:p w14:paraId="69C99866" w14:textId="77777777" w:rsidR="008B2888" w:rsidRDefault="008B2888" w:rsidP="00F2603E">
      <w:pPr>
        <w:rPr>
          <w:sz w:val="22"/>
        </w:rPr>
      </w:pPr>
    </w:p>
    <w:p w14:paraId="75E86F92" w14:textId="77777777" w:rsidR="008B2888" w:rsidRDefault="008B2888" w:rsidP="00F2603E">
      <w:pPr>
        <w:rPr>
          <w:sz w:val="22"/>
        </w:rPr>
      </w:pPr>
    </w:p>
    <w:p w14:paraId="710D312B" w14:textId="77777777" w:rsidR="008B2888" w:rsidRDefault="008B2888" w:rsidP="00F2603E">
      <w:pPr>
        <w:rPr>
          <w:sz w:val="22"/>
        </w:rPr>
      </w:pPr>
    </w:p>
    <w:p w14:paraId="222425A6" w14:textId="77777777" w:rsidR="008B2888" w:rsidRDefault="008B2888" w:rsidP="00F2603E">
      <w:pPr>
        <w:rPr>
          <w:sz w:val="22"/>
        </w:rPr>
      </w:pPr>
    </w:p>
    <w:p w14:paraId="5FC521DA" w14:textId="77777777" w:rsidR="008B2888" w:rsidRDefault="008B2888" w:rsidP="00F2603E">
      <w:pPr>
        <w:rPr>
          <w:sz w:val="22"/>
        </w:rPr>
      </w:pPr>
    </w:p>
    <w:p w14:paraId="28B08C27" w14:textId="77777777" w:rsidR="008B2888" w:rsidRDefault="008B2888" w:rsidP="00F2603E">
      <w:pPr>
        <w:rPr>
          <w:sz w:val="22"/>
        </w:rPr>
      </w:pPr>
    </w:p>
    <w:p w14:paraId="17FD737C" w14:textId="77777777" w:rsidR="008B2888" w:rsidRDefault="008B2888" w:rsidP="00F2603E">
      <w:pPr>
        <w:rPr>
          <w:sz w:val="22"/>
        </w:rPr>
      </w:pPr>
    </w:p>
    <w:p w14:paraId="7144222D" w14:textId="77777777" w:rsidR="008B2888" w:rsidRDefault="008B2888" w:rsidP="00F2603E">
      <w:pPr>
        <w:rPr>
          <w:sz w:val="22"/>
        </w:rPr>
      </w:pPr>
    </w:p>
    <w:p w14:paraId="5DE01926" w14:textId="77777777" w:rsidR="008B2888" w:rsidRDefault="008B2888" w:rsidP="00F2603E">
      <w:pPr>
        <w:rPr>
          <w:sz w:val="22"/>
        </w:rPr>
      </w:pPr>
    </w:p>
    <w:p w14:paraId="7931A9EF" w14:textId="77777777" w:rsidR="008B2888" w:rsidRDefault="008B2888" w:rsidP="00F2603E">
      <w:pPr>
        <w:rPr>
          <w:sz w:val="22"/>
        </w:rPr>
      </w:pPr>
    </w:p>
    <w:p w14:paraId="01511B95" w14:textId="77777777" w:rsidR="008B2888" w:rsidRDefault="008B2888" w:rsidP="00F2603E">
      <w:pPr>
        <w:rPr>
          <w:sz w:val="22"/>
        </w:rPr>
      </w:pPr>
    </w:p>
    <w:p w14:paraId="1F9BCA05" w14:textId="77777777" w:rsidR="008B2888" w:rsidRDefault="008B2888" w:rsidP="00F2603E">
      <w:pPr>
        <w:rPr>
          <w:sz w:val="22"/>
        </w:rPr>
      </w:pPr>
    </w:p>
    <w:p w14:paraId="36A1DFB6" w14:textId="77777777" w:rsidR="008B2888" w:rsidRDefault="008B2888" w:rsidP="00F2603E">
      <w:pPr>
        <w:rPr>
          <w:sz w:val="22"/>
        </w:rPr>
      </w:pPr>
    </w:p>
    <w:p w14:paraId="7B100971" w14:textId="77777777" w:rsidR="008B2888" w:rsidRDefault="008B2888" w:rsidP="00F2603E">
      <w:pPr>
        <w:rPr>
          <w:sz w:val="22"/>
        </w:rPr>
      </w:pPr>
    </w:p>
    <w:p w14:paraId="31471EC0" w14:textId="77777777" w:rsidR="008B2888" w:rsidRDefault="008B2888" w:rsidP="00F2603E">
      <w:pPr>
        <w:rPr>
          <w:sz w:val="22"/>
        </w:rPr>
      </w:pPr>
    </w:p>
    <w:p w14:paraId="10737868" w14:textId="77777777" w:rsidR="008B2888" w:rsidRDefault="008B2888" w:rsidP="00F2603E">
      <w:pPr>
        <w:rPr>
          <w:sz w:val="22"/>
        </w:rPr>
      </w:pPr>
    </w:p>
    <w:p w14:paraId="38DEDA4A" w14:textId="77777777" w:rsidR="008B2888" w:rsidRDefault="008B2888" w:rsidP="00F2603E">
      <w:pPr>
        <w:rPr>
          <w:sz w:val="22"/>
        </w:rPr>
      </w:pPr>
    </w:p>
    <w:p w14:paraId="58691EAD" w14:textId="77777777" w:rsidR="008B2888" w:rsidRDefault="008B2888" w:rsidP="00F2603E">
      <w:pPr>
        <w:rPr>
          <w:sz w:val="22"/>
        </w:rPr>
      </w:pPr>
    </w:p>
    <w:p w14:paraId="53CAABDD" w14:textId="77777777" w:rsidR="008B2888" w:rsidRDefault="008B2888" w:rsidP="00F2603E">
      <w:pPr>
        <w:rPr>
          <w:sz w:val="22"/>
        </w:rPr>
      </w:pPr>
    </w:p>
    <w:p w14:paraId="21300F09" w14:textId="77777777" w:rsidR="008B2888" w:rsidRDefault="008B2888" w:rsidP="00F2603E">
      <w:pPr>
        <w:rPr>
          <w:sz w:val="22"/>
        </w:rPr>
      </w:pPr>
    </w:p>
    <w:p w14:paraId="4BBD8643" w14:textId="77777777" w:rsidR="008B2888" w:rsidRDefault="008B2888" w:rsidP="00F2603E">
      <w:pPr>
        <w:rPr>
          <w:sz w:val="22"/>
        </w:rPr>
      </w:pPr>
    </w:p>
    <w:p w14:paraId="40D4A8CF" w14:textId="77777777" w:rsidR="008B2888" w:rsidRDefault="008B2888" w:rsidP="00F2603E">
      <w:pPr>
        <w:rPr>
          <w:sz w:val="22"/>
        </w:rPr>
      </w:pPr>
    </w:p>
    <w:p w14:paraId="395CD954" w14:textId="77777777" w:rsidR="008B2888" w:rsidRDefault="008B2888" w:rsidP="00F2603E">
      <w:pPr>
        <w:rPr>
          <w:sz w:val="22"/>
        </w:rPr>
      </w:pPr>
    </w:p>
    <w:p w14:paraId="3A0A33F9" w14:textId="77777777" w:rsidR="008B2888" w:rsidRDefault="008B2888" w:rsidP="00F2603E">
      <w:pPr>
        <w:rPr>
          <w:sz w:val="22"/>
        </w:rPr>
      </w:pPr>
    </w:p>
    <w:p w14:paraId="70CCEAB4" w14:textId="77777777" w:rsidR="008B2888" w:rsidRPr="00371492" w:rsidRDefault="008B2888" w:rsidP="00F2603E">
      <w:pPr>
        <w:rPr>
          <w:sz w:val="22"/>
        </w:rPr>
      </w:pPr>
    </w:p>
    <w:p w14:paraId="6ECCD185" w14:textId="4965F936" w:rsidR="004F478F" w:rsidRPr="00371492" w:rsidRDefault="004F478F" w:rsidP="004F478F">
      <w:pPr>
        <w:pStyle w:val="Stijl1"/>
        <w:numPr>
          <w:ilvl w:val="0"/>
          <w:numId w:val="0"/>
        </w:numPr>
        <w:ind w:left="720" w:hanging="360"/>
        <w:rPr>
          <w:szCs w:val="24"/>
        </w:rPr>
      </w:pPr>
      <w:bookmarkStart w:id="34" w:name="_Toc485990874"/>
      <w:r w:rsidRPr="00371492">
        <w:rPr>
          <w:szCs w:val="24"/>
        </w:rPr>
        <w:lastRenderedPageBreak/>
        <w:t xml:space="preserve">5 </w:t>
      </w:r>
      <w:r w:rsidRPr="00371492">
        <w:rPr>
          <w:szCs w:val="24"/>
        </w:rPr>
        <w:tab/>
        <w:t>Methodologisch kader</w:t>
      </w:r>
      <w:bookmarkEnd w:id="34"/>
    </w:p>
    <w:p w14:paraId="428ECE08" w14:textId="77777777" w:rsidR="004F478F" w:rsidRPr="00371492" w:rsidRDefault="004F478F" w:rsidP="004F478F">
      <w:pPr>
        <w:spacing w:line="360" w:lineRule="auto"/>
        <w:jc w:val="both"/>
        <w:rPr>
          <w:rFonts w:ascii="Corbel" w:hAnsi="Corbel"/>
          <w:sz w:val="20"/>
          <w:szCs w:val="22"/>
        </w:rPr>
      </w:pPr>
      <w:r w:rsidRPr="00371492">
        <w:rPr>
          <w:rFonts w:ascii="Corbel" w:hAnsi="Corbel"/>
          <w:sz w:val="20"/>
          <w:szCs w:val="22"/>
        </w:rPr>
        <w:t>In het derde hoofdstuk van deze thesis is de theoretische basis voor het onderzoek uiteengezet, waarna deze praktisch toepasbaar gemaakt is in het vierde hoofdstuk. Deze theoretische lens is bedoeld om te helpen bij een beter begrip van een brede risicoanalyse. Dit begrip zal verder vorm krijgen na het analyseren van een aantal cases in het volgende hoofdstuk. Dit hoofdstuk zet het methodologisch raamwerk voor de analyse van deze cases uiteen. De gekozen methodologie vloeit voort uit de opgestelde onderzoeksvragen en probleemstelling. Zoals Hendrik Wagenaar ooit schreef: ‘</w:t>
      </w:r>
      <w:proofErr w:type="spellStart"/>
      <w:r w:rsidRPr="00371492">
        <w:rPr>
          <w:rFonts w:ascii="Corbel" w:hAnsi="Corbel"/>
          <w:sz w:val="20"/>
          <w:szCs w:val="22"/>
        </w:rPr>
        <w:t>By</w:t>
      </w:r>
      <w:proofErr w:type="spellEnd"/>
      <w:r w:rsidRPr="00371492">
        <w:rPr>
          <w:rFonts w:ascii="Corbel" w:hAnsi="Corbel"/>
          <w:sz w:val="20"/>
          <w:szCs w:val="22"/>
        </w:rPr>
        <w:t xml:space="preserve"> opening </w:t>
      </w:r>
      <w:proofErr w:type="spellStart"/>
      <w:r w:rsidRPr="00371492">
        <w:rPr>
          <w:rFonts w:ascii="Corbel" w:hAnsi="Corbel"/>
          <w:sz w:val="20"/>
          <w:szCs w:val="22"/>
        </w:rPr>
        <w:t>ourselves</w:t>
      </w:r>
      <w:proofErr w:type="spellEnd"/>
      <w:r w:rsidRPr="00371492">
        <w:rPr>
          <w:rFonts w:ascii="Corbel" w:hAnsi="Corbel"/>
          <w:sz w:val="20"/>
          <w:szCs w:val="22"/>
        </w:rPr>
        <w:t xml:space="preserve"> up </w:t>
      </w:r>
      <w:proofErr w:type="spellStart"/>
      <w:r w:rsidRPr="00371492">
        <w:rPr>
          <w:rFonts w:ascii="Corbel" w:hAnsi="Corbel"/>
          <w:sz w:val="20"/>
          <w:szCs w:val="22"/>
        </w:rPr>
        <w:t>to</w:t>
      </w:r>
      <w:proofErr w:type="spellEnd"/>
      <w:r w:rsidRPr="00371492">
        <w:rPr>
          <w:rFonts w:ascii="Corbel" w:hAnsi="Corbel"/>
          <w:sz w:val="20"/>
          <w:szCs w:val="22"/>
        </w:rPr>
        <w:t xml:space="preserve"> </w:t>
      </w:r>
      <w:proofErr w:type="spellStart"/>
      <w:r w:rsidRPr="00371492">
        <w:rPr>
          <w:rFonts w:ascii="Corbel" w:hAnsi="Corbel"/>
          <w:sz w:val="20"/>
          <w:szCs w:val="22"/>
        </w:rPr>
        <w:t>the</w:t>
      </w:r>
      <w:proofErr w:type="spellEnd"/>
      <w:r w:rsidRPr="00371492">
        <w:rPr>
          <w:rFonts w:ascii="Corbel" w:hAnsi="Corbel"/>
          <w:sz w:val="20"/>
          <w:szCs w:val="22"/>
        </w:rPr>
        <w:t xml:space="preserve"> </w:t>
      </w:r>
      <w:proofErr w:type="spellStart"/>
      <w:r w:rsidRPr="00371492">
        <w:rPr>
          <w:rFonts w:ascii="Corbel" w:hAnsi="Corbel"/>
          <w:sz w:val="20"/>
          <w:szCs w:val="22"/>
        </w:rPr>
        <w:t>infinite</w:t>
      </w:r>
      <w:proofErr w:type="spellEnd"/>
      <w:r w:rsidRPr="00371492">
        <w:rPr>
          <w:rFonts w:ascii="Corbel" w:hAnsi="Corbel"/>
          <w:sz w:val="20"/>
          <w:szCs w:val="22"/>
        </w:rPr>
        <w:t xml:space="preserve"> </w:t>
      </w:r>
      <w:proofErr w:type="spellStart"/>
      <w:r w:rsidRPr="00371492">
        <w:rPr>
          <w:rFonts w:ascii="Corbel" w:hAnsi="Corbel"/>
          <w:sz w:val="20"/>
          <w:szCs w:val="22"/>
        </w:rPr>
        <w:t>richness</w:t>
      </w:r>
      <w:proofErr w:type="spellEnd"/>
      <w:r w:rsidRPr="00371492">
        <w:rPr>
          <w:rFonts w:ascii="Corbel" w:hAnsi="Corbel"/>
          <w:sz w:val="20"/>
          <w:szCs w:val="22"/>
        </w:rPr>
        <w:t xml:space="preserve"> of </w:t>
      </w:r>
      <w:proofErr w:type="spellStart"/>
      <w:r w:rsidRPr="00371492">
        <w:rPr>
          <w:rFonts w:ascii="Corbel" w:hAnsi="Corbel"/>
          <w:sz w:val="20"/>
          <w:szCs w:val="22"/>
        </w:rPr>
        <w:t>the</w:t>
      </w:r>
      <w:proofErr w:type="spellEnd"/>
      <w:r w:rsidRPr="00371492">
        <w:rPr>
          <w:rFonts w:ascii="Corbel" w:hAnsi="Corbel"/>
          <w:sz w:val="20"/>
          <w:szCs w:val="22"/>
        </w:rPr>
        <w:t xml:space="preserve"> </w:t>
      </w:r>
      <w:proofErr w:type="spellStart"/>
      <w:r w:rsidRPr="00371492">
        <w:rPr>
          <w:rFonts w:ascii="Corbel" w:hAnsi="Corbel"/>
          <w:sz w:val="20"/>
          <w:szCs w:val="22"/>
        </w:rPr>
        <w:t>world</w:t>
      </w:r>
      <w:proofErr w:type="spellEnd"/>
      <w:r w:rsidRPr="00371492">
        <w:rPr>
          <w:rFonts w:ascii="Corbel" w:hAnsi="Corbel"/>
          <w:sz w:val="20"/>
          <w:szCs w:val="22"/>
        </w:rPr>
        <w:t xml:space="preserve">, we force </w:t>
      </w:r>
      <w:proofErr w:type="spellStart"/>
      <w:r w:rsidRPr="00371492">
        <w:rPr>
          <w:rFonts w:ascii="Corbel" w:hAnsi="Corbel"/>
          <w:sz w:val="20"/>
          <w:szCs w:val="22"/>
        </w:rPr>
        <w:t>ourselves</w:t>
      </w:r>
      <w:proofErr w:type="spellEnd"/>
      <w:r w:rsidRPr="00371492">
        <w:rPr>
          <w:rFonts w:ascii="Corbel" w:hAnsi="Corbel"/>
          <w:sz w:val="20"/>
          <w:szCs w:val="22"/>
        </w:rPr>
        <w:t xml:space="preserve"> </w:t>
      </w:r>
      <w:proofErr w:type="spellStart"/>
      <w:r w:rsidRPr="00371492">
        <w:rPr>
          <w:rFonts w:ascii="Corbel" w:hAnsi="Corbel"/>
          <w:sz w:val="20"/>
          <w:szCs w:val="22"/>
        </w:rPr>
        <w:t>to</w:t>
      </w:r>
      <w:proofErr w:type="spellEnd"/>
      <w:r w:rsidRPr="00371492">
        <w:rPr>
          <w:rFonts w:ascii="Corbel" w:hAnsi="Corbel"/>
          <w:sz w:val="20"/>
          <w:szCs w:val="22"/>
        </w:rPr>
        <w:t xml:space="preserve"> </w:t>
      </w:r>
      <w:proofErr w:type="spellStart"/>
      <w:r w:rsidRPr="00371492">
        <w:rPr>
          <w:rFonts w:ascii="Corbel" w:hAnsi="Corbel"/>
          <w:sz w:val="20"/>
          <w:szCs w:val="22"/>
        </w:rPr>
        <w:t>reassess</w:t>
      </w:r>
      <w:proofErr w:type="spellEnd"/>
      <w:r w:rsidRPr="00371492">
        <w:rPr>
          <w:rFonts w:ascii="Corbel" w:hAnsi="Corbel"/>
          <w:sz w:val="20"/>
          <w:szCs w:val="22"/>
        </w:rPr>
        <w:t xml:space="preserve"> </w:t>
      </w:r>
      <w:proofErr w:type="spellStart"/>
      <w:r w:rsidRPr="00371492">
        <w:rPr>
          <w:rFonts w:ascii="Corbel" w:hAnsi="Corbel"/>
          <w:sz w:val="20"/>
          <w:szCs w:val="22"/>
        </w:rPr>
        <w:t>our</w:t>
      </w:r>
      <w:proofErr w:type="spellEnd"/>
      <w:r w:rsidRPr="00371492">
        <w:rPr>
          <w:rFonts w:ascii="Corbel" w:hAnsi="Corbel"/>
          <w:sz w:val="20"/>
          <w:szCs w:val="22"/>
        </w:rPr>
        <w:t xml:space="preserve"> </w:t>
      </w:r>
      <w:proofErr w:type="spellStart"/>
      <w:r w:rsidRPr="00371492">
        <w:rPr>
          <w:rFonts w:ascii="Corbel" w:hAnsi="Corbel"/>
          <w:sz w:val="20"/>
          <w:szCs w:val="22"/>
        </w:rPr>
        <w:t>assumptions</w:t>
      </w:r>
      <w:proofErr w:type="spellEnd"/>
      <w:r w:rsidRPr="00371492">
        <w:rPr>
          <w:rFonts w:ascii="Corbel" w:hAnsi="Corbel"/>
          <w:sz w:val="20"/>
          <w:szCs w:val="22"/>
        </w:rPr>
        <w:t xml:space="preserve">, </w:t>
      </w:r>
      <w:proofErr w:type="spellStart"/>
      <w:r w:rsidRPr="00371492">
        <w:rPr>
          <w:rFonts w:ascii="Corbel" w:hAnsi="Corbel"/>
          <w:sz w:val="20"/>
          <w:szCs w:val="22"/>
        </w:rPr>
        <w:t>to</w:t>
      </w:r>
      <w:proofErr w:type="spellEnd"/>
      <w:r w:rsidRPr="00371492">
        <w:rPr>
          <w:rFonts w:ascii="Corbel" w:hAnsi="Corbel"/>
          <w:sz w:val="20"/>
          <w:szCs w:val="22"/>
        </w:rPr>
        <w:t xml:space="preserve"> </w:t>
      </w:r>
      <w:proofErr w:type="spellStart"/>
      <w:r w:rsidRPr="00371492">
        <w:rPr>
          <w:rFonts w:ascii="Corbel" w:hAnsi="Corbel"/>
          <w:sz w:val="20"/>
          <w:szCs w:val="22"/>
        </w:rPr>
        <w:t>reframe</w:t>
      </w:r>
      <w:proofErr w:type="spellEnd"/>
      <w:r w:rsidRPr="00371492">
        <w:rPr>
          <w:rFonts w:ascii="Corbel" w:hAnsi="Corbel"/>
          <w:sz w:val="20"/>
          <w:szCs w:val="22"/>
        </w:rPr>
        <w:t xml:space="preserve"> </w:t>
      </w:r>
      <w:proofErr w:type="spellStart"/>
      <w:r w:rsidRPr="00371492">
        <w:rPr>
          <w:rFonts w:ascii="Corbel" w:hAnsi="Corbel"/>
          <w:sz w:val="20"/>
          <w:szCs w:val="22"/>
        </w:rPr>
        <w:t>our</w:t>
      </w:r>
      <w:proofErr w:type="spellEnd"/>
      <w:r w:rsidRPr="00371492">
        <w:rPr>
          <w:rFonts w:ascii="Corbel" w:hAnsi="Corbel"/>
          <w:sz w:val="20"/>
          <w:szCs w:val="22"/>
        </w:rPr>
        <w:t xml:space="preserve"> </w:t>
      </w:r>
      <w:proofErr w:type="spellStart"/>
      <w:r w:rsidRPr="00371492">
        <w:rPr>
          <w:rFonts w:ascii="Corbel" w:hAnsi="Corbel"/>
          <w:sz w:val="20"/>
          <w:szCs w:val="22"/>
        </w:rPr>
        <w:t>experience</w:t>
      </w:r>
      <w:proofErr w:type="spellEnd"/>
      <w:r w:rsidRPr="00371492">
        <w:rPr>
          <w:rFonts w:ascii="Corbel" w:hAnsi="Corbel"/>
          <w:sz w:val="20"/>
          <w:szCs w:val="22"/>
        </w:rPr>
        <w:t xml:space="preserve">, </w:t>
      </w:r>
      <w:proofErr w:type="spellStart"/>
      <w:r w:rsidRPr="00371492">
        <w:rPr>
          <w:rFonts w:ascii="Corbel" w:hAnsi="Corbel"/>
          <w:sz w:val="20"/>
          <w:szCs w:val="22"/>
        </w:rPr>
        <w:t>and</w:t>
      </w:r>
      <w:proofErr w:type="spellEnd"/>
      <w:r w:rsidRPr="00371492">
        <w:rPr>
          <w:rFonts w:ascii="Corbel" w:hAnsi="Corbel"/>
          <w:sz w:val="20"/>
          <w:szCs w:val="22"/>
        </w:rPr>
        <w:t xml:space="preserve"> </w:t>
      </w:r>
      <w:proofErr w:type="spellStart"/>
      <w:r w:rsidRPr="00371492">
        <w:rPr>
          <w:rFonts w:ascii="Corbel" w:hAnsi="Corbel"/>
          <w:sz w:val="20"/>
          <w:szCs w:val="22"/>
        </w:rPr>
        <w:t>to</w:t>
      </w:r>
      <w:proofErr w:type="spellEnd"/>
      <w:r w:rsidRPr="00371492">
        <w:rPr>
          <w:rFonts w:ascii="Corbel" w:hAnsi="Corbel"/>
          <w:sz w:val="20"/>
          <w:szCs w:val="22"/>
        </w:rPr>
        <w:t xml:space="preserve"> </w:t>
      </w:r>
      <w:proofErr w:type="spellStart"/>
      <w:r w:rsidRPr="00371492">
        <w:rPr>
          <w:rFonts w:ascii="Corbel" w:hAnsi="Corbel"/>
          <w:sz w:val="20"/>
          <w:szCs w:val="22"/>
        </w:rPr>
        <w:t>broaden</w:t>
      </w:r>
      <w:proofErr w:type="spellEnd"/>
      <w:r w:rsidRPr="00371492">
        <w:rPr>
          <w:rFonts w:ascii="Corbel" w:hAnsi="Corbel"/>
          <w:sz w:val="20"/>
          <w:szCs w:val="22"/>
        </w:rPr>
        <w:t xml:space="preserve"> </w:t>
      </w:r>
      <w:proofErr w:type="spellStart"/>
      <w:r w:rsidRPr="00371492">
        <w:rPr>
          <w:rFonts w:ascii="Corbel" w:hAnsi="Corbel"/>
          <w:sz w:val="20"/>
          <w:szCs w:val="22"/>
        </w:rPr>
        <w:t>our</w:t>
      </w:r>
      <w:proofErr w:type="spellEnd"/>
      <w:r w:rsidRPr="00371492">
        <w:rPr>
          <w:rFonts w:ascii="Corbel" w:hAnsi="Corbel"/>
          <w:sz w:val="20"/>
          <w:szCs w:val="22"/>
        </w:rPr>
        <w:t xml:space="preserve"> </w:t>
      </w:r>
      <w:proofErr w:type="spellStart"/>
      <w:r w:rsidRPr="00371492">
        <w:rPr>
          <w:rFonts w:ascii="Corbel" w:hAnsi="Corbel"/>
          <w:sz w:val="20"/>
          <w:szCs w:val="22"/>
        </w:rPr>
        <w:t>understanding</w:t>
      </w:r>
      <w:proofErr w:type="spellEnd"/>
      <w:r w:rsidRPr="00371492">
        <w:rPr>
          <w:rFonts w:ascii="Corbel" w:hAnsi="Corbel"/>
          <w:sz w:val="20"/>
          <w:szCs w:val="22"/>
        </w:rPr>
        <w:t>.’ (Wagenaar, 2014, p. 243). Dit onderzoek richt zich op de ‘</w:t>
      </w:r>
      <w:proofErr w:type="spellStart"/>
      <w:r w:rsidRPr="00371492">
        <w:rPr>
          <w:rFonts w:ascii="Corbel" w:hAnsi="Corbel"/>
          <w:sz w:val="20"/>
          <w:szCs w:val="22"/>
        </w:rPr>
        <w:t>infinite</w:t>
      </w:r>
      <w:proofErr w:type="spellEnd"/>
      <w:r w:rsidRPr="00371492">
        <w:rPr>
          <w:rFonts w:ascii="Corbel" w:hAnsi="Corbel"/>
          <w:sz w:val="20"/>
          <w:szCs w:val="22"/>
        </w:rPr>
        <w:t xml:space="preserve"> </w:t>
      </w:r>
      <w:proofErr w:type="spellStart"/>
      <w:r w:rsidRPr="00371492">
        <w:rPr>
          <w:rFonts w:ascii="Corbel" w:hAnsi="Corbel"/>
          <w:sz w:val="20"/>
          <w:szCs w:val="22"/>
        </w:rPr>
        <w:t>richness</w:t>
      </w:r>
      <w:proofErr w:type="spellEnd"/>
      <w:r w:rsidRPr="00371492">
        <w:rPr>
          <w:rFonts w:ascii="Corbel" w:hAnsi="Corbel"/>
          <w:sz w:val="20"/>
          <w:szCs w:val="22"/>
        </w:rPr>
        <w:t>’ van analyseren van risico’s. Het onderzoekt de noodzaak en invulling (‘</w:t>
      </w:r>
      <w:proofErr w:type="spellStart"/>
      <w:r w:rsidRPr="00371492">
        <w:rPr>
          <w:rFonts w:ascii="Corbel" w:hAnsi="Corbel"/>
          <w:sz w:val="20"/>
          <w:szCs w:val="22"/>
        </w:rPr>
        <w:t>broaden</w:t>
      </w:r>
      <w:proofErr w:type="spellEnd"/>
      <w:r w:rsidRPr="00371492">
        <w:rPr>
          <w:rFonts w:ascii="Corbel" w:hAnsi="Corbel"/>
          <w:sz w:val="20"/>
          <w:szCs w:val="22"/>
        </w:rPr>
        <w:t xml:space="preserve"> </w:t>
      </w:r>
      <w:proofErr w:type="spellStart"/>
      <w:r w:rsidRPr="00371492">
        <w:rPr>
          <w:rFonts w:ascii="Corbel" w:hAnsi="Corbel"/>
          <w:sz w:val="20"/>
          <w:szCs w:val="22"/>
        </w:rPr>
        <w:t>our</w:t>
      </w:r>
      <w:proofErr w:type="spellEnd"/>
      <w:r w:rsidRPr="00371492">
        <w:rPr>
          <w:rFonts w:ascii="Corbel" w:hAnsi="Corbel"/>
          <w:sz w:val="20"/>
          <w:szCs w:val="22"/>
        </w:rPr>
        <w:t xml:space="preserve"> </w:t>
      </w:r>
      <w:proofErr w:type="spellStart"/>
      <w:r w:rsidRPr="00371492">
        <w:rPr>
          <w:rFonts w:ascii="Corbel" w:hAnsi="Corbel"/>
          <w:sz w:val="20"/>
          <w:szCs w:val="22"/>
        </w:rPr>
        <w:t>understanding</w:t>
      </w:r>
      <w:proofErr w:type="spellEnd"/>
      <w:r w:rsidRPr="00371492">
        <w:rPr>
          <w:rFonts w:ascii="Corbel" w:hAnsi="Corbel"/>
          <w:sz w:val="20"/>
          <w:szCs w:val="22"/>
        </w:rPr>
        <w:t xml:space="preserve">’) van een breder concept van risicoanalyse. </w:t>
      </w:r>
    </w:p>
    <w:p w14:paraId="7B82E657" w14:textId="77777777" w:rsidR="004F478F" w:rsidRPr="00371492" w:rsidRDefault="004F478F" w:rsidP="004F478F">
      <w:pPr>
        <w:spacing w:line="360" w:lineRule="auto"/>
        <w:ind w:firstLine="709"/>
        <w:jc w:val="both"/>
        <w:rPr>
          <w:rFonts w:ascii="Corbel" w:hAnsi="Corbel"/>
          <w:sz w:val="20"/>
          <w:szCs w:val="22"/>
        </w:rPr>
      </w:pPr>
      <w:r w:rsidRPr="00371492">
        <w:rPr>
          <w:rFonts w:ascii="Corbel" w:hAnsi="Corbel"/>
          <w:sz w:val="20"/>
          <w:szCs w:val="22"/>
        </w:rPr>
        <w:t xml:space="preserve">Ten eerste wordt in sectie §5.1 de algemene </w:t>
      </w:r>
      <w:proofErr w:type="spellStart"/>
      <w:r w:rsidRPr="00371492">
        <w:rPr>
          <w:rFonts w:ascii="Corbel" w:hAnsi="Corbel"/>
          <w:sz w:val="20"/>
          <w:szCs w:val="22"/>
        </w:rPr>
        <w:t>onderzoeksaanpak</w:t>
      </w:r>
      <w:proofErr w:type="spellEnd"/>
      <w:r w:rsidRPr="00371492">
        <w:rPr>
          <w:rFonts w:ascii="Corbel" w:hAnsi="Corbel"/>
          <w:sz w:val="20"/>
          <w:szCs w:val="22"/>
        </w:rPr>
        <w:t xml:space="preserve"> besproken. Hierbij staat de keuze tussen kwalitatieve en </w:t>
      </w:r>
      <w:proofErr w:type="spellStart"/>
      <w:r w:rsidRPr="00371492">
        <w:rPr>
          <w:rFonts w:ascii="Corbel" w:hAnsi="Corbel"/>
          <w:sz w:val="20"/>
          <w:szCs w:val="22"/>
        </w:rPr>
        <w:t>kwantatieve</w:t>
      </w:r>
      <w:proofErr w:type="spellEnd"/>
      <w:r w:rsidRPr="00371492">
        <w:rPr>
          <w:rFonts w:ascii="Corbel" w:hAnsi="Corbel"/>
          <w:sz w:val="20"/>
          <w:szCs w:val="22"/>
        </w:rPr>
        <w:t xml:space="preserve"> onderzoeksmethoden centraal. Vervolgens zal een uiteenzetting volgen in §5.2 van de cases die onderzocht worden in het volgende hoofdstuk. Hierbij zal uitgelegd worden waarom juist deze cases gekozen zijn voor het onderzoek. Sectie §5.3 bespreekt de datacollectie ten behoeve van het onderzoek in deze thesis. Ten slotte wordt stilgestaan bij de waarborging van kwaliteitscriteria (§5.4) en wordt de precieze werkwijze in de vorm van een protocol uiteengezet (§5.5). </w:t>
      </w:r>
    </w:p>
    <w:p w14:paraId="67CB84D9" w14:textId="77777777" w:rsidR="004F478F" w:rsidRPr="00371492" w:rsidRDefault="004F478F" w:rsidP="004F478F">
      <w:pPr>
        <w:spacing w:line="360" w:lineRule="auto"/>
        <w:ind w:left="360"/>
      </w:pPr>
    </w:p>
    <w:p w14:paraId="05B472BF" w14:textId="038AB909" w:rsidR="004F478F" w:rsidRPr="00371492" w:rsidRDefault="004F478F" w:rsidP="00510131">
      <w:pPr>
        <w:pStyle w:val="Stijl2"/>
      </w:pPr>
      <w:bookmarkStart w:id="35" w:name="_Toc485990875"/>
      <w:r w:rsidRPr="00371492">
        <w:t xml:space="preserve">5.1 </w:t>
      </w:r>
      <w:proofErr w:type="spellStart"/>
      <w:r w:rsidRPr="00371492">
        <w:t>Onderzoeksaanpak</w:t>
      </w:r>
      <w:bookmarkEnd w:id="35"/>
      <w:proofErr w:type="spellEnd"/>
    </w:p>
    <w:p w14:paraId="76A2AACD" w14:textId="77777777" w:rsidR="004F478F" w:rsidRPr="00371492" w:rsidRDefault="004F478F" w:rsidP="004F478F">
      <w:pPr>
        <w:spacing w:line="360" w:lineRule="auto"/>
        <w:jc w:val="both"/>
        <w:rPr>
          <w:rFonts w:ascii="Corbel" w:hAnsi="Corbel"/>
          <w:sz w:val="20"/>
          <w:szCs w:val="22"/>
        </w:rPr>
      </w:pPr>
      <w:r w:rsidRPr="00371492">
        <w:rPr>
          <w:rFonts w:ascii="Corbel" w:hAnsi="Corbel"/>
          <w:sz w:val="20"/>
          <w:szCs w:val="22"/>
        </w:rPr>
        <w:t>In het algemeen worden drie onderzoekstrategieën onderscheiden: het experiment, het survey en de casestudy (</w:t>
      </w:r>
      <w:proofErr w:type="spellStart"/>
      <w:r w:rsidRPr="00371492">
        <w:rPr>
          <w:rFonts w:ascii="Corbel" w:hAnsi="Corbel"/>
          <w:sz w:val="20"/>
          <w:szCs w:val="22"/>
        </w:rPr>
        <w:t>Vennix</w:t>
      </w:r>
      <w:proofErr w:type="spellEnd"/>
      <w:r w:rsidRPr="00371492">
        <w:rPr>
          <w:rFonts w:ascii="Corbel" w:hAnsi="Corbel"/>
          <w:sz w:val="20"/>
          <w:szCs w:val="22"/>
        </w:rPr>
        <w:t>, 2009, p. 113). Waar het onderzoek tot nu toe vooral gebruik gemaakt heeft van literatuurstudie, volgt in het analysedeel een toepassing in de vorm van een casestudie. Een casestudy is een geschikte methode om diepgaande kennis over een bepaald onderwerp binnen een afgebakende context te verkrijgen (Creswell, 2007</w:t>
      </w:r>
      <w:r w:rsidRPr="00371492">
        <w:rPr>
          <w:rFonts w:ascii="Corbel" w:hAnsi="Corbel"/>
          <w:b/>
          <w:sz w:val="20"/>
          <w:szCs w:val="22"/>
        </w:rPr>
        <w:t xml:space="preserve">). </w:t>
      </w:r>
      <w:r w:rsidRPr="00371492">
        <w:rPr>
          <w:rFonts w:ascii="Corbel" w:hAnsi="Corbel"/>
          <w:sz w:val="20"/>
          <w:szCs w:val="22"/>
        </w:rPr>
        <w:t>Deze eigenschappen maken deze onderzoeksmethode geschikt voor het doel van dit onderzoek. De casestudie die in deze thesis wordt uitgevoerd wil een tweetal zaken onderzoeken:</w:t>
      </w:r>
    </w:p>
    <w:p w14:paraId="597F7B20" w14:textId="77777777" w:rsidR="004F478F" w:rsidRPr="00371492" w:rsidRDefault="004F478F" w:rsidP="004F478F">
      <w:pPr>
        <w:spacing w:line="360" w:lineRule="auto"/>
        <w:ind w:firstLine="709"/>
        <w:jc w:val="both"/>
        <w:rPr>
          <w:rFonts w:ascii="Corbel" w:hAnsi="Corbel"/>
          <w:sz w:val="20"/>
          <w:szCs w:val="22"/>
        </w:rPr>
      </w:pPr>
      <w:r w:rsidRPr="00371492">
        <w:rPr>
          <w:rFonts w:ascii="Corbel" w:hAnsi="Corbel"/>
          <w:sz w:val="20"/>
          <w:szCs w:val="22"/>
        </w:rPr>
        <w:t xml:space="preserve">Ten eerste zal gekeken worden welke ethische aspecten men heeft meegenomen in de risicoanalyse. De verwachting is dat er naast utilistische ook deontologische en deugdethische kenmerken te vinden zijn. De eerste stap is om hier een helder beeld van te krijgen en te beoordelen of argumentatie op basis van deontologie of deugdethiek niet onterecht naar de utiliteit wordt getrokken. Dit draait om de deelvraag ‘welke elementen uit het brede ethische kader dat dit onderzoek schetst terugkomen in IBRA’. Een voorbeeld: uiteindelijk kwantificeert men wel, maar je ziet dat men ook non-utilistische onderdelen kwantificeert. Wat zijn die onderdelen en welke waarden worden wel/niet gekwantificeerd? </w:t>
      </w:r>
    </w:p>
    <w:p w14:paraId="0AA34FD2" w14:textId="77777777" w:rsidR="004F478F" w:rsidRPr="00371492" w:rsidRDefault="004F478F" w:rsidP="004F478F">
      <w:pPr>
        <w:spacing w:line="360" w:lineRule="auto"/>
        <w:ind w:firstLine="709"/>
        <w:jc w:val="both"/>
        <w:rPr>
          <w:rFonts w:ascii="Corbel" w:hAnsi="Corbel"/>
          <w:sz w:val="20"/>
          <w:szCs w:val="22"/>
        </w:rPr>
      </w:pPr>
      <w:r w:rsidRPr="00371492">
        <w:rPr>
          <w:rFonts w:ascii="Corbel" w:hAnsi="Corbel"/>
          <w:sz w:val="20"/>
          <w:szCs w:val="22"/>
        </w:rPr>
        <w:t>Ten tweede wordt onderzocht hoe men de (andere) ethische aspecten verder kan invullen.</w:t>
      </w:r>
      <w:r w:rsidRPr="00371492">
        <w:rPr>
          <w:rFonts w:ascii="Corbel" w:eastAsia="Tahoma" w:hAnsi="Corbel" w:cs="Tahoma"/>
          <w:b/>
          <w:iCs/>
          <w:color w:val="000000" w:themeColor="text1"/>
          <w:sz w:val="20"/>
          <w:lang w:eastAsia="en-US"/>
        </w:rPr>
        <w:t xml:space="preserve"> </w:t>
      </w:r>
      <w:r w:rsidRPr="00371492">
        <w:rPr>
          <w:rFonts w:ascii="Corbel" w:eastAsia="Tahoma" w:hAnsi="Corbel" w:cs="Tahoma"/>
          <w:iCs/>
          <w:color w:val="000000" w:themeColor="text1"/>
          <w:sz w:val="20"/>
          <w:lang w:eastAsia="en-US"/>
        </w:rPr>
        <w:t>D</w:t>
      </w:r>
      <w:r w:rsidRPr="00371492">
        <w:rPr>
          <w:rFonts w:ascii="Corbel" w:eastAsia="Tahoma" w:hAnsi="Corbel" w:cs="Tahoma"/>
          <w:iCs/>
          <w:color w:val="000000" w:themeColor="text1"/>
          <w:sz w:val="20"/>
        </w:rPr>
        <w:t xml:space="preserve">it richt zich op de vraag hoe er recht gedaan kan worden aan deontologische en </w:t>
      </w:r>
      <w:proofErr w:type="spellStart"/>
      <w:r w:rsidRPr="00371492">
        <w:rPr>
          <w:rFonts w:ascii="Corbel" w:eastAsia="Tahoma" w:hAnsi="Corbel" w:cs="Tahoma"/>
          <w:iCs/>
          <w:color w:val="000000" w:themeColor="text1"/>
          <w:sz w:val="20"/>
        </w:rPr>
        <w:t>deugdethisch</w:t>
      </w:r>
      <w:proofErr w:type="spellEnd"/>
      <w:r w:rsidRPr="00371492">
        <w:rPr>
          <w:rFonts w:ascii="Corbel" w:eastAsia="Tahoma" w:hAnsi="Corbel" w:cs="Tahoma"/>
          <w:iCs/>
          <w:color w:val="000000" w:themeColor="text1"/>
          <w:sz w:val="20"/>
        </w:rPr>
        <w:t xml:space="preserve"> overwegingen. Hiermee zoekt het een antwoord op de deelvraag ‘</w:t>
      </w:r>
      <w:r w:rsidRPr="00371492">
        <w:rPr>
          <w:rFonts w:ascii="Corbel" w:eastAsia="Tahoma" w:hAnsi="Corbel" w:cs="Tahoma"/>
          <w:i/>
          <w:iCs/>
          <w:color w:val="000000" w:themeColor="text1"/>
          <w:sz w:val="20"/>
        </w:rPr>
        <w:t>hoe is de ethische uitbreiding van de risicoanalyse mogelijk?</w:t>
      </w:r>
      <w:r w:rsidRPr="00371492">
        <w:rPr>
          <w:rFonts w:ascii="Corbel" w:eastAsia="Tahoma" w:hAnsi="Corbel" w:cs="Tahoma"/>
          <w:iCs/>
          <w:color w:val="000000" w:themeColor="text1"/>
          <w:sz w:val="20"/>
        </w:rPr>
        <w:t xml:space="preserve">’. Bijvoorbeeld: tot nog toe wordt er in de risicoanalyse eigenlijk alleen maar gebruik gemaakt van kwantificering, maar er worden bepaalde waarden meegenomen die verder gaan dan kosten en baten in kwantificeerbare zin. Hoe kan hier mee omgegaan worden? Dit onderzoek zoekt hier geen concrete invulling op maar wil </w:t>
      </w:r>
      <w:r w:rsidRPr="00371492">
        <w:rPr>
          <w:rFonts w:ascii="Corbel" w:eastAsia="Tahoma" w:hAnsi="Corbel" w:cs="Tahoma"/>
          <w:iCs/>
          <w:color w:val="000000" w:themeColor="text1"/>
          <w:sz w:val="20"/>
        </w:rPr>
        <w:lastRenderedPageBreak/>
        <w:t xml:space="preserve">handreikingen bieden om dit vraagstuk een plek te geven. Om deze vragen te beantwoorden is het van belang dicht bij het onderzoeksobject te blijven. Om relevante aanbevelingen te doen voor de opdrachtgever (i.e. ILT) is ervoor gekozen gebruik te maken van de eigen risicoanalyse en achtergrondinformatie. </w:t>
      </w:r>
    </w:p>
    <w:p w14:paraId="3639F2EC" w14:textId="70EF2940" w:rsidR="004F478F" w:rsidRPr="00371492" w:rsidRDefault="004F478F" w:rsidP="004F478F">
      <w:pPr>
        <w:spacing w:line="360" w:lineRule="auto"/>
        <w:ind w:firstLine="709"/>
        <w:jc w:val="both"/>
        <w:rPr>
          <w:rFonts w:ascii="Corbel" w:eastAsia="Tahoma" w:hAnsi="Corbel" w:cs="Tahoma"/>
          <w:iCs/>
          <w:color w:val="000000" w:themeColor="text1"/>
          <w:sz w:val="20"/>
        </w:rPr>
      </w:pPr>
      <w:r w:rsidRPr="00371492">
        <w:rPr>
          <w:rFonts w:ascii="Corbel" w:eastAsia="Tahoma" w:hAnsi="Corbel" w:cs="Tahoma"/>
          <w:iCs/>
          <w:color w:val="000000" w:themeColor="text1"/>
          <w:sz w:val="20"/>
        </w:rPr>
        <w:t>In dit onderzoek wordt om die reden gebruik gemaakt van een casestudy design. Meer specifiek maakt dit onderzoek gebruik van een ‘</w:t>
      </w:r>
      <w:proofErr w:type="spellStart"/>
      <w:r w:rsidRPr="00371492">
        <w:rPr>
          <w:rFonts w:ascii="Corbel" w:eastAsia="Tahoma" w:hAnsi="Corbel" w:cs="Tahoma"/>
          <w:iCs/>
          <w:color w:val="000000" w:themeColor="text1"/>
          <w:sz w:val="20"/>
        </w:rPr>
        <w:t>collective</w:t>
      </w:r>
      <w:proofErr w:type="spellEnd"/>
      <w:r w:rsidRPr="00371492">
        <w:rPr>
          <w:rFonts w:ascii="Corbel" w:eastAsia="Tahoma" w:hAnsi="Corbel" w:cs="Tahoma"/>
          <w:iCs/>
          <w:color w:val="000000" w:themeColor="text1"/>
          <w:sz w:val="20"/>
        </w:rPr>
        <w:t xml:space="preserve"> case </w:t>
      </w:r>
      <w:proofErr w:type="spellStart"/>
      <w:r w:rsidRPr="00371492">
        <w:rPr>
          <w:rFonts w:ascii="Corbel" w:eastAsia="Tahoma" w:hAnsi="Corbel" w:cs="Tahoma"/>
          <w:iCs/>
          <w:color w:val="000000" w:themeColor="text1"/>
          <w:sz w:val="20"/>
        </w:rPr>
        <w:t>study</w:t>
      </w:r>
      <w:proofErr w:type="spellEnd"/>
      <w:r w:rsidRPr="00371492">
        <w:rPr>
          <w:rFonts w:ascii="Corbel" w:eastAsia="Tahoma" w:hAnsi="Corbel" w:cs="Tahoma"/>
          <w:iCs/>
          <w:color w:val="000000" w:themeColor="text1"/>
          <w:sz w:val="20"/>
        </w:rPr>
        <w:t>’ (</w:t>
      </w:r>
      <w:proofErr w:type="spellStart"/>
      <w:r w:rsidRPr="00371492">
        <w:rPr>
          <w:rFonts w:ascii="Corbel" w:eastAsia="Tahoma" w:hAnsi="Corbel" w:cs="Tahoma"/>
          <w:iCs/>
          <w:color w:val="000000" w:themeColor="text1"/>
          <w:sz w:val="20"/>
        </w:rPr>
        <w:t>Stake</w:t>
      </w:r>
      <w:proofErr w:type="spellEnd"/>
      <w:r w:rsidRPr="00371492">
        <w:rPr>
          <w:rFonts w:ascii="Corbel" w:eastAsia="Tahoma" w:hAnsi="Corbel" w:cs="Tahoma"/>
          <w:iCs/>
          <w:color w:val="000000" w:themeColor="text1"/>
          <w:sz w:val="20"/>
        </w:rPr>
        <w:t xml:space="preserve">, 2005), ook wel bekend als ‘multiple case </w:t>
      </w:r>
      <w:proofErr w:type="spellStart"/>
      <w:r w:rsidRPr="00371492">
        <w:rPr>
          <w:rFonts w:ascii="Corbel" w:eastAsia="Tahoma" w:hAnsi="Corbel" w:cs="Tahoma"/>
          <w:iCs/>
          <w:color w:val="000000" w:themeColor="text1"/>
          <w:sz w:val="20"/>
        </w:rPr>
        <w:t>study</w:t>
      </w:r>
      <w:proofErr w:type="spellEnd"/>
      <w:r w:rsidRPr="00371492">
        <w:rPr>
          <w:rFonts w:ascii="Corbel" w:eastAsia="Tahoma" w:hAnsi="Corbel" w:cs="Tahoma"/>
          <w:iCs/>
          <w:color w:val="000000" w:themeColor="text1"/>
          <w:sz w:val="20"/>
        </w:rPr>
        <w:t xml:space="preserve">, ‘cross-case </w:t>
      </w:r>
      <w:proofErr w:type="spellStart"/>
      <w:r w:rsidRPr="00371492">
        <w:rPr>
          <w:rFonts w:ascii="Corbel" w:eastAsia="Tahoma" w:hAnsi="Corbel" w:cs="Tahoma"/>
          <w:iCs/>
          <w:color w:val="000000" w:themeColor="text1"/>
          <w:sz w:val="20"/>
        </w:rPr>
        <w:t>study</w:t>
      </w:r>
      <w:proofErr w:type="spellEnd"/>
      <w:r w:rsidRPr="00371492">
        <w:rPr>
          <w:rFonts w:ascii="Corbel" w:eastAsia="Tahoma" w:hAnsi="Corbel" w:cs="Tahoma"/>
          <w:iCs/>
          <w:color w:val="000000" w:themeColor="text1"/>
          <w:sz w:val="20"/>
        </w:rPr>
        <w:t>’, ‘</w:t>
      </w:r>
      <w:proofErr w:type="spellStart"/>
      <w:r w:rsidRPr="00371492">
        <w:rPr>
          <w:rFonts w:ascii="Corbel" w:eastAsia="Tahoma" w:hAnsi="Corbel" w:cs="Tahoma"/>
          <w:iCs/>
          <w:color w:val="000000" w:themeColor="text1"/>
          <w:sz w:val="20"/>
        </w:rPr>
        <w:t>comparative</w:t>
      </w:r>
      <w:proofErr w:type="spellEnd"/>
      <w:r w:rsidRPr="00371492">
        <w:rPr>
          <w:rFonts w:ascii="Corbel" w:eastAsia="Tahoma" w:hAnsi="Corbel" w:cs="Tahoma"/>
          <w:iCs/>
          <w:color w:val="000000" w:themeColor="text1"/>
          <w:sz w:val="20"/>
        </w:rPr>
        <w:t xml:space="preserve"> case </w:t>
      </w:r>
      <w:proofErr w:type="spellStart"/>
      <w:r w:rsidRPr="00371492">
        <w:rPr>
          <w:rFonts w:ascii="Corbel" w:eastAsia="Tahoma" w:hAnsi="Corbel" w:cs="Tahoma"/>
          <w:iCs/>
          <w:color w:val="000000" w:themeColor="text1"/>
          <w:sz w:val="20"/>
        </w:rPr>
        <w:t>study</w:t>
      </w:r>
      <w:proofErr w:type="spellEnd"/>
      <w:r w:rsidRPr="00371492">
        <w:rPr>
          <w:rFonts w:ascii="Corbel" w:eastAsia="Tahoma" w:hAnsi="Corbel" w:cs="Tahoma"/>
          <w:iCs/>
          <w:color w:val="000000" w:themeColor="text1"/>
          <w:sz w:val="20"/>
        </w:rPr>
        <w:t>’ en ‘</w:t>
      </w:r>
      <w:proofErr w:type="spellStart"/>
      <w:r w:rsidRPr="00371492">
        <w:rPr>
          <w:rFonts w:ascii="Corbel" w:eastAsia="Tahoma" w:hAnsi="Corbel" w:cs="Tahoma"/>
          <w:iCs/>
          <w:color w:val="000000" w:themeColor="text1"/>
          <w:sz w:val="20"/>
        </w:rPr>
        <w:t>contrasting</w:t>
      </w:r>
      <w:proofErr w:type="spellEnd"/>
      <w:r w:rsidRPr="00371492">
        <w:rPr>
          <w:rFonts w:ascii="Corbel" w:eastAsia="Tahoma" w:hAnsi="Corbel" w:cs="Tahoma"/>
          <w:iCs/>
          <w:color w:val="000000" w:themeColor="text1"/>
          <w:sz w:val="20"/>
        </w:rPr>
        <w:t xml:space="preserve"> case </w:t>
      </w:r>
      <w:proofErr w:type="spellStart"/>
      <w:r w:rsidRPr="00371492">
        <w:rPr>
          <w:rFonts w:ascii="Corbel" w:eastAsia="Tahoma" w:hAnsi="Corbel" w:cs="Tahoma"/>
          <w:iCs/>
          <w:color w:val="000000" w:themeColor="text1"/>
          <w:sz w:val="20"/>
        </w:rPr>
        <w:t>study</w:t>
      </w:r>
      <w:proofErr w:type="spellEnd"/>
      <w:r w:rsidRPr="00371492">
        <w:rPr>
          <w:rFonts w:ascii="Corbel" w:eastAsia="Tahoma" w:hAnsi="Corbel" w:cs="Tahoma"/>
          <w:iCs/>
          <w:color w:val="000000" w:themeColor="text1"/>
          <w:sz w:val="20"/>
        </w:rPr>
        <w:t>’ (</w:t>
      </w:r>
      <w:proofErr w:type="spellStart"/>
      <w:r w:rsidRPr="00371492">
        <w:rPr>
          <w:rFonts w:ascii="Corbel" w:eastAsia="Tahoma" w:hAnsi="Corbel" w:cs="Tahoma"/>
          <w:iCs/>
          <w:color w:val="000000" w:themeColor="text1"/>
          <w:sz w:val="20"/>
        </w:rPr>
        <w:t>Gerring</w:t>
      </w:r>
      <w:proofErr w:type="spellEnd"/>
      <w:r w:rsidRPr="00371492">
        <w:rPr>
          <w:rFonts w:ascii="Corbel" w:eastAsia="Tahoma" w:hAnsi="Corbel" w:cs="Tahoma"/>
          <w:iCs/>
          <w:color w:val="000000" w:themeColor="text1"/>
          <w:sz w:val="20"/>
        </w:rPr>
        <w:t>, 2006). Kenmerkend voor dit type casestudy-onderzoek is het analyseren van meerdere cases. Het doel van dit soort onderzoek is om een beter begrip te krijgen van een context. Het onderzoeksdesign dat hierbij gebruikt is is die van de ‘</w:t>
      </w:r>
      <w:proofErr w:type="spellStart"/>
      <w:r w:rsidRPr="00371492">
        <w:rPr>
          <w:rFonts w:ascii="Corbel" w:eastAsia="Tahoma" w:hAnsi="Corbel" w:cs="Tahoma"/>
          <w:iCs/>
          <w:color w:val="000000" w:themeColor="text1"/>
          <w:sz w:val="20"/>
        </w:rPr>
        <w:t>descriptive</w:t>
      </w:r>
      <w:proofErr w:type="spellEnd"/>
      <w:r w:rsidRPr="00371492">
        <w:rPr>
          <w:rFonts w:ascii="Corbel" w:eastAsia="Tahoma" w:hAnsi="Corbel" w:cs="Tahoma"/>
          <w:iCs/>
          <w:color w:val="000000" w:themeColor="text1"/>
          <w:sz w:val="20"/>
        </w:rPr>
        <w:t xml:space="preserve"> case </w:t>
      </w:r>
      <w:proofErr w:type="spellStart"/>
      <w:r w:rsidRPr="00371492">
        <w:rPr>
          <w:rFonts w:ascii="Corbel" w:eastAsia="Tahoma" w:hAnsi="Corbel" w:cs="Tahoma"/>
          <w:iCs/>
          <w:color w:val="000000" w:themeColor="text1"/>
          <w:sz w:val="20"/>
        </w:rPr>
        <w:t>study</w:t>
      </w:r>
      <w:proofErr w:type="spellEnd"/>
      <w:r w:rsidRPr="00371492">
        <w:rPr>
          <w:rFonts w:ascii="Corbel" w:eastAsia="Tahoma" w:hAnsi="Corbel" w:cs="Tahoma"/>
          <w:iCs/>
          <w:color w:val="000000" w:themeColor="text1"/>
          <w:sz w:val="20"/>
        </w:rPr>
        <w:t xml:space="preserve">’ </w:t>
      </w:r>
      <w:proofErr w:type="gramStart"/>
      <w:r w:rsidRPr="00371492">
        <w:rPr>
          <w:rFonts w:ascii="Corbel" w:eastAsia="Tahoma" w:hAnsi="Corbel" w:cs="Tahoma"/>
          <w:iCs/>
          <w:color w:val="000000" w:themeColor="text1"/>
          <w:sz w:val="20"/>
        </w:rPr>
        <w:t>(</w:t>
      </w:r>
      <w:r w:rsidR="009F7B6B">
        <w:rPr>
          <w:rFonts w:ascii="Corbel" w:eastAsia="Tahoma" w:hAnsi="Corbel" w:cs="Tahoma"/>
          <w:iCs/>
          <w:color w:val="000000" w:themeColor="text1"/>
          <w:sz w:val="20"/>
        </w:rPr>
        <w:t>,</w:t>
      </w:r>
      <w:r w:rsidRPr="00371492">
        <w:rPr>
          <w:rFonts w:ascii="Corbel" w:eastAsia="Tahoma" w:hAnsi="Corbel" w:cs="Tahoma"/>
          <w:iCs/>
          <w:color w:val="000000" w:themeColor="text1"/>
          <w:sz w:val="20"/>
        </w:rPr>
        <w:t>,</w:t>
      </w:r>
      <w:proofErr w:type="gramEnd"/>
      <w:r w:rsidRPr="00371492">
        <w:rPr>
          <w:rFonts w:ascii="Corbel" w:eastAsia="Tahoma" w:hAnsi="Corbel" w:cs="Tahoma"/>
          <w:iCs/>
          <w:color w:val="000000" w:themeColor="text1"/>
          <w:sz w:val="20"/>
        </w:rPr>
        <w:t xml:space="preserve"> 2003). Hierbij is het van belang dat de onderzoeker een framework opstelt waarmee de cases bekeken gaan worden. In het geval van dit onderzoek is dit de uitwerking van de drie ethische stromingen (utilisme, deontologie en deugdethiek). </w:t>
      </w:r>
    </w:p>
    <w:p w14:paraId="68291416" w14:textId="2AA9E7E1" w:rsidR="004F478F" w:rsidRPr="00371492" w:rsidRDefault="004F478F" w:rsidP="004F478F">
      <w:pPr>
        <w:spacing w:line="360" w:lineRule="auto"/>
        <w:ind w:firstLine="709"/>
        <w:jc w:val="both"/>
        <w:rPr>
          <w:rFonts w:ascii="Corbel" w:eastAsia="Tahoma" w:hAnsi="Corbel" w:cs="Tahoma"/>
          <w:iCs/>
          <w:color w:val="000000" w:themeColor="text1"/>
          <w:sz w:val="20"/>
        </w:rPr>
      </w:pPr>
      <w:r w:rsidRPr="00371492">
        <w:rPr>
          <w:rFonts w:ascii="Corbel" w:eastAsia="Tahoma" w:hAnsi="Corbel" w:cs="Tahoma"/>
          <w:iCs/>
          <w:color w:val="000000" w:themeColor="text1"/>
          <w:sz w:val="20"/>
        </w:rPr>
        <w:t xml:space="preserve">Deze stromingen zijn op conceptueel model gepresenteerd en vervolgens toepasbaar gemaakt in een operationalisatie ten behoeve van dit onderzoek. Deze werkwijze sluit aan bij het fundamentele kenmerk van kwalitatief onderzoek zoals deze </w:t>
      </w:r>
      <w:proofErr w:type="spellStart"/>
      <w:r w:rsidRPr="00371492">
        <w:rPr>
          <w:rFonts w:ascii="Corbel" w:eastAsia="Tahoma" w:hAnsi="Corbel" w:cs="Tahoma"/>
          <w:iCs/>
          <w:color w:val="000000" w:themeColor="text1"/>
          <w:sz w:val="20"/>
        </w:rPr>
        <w:t>collective</w:t>
      </w:r>
      <w:proofErr w:type="spellEnd"/>
      <w:r w:rsidRPr="00371492">
        <w:rPr>
          <w:rFonts w:ascii="Corbel" w:eastAsia="Tahoma" w:hAnsi="Corbel" w:cs="Tahoma"/>
          <w:iCs/>
          <w:color w:val="000000" w:themeColor="text1"/>
          <w:sz w:val="20"/>
        </w:rPr>
        <w:t xml:space="preserve"> casestudy. Kwalitatief onderzoek kenmerkt zich door het </w:t>
      </w:r>
      <w:r w:rsidRPr="00371492">
        <w:rPr>
          <w:rFonts w:ascii="Corbel" w:eastAsia="Tahoma" w:hAnsi="Corbel" w:cs="Tahoma"/>
          <w:i/>
          <w:iCs/>
          <w:color w:val="000000" w:themeColor="text1"/>
          <w:sz w:val="20"/>
        </w:rPr>
        <w:t>iteratieve</w:t>
      </w:r>
      <w:r w:rsidRPr="00371492">
        <w:rPr>
          <w:rFonts w:ascii="Corbel" w:eastAsia="Tahoma" w:hAnsi="Corbel" w:cs="Tahoma"/>
          <w:iCs/>
          <w:color w:val="000000" w:themeColor="text1"/>
          <w:sz w:val="20"/>
        </w:rPr>
        <w:t xml:space="preserve"> </w:t>
      </w:r>
      <w:r w:rsidRPr="00371492">
        <w:rPr>
          <w:rFonts w:ascii="Corbel" w:eastAsia="Tahoma" w:hAnsi="Corbel" w:cs="Tahoma"/>
          <w:i/>
          <w:iCs/>
          <w:color w:val="000000" w:themeColor="text1"/>
          <w:sz w:val="20"/>
        </w:rPr>
        <w:t>werkwijze</w:t>
      </w:r>
      <w:r w:rsidRPr="00371492">
        <w:rPr>
          <w:rFonts w:ascii="Corbel" w:eastAsia="Tahoma" w:hAnsi="Corbel" w:cs="Tahoma"/>
          <w:iCs/>
          <w:color w:val="000000" w:themeColor="text1"/>
          <w:sz w:val="20"/>
        </w:rPr>
        <w:t xml:space="preserve"> die gevolgd wordt. Dit betekent dat de analyse een proces is waarbij steeds een afwisseling plaatsvindt van concreet materiaal naar theorie en omgekeerd. De opgedane inzichten worden telkens in het analysehoofdstuk verwerkt. Aan de start van het analyseren stond het doen van een aantal observaties. Hiervoor is de eerste case gebruikt (hoogwaterveiligheid). Met behulp van de drie modellen uit hoofdstuk 4, waarin de ethische stromingen toepasbaar en herkenbaar zijn gemaakt voor risicoanalyses</w:t>
      </w:r>
      <w:r w:rsidR="000C096A">
        <w:rPr>
          <w:rFonts w:ascii="Corbel" w:eastAsia="Tahoma" w:hAnsi="Corbel" w:cs="Tahoma"/>
          <w:iCs/>
          <w:color w:val="000000" w:themeColor="text1"/>
          <w:sz w:val="20"/>
        </w:rPr>
        <w:t>,</w:t>
      </w:r>
      <w:r w:rsidRPr="00371492">
        <w:rPr>
          <w:rFonts w:ascii="Corbel" w:eastAsia="Tahoma" w:hAnsi="Corbel" w:cs="Tahoma"/>
          <w:iCs/>
          <w:color w:val="000000" w:themeColor="text1"/>
          <w:sz w:val="20"/>
        </w:rPr>
        <w:t xml:space="preserve"> is gekeken naar deze casus. Het is namelijk van belang dat de begrippen uit het ethisch beoordelingskader zoveel als mogelijk aansluiten op de begrippen die gebruikt worden in het onderzoeksobject. Hierop is gereflecteerd en besloten dat er voldoende inzichten aan het licht kwamen om een eerste stap richting objectivering te doen. Met de ervaring en inzichten van de analyse van hoogwaterveiligheid is vervolgens op eenzelfde wijze onderzoek gedaan naar de twee andere cases. Na reflectie is besloten om de weergave van de resultaten op een andere wijze vorm te geven. Waar eerst vooral tekstueel te werk gegaan werd, is er voor gekozen om in kleuren duidelijk te maken wat de case aan het licht heeft gebracht. In een korte oogopslag moet duidelijk worden of ethische kenmerken</w:t>
      </w:r>
      <w:r w:rsidR="000C096A">
        <w:rPr>
          <w:rFonts w:ascii="Corbel" w:eastAsia="Tahoma" w:hAnsi="Corbel" w:cs="Tahoma"/>
          <w:iCs/>
          <w:color w:val="000000" w:themeColor="text1"/>
          <w:sz w:val="20"/>
        </w:rPr>
        <w:t xml:space="preserve"> expliciet</w:t>
      </w:r>
      <w:r w:rsidRPr="00371492">
        <w:rPr>
          <w:rFonts w:ascii="Corbel" w:eastAsia="Tahoma" w:hAnsi="Corbel" w:cs="Tahoma"/>
          <w:iCs/>
          <w:color w:val="000000" w:themeColor="text1"/>
          <w:sz w:val="20"/>
        </w:rPr>
        <w:t xml:space="preserve"> aanwezig, impliciet aanwezig of afwezig (maar mogelijk) zijn. Dit heeft niet tot nieuwe gegevens geleidt maar maakt het overzicht duidelijker voor de lezer. Deze werkwijze is ook schematisch weergegeven:</w:t>
      </w:r>
    </w:p>
    <w:p w14:paraId="0AF46D5B" w14:textId="77777777" w:rsidR="004F478F" w:rsidRPr="00371492" w:rsidRDefault="004F478F" w:rsidP="004F478F">
      <w:pPr>
        <w:spacing w:line="360" w:lineRule="auto"/>
        <w:jc w:val="both"/>
        <w:rPr>
          <w:rFonts w:ascii="Corbel" w:eastAsia="Tahoma" w:hAnsi="Corbel" w:cs="Tahoma"/>
          <w:iCs/>
          <w:color w:val="000000" w:themeColor="text1"/>
          <w:sz w:val="20"/>
        </w:rPr>
      </w:pPr>
    </w:p>
    <w:p w14:paraId="5E13FBF9" w14:textId="77777777" w:rsidR="004F478F" w:rsidRPr="00371492" w:rsidRDefault="004F478F" w:rsidP="004F478F">
      <w:pPr>
        <w:keepNext/>
        <w:spacing w:line="360" w:lineRule="auto"/>
        <w:jc w:val="center"/>
      </w:pPr>
      <w:r w:rsidRPr="00371492">
        <w:rPr>
          <w:rFonts w:ascii="Corbel" w:eastAsia="Tahoma" w:hAnsi="Corbel" w:cs="Tahoma"/>
          <w:iCs/>
          <w:noProof/>
          <w:color w:val="000000" w:themeColor="text1"/>
          <w:sz w:val="20"/>
        </w:rPr>
        <w:drawing>
          <wp:inline distT="0" distB="0" distL="0" distR="0" wp14:anchorId="118A3EB5" wp14:editId="7F9469C9">
            <wp:extent cx="3716551" cy="1583529"/>
            <wp:effectExtent l="0" t="0" r="0" b="0"/>
            <wp:docPr id="19" name="Afbeelding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print"/>
                    <a:srcRect r="16382"/>
                    <a:stretch/>
                  </pic:blipFill>
                  <pic:spPr bwMode="auto">
                    <a:xfrm>
                      <a:off x="0" y="0"/>
                      <a:ext cx="3724233" cy="1586802"/>
                    </a:xfrm>
                    <a:prstGeom prst="rect">
                      <a:avLst/>
                    </a:prstGeom>
                    <a:ln>
                      <a:noFill/>
                    </a:ln>
                    <a:extLst>
                      <a:ext uri="{53640926-AAD7-44D8-BBD7-CCE9431645EC}">
                        <a14:shadowObscured xmlns:a14="http://schemas.microsoft.com/office/drawing/2010/main"/>
                      </a:ext>
                    </a:extLst>
                  </pic:spPr>
                </pic:pic>
              </a:graphicData>
            </a:graphic>
          </wp:inline>
        </w:drawing>
      </w:r>
    </w:p>
    <w:p w14:paraId="3FB656F9" w14:textId="6610B984" w:rsidR="004F478F" w:rsidRPr="00371492" w:rsidRDefault="000C096A" w:rsidP="004F478F">
      <w:pPr>
        <w:pStyle w:val="Bijschrift"/>
        <w:jc w:val="center"/>
        <w:rPr>
          <w:rFonts w:ascii="Corbel" w:eastAsia="Tahoma" w:hAnsi="Corbel"/>
          <w:iCs/>
          <w:color w:val="000000" w:themeColor="text1"/>
          <w:sz w:val="20"/>
        </w:rPr>
      </w:pPr>
      <w:r>
        <w:rPr>
          <w:rFonts w:ascii="Corbel" w:hAnsi="Corbel"/>
        </w:rPr>
        <w:t>Figuur</w:t>
      </w:r>
      <w:r w:rsidR="004F478F" w:rsidRPr="00371492">
        <w:rPr>
          <w:rFonts w:ascii="Corbel" w:hAnsi="Corbel"/>
        </w:rPr>
        <w:t xml:space="preserve"> </w:t>
      </w:r>
      <w:r w:rsidR="00A61297" w:rsidRPr="00371492">
        <w:rPr>
          <w:rFonts w:ascii="Corbel" w:hAnsi="Corbel"/>
        </w:rPr>
        <w:fldChar w:fldCharType="begin"/>
      </w:r>
      <w:r w:rsidR="004F478F" w:rsidRPr="00371492">
        <w:rPr>
          <w:rFonts w:ascii="Corbel" w:hAnsi="Corbel"/>
        </w:rPr>
        <w:instrText xml:space="preserve"> SEQ Afbeelding \* ARABIC </w:instrText>
      </w:r>
      <w:r w:rsidR="00A61297" w:rsidRPr="00371492">
        <w:rPr>
          <w:rFonts w:ascii="Corbel" w:hAnsi="Corbel"/>
        </w:rPr>
        <w:fldChar w:fldCharType="separate"/>
      </w:r>
      <w:r w:rsidR="00BA122C">
        <w:rPr>
          <w:rFonts w:ascii="Corbel" w:hAnsi="Corbel"/>
          <w:noProof/>
        </w:rPr>
        <w:t>2</w:t>
      </w:r>
      <w:r w:rsidR="00A61297" w:rsidRPr="00371492">
        <w:rPr>
          <w:rFonts w:ascii="Corbel" w:hAnsi="Corbel"/>
        </w:rPr>
        <w:fldChar w:fldCharType="end"/>
      </w:r>
      <w:r w:rsidR="004F478F" w:rsidRPr="00371492">
        <w:rPr>
          <w:rFonts w:ascii="Corbel" w:hAnsi="Corbel"/>
        </w:rPr>
        <w:t xml:space="preserve"> - Kwalitatief onderzoek (</w:t>
      </w:r>
      <w:r>
        <w:rPr>
          <w:rFonts w:ascii="Corbel" w:hAnsi="Corbel"/>
        </w:rPr>
        <w:t xml:space="preserve">Bron: </w:t>
      </w:r>
      <w:proofErr w:type="spellStart"/>
      <w:r w:rsidR="004F478F" w:rsidRPr="00371492">
        <w:rPr>
          <w:rFonts w:ascii="Corbel" w:hAnsi="Corbel"/>
        </w:rPr>
        <w:t>Vennix</w:t>
      </w:r>
      <w:proofErr w:type="spellEnd"/>
      <w:r w:rsidR="004F478F" w:rsidRPr="00371492">
        <w:rPr>
          <w:rFonts w:ascii="Corbel" w:hAnsi="Corbel"/>
        </w:rPr>
        <w:t>, 2009, p. 137).</w:t>
      </w:r>
    </w:p>
    <w:p w14:paraId="51336E4A" w14:textId="77777777" w:rsidR="004F478F" w:rsidRPr="00371492" w:rsidRDefault="004F478F" w:rsidP="004F478F">
      <w:pPr>
        <w:pStyle w:val="Lijstalinea"/>
        <w:spacing w:line="360" w:lineRule="auto"/>
        <w:jc w:val="both"/>
        <w:rPr>
          <w:rFonts w:ascii="Corbel" w:eastAsia="Tahoma" w:hAnsi="Corbel" w:cs="Tahoma"/>
          <w:iCs/>
          <w:color w:val="000000" w:themeColor="text1"/>
          <w:sz w:val="20"/>
        </w:rPr>
      </w:pPr>
    </w:p>
    <w:p w14:paraId="3D1AF2F0" w14:textId="313D34BB" w:rsidR="004F478F" w:rsidRPr="00371492" w:rsidRDefault="004F478F" w:rsidP="00510131">
      <w:pPr>
        <w:pStyle w:val="Stijl2"/>
      </w:pPr>
      <w:bookmarkStart w:id="36" w:name="_Toc485990876"/>
      <w:r w:rsidRPr="00371492">
        <w:t>5.2 Selectie van cases</w:t>
      </w:r>
      <w:bookmarkEnd w:id="36"/>
    </w:p>
    <w:p w14:paraId="4DE6A3CC" w14:textId="1A62799C" w:rsidR="004F478F" w:rsidRPr="00192155" w:rsidRDefault="004F478F" w:rsidP="004F478F">
      <w:pPr>
        <w:spacing w:line="360" w:lineRule="auto"/>
        <w:jc w:val="both"/>
        <w:rPr>
          <w:rFonts w:ascii="Corbel" w:hAnsi="Corbel"/>
          <w:color w:val="000000" w:themeColor="text1"/>
          <w:sz w:val="20"/>
          <w:szCs w:val="22"/>
        </w:rPr>
      </w:pPr>
      <w:r w:rsidRPr="00192155">
        <w:rPr>
          <w:rFonts w:ascii="Corbel" w:hAnsi="Corbel"/>
          <w:color w:val="000000" w:themeColor="text1"/>
          <w:sz w:val="20"/>
          <w:szCs w:val="22"/>
        </w:rPr>
        <w:t xml:space="preserve">Vanwege de beperkte tijdsduur van dit onderzoek moeten er keuzes gemaakt worden ten behoeve van de haalbaarheid van de analyse. Dit komt tot uiting in de selectie van de cases die geanalyseerd worden. De </w:t>
      </w:r>
      <w:r w:rsidR="000C35A7" w:rsidRPr="00192155">
        <w:rPr>
          <w:rFonts w:ascii="Corbel" w:hAnsi="Corbel"/>
          <w:color w:val="000000" w:themeColor="text1"/>
          <w:sz w:val="20"/>
          <w:szCs w:val="22"/>
        </w:rPr>
        <w:t>ILT-brede risicoanalyse</w:t>
      </w:r>
      <w:r w:rsidRPr="00192155">
        <w:rPr>
          <w:rFonts w:ascii="Corbel" w:hAnsi="Corbel"/>
          <w:color w:val="000000" w:themeColor="text1"/>
          <w:sz w:val="20"/>
          <w:szCs w:val="22"/>
        </w:rPr>
        <w:t xml:space="preserve"> (IBRA) formuleert</w:t>
      </w:r>
      <w:r w:rsidR="000C096A">
        <w:rPr>
          <w:rFonts w:ascii="Corbel" w:hAnsi="Corbel"/>
          <w:color w:val="000000" w:themeColor="text1"/>
          <w:sz w:val="20"/>
          <w:szCs w:val="22"/>
        </w:rPr>
        <w:t xml:space="preserve"> 32 </w:t>
      </w:r>
      <w:r w:rsidRPr="00192155">
        <w:rPr>
          <w:rFonts w:ascii="Corbel" w:hAnsi="Corbel"/>
          <w:color w:val="000000" w:themeColor="text1"/>
          <w:sz w:val="20"/>
          <w:szCs w:val="22"/>
        </w:rPr>
        <w:t xml:space="preserve">risico’s. De verwachting is dat hier slechts een beperkt deel van geanalyseerd kan worden. In het kader van deze afweging heeft er overleg met het projectteam plaatsgevonden in week 14. Voor de casusselectie zijn de risico’s uit de risicocatalogus van IBRA opgedeeld in twee groepen: (1) risico’s waarvan de argumentatie relatief volledig is en (2) risico’s waarvan de argumentatie beperkt is. IBRA is in de huidige vorm met name uitgewerkt op utiliteit. </w:t>
      </w:r>
    </w:p>
    <w:p w14:paraId="2426B54F" w14:textId="4EE0156F" w:rsidR="004F478F" w:rsidRPr="00192155" w:rsidRDefault="004F478F" w:rsidP="004F478F">
      <w:pPr>
        <w:spacing w:line="360" w:lineRule="auto"/>
        <w:ind w:firstLine="708"/>
        <w:jc w:val="both"/>
        <w:rPr>
          <w:rFonts w:ascii="Corbel" w:hAnsi="Corbel"/>
          <w:color w:val="000000" w:themeColor="text1"/>
          <w:sz w:val="20"/>
          <w:szCs w:val="22"/>
        </w:rPr>
      </w:pPr>
      <w:r w:rsidRPr="00192155">
        <w:rPr>
          <w:rFonts w:ascii="Corbel" w:hAnsi="Corbel"/>
          <w:color w:val="000000" w:themeColor="text1"/>
          <w:sz w:val="20"/>
          <w:szCs w:val="22"/>
        </w:rPr>
        <w:t>Voor de case-selectie betekent dit dat de eerste risico-case relatief goed uitgewerkt is op utilitaire gronden</w:t>
      </w:r>
      <w:r w:rsidR="000C096A">
        <w:rPr>
          <w:rFonts w:ascii="Corbel" w:hAnsi="Corbel"/>
          <w:color w:val="000000" w:themeColor="text1"/>
          <w:sz w:val="20"/>
          <w:szCs w:val="22"/>
        </w:rPr>
        <w:t>, zoals eerder is gezegd</w:t>
      </w:r>
      <w:r w:rsidRPr="00192155">
        <w:rPr>
          <w:rFonts w:ascii="Corbel" w:hAnsi="Corbel"/>
          <w:color w:val="000000" w:themeColor="text1"/>
          <w:sz w:val="20"/>
          <w:szCs w:val="22"/>
        </w:rPr>
        <w:t xml:space="preserve">. Hierbij is uitgekomen op hoogwaterveiligheid. Dit maakt dat het interessant is om te verkennen of er andere ethische overwegingen zijn die meespelen bij het analyseren van deze groep risico’s en wat die gronden zouden zijn. Bij de tweede groep slaagt men hier echter niet in en volgt de conclusie dat de argumentatie niet uit te werken is volgens de utilistische theorie. Welke argumentatie ziet men dan wel terugkomen en hoe zijn risico’s die binnen deze groep vallen te analyseren? De verwachting was van tevoren dat deze casus elementen in zich heeft van zowel het utilisme, de deontologie als de deugdethiek. Dit maakt het een goede ‘testcasus’ voor de toepassing van het ethisch beoordelingskader. Deze casus is gebruikt als eerste observatie en na reflectie is beoordeeld dat het beoordelingskader geschikt was. </w:t>
      </w:r>
    </w:p>
    <w:p w14:paraId="1A283BE2" w14:textId="5B087740" w:rsidR="004F478F" w:rsidRPr="00192155" w:rsidRDefault="004F478F" w:rsidP="00192155">
      <w:pPr>
        <w:spacing w:line="360" w:lineRule="auto"/>
        <w:ind w:firstLine="708"/>
        <w:jc w:val="both"/>
        <w:rPr>
          <w:rFonts w:ascii="Corbel" w:hAnsi="Corbel"/>
          <w:color w:val="000000" w:themeColor="text1"/>
          <w:sz w:val="20"/>
          <w:szCs w:val="22"/>
        </w:rPr>
      </w:pPr>
      <w:r w:rsidRPr="00192155">
        <w:rPr>
          <w:rFonts w:ascii="Corbel" w:hAnsi="Corbel"/>
          <w:color w:val="000000" w:themeColor="text1"/>
          <w:sz w:val="20"/>
          <w:szCs w:val="22"/>
        </w:rPr>
        <w:t xml:space="preserve">Vervolgens zijn er nog twee cases geselecteerd. Dit zijn respectievelijk ongewenste verspreiding genetisch gemanipuleerde organismen en stank en overlast door luchtvaart. Voor deze cases is gekozen vanwege een aantal redenen. </w:t>
      </w:r>
      <w:r w:rsidR="00933E58" w:rsidRPr="00192155">
        <w:rPr>
          <w:rFonts w:ascii="Corbel" w:hAnsi="Corbel"/>
          <w:color w:val="000000" w:themeColor="text1"/>
          <w:sz w:val="20"/>
          <w:szCs w:val="22"/>
        </w:rPr>
        <w:t xml:space="preserve">Ten eerste omdat zij </w:t>
      </w:r>
      <w:r w:rsidRPr="00192155">
        <w:rPr>
          <w:rFonts w:ascii="Corbel" w:hAnsi="Corbel"/>
          <w:color w:val="000000" w:themeColor="text1"/>
          <w:sz w:val="20"/>
          <w:szCs w:val="22"/>
        </w:rPr>
        <w:t xml:space="preserve">de veelzijdigheid van het ILT-takenpakket weerspiegelt (er zijn drie totaal verschillende risico’s en domeinen aanwezig). Bij alle drie de cases was de verwachting </w:t>
      </w:r>
      <w:r w:rsidRPr="00192155">
        <w:rPr>
          <w:rFonts w:ascii="Corbel" w:hAnsi="Corbel"/>
          <w:i/>
          <w:color w:val="000000" w:themeColor="text1"/>
          <w:sz w:val="20"/>
          <w:szCs w:val="22"/>
        </w:rPr>
        <w:t>ex ante</w:t>
      </w:r>
      <w:r w:rsidRPr="00192155">
        <w:rPr>
          <w:rFonts w:ascii="Corbel" w:hAnsi="Corbel"/>
          <w:color w:val="000000" w:themeColor="text1"/>
          <w:sz w:val="20"/>
          <w:szCs w:val="22"/>
        </w:rPr>
        <w:t xml:space="preserve"> dat er meer dan alleen utilistische overwegingen speelden. </w:t>
      </w:r>
      <w:r w:rsidR="00933E58" w:rsidRPr="00192155">
        <w:rPr>
          <w:rFonts w:ascii="Corbel" w:hAnsi="Corbel"/>
          <w:color w:val="000000" w:themeColor="text1"/>
          <w:sz w:val="20"/>
          <w:szCs w:val="22"/>
        </w:rPr>
        <w:t xml:space="preserve">Er zijn zowel simpele als systemische risico’s meegenomen op deze manier. Tevens verschilt de mate van kwantitatieve uitwerking per case. Ten slotte </w:t>
      </w:r>
      <w:r w:rsidR="00192155" w:rsidRPr="00192155">
        <w:rPr>
          <w:rFonts w:ascii="Corbel" w:hAnsi="Corbel"/>
          <w:color w:val="000000" w:themeColor="text1"/>
          <w:sz w:val="20"/>
          <w:szCs w:val="22"/>
        </w:rPr>
        <w:t xml:space="preserve">werd in alle gevallen tegenspel tussen de perspectieven verwacht. </w:t>
      </w:r>
    </w:p>
    <w:p w14:paraId="6ED3B41B" w14:textId="77777777" w:rsidR="00192155" w:rsidRPr="00371492" w:rsidRDefault="00192155" w:rsidP="00192155">
      <w:pPr>
        <w:spacing w:line="360" w:lineRule="auto"/>
        <w:ind w:firstLine="708"/>
        <w:jc w:val="both"/>
        <w:rPr>
          <w:rFonts w:ascii="Corbel" w:hAnsi="Corbel"/>
          <w:sz w:val="20"/>
          <w:szCs w:val="22"/>
        </w:rPr>
      </w:pPr>
    </w:p>
    <w:p w14:paraId="148E042D" w14:textId="3DDCF7D9" w:rsidR="004F478F" w:rsidRPr="00371492" w:rsidRDefault="004F478F" w:rsidP="00510131">
      <w:pPr>
        <w:pStyle w:val="Stijl2"/>
      </w:pPr>
      <w:bookmarkStart w:id="37" w:name="_Toc485990877"/>
      <w:r w:rsidRPr="00371492">
        <w:t>5.3 Datacollectie</w:t>
      </w:r>
      <w:bookmarkEnd w:id="37"/>
    </w:p>
    <w:p w14:paraId="2742F93B" w14:textId="77777777" w:rsidR="004F478F" w:rsidRPr="00371492" w:rsidRDefault="004F478F" w:rsidP="004F478F">
      <w:pPr>
        <w:spacing w:line="360" w:lineRule="auto"/>
        <w:jc w:val="both"/>
        <w:rPr>
          <w:rFonts w:ascii="Corbel" w:hAnsi="Corbel"/>
          <w:color w:val="FF0000"/>
          <w:sz w:val="20"/>
          <w:szCs w:val="22"/>
        </w:rPr>
      </w:pPr>
      <w:r w:rsidRPr="00371492">
        <w:rPr>
          <w:rFonts w:ascii="Corbel" w:hAnsi="Corbel"/>
          <w:sz w:val="20"/>
          <w:szCs w:val="22"/>
        </w:rPr>
        <w:t xml:space="preserve">De eerste stap maakt gebruik van expliciete bronnen (interne documenten en publieke achtergrondinformatie vanuit departement) zoals de risicocatalogus en de achtergrondinformatie die het desbetreffende domein heeft aangeleverd. De tweede stap vraagt om het verder kijken dan deze informatie. Dit kan in de vorm van een gedachte-experiment of als interviews met de betrokken experts uit de domeinen. In dit onderzoek is ervoor gekozen om geen interviews te houden met de betrokkenen uit de domeinen. Hiervoor is gekozen omdat deze personen al intensief betrokken zijn geweest bij de totstandkoming van de risicoanalyse. Vanuit het projectteam is er een uitvraag geweest naar de domeinen. Hierin werd gevraagd of de betrokken medewerkers per domein de informatie aan konden leveren waarop de risicoanalyse in beginsel is gestoeld. De medewerkers zijn dus al bevraagd en de gedachte is dat een interview daarom veelal naar de informatie zal verwijzen die al </w:t>
      </w:r>
      <w:r w:rsidRPr="00371492">
        <w:rPr>
          <w:rFonts w:ascii="Corbel" w:hAnsi="Corbel"/>
          <w:sz w:val="20"/>
          <w:szCs w:val="22"/>
        </w:rPr>
        <w:lastRenderedPageBreak/>
        <w:t xml:space="preserve">beschikbaar is. </w:t>
      </w:r>
      <w:r w:rsidRPr="00371492">
        <w:rPr>
          <w:rFonts w:ascii="Corbel" w:hAnsi="Corbel"/>
          <w:color w:val="000000" w:themeColor="text1"/>
          <w:sz w:val="20"/>
          <w:szCs w:val="22"/>
        </w:rPr>
        <w:t>Bij het opstellen van de praktische toepassing van de drie ethische stromingen is gebruik gemaakt van een literatuurstudie.</w:t>
      </w:r>
    </w:p>
    <w:p w14:paraId="4F601FD4" w14:textId="77777777" w:rsidR="004F478F" w:rsidRPr="00371492" w:rsidRDefault="004F478F" w:rsidP="004F478F">
      <w:pPr>
        <w:spacing w:line="360" w:lineRule="auto"/>
        <w:jc w:val="both"/>
        <w:rPr>
          <w:rFonts w:ascii="Corbel" w:hAnsi="Corbel"/>
          <w:sz w:val="20"/>
          <w:szCs w:val="22"/>
        </w:rPr>
      </w:pPr>
    </w:p>
    <w:p w14:paraId="35B1E839" w14:textId="753E06A0" w:rsidR="004F478F" w:rsidRPr="00371492" w:rsidRDefault="004F478F" w:rsidP="00510131">
      <w:pPr>
        <w:pStyle w:val="Stijl2"/>
      </w:pPr>
      <w:bookmarkStart w:id="38" w:name="_Toc485990878"/>
      <w:r w:rsidRPr="00371492">
        <w:t>5.4 Kwaliteitscriteria</w:t>
      </w:r>
      <w:r w:rsidR="00192155">
        <w:t>: validiteit en betrouwbaarheid</w:t>
      </w:r>
      <w:bookmarkEnd w:id="38"/>
    </w:p>
    <w:p w14:paraId="43E5115F" w14:textId="72081101" w:rsidR="00192155" w:rsidRPr="00192155" w:rsidRDefault="004F478F" w:rsidP="00192155">
      <w:pPr>
        <w:spacing w:line="360" w:lineRule="auto"/>
        <w:jc w:val="both"/>
        <w:rPr>
          <w:rFonts w:ascii="Corbel" w:hAnsi="Corbel"/>
          <w:color w:val="000000" w:themeColor="text1"/>
          <w:sz w:val="20"/>
          <w:szCs w:val="22"/>
        </w:rPr>
      </w:pPr>
      <w:r w:rsidRPr="00371492">
        <w:rPr>
          <w:rFonts w:ascii="Corbel" w:hAnsi="Corbel"/>
          <w:color w:val="000000" w:themeColor="text1"/>
          <w:sz w:val="20"/>
          <w:szCs w:val="22"/>
        </w:rPr>
        <w:t>Kort gezegd draait validiteit om de accuraatheid van het meetinstrument en om de afwezigheid van systematische onjuistheden</w:t>
      </w:r>
      <w:r w:rsidR="00192155">
        <w:rPr>
          <w:rFonts w:ascii="Corbel" w:hAnsi="Corbel"/>
          <w:color w:val="000000" w:themeColor="text1"/>
          <w:sz w:val="20"/>
          <w:szCs w:val="22"/>
        </w:rPr>
        <w:t xml:space="preserve"> </w:t>
      </w:r>
      <w:r w:rsidR="00192155" w:rsidRPr="00371492">
        <w:rPr>
          <w:rFonts w:ascii="Corbel" w:hAnsi="Corbel"/>
          <w:color w:val="000000" w:themeColor="text1"/>
          <w:sz w:val="20"/>
          <w:szCs w:val="22"/>
        </w:rPr>
        <w:t>(</w:t>
      </w:r>
      <w:proofErr w:type="spellStart"/>
      <w:r w:rsidR="00192155" w:rsidRPr="00371492">
        <w:rPr>
          <w:rFonts w:ascii="Corbel" w:hAnsi="Corbel"/>
          <w:color w:val="000000" w:themeColor="text1"/>
          <w:sz w:val="20"/>
          <w:szCs w:val="22"/>
        </w:rPr>
        <w:t>Vennix</w:t>
      </w:r>
      <w:proofErr w:type="spellEnd"/>
      <w:r w:rsidR="00192155" w:rsidRPr="00371492">
        <w:rPr>
          <w:rFonts w:ascii="Corbel" w:hAnsi="Corbel"/>
          <w:color w:val="000000" w:themeColor="text1"/>
          <w:sz w:val="20"/>
          <w:szCs w:val="22"/>
        </w:rPr>
        <w:t>, 2009).</w:t>
      </w:r>
      <w:r w:rsidRPr="00371492">
        <w:rPr>
          <w:rFonts w:ascii="Corbel" w:hAnsi="Corbel"/>
          <w:color w:val="000000" w:themeColor="text1"/>
          <w:sz w:val="20"/>
          <w:szCs w:val="22"/>
        </w:rPr>
        <w:t xml:space="preserve"> Echter, om hier uitspraken over te kunnen doen is het belangrijk dat de </w:t>
      </w:r>
      <w:r w:rsidRPr="00192155">
        <w:rPr>
          <w:rFonts w:ascii="Corbel" w:hAnsi="Corbel"/>
          <w:color w:val="000000" w:themeColor="text1"/>
          <w:sz w:val="20"/>
          <w:szCs w:val="22"/>
        </w:rPr>
        <w:t>betrouwbaarheid van een onderzoek is aangetoond. Betrouwbare onderzoeksresultaten kenmerken zich door de afwezigheid van toevallige fouten. Dit onderzoek is uitgevoerd, zoals beschreven, in een iteratief proces van observe</w:t>
      </w:r>
      <w:r w:rsidR="00192155" w:rsidRPr="00192155">
        <w:rPr>
          <w:rFonts w:ascii="Corbel" w:hAnsi="Corbel"/>
          <w:color w:val="000000" w:themeColor="text1"/>
          <w:sz w:val="20"/>
          <w:szCs w:val="22"/>
        </w:rPr>
        <w:t>ren, analyseren en reflecteren. Toevallige fouten zijn hebben ertoe geleid dat het ethisch beoordelingskader verbeterd is, waardoor het onderzoek betrouwbaarder werd.</w:t>
      </w:r>
      <w:r w:rsidR="00192155">
        <w:rPr>
          <w:rFonts w:ascii="Corbel" w:hAnsi="Corbel"/>
          <w:color w:val="000000" w:themeColor="text1"/>
          <w:sz w:val="20"/>
          <w:szCs w:val="22"/>
        </w:rPr>
        <w:t xml:space="preserve"> In dit hoofdstuk is tevens een onderzoeksprotocol opgesteld. Dit leidt ertoe dat het onderzoek herhaalbaar en betrouwbaar is.</w:t>
      </w:r>
      <w:r w:rsidR="00192155" w:rsidRPr="00192155">
        <w:rPr>
          <w:rFonts w:ascii="Corbel" w:hAnsi="Corbel"/>
          <w:color w:val="000000" w:themeColor="text1"/>
          <w:sz w:val="20"/>
          <w:szCs w:val="22"/>
        </w:rPr>
        <w:t xml:space="preserve"> </w:t>
      </w:r>
      <w:r w:rsidRPr="00192155">
        <w:rPr>
          <w:rFonts w:ascii="Corbel" w:hAnsi="Corbel"/>
          <w:color w:val="000000" w:themeColor="text1"/>
          <w:sz w:val="20"/>
          <w:szCs w:val="22"/>
        </w:rPr>
        <w:t>De onderzoeker is in het geval van dit onderzoek ook participant geweest in het IBRA-projectteam. Problemen waar vaak op gewezen wordt bij kwalitatief onderzoek zijn ‘</w:t>
      </w:r>
      <w:proofErr w:type="spellStart"/>
      <w:r w:rsidRPr="00192155">
        <w:rPr>
          <w:rFonts w:ascii="Corbel" w:hAnsi="Corbel"/>
          <w:color w:val="000000" w:themeColor="text1"/>
          <w:sz w:val="20"/>
          <w:szCs w:val="22"/>
        </w:rPr>
        <w:t>observer</w:t>
      </w:r>
      <w:proofErr w:type="spellEnd"/>
      <w:r w:rsidRPr="00192155">
        <w:rPr>
          <w:rFonts w:ascii="Corbel" w:hAnsi="Corbel"/>
          <w:color w:val="000000" w:themeColor="text1"/>
          <w:sz w:val="20"/>
          <w:szCs w:val="22"/>
        </w:rPr>
        <w:t xml:space="preserve"> bias’ en ‘participant bias’. </w:t>
      </w:r>
    </w:p>
    <w:p w14:paraId="398F926C" w14:textId="689A78A1" w:rsidR="00C82A34" w:rsidRPr="00EB2512" w:rsidRDefault="004F478F" w:rsidP="00EB2512">
      <w:pPr>
        <w:spacing w:line="360" w:lineRule="auto"/>
        <w:ind w:firstLine="709"/>
        <w:jc w:val="both"/>
        <w:rPr>
          <w:rFonts w:ascii="Corbel" w:hAnsi="Corbel"/>
          <w:color w:val="000000" w:themeColor="text1"/>
          <w:sz w:val="20"/>
          <w:szCs w:val="22"/>
        </w:rPr>
      </w:pPr>
      <w:proofErr w:type="spellStart"/>
      <w:r w:rsidRPr="00192155">
        <w:rPr>
          <w:rFonts w:ascii="Corbel" w:hAnsi="Corbel"/>
          <w:color w:val="000000" w:themeColor="text1"/>
          <w:sz w:val="20"/>
          <w:szCs w:val="22"/>
        </w:rPr>
        <w:t>Observer</w:t>
      </w:r>
      <w:proofErr w:type="spellEnd"/>
      <w:r w:rsidRPr="00192155">
        <w:rPr>
          <w:rFonts w:ascii="Corbel" w:hAnsi="Corbel"/>
          <w:color w:val="000000" w:themeColor="text1"/>
          <w:sz w:val="20"/>
          <w:szCs w:val="22"/>
        </w:rPr>
        <w:t xml:space="preserve"> bias slaat op het feit dat er altijd bepaalde keuzes gemaakt worden bij het waarnemen en analyseren. Deze keuzes worden gemaakt vanuit een bepaald gezichtspunt. </w:t>
      </w:r>
      <w:r w:rsidR="00192155" w:rsidRPr="00192155">
        <w:rPr>
          <w:rFonts w:ascii="Corbel" w:hAnsi="Corbel"/>
          <w:color w:val="000000" w:themeColor="text1"/>
          <w:sz w:val="20"/>
          <w:szCs w:val="22"/>
        </w:rPr>
        <w:t xml:space="preserve">Voor dit onderzoek geldt dat de operationalisatie van alle drie de ethiek ertoe heeft geleid dat de onderzoeker ertoe verplicht was observaties te plegen volgens het volledige beoordelingskader. Het was dus niet mogelijk alleen die zaken te zien die men wilde zien. Zaken die buiten het verwachtingspatroon liggen worden op deze manier toch meegenomen. </w:t>
      </w:r>
      <w:r w:rsidRPr="00192155">
        <w:rPr>
          <w:rFonts w:ascii="Corbel" w:hAnsi="Corbel"/>
          <w:color w:val="000000" w:themeColor="text1"/>
          <w:sz w:val="20"/>
          <w:szCs w:val="22"/>
        </w:rPr>
        <w:t xml:space="preserve">Participant bias houdt in dat dat door participatie van de onderzoeker er verandering plaatsvindt van de ‘natuurlijke’ setting zoals die bestond voordat de onderzoeker deelname. Er is echter geen mogelijkheid om dit te voorkomen: de onderzoeker moet actief deelnemen in de situatie om zo de onderzochte situatie te kunnen begrijpen. </w:t>
      </w:r>
    </w:p>
    <w:p w14:paraId="5EF15E1C" w14:textId="77777777" w:rsidR="004F478F" w:rsidRPr="00371492" w:rsidRDefault="004F478F" w:rsidP="004F478F">
      <w:pPr>
        <w:spacing w:line="360" w:lineRule="auto"/>
        <w:jc w:val="both"/>
        <w:rPr>
          <w:rFonts w:ascii="Corbel" w:hAnsi="Corbel"/>
          <w:color w:val="000000" w:themeColor="text1"/>
          <w:sz w:val="20"/>
          <w:szCs w:val="22"/>
        </w:rPr>
      </w:pPr>
    </w:p>
    <w:p w14:paraId="6CB451DA" w14:textId="049AB801" w:rsidR="004F478F" w:rsidRPr="00371492" w:rsidRDefault="004F478F" w:rsidP="00510131">
      <w:pPr>
        <w:pStyle w:val="Stijl2"/>
      </w:pPr>
      <w:bookmarkStart w:id="39" w:name="_Toc485990879"/>
      <w:r w:rsidRPr="00371492">
        <w:t>5.5 Werkwijze/protocol</w:t>
      </w:r>
      <w:bookmarkEnd w:id="39"/>
    </w:p>
    <w:p w14:paraId="5CB517CC" w14:textId="05A33345" w:rsidR="004F478F" w:rsidRPr="00371492" w:rsidRDefault="004F478F" w:rsidP="004F478F">
      <w:pPr>
        <w:spacing w:line="360" w:lineRule="auto"/>
        <w:jc w:val="both"/>
        <w:rPr>
          <w:rFonts w:ascii="Corbel" w:hAnsi="Corbel"/>
          <w:sz w:val="20"/>
          <w:szCs w:val="20"/>
        </w:rPr>
      </w:pPr>
      <w:r w:rsidRPr="00371492">
        <w:rPr>
          <w:rFonts w:ascii="Corbel" w:hAnsi="Corbel"/>
          <w:sz w:val="20"/>
          <w:szCs w:val="20"/>
        </w:rPr>
        <w:t xml:space="preserve">De cases voor dit onderzoek zijn drie risico’s zoals die geformuleerd zijn in de risicocatalogus. De risicocatalogus is een verzamelwerk met informatie over de </w:t>
      </w:r>
      <w:r w:rsidR="00F35359" w:rsidRPr="00371492">
        <w:rPr>
          <w:rFonts w:ascii="Corbel" w:hAnsi="Corbel"/>
          <w:sz w:val="20"/>
          <w:szCs w:val="20"/>
        </w:rPr>
        <w:t>32</w:t>
      </w:r>
      <w:r w:rsidRPr="00371492">
        <w:rPr>
          <w:rFonts w:ascii="Corbel" w:hAnsi="Corbel"/>
          <w:sz w:val="20"/>
          <w:szCs w:val="20"/>
        </w:rPr>
        <w:t xml:space="preserve"> risico’s die zijn meegenomen in het project IBRA. De totale lijst met risico’s is opgenomen in bijlage</w:t>
      </w:r>
      <w:r w:rsidR="00F35359" w:rsidRPr="00371492">
        <w:rPr>
          <w:rFonts w:ascii="Corbel" w:hAnsi="Corbel"/>
          <w:sz w:val="20"/>
          <w:szCs w:val="20"/>
        </w:rPr>
        <w:t xml:space="preserve"> 1</w:t>
      </w:r>
      <w:r w:rsidRPr="00371492">
        <w:rPr>
          <w:rFonts w:ascii="Corbel" w:hAnsi="Corbel"/>
          <w:sz w:val="20"/>
          <w:szCs w:val="20"/>
        </w:rPr>
        <w:t xml:space="preserve"> van dit onderzoek. Per risico is een risicokaart ingevuld, waarbij alle relevante informatie in een overzicht is weergegeven. Voor de drie risico’s die geanalyseerd zijn in dit onderzoek zijn de risicokaarten opgenomen in de bijlage van dit onderzoek. De risicocatalogus is opgesteld nadat er een uitvraag heeft plaatsgevonden naar de domeinen van de ILT toe. De verantwoordelijke medewerkers werd gevraagd de risicokaarten in te vullen, waarna het projectteam er mee aan de slag is gegaan. Dit onderzoek baseert zich op de uiteindelijke versie van de risicocatalogus. Deze versie dateert van 5 mei 2017. </w:t>
      </w:r>
      <w:r w:rsidR="000C096A">
        <w:rPr>
          <w:rFonts w:ascii="Corbel" w:hAnsi="Corbel"/>
          <w:sz w:val="20"/>
          <w:szCs w:val="20"/>
        </w:rPr>
        <w:t>Dit is tevens de versie waarop de memo is gebaseerd die aanbevelingen doet naar aanleiding van IBRA 1.0.</w:t>
      </w:r>
    </w:p>
    <w:p w14:paraId="2A5ED3D6" w14:textId="57ACE747" w:rsidR="004F478F" w:rsidRPr="00371492" w:rsidRDefault="004F478F" w:rsidP="004F478F">
      <w:pPr>
        <w:spacing w:line="360" w:lineRule="auto"/>
        <w:ind w:firstLine="709"/>
        <w:jc w:val="both"/>
        <w:rPr>
          <w:rFonts w:ascii="Corbel" w:hAnsi="Corbel"/>
          <w:sz w:val="20"/>
          <w:szCs w:val="20"/>
        </w:rPr>
      </w:pPr>
      <w:r w:rsidRPr="00371492">
        <w:rPr>
          <w:rFonts w:ascii="Corbel" w:hAnsi="Corbel"/>
          <w:sz w:val="20"/>
          <w:szCs w:val="20"/>
        </w:rPr>
        <w:t xml:space="preserve">Voordat uiteengezet wordt hoe de analyse van een case verloopt, wordt kort stilgestaan bij de totstandkoming van het ethisch beoordelingskader. De beoordelingskaders zijn opgesteld nadat de drie ethische stromingen conceptueel uiteengezet zijn in het derde hoofdstuk. Vanuit deze beschrijving van het utilisme, de deontologie en de deugdethiek is vervolgens beschreven wat voor logica deze ethische stromingen </w:t>
      </w:r>
      <w:r w:rsidRPr="00371492">
        <w:rPr>
          <w:rFonts w:ascii="Corbel" w:hAnsi="Corbel"/>
          <w:sz w:val="20"/>
          <w:szCs w:val="20"/>
        </w:rPr>
        <w:lastRenderedPageBreak/>
        <w:t xml:space="preserve">hanteren. Dit is de eerste stap in het proces van het toepasbaar maken van de ethische stroming. Vervolgens is per stroming de focus geformuleerd: waar kijkt de theorie naar? De volgende stap is de beschrijving van de rationaliseringswijze of ‘benadering’: hoe wordt dat benaderd? Bij elke stap wordt de abstracte theorie concreter voor de analyse van risico’s. Vervolgens is nagegaan welke kwetsbaarheden logischerwijs vanuit de drie theorieën beschermd worden. Dit eindigt in een operationalisatie: hoe is deze lijn terug te zien in een analyse? Ten slotte is per stroming beschreven welk gremium het meest voor de hand liggend is om de ethische stroming te behandelen in het geval van risicoanalyses. </w:t>
      </w:r>
    </w:p>
    <w:p w14:paraId="12F193B5" w14:textId="77777777" w:rsidR="004F478F" w:rsidRPr="00371492" w:rsidRDefault="004F478F" w:rsidP="004F478F">
      <w:pPr>
        <w:spacing w:line="360" w:lineRule="auto"/>
        <w:ind w:firstLine="709"/>
        <w:jc w:val="both"/>
        <w:rPr>
          <w:rFonts w:ascii="Corbel" w:hAnsi="Corbel"/>
          <w:sz w:val="20"/>
          <w:szCs w:val="20"/>
        </w:rPr>
      </w:pPr>
      <w:r w:rsidRPr="00371492">
        <w:rPr>
          <w:rFonts w:ascii="Corbel" w:hAnsi="Corbel"/>
          <w:sz w:val="20"/>
          <w:szCs w:val="20"/>
        </w:rPr>
        <w:t xml:space="preserve">De analyse van een casus verloopt grofweg in drie stappen. Deze stappen zullen uitgelegd worden en hiermee vormt deze beschrijving een protocol voor het onderzoek. De eerste stap is de casusbeschrijving. Hierin wordt de achtergrondinformatie van het desbetreffende risico gepresenteerd. Dit gebeurt op basis van de risicocatalogus van de ILT. In deze sectie worden onder meer het betreffende domein en toezichtsvorm van de ILT genoemd. Daarna volgt een omschrijving van het risico (denk aan populatie, termijn, locatie en frequentie). Ten slotte wordt de schade besproken, onder meer het soort, perspectief, de grootheden en effecten. </w:t>
      </w:r>
      <w:r w:rsidR="006A76AC" w:rsidRPr="00371492">
        <w:rPr>
          <w:rFonts w:ascii="Corbel" w:hAnsi="Corbel"/>
          <w:sz w:val="20"/>
          <w:szCs w:val="20"/>
        </w:rPr>
        <w:t xml:space="preserve">Elke case wordt schematisch weergegeven met de volgende elementen: risicogebied, soort schade, perspectief en grootheden. De leidraad voor de volgende stap van de analyse zijn de perspectieven die door de ILT zijn aangewezen als relevant voor de case. Aan de hand van deze perspectieven wordt gekeken naar de ethische argumentatie. </w:t>
      </w:r>
    </w:p>
    <w:p w14:paraId="58BC4DDC" w14:textId="14DE56D6" w:rsidR="004F478F" w:rsidRPr="00371492" w:rsidRDefault="004F478F" w:rsidP="004F478F">
      <w:pPr>
        <w:spacing w:line="360" w:lineRule="auto"/>
        <w:ind w:firstLine="709"/>
        <w:jc w:val="both"/>
        <w:rPr>
          <w:rFonts w:ascii="Corbel" w:hAnsi="Corbel"/>
          <w:color w:val="FF0000"/>
          <w:sz w:val="20"/>
          <w:szCs w:val="20"/>
        </w:rPr>
      </w:pPr>
      <w:r w:rsidRPr="00371492">
        <w:rPr>
          <w:rFonts w:ascii="Corbel" w:hAnsi="Corbel"/>
          <w:sz w:val="20"/>
          <w:szCs w:val="20"/>
        </w:rPr>
        <w:t>Vervolgens vindt de eerste stap van de analyse plaats. Hierbij wordt gekeken welke ethische elementen te herkennen zijn in de risicocatalogus. Hierbij wordt –zoals hierboven beschreven- gebruik gemaakt van de drie schema’s die elke een ethische stroming vertegenwoordigen. Om deze eerste stap van de analyse overzichtelijk te presenteren wordt gebruik gemaakt van een kleurenschema. Het voordeel hiervan is dat in een oogopslag duidelijk is welke ethische stromingen</w:t>
      </w:r>
      <w:r w:rsidRPr="00371492">
        <w:rPr>
          <w:rFonts w:ascii="Corbel" w:hAnsi="Corbel"/>
          <w:b/>
          <w:sz w:val="20"/>
          <w:szCs w:val="20"/>
        </w:rPr>
        <w:t xml:space="preserve">: </w:t>
      </w:r>
      <w:r w:rsidRPr="00371492">
        <w:rPr>
          <w:rFonts w:ascii="Corbel" w:hAnsi="Corbel"/>
          <w:b/>
          <w:color w:val="70AD47" w:themeColor="accent6"/>
          <w:sz w:val="20"/>
          <w:szCs w:val="20"/>
        </w:rPr>
        <w:t>[</w:t>
      </w:r>
      <w:r w:rsidR="00800CF2" w:rsidRPr="00371492">
        <w:rPr>
          <w:rFonts w:ascii="Corbel" w:hAnsi="Corbel"/>
          <w:b/>
          <w:color w:val="70AD47" w:themeColor="accent6"/>
          <w:sz w:val="20"/>
          <w:szCs w:val="20"/>
        </w:rPr>
        <w:t xml:space="preserve">expliciet </w:t>
      </w:r>
      <w:r w:rsidRPr="00371492">
        <w:rPr>
          <w:rFonts w:ascii="Corbel" w:hAnsi="Corbel"/>
          <w:b/>
          <w:color w:val="70AD47" w:themeColor="accent6"/>
          <w:sz w:val="20"/>
          <w:szCs w:val="20"/>
        </w:rPr>
        <w:t>aanwezig</w:t>
      </w:r>
      <w:proofErr w:type="gramStart"/>
      <w:r w:rsidRPr="00371492">
        <w:rPr>
          <w:rFonts w:ascii="Corbel" w:hAnsi="Corbel"/>
          <w:b/>
          <w:color w:val="70AD47" w:themeColor="accent6"/>
          <w:sz w:val="20"/>
          <w:szCs w:val="20"/>
        </w:rPr>
        <w:t xml:space="preserve">] </w:t>
      </w:r>
      <w:r w:rsidRPr="00371492">
        <w:rPr>
          <w:rFonts w:ascii="Corbel" w:hAnsi="Corbel"/>
          <w:b/>
          <w:sz w:val="20"/>
          <w:szCs w:val="20"/>
        </w:rPr>
        <w:t>/</w:t>
      </w:r>
      <w:proofErr w:type="gramEnd"/>
      <w:r w:rsidRPr="00371492">
        <w:rPr>
          <w:rFonts w:ascii="Corbel" w:hAnsi="Corbel"/>
          <w:b/>
          <w:sz w:val="20"/>
          <w:szCs w:val="20"/>
        </w:rPr>
        <w:t xml:space="preserve"> </w:t>
      </w:r>
      <w:r w:rsidRPr="00371492">
        <w:rPr>
          <w:rFonts w:ascii="Corbel" w:hAnsi="Corbel"/>
          <w:b/>
          <w:color w:val="ED7D31" w:themeColor="accent2"/>
          <w:sz w:val="20"/>
          <w:szCs w:val="20"/>
        </w:rPr>
        <w:t xml:space="preserve">[impliciet aanwezig] </w:t>
      </w:r>
      <w:r w:rsidRPr="00371492">
        <w:rPr>
          <w:rFonts w:ascii="Corbel" w:hAnsi="Corbel"/>
          <w:b/>
          <w:sz w:val="20"/>
          <w:szCs w:val="20"/>
        </w:rPr>
        <w:t xml:space="preserve">/ </w:t>
      </w:r>
      <w:r w:rsidRPr="00371492">
        <w:rPr>
          <w:rFonts w:ascii="Corbel" w:hAnsi="Corbel"/>
          <w:b/>
          <w:color w:val="C00000"/>
          <w:sz w:val="20"/>
          <w:szCs w:val="20"/>
        </w:rPr>
        <w:t>[afwezig maar mogelijk zijn]</w:t>
      </w:r>
      <w:r w:rsidRPr="00371492">
        <w:rPr>
          <w:rFonts w:ascii="Corbel" w:hAnsi="Corbel"/>
          <w:sz w:val="20"/>
          <w:szCs w:val="20"/>
        </w:rPr>
        <w:t>.</w:t>
      </w:r>
      <w:r w:rsidR="00CC0F56" w:rsidRPr="00371492">
        <w:rPr>
          <w:rFonts w:ascii="Corbel" w:hAnsi="Corbel"/>
          <w:sz w:val="20"/>
          <w:szCs w:val="20"/>
        </w:rPr>
        <w:t xml:space="preserve"> Aan het eind van elke analyse van een case wordt de balans opgemaakt en in een kleurenschema overzichtelijk weergegeven welke ethische elementen </w:t>
      </w:r>
      <w:r w:rsidR="00AF35B4">
        <w:rPr>
          <w:rFonts w:ascii="Corbel" w:hAnsi="Corbel"/>
          <w:sz w:val="20"/>
          <w:szCs w:val="20"/>
        </w:rPr>
        <w:t>in welke mate van toepassing (kunnen)</w:t>
      </w:r>
      <w:r w:rsidR="00CC0F56" w:rsidRPr="00371492">
        <w:rPr>
          <w:rFonts w:ascii="Corbel" w:hAnsi="Corbel"/>
          <w:sz w:val="20"/>
          <w:szCs w:val="20"/>
        </w:rPr>
        <w:t xml:space="preserve"> zijn.</w:t>
      </w:r>
    </w:p>
    <w:p w14:paraId="2F6BC93A" w14:textId="13800669" w:rsidR="00897866" w:rsidRDefault="004F478F" w:rsidP="00BB271C">
      <w:pPr>
        <w:spacing w:line="360" w:lineRule="auto"/>
        <w:ind w:firstLine="709"/>
        <w:jc w:val="both"/>
        <w:rPr>
          <w:rFonts w:ascii="Corbel" w:hAnsi="Corbel"/>
          <w:sz w:val="20"/>
          <w:szCs w:val="20"/>
        </w:rPr>
      </w:pPr>
      <w:r w:rsidRPr="00371492">
        <w:rPr>
          <w:rFonts w:ascii="Corbel" w:hAnsi="Corbel"/>
          <w:sz w:val="20"/>
          <w:szCs w:val="20"/>
        </w:rPr>
        <w:t>De</w:t>
      </w:r>
      <w:r w:rsidR="00CC0F56" w:rsidRPr="00371492">
        <w:rPr>
          <w:rFonts w:ascii="Corbel" w:hAnsi="Corbel"/>
          <w:sz w:val="20"/>
          <w:szCs w:val="20"/>
        </w:rPr>
        <w:t>ze</w:t>
      </w:r>
      <w:r w:rsidRPr="00371492">
        <w:rPr>
          <w:rFonts w:ascii="Corbel" w:hAnsi="Corbel"/>
          <w:sz w:val="20"/>
          <w:szCs w:val="20"/>
        </w:rPr>
        <w:t xml:space="preserve"> laatste stap kijkt naar de mogelijkheden om de argumentatie onder de risicoanalyse uit te breiden op basis van de analyse van de ethische tradities. In andere woorden: hoe kan men omgaan met het kleurenverschil dat voortgekomen is uit de vorige stap?</w:t>
      </w:r>
    </w:p>
    <w:p w14:paraId="78C2524B" w14:textId="77777777" w:rsidR="004D2CC0" w:rsidRDefault="004D2CC0" w:rsidP="00BB271C">
      <w:pPr>
        <w:spacing w:line="360" w:lineRule="auto"/>
        <w:ind w:firstLine="709"/>
        <w:jc w:val="both"/>
        <w:rPr>
          <w:rFonts w:ascii="Corbel" w:hAnsi="Corbel"/>
          <w:sz w:val="20"/>
          <w:szCs w:val="20"/>
        </w:rPr>
      </w:pPr>
    </w:p>
    <w:p w14:paraId="51DC0C3E" w14:textId="77777777" w:rsidR="004D2CC0" w:rsidRDefault="004D2CC0" w:rsidP="00BB271C">
      <w:pPr>
        <w:spacing w:line="360" w:lineRule="auto"/>
        <w:ind w:firstLine="709"/>
        <w:jc w:val="both"/>
        <w:rPr>
          <w:rFonts w:ascii="Corbel" w:hAnsi="Corbel"/>
          <w:sz w:val="20"/>
          <w:szCs w:val="20"/>
        </w:rPr>
      </w:pPr>
    </w:p>
    <w:p w14:paraId="01CE9040" w14:textId="77777777" w:rsidR="004D2CC0" w:rsidRDefault="004D2CC0" w:rsidP="00BB271C">
      <w:pPr>
        <w:spacing w:line="360" w:lineRule="auto"/>
        <w:ind w:firstLine="709"/>
        <w:jc w:val="both"/>
        <w:rPr>
          <w:rFonts w:ascii="Corbel" w:hAnsi="Corbel"/>
          <w:sz w:val="20"/>
          <w:szCs w:val="20"/>
        </w:rPr>
      </w:pPr>
    </w:p>
    <w:p w14:paraId="6C80A60A" w14:textId="77777777" w:rsidR="004D2CC0" w:rsidRDefault="004D2CC0" w:rsidP="00BB271C">
      <w:pPr>
        <w:spacing w:line="360" w:lineRule="auto"/>
        <w:ind w:firstLine="709"/>
        <w:jc w:val="both"/>
        <w:rPr>
          <w:rFonts w:ascii="Corbel" w:hAnsi="Corbel"/>
          <w:sz w:val="20"/>
          <w:szCs w:val="20"/>
        </w:rPr>
      </w:pPr>
    </w:p>
    <w:p w14:paraId="1E6EAFB8" w14:textId="77777777" w:rsidR="004D2CC0" w:rsidRDefault="004D2CC0" w:rsidP="00BB271C">
      <w:pPr>
        <w:spacing w:line="360" w:lineRule="auto"/>
        <w:ind w:firstLine="709"/>
        <w:jc w:val="both"/>
        <w:rPr>
          <w:rFonts w:ascii="Corbel" w:hAnsi="Corbel"/>
          <w:sz w:val="20"/>
          <w:szCs w:val="20"/>
        </w:rPr>
      </w:pPr>
    </w:p>
    <w:p w14:paraId="1757E769" w14:textId="77777777" w:rsidR="004D2CC0" w:rsidRDefault="004D2CC0" w:rsidP="00BB271C">
      <w:pPr>
        <w:spacing w:line="360" w:lineRule="auto"/>
        <w:ind w:firstLine="709"/>
        <w:jc w:val="both"/>
        <w:rPr>
          <w:rFonts w:ascii="Corbel" w:hAnsi="Corbel"/>
          <w:sz w:val="20"/>
          <w:szCs w:val="20"/>
        </w:rPr>
      </w:pPr>
    </w:p>
    <w:p w14:paraId="22555826" w14:textId="77777777" w:rsidR="004D2CC0" w:rsidRDefault="004D2CC0" w:rsidP="00BB271C">
      <w:pPr>
        <w:spacing w:line="360" w:lineRule="auto"/>
        <w:ind w:firstLine="709"/>
        <w:jc w:val="both"/>
        <w:rPr>
          <w:rFonts w:ascii="Corbel" w:hAnsi="Corbel"/>
          <w:sz w:val="20"/>
          <w:szCs w:val="20"/>
        </w:rPr>
      </w:pPr>
    </w:p>
    <w:p w14:paraId="3F237BB4" w14:textId="77777777" w:rsidR="004D2CC0" w:rsidRDefault="004D2CC0" w:rsidP="00BB271C">
      <w:pPr>
        <w:spacing w:line="360" w:lineRule="auto"/>
        <w:ind w:firstLine="709"/>
        <w:jc w:val="both"/>
        <w:rPr>
          <w:rFonts w:ascii="Corbel" w:hAnsi="Corbel"/>
          <w:sz w:val="20"/>
          <w:szCs w:val="20"/>
        </w:rPr>
      </w:pPr>
    </w:p>
    <w:p w14:paraId="4F4D7052" w14:textId="77777777" w:rsidR="004D2CC0" w:rsidRDefault="004D2CC0" w:rsidP="00BB271C">
      <w:pPr>
        <w:spacing w:line="360" w:lineRule="auto"/>
        <w:ind w:firstLine="709"/>
        <w:jc w:val="both"/>
        <w:rPr>
          <w:rFonts w:ascii="Corbel" w:hAnsi="Corbel"/>
          <w:sz w:val="20"/>
          <w:szCs w:val="22"/>
        </w:rPr>
      </w:pPr>
    </w:p>
    <w:p w14:paraId="365FF447" w14:textId="58D1FD55" w:rsidR="00F2603E" w:rsidRPr="00371492" w:rsidRDefault="00F2603E" w:rsidP="00066FDD">
      <w:pPr>
        <w:pStyle w:val="Stijl1"/>
        <w:numPr>
          <w:ilvl w:val="0"/>
          <w:numId w:val="21"/>
        </w:numPr>
        <w:spacing w:line="360" w:lineRule="auto"/>
        <w:jc w:val="both"/>
        <w:rPr>
          <w:rFonts w:eastAsia="Tahoma" w:cs="Tahoma"/>
          <w:szCs w:val="24"/>
        </w:rPr>
      </w:pPr>
      <w:bookmarkStart w:id="40" w:name="_Toc485990880"/>
      <w:r w:rsidRPr="00371492">
        <w:rPr>
          <w:rFonts w:eastAsia="Tahoma" w:cs="Tahoma"/>
          <w:szCs w:val="24"/>
        </w:rPr>
        <w:lastRenderedPageBreak/>
        <w:t>Empirisch onderzoek: IBRA</w:t>
      </w:r>
      <w:bookmarkEnd w:id="40"/>
    </w:p>
    <w:p w14:paraId="1A2B2801" w14:textId="3A93A1F5" w:rsidR="00F2603E" w:rsidRPr="00371492" w:rsidRDefault="00F2603E" w:rsidP="00F2603E">
      <w:pPr>
        <w:spacing w:line="360" w:lineRule="auto"/>
        <w:jc w:val="both"/>
        <w:rPr>
          <w:rFonts w:ascii="Corbel" w:hAnsi="Corbel"/>
          <w:sz w:val="20"/>
          <w:szCs w:val="20"/>
        </w:rPr>
      </w:pPr>
      <w:r w:rsidRPr="00371492">
        <w:rPr>
          <w:rFonts w:ascii="Corbel" w:hAnsi="Corbel"/>
          <w:sz w:val="20"/>
          <w:szCs w:val="20"/>
        </w:rPr>
        <w:t>In de voorgaande hoofdstukken is voor het utilisme, de deontologie en de deugdethiek een vertaalslag gemaakt naar de praktijk van risicoanalyses. Tevens zijn aan het begin van dit onderzoek de beperkingen van een analyse die gestoeld is op een nutscalculus uiteengezet.</w:t>
      </w:r>
      <w:r w:rsidR="006C74E3" w:rsidRPr="00371492">
        <w:rPr>
          <w:rFonts w:ascii="Corbel" w:hAnsi="Corbel"/>
          <w:sz w:val="20"/>
          <w:szCs w:val="20"/>
        </w:rPr>
        <w:t xml:space="preserve"> </w:t>
      </w:r>
      <w:r w:rsidR="00DA0DDE" w:rsidRPr="00371492">
        <w:rPr>
          <w:rFonts w:ascii="Corbel" w:hAnsi="Corbel"/>
          <w:sz w:val="20"/>
          <w:szCs w:val="20"/>
        </w:rPr>
        <w:t xml:space="preserve">Door analyse van </w:t>
      </w:r>
      <w:r w:rsidR="008C6C06" w:rsidRPr="00371492">
        <w:rPr>
          <w:rFonts w:ascii="Corbel" w:hAnsi="Corbel"/>
          <w:sz w:val="20"/>
          <w:szCs w:val="20"/>
        </w:rPr>
        <w:t>de risicocatalogus van de ILT wordt duidelijk</w:t>
      </w:r>
      <w:r w:rsidRPr="00371492">
        <w:rPr>
          <w:rFonts w:ascii="Corbel" w:hAnsi="Corbel"/>
          <w:sz w:val="20"/>
          <w:szCs w:val="20"/>
        </w:rPr>
        <w:t xml:space="preserve"> </w:t>
      </w:r>
      <w:r w:rsidRPr="00371492">
        <w:rPr>
          <w:rFonts w:ascii="Corbel" w:hAnsi="Corbel"/>
          <w:i/>
          <w:sz w:val="20"/>
          <w:szCs w:val="20"/>
        </w:rPr>
        <w:t>welke ethische aspecten de ILT heeft meegenomen (1)</w:t>
      </w:r>
      <w:r w:rsidRPr="00371492">
        <w:rPr>
          <w:rFonts w:ascii="Corbel" w:hAnsi="Corbel"/>
          <w:sz w:val="20"/>
          <w:szCs w:val="20"/>
        </w:rPr>
        <w:t xml:space="preserve">. Op basis daarvan brengt dit onderzoek in kaart </w:t>
      </w:r>
      <w:r w:rsidRPr="00371492">
        <w:rPr>
          <w:rFonts w:ascii="Corbel" w:hAnsi="Corbel"/>
          <w:i/>
          <w:sz w:val="20"/>
          <w:szCs w:val="20"/>
        </w:rPr>
        <w:t>hoe men de (andere) ethische aspecten een plek kan geven (2)</w:t>
      </w:r>
      <w:r w:rsidRPr="00371492">
        <w:rPr>
          <w:rFonts w:ascii="Corbel" w:hAnsi="Corbel"/>
          <w:sz w:val="20"/>
          <w:szCs w:val="20"/>
        </w:rPr>
        <w:t>.</w:t>
      </w:r>
    </w:p>
    <w:p w14:paraId="04AA6A89" w14:textId="77777777" w:rsidR="00F2603E" w:rsidRPr="00371492" w:rsidRDefault="00F2603E" w:rsidP="00F2603E">
      <w:pPr>
        <w:spacing w:line="360" w:lineRule="auto"/>
        <w:jc w:val="both"/>
        <w:rPr>
          <w:rFonts w:ascii="Corbel" w:hAnsi="Corbel"/>
          <w:sz w:val="20"/>
          <w:szCs w:val="20"/>
        </w:rPr>
      </w:pPr>
    </w:p>
    <w:p w14:paraId="18C5B7C7" w14:textId="5F18A5B9" w:rsidR="00465732" w:rsidRPr="00371492" w:rsidRDefault="00F2603E" w:rsidP="00510131">
      <w:pPr>
        <w:pStyle w:val="Stijl2"/>
        <w:numPr>
          <w:ilvl w:val="1"/>
          <w:numId w:val="21"/>
        </w:numPr>
      </w:pPr>
      <w:bookmarkStart w:id="41" w:name="_Toc485990881"/>
      <w:r w:rsidRPr="00371492">
        <w:t>Casus 1: ‘overstroming in Nederland’</w:t>
      </w:r>
      <w:bookmarkEnd w:id="41"/>
    </w:p>
    <w:p w14:paraId="742814FF" w14:textId="77777777" w:rsidR="00F2603E" w:rsidRPr="00371492" w:rsidRDefault="00F2603E" w:rsidP="00F2603E">
      <w:pPr>
        <w:spacing w:line="360" w:lineRule="auto"/>
        <w:jc w:val="both"/>
        <w:rPr>
          <w:rFonts w:ascii="Corbel" w:hAnsi="Corbel"/>
          <w:sz w:val="20"/>
          <w:szCs w:val="20"/>
        </w:rPr>
      </w:pPr>
      <w:r w:rsidRPr="00371492">
        <w:rPr>
          <w:rFonts w:ascii="Corbel" w:hAnsi="Corbel"/>
          <w:sz w:val="20"/>
          <w:szCs w:val="20"/>
        </w:rPr>
        <w:t>Een overstroming in Nederland</w:t>
      </w:r>
      <w:r w:rsidRPr="00371492">
        <w:rPr>
          <w:rStyle w:val="Voetnootmarkering"/>
          <w:rFonts w:ascii="Corbel" w:hAnsi="Corbel"/>
          <w:sz w:val="20"/>
          <w:szCs w:val="20"/>
        </w:rPr>
        <w:footnoteReference w:id="8"/>
      </w:r>
      <w:r w:rsidRPr="00371492">
        <w:rPr>
          <w:rFonts w:ascii="Corbel" w:hAnsi="Corbel"/>
          <w:sz w:val="20"/>
          <w:szCs w:val="20"/>
        </w:rPr>
        <w:t xml:space="preserve"> vormt de eerste casus van dit onderzoek. Voor een goed begrip van deze casus zal eerst de relevante achtergrondinformatie besproken worden</w:t>
      </w:r>
      <w:r w:rsidRPr="00371492">
        <w:rPr>
          <w:rStyle w:val="Voetnootmarkering"/>
          <w:rFonts w:ascii="Corbel" w:hAnsi="Corbel"/>
          <w:sz w:val="20"/>
          <w:szCs w:val="20"/>
        </w:rPr>
        <w:footnoteReference w:id="9"/>
      </w:r>
      <w:r w:rsidRPr="00371492">
        <w:rPr>
          <w:rFonts w:ascii="Corbel" w:hAnsi="Corbel"/>
          <w:sz w:val="20"/>
          <w:szCs w:val="20"/>
        </w:rPr>
        <w:t>. Het risico komt overeen met het risicogebied ‘hoogwaterveiligheid’. Het ILT-domein</w:t>
      </w:r>
      <w:r w:rsidRPr="00371492">
        <w:rPr>
          <w:rStyle w:val="Voetnootmarkering"/>
          <w:rFonts w:ascii="Corbel" w:hAnsi="Corbel"/>
          <w:sz w:val="20"/>
          <w:szCs w:val="20"/>
        </w:rPr>
        <w:footnoteReference w:id="10"/>
      </w:r>
      <w:r w:rsidRPr="00371492">
        <w:rPr>
          <w:rFonts w:ascii="Corbel" w:hAnsi="Corbel"/>
          <w:sz w:val="20"/>
          <w:szCs w:val="20"/>
        </w:rPr>
        <w:t xml:space="preserve"> waarin het risico zich voordoet is </w:t>
      </w:r>
      <w:r w:rsidRPr="00371492">
        <w:rPr>
          <w:rFonts w:ascii="Corbel" w:hAnsi="Corbel"/>
          <w:i/>
          <w:sz w:val="20"/>
          <w:szCs w:val="20"/>
        </w:rPr>
        <w:t xml:space="preserve">Water, Producten en Stoffen </w:t>
      </w:r>
      <w:r w:rsidRPr="00371492">
        <w:rPr>
          <w:rFonts w:ascii="Corbel" w:hAnsi="Corbel"/>
          <w:sz w:val="20"/>
          <w:szCs w:val="20"/>
        </w:rPr>
        <w:t>(WPS). De beknopte omschrijving van het risico en de daaraan gerelateerde schade in de risicocatalogus luidt: ‘schade door overstroming als gevolg van een onvoldoende uitgevoerde zorgplicht en/of onjuiste beoordeling van keringen’ (IBRA, 2017, p. 34).</w:t>
      </w:r>
    </w:p>
    <w:p w14:paraId="40BA7452" w14:textId="5491AB64" w:rsidR="00F2603E" w:rsidRPr="00371492" w:rsidRDefault="00F2603E" w:rsidP="00F2603E">
      <w:pPr>
        <w:spacing w:line="360" w:lineRule="auto"/>
        <w:ind w:firstLine="709"/>
        <w:jc w:val="both"/>
        <w:rPr>
          <w:rFonts w:ascii="Corbel" w:hAnsi="Corbel"/>
          <w:sz w:val="20"/>
          <w:szCs w:val="20"/>
        </w:rPr>
      </w:pPr>
      <w:r w:rsidRPr="00371492">
        <w:rPr>
          <w:rFonts w:ascii="Corbel" w:hAnsi="Corbel"/>
          <w:sz w:val="20"/>
          <w:szCs w:val="20"/>
        </w:rPr>
        <w:t>De getroffen populatie van dit risico betreft alle Nederlanders die wonen in overloopgebieden (dat wil zeggen in de nabijheid van rivieren en kustfundament), alsmede de industrie in dezelfde gebieden. Het toezicht van de ILT betreft overstromingen die plaatsvinden als gevolg van een niet uitgevoerde zorgplicht. De belangrijkste handhavingsinstrumenten die door de ILT worden ingezet zijn objectgericht toezicht, administratiecontroles en systeemgericht toezicht. Uit IBRA volgt dat er geen bijzondere randvoorwaarden voortvloeien uit wet- en regelgeving, verdragen of bestuurlijke afspraken voor dit risico. De termijn waarin het risico en de gevolgen zich manifesteren is geclassificeerd als ‘nu en later’. Nederland is gekozen als duiding van de plaats waar het risico en de effecten zich voordoen. In de risicocatalogus wordt gesproken over materiele en immateriële schade</w:t>
      </w:r>
      <w:r w:rsidRPr="00371492">
        <w:rPr>
          <w:rStyle w:val="Voetnootmarkering"/>
          <w:rFonts w:ascii="Corbel" w:hAnsi="Corbel"/>
          <w:sz w:val="20"/>
          <w:szCs w:val="20"/>
        </w:rPr>
        <w:footnoteReference w:id="11"/>
      </w:r>
      <w:r w:rsidRPr="00371492">
        <w:rPr>
          <w:rFonts w:ascii="Corbel" w:hAnsi="Corbel"/>
          <w:sz w:val="20"/>
          <w:szCs w:val="20"/>
        </w:rPr>
        <w:t>, dit wordt hierna verder uitgewerkt. Volgens de informatie uit de risicoanalyse is de frequentie waarop de ongewenste gebeurtenis zich manifesteert één keer in de tienduizend jaar. De grootheden die volgens de risicocatalogus de schade van dit risico bepalen zijn als volgt: doden, gewonden, materiële schade en economische en maatschappelijke ontwrichting. Daarbij wordt aangegeven dat het maatschappelijk belang z</w:t>
      </w:r>
      <w:r w:rsidR="00AF35B4">
        <w:rPr>
          <w:rFonts w:ascii="Corbel" w:hAnsi="Corbel"/>
          <w:sz w:val="20"/>
          <w:szCs w:val="20"/>
        </w:rPr>
        <w:t>eer groot is, aangezien circa 60</w:t>
      </w:r>
      <w:r w:rsidRPr="00371492">
        <w:rPr>
          <w:rFonts w:ascii="Corbel" w:hAnsi="Corbel"/>
          <w:sz w:val="20"/>
          <w:szCs w:val="20"/>
        </w:rPr>
        <w:t>% van Nederland zo laag ligt dat het kwetsbaar is voor overstroming vanuit zee, de grote rivieren of de grote meren.</w:t>
      </w:r>
      <w:r w:rsidR="006C74E3" w:rsidRPr="00371492">
        <w:rPr>
          <w:rFonts w:ascii="Corbel" w:hAnsi="Corbel"/>
          <w:sz w:val="20"/>
          <w:szCs w:val="20"/>
        </w:rPr>
        <w:t xml:space="preserve"> </w:t>
      </w:r>
      <w:r w:rsidRPr="00371492">
        <w:rPr>
          <w:rFonts w:ascii="Corbel" w:hAnsi="Corbel"/>
          <w:sz w:val="20"/>
          <w:szCs w:val="20"/>
        </w:rPr>
        <w:t xml:space="preserve">In dit gebied wonen circa 9 miljoen mensen en het grootste deel van het bruto nationaal product (bnp) wordt in dit gebied verdiend. In de risicocatalogus zijn dit de gevolgen bij het optreden van de ongewenste gebeurtenis, wat in deze casus een overstroming inhoudt. In de catalogus zijn de gevolgen omgerekend naar schade in euro’s. </w:t>
      </w:r>
    </w:p>
    <w:p w14:paraId="4C0D4707" w14:textId="77777777" w:rsidR="008D436D" w:rsidRPr="00371492" w:rsidRDefault="00F2603E" w:rsidP="008D436D">
      <w:pPr>
        <w:spacing w:line="360" w:lineRule="auto"/>
        <w:jc w:val="both"/>
        <w:rPr>
          <w:rFonts w:ascii="Corbel" w:hAnsi="Corbel"/>
          <w:sz w:val="20"/>
          <w:szCs w:val="20"/>
        </w:rPr>
      </w:pPr>
      <w:r w:rsidRPr="00371492">
        <w:rPr>
          <w:rFonts w:ascii="Corbel" w:hAnsi="Corbel"/>
          <w:sz w:val="20"/>
          <w:szCs w:val="20"/>
        </w:rPr>
        <w:lastRenderedPageBreak/>
        <w:t>De conclusie over de frequentie van het risico die het IBRA-team heeft getrokken op grond van alle ontvangen informatie: kosten uitvoering Deltaprogramma 2017 is 26 miljard euro (+/- 50%)</w:t>
      </w:r>
      <w:r w:rsidRPr="00371492">
        <w:rPr>
          <w:rStyle w:val="Voetnootmarkering"/>
          <w:rFonts w:ascii="Corbel" w:hAnsi="Corbel"/>
          <w:sz w:val="20"/>
          <w:szCs w:val="20"/>
        </w:rPr>
        <w:footnoteReference w:id="12"/>
      </w:r>
      <w:r w:rsidRPr="00371492">
        <w:rPr>
          <w:rFonts w:ascii="Corbel" w:hAnsi="Corbel"/>
          <w:sz w:val="20"/>
          <w:szCs w:val="20"/>
        </w:rPr>
        <w:t>.</w:t>
      </w:r>
      <w:r w:rsidR="00D3069B" w:rsidRPr="00371492">
        <w:rPr>
          <w:rFonts w:ascii="Corbel" w:hAnsi="Corbel"/>
          <w:sz w:val="20"/>
          <w:szCs w:val="20"/>
        </w:rPr>
        <w:t xml:space="preserve"> Uit de </w:t>
      </w:r>
      <w:proofErr w:type="spellStart"/>
      <w:r w:rsidR="00D3069B" w:rsidRPr="00371492">
        <w:rPr>
          <w:rFonts w:ascii="Corbel" w:hAnsi="Corbel"/>
          <w:sz w:val="20"/>
          <w:szCs w:val="20"/>
        </w:rPr>
        <w:t>fact</w:t>
      </w:r>
      <w:r w:rsidR="004A2EEC" w:rsidRPr="00371492">
        <w:rPr>
          <w:rFonts w:ascii="Corbel" w:hAnsi="Corbel"/>
          <w:sz w:val="20"/>
          <w:szCs w:val="20"/>
        </w:rPr>
        <w:t>sheet</w:t>
      </w:r>
      <w:proofErr w:type="spellEnd"/>
      <w:r w:rsidR="004A2EEC" w:rsidRPr="00371492">
        <w:rPr>
          <w:rFonts w:ascii="Corbel" w:hAnsi="Corbel"/>
          <w:sz w:val="20"/>
          <w:szCs w:val="20"/>
        </w:rPr>
        <w:t xml:space="preserve"> met achtergrondinformatie die aangeleverd is door het domein staat een specifiekere berekening</w:t>
      </w:r>
      <w:r w:rsidR="004A2EEC" w:rsidRPr="00371492">
        <w:rPr>
          <w:rStyle w:val="Voetnootmarkering"/>
          <w:rFonts w:ascii="Corbel" w:hAnsi="Corbel"/>
          <w:sz w:val="20"/>
          <w:szCs w:val="20"/>
        </w:rPr>
        <w:footnoteReference w:id="13"/>
      </w:r>
      <w:r w:rsidR="004A2EEC" w:rsidRPr="00371492">
        <w:rPr>
          <w:rFonts w:ascii="Corbel" w:hAnsi="Corbel"/>
          <w:sz w:val="20"/>
          <w:szCs w:val="20"/>
        </w:rPr>
        <w:t xml:space="preserve">. </w:t>
      </w:r>
    </w:p>
    <w:p w14:paraId="346ABE32" w14:textId="63FD00C3" w:rsidR="008D436D" w:rsidRPr="00371492" w:rsidRDefault="008D436D" w:rsidP="008D436D">
      <w:pPr>
        <w:spacing w:line="360" w:lineRule="auto"/>
        <w:ind w:firstLine="709"/>
        <w:jc w:val="both"/>
        <w:rPr>
          <w:rFonts w:ascii="Corbel" w:hAnsi="Corbel"/>
          <w:sz w:val="20"/>
          <w:szCs w:val="20"/>
        </w:rPr>
      </w:pPr>
      <w:r w:rsidRPr="00371492">
        <w:rPr>
          <w:rFonts w:ascii="Corbel" w:hAnsi="Corbel"/>
          <w:sz w:val="20"/>
          <w:szCs w:val="20"/>
        </w:rPr>
        <w:t>Zoals gezegd zijn de twee centrale perspectieven waarmee naar hoogwaterveiligheid gekeken wordt enerzijds fysieke schade en anderzijds institutionele schade. Deze perspectieven worden expliciet onderscheden in de behandeling van dit risico in de risicocatalogus.</w:t>
      </w:r>
      <w:r w:rsidR="00D453DE" w:rsidRPr="00371492">
        <w:rPr>
          <w:rFonts w:ascii="Corbel" w:hAnsi="Corbel"/>
          <w:sz w:val="20"/>
          <w:szCs w:val="20"/>
        </w:rPr>
        <w:t xml:space="preserve"> Economische schade is toegevoegd als derde perspectief en komt aan bod bij de bespreking van fysieke schade. Hier is namelijk een onderscheid te maken. Dit onderscheid komt niet aan bod in de risicocatalogus.</w:t>
      </w:r>
      <w:r w:rsidRPr="00371492">
        <w:rPr>
          <w:rFonts w:ascii="Corbel" w:hAnsi="Corbel"/>
          <w:sz w:val="20"/>
          <w:szCs w:val="20"/>
        </w:rPr>
        <w:t xml:space="preserve"> Welke ethische aspecten zijn te herkennen in de manier waarop hier invulling aan gegeven is? Door hier een antwoord op te zoeken wordt in dit deel van het onderzoek de vierde deelvraag beantwoord. Hiertoe is in hoofdstuk vier van dit onderzoek een praktische toepassing van de drie ethische stromingen gemaakt, namelijk het utilisme, de deontologie en deugdethiek. Door te analyseren welke aspecten uit de risicocatalogus en achtergrondinformatie aansluiten bij welke ethische stroming kan een uitspraak gedaan worden over de ethische opbouw van de informatie over het risico.</w:t>
      </w:r>
      <w:r w:rsidR="006C74E3" w:rsidRPr="00371492">
        <w:rPr>
          <w:rFonts w:ascii="Corbel" w:hAnsi="Corbel"/>
          <w:sz w:val="20"/>
          <w:szCs w:val="20"/>
        </w:rPr>
        <w:t xml:space="preserve"> </w:t>
      </w:r>
    </w:p>
    <w:p w14:paraId="7E0F5828" w14:textId="77777777" w:rsidR="00F2603E" w:rsidRPr="00371492" w:rsidRDefault="00F2603E" w:rsidP="00F2603E">
      <w:pPr>
        <w:spacing w:line="360" w:lineRule="auto"/>
        <w:jc w:val="both"/>
        <w:rPr>
          <w:rFonts w:ascii="Corbel" w:hAnsi="Corbel"/>
          <w:sz w:val="20"/>
          <w:szCs w:val="20"/>
        </w:rPr>
      </w:pPr>
    </w:p>
    <w:p w14:paraId="2DB5E820" w14:textId="7AFFE30D" w:rsidR="00F2603E" w:rsidRPr="00371492" w:rsidRDefault="00F2603E" w:rsidP="00510131">
      <w:pPr>
        <w:pStyle w:val="Stijl2"/>
      </w:pPr>
      <w:bookmarkStart w:id="42" w:name="_Toc485990882"/>
      <w:r w:rsidRPr="00371492">
        <w:t>Ethische aspecten huidige risicoanalyse hoogwaterveiligheid ILT</w:t>
      </w:r>
      <w:bookmarkEnd w:id="42"/>
    </w:p>
    <w:p w14:paraId="3696D530" w14:textId="77777777" w:rsidR="00F2603E" w:rsidRPr="00371492" w:rsidRDefault="00F2603E" w:rsidP="008D436D">
      <w:pPr>
        <w:spacing w:line="360" w:lineRule="auto"/>
        <w:jc w:val="both"/>
        <w:rPr>
          <w:rFonts w:ascii="Corbel" w:hAnsi="Corbel"/>
          <w:sz w:val="20"/>
          <w:szCs w:val="20"/>
        </w:rPr>
      </w:pPr>
      <w:r w:rsidRPr="00371492">
        <w:rPr>
          <w:rFonts w:ascii="Corbel" w:hAnsi="Corbel"/>
          <w:sz w:val="20"/>
          <w:szCs w:val="20"/>
        </w:rPr>
        <w:t>In de risicocatalogus worden voor het risico ‘hoogwaterveiligheid’ twee soorten schade onderscheiden: materieel en immaterieel</w:t>
      </w:r>
      <w:r w:rsidRPr="00371492">
        <w:rPr>
          <w:rStyle w:val="Voetnootmarkering"/>
          <w:rFonts w:ascii="Corbel" w:hAnsi="Corbel"/>
          <w:sz w:val="20"/>
          <w:szCs w:val="20"/>
        </w:rPr>
        <w:footnoteReference w:id="14"/>
      </w:r>
      <w:r w:rsidRPr="00371492">
        <w:rPr>
          <w:rFonts w:ascii="Corbel" w:hAnsi="Corbel"/>
          <w:sz w:val="20"/>
          <w:szCs w:val="20"/>
        </w:rPr>
        <w:t xml:space="preserve">. Het eerste perspectief dat van toepassing is op hoogwaterveiligheid, </w:t>
      </w:r>
      <w:r w:rsidRPr="00371492">
        <w:rPr>
          <w:rFonts w:ascii="Corbel" w:hAnsi="Corbel"/>
          <w:i/>
          <w:sz w:val="20"/>
          <w:szCs w:val="20"/>
        </w:rPr>
        <w:t>fysieke schade</w:t>
      </w:r>
      <w:r w:rsidRPr="00371492">
        <w:rPr>
          <w:rFonts w:ascii="Corbel" w:hAnsi="Corbel"/>
          <w:sz w:val="20"/>
          <w:szCs w:val="20"/>
        </w:rPr>
        <w:t xml:space="preserve">, omvat met name materiële schade. Hier vallen de doden en gewonden als gevolg van het risico onder, maar ook de schade aan de industrie in de bedreigde gebieden. Het tweede perspectief dat van toepassing is op deze casus, </w:t>
      </w:r>
      <w:r w:rsidRPr="00371492">
        <w:rPr>
          <w:rFonts w:ascii="Corbel" w:hAnsi="Corbel"/>
          <w:i/>
          <w:sz w:val="20"/>
          <w:szCs w:val="20"/>
        </w:rPr>
        <w:t>institutionele schade</w:t>
      </w:r>
      <w:r w:rsidRPr="00371492">
        <w:rPr>
          <w:rFonts w:ascii="Corbel" w:hAnsi="Corbel"/>
          <w:sz w:val="20"/>
          <w:szCs w:val="20"/>
        </w:rPr>
        <w:t>, omvat immateriële schade. Hierbij moet gedacht worden aan ‘verlies aan vertrouwen in het systeem, menselijke waardigheid en eerlijkheid’ (IBRA, 2017, p. 13). Voor de casus wordt niet in deze termen gesproken maar zijn de grootheden die de schade bepalen bij dit perspectief ‘economische en maatschappelijke ontwrichting’. Door deze focus aan te brengen wordt er dus gekeken naar gevolgen. Deze logica zagen we terug bij het utilisme en de deugdethiek</w:t>
      </w:r>
      <w:r w:rsidR="00DE2EE7" w:rsidRPr="00371492">
        <w:rPr>
          <w:rFonts w:ascii="Corbel" w:hAnsi="Corbel"/>
          <w:sz w:val="20"/>
          <w:szCs w:val="20"/>
        </w:rPr>
        <w:t xml:space="preserve"> en dus ook expliciet in de risicocatalogus van de ILT</w:t>
      </w:r>
      <w:r w:rsidRPr="00371492">
        <w:rPr>
          <w:rFonts w:ascii="Corbel" w:hAnsi="Corbel"/>
          <w:sz w:val="20"/>
          <w:szCs w:val="20"/>
        </w:rPr>
        <w:t>.</w:t>
      </w:r>
      <w:r w:rsidR="00DE2EE7" w:rsidRPr="00371492">
        <w:rPr>
          <w:rFonts w:ascii="Corbel" w:hAnsi="Corbel"/>
          <w:sz w:val="20"/>
          <w:szCs w:val="20"/>
        </w:rPr>
        <w:t xml:space="preserve"> Ten slotte zal duidelijk worden dat er ook deontologische elementen te herkennen zijn in de bespreking van dit risico.</w:t>
      </w:r>
      <w:r w:rsidRPr="00371492">
        <w:rPr>
          <w:rFonts w:ascii="Corbel" w:hAnsi="Corbel"/>
          <w:sz w:val="20"/>
          <w:szCs w:val="20"/>
        </w:rPr>
        <w:t xml:space="preserve"> </w:t>
      </w:r>
      <w:r w:rsidR="00DE2EE7" w:rsidRPr="00371492">
        <w:rPr>
          <w:rFonts w:ascii="Corbel" w:hAnsi="Corbel"/>
          <w:sz w:val="20"/>
          <w:szCs w:val="20"/>
        </w:rPr>
        <w:t>Echter, eerst</w:t>
      </w:r>
      <w:r w:rsidRPr="00371492">
        <w:rPr>
          <w:rFonts w:ascii="Corbel" w:hAnsi="Corbel"/>
          <w:sz w:val="20"/>
          <w:szCs w:val="20"/>
        </w:rPr>
        <w:t xml:space="preserve"> zal er verder ingegaan worden op de ethische aspecten van deze twee perspectieven. De opbouw van het risico is schematisch weergegeven:</w:t>
      </w:r>
    </w:p>
    <w:p w14:paraId="537D69CE" w14:textId="77777777" w:rsidR="00F2603E" w:rsidRPr="00371492" w:rsidRDefault="00F2603E" w:rsidP="00EF0AC0">
      <w:pPr>
        <w:spacing w:line="360" w:lineRule="auto"/>
        <w:jc w:val="both"/>
        <w:rPr>
          <w:rFonts w:ascii="Corbel" w:hAnsi="Corbel"/>
          <w:sz w:val="20"/>
          <w:szCs w:val="20"/>
        </w:rPr>
      </w:pPr>
    </w:p>
    <w:p w14:paraId="0D50D5BC" w14:textId="77777777" w:rsidR="00F2603E" w:rsidRPr="00371492" w:rsidRDefault="00F2603E" w:rsidP="00F2603E">
      <w:pPr>
        <w:spacing w:line="360" w:lineRule="auto"/>
        <w:ind w:firstLine="709"/>
        <w:jc w:val="both"/>
        <w:rPr>
          <w:rFonts w:ascii="Corbel" w:hAnsi="Corbel"/>
          <w:sz w:val="20"/>
          <w:szCs w:val="20"/>
        </w:rPr>
      </w:pPr>
    </w:p>
    <w:p w14:paraId="7124553A" w14:textId="77777777" w:rsidR="0069038A" w:rsidRPr="00371492" w:rsidRDefault="003C5CBE" w:rsidP="0069038A">
      <w:pPr>
        <w:keepNext/>
        <w:spacing w:line="360" w:lineRule="auto"/>
        <w:ind w:firstLine="709"/>
        <w:jc w:val="both"/>
      </w:pPr>
      <w:r w:rsidRPr="00371492">
        <w:rPr>
          <w:rFonts w:ascii="Corbel" w:hAnsi="Corbel"/>
          <w:noProof/>
          <w:sz w:val="20"/>
          <w:szCs w:val="20"/>
        </w:rPr>
        <w:lastRenderedPageBreak/>
        <w:drawing>
          <wp:inline distT="0" distB="0" distL="0" distR="0" wp14:anchorId="7BAB4185" wp14:editId="73FD951B">
            <wp:extent cx="4996815" cy="3057525"/>
            <wp:effectExtent l="0" t="0" r="6985"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19E67A4C" w14:textId="56E87A98" w:rsidR="003C5CBE" w:rsidRPr="00165179" w:rsidRDefault="000C096A" w:rsidP="0069038A">
      <w:pPr>
        <w:pStyle w:val="Bijschrift"/>
        <w:jc w:val="center"/>
        <w:rPr>
          <w:rFonts w:ascii="Corbel" w:hAnsi="Corbel"/>
        </w:rPr>
      </w:pPr>
      <w:r w:rsidRPr="00165179">
        <w:rPr>
          <w:rFonts w:ascii="Corbel" w:hAnsi="Corbel"/>
        </w:rPr>
        <w:t>Figuur</w:t>
      </w:r>
      <w:r w:rsidR="0069038A" w:rsidRPr="00165179">
        <w:rPr>
          <w:rFonts w:ascii="Corbel" w:hAnsi="Corbel"/>
        </w:rPr>
        <w:t xml:space="preserve"> </w:t>
      </w:r>
      <w:r w:rsidR="00640E13" w:rsidRPr="00165179">
        <w:rPr>
          <w:rFonts w:ascii="Corbel" w:hAnsi="Corbel"/>
        </w:rPr>
        <w:fldChar w:fldCharType="begin"/>
      </w:r>
      <w:r w:rsidR="00640E13" w:rsidRPr="00165179">
        <w:rPr>
          <w:rFonts w:ascii="Corbel" w:hAnsi="Corbel"/>
        </w:rPr>
        <w:instrText xml:space="preserve"> SEQ Afbeelding \* ARABIC </w:instrText>
      </w:r>
      <w:r w:rsidR="00640E13" w:rsidRPr="00165179">
        <w:rPr>
          <w:rFonts w:ascii="Corbel" w:hAnsi="Corbel"/>
        </w:rPr>
        <w:fldChar w:fldCharType="separate"/>
      </w:r>
      <w:r w:rsidR="00BA122C">
        <w:rPr>
          <w:rFonts w:ascii="Corbel" w:hAnsi="Corbel"/>
          <w:noProof/>
        </w:rPr>
        <w:t>3</w:t>
      </w:r>
      <w:r w:rsidR="00640E13" w:rsidRPr="00165179">
        <w:rPr>
          <w:rFonts w:ascii="Corbel" w:hAnsi="Corbel"/>
          <w:noProof/>
        </w:rPr>
        <w:fldChar w:fldCharType="end"/>
      </w:r>
      <w:r w:rsidR="0069038A" w:rsidRPr="00165179">
        <w:rPr>
          <w:rFonts w:ascii="Corbel" w:hAnsi="Corbel"/>
        </w:rPr>
        <w:t xml:space="preserve"> - schematische weergave casus 1</w:t>
      </w:r>
    </w:p>
    <w:p w14:paraId="39EE8290" w14:textId="77777777" w:rsidR="0069038A" w:rsidRPr="00371492" w:rsidRDefault="0069038A" w:rsidP="0069038A"/>
    <w:p w14:paraId="0E1396B2" w14:textId="04FC7527" w:rsidR="00686742" w:rsidRPr="00371492" w:rsidRDefault="00686742" w:rsidP="00686742">
      <w:pPr>
        <w:spacing w:line="360" w:lineRule="auto"/>
        <w:jc w:val="both"/>
        <w:rPr>
          <w:rFonts w:ascii="Corbel" w:hAnsi="Corbel"/>
          <w:color w:val="000000" w:themeColor="text1"/>
          <w:sz w:val="20"/>
          <w:szCs w:val="20"/>
        </w:rPr>
      </w:pPr>
      <w:r w:rsidRPr="00371492">
        <w:rPr>
          <w:rFonts w:ascii="Corbel" w:hAnsi="Corbel"/>
          <w:color w:val="000000" w:themeColor="text1"/>
          <w:sz w:val="20"/>
          <w:szCs w:val="20"/>
        </w:rPr>
        <w:t>De bespreking van het eerste perspectief (fysieke schade) past bij het utilisme. In het onderstaande schema is systematisch geanalyseerd hoe de praktische toepassing van het utilisme, zoals die in §4.1 gemaakt is, overeenkomt met het risico van hoogwaterveiligheid.</w:t>
      </w:r>
      <w:r w:rsidR="006C74E3" w:rsidRPr="00371492">
        <w:rPr>
          <w:rFonts w:ascii="Corbel" w:hAnsi="Corbel"/>
          <w:color w:val="000000" w:themeColor="text1"/>
          <w:sz w:val="20"/>
          <w:szCs w:val="20"/>
        </w:rPr>
        <w:t xml:space="preserve"> </w:t>
      </w:r>
    </w:p>
    <w:p w14:paraId="2088EFFA" w14:textId="77777777" w:rsidR="009858BB" w:rsidRPr="00371492" w:rsidRDefault="009858BB" w:rsidP="00686742">
      <w:pPr>
        <w:spacing w:line="360" w:lineRule="auto"/>
        <w:jc w:val="both"/>
        <w:rPr>
          <w:rFonts w:ascii="Corbel" w:hAnsi="Corbel"/>
          <w:color w:val="000000" w:themeColor="text1"/>
          <w:sz w:val="20"/>
          <w:szCs w:val="20"/>
        </w:rPr>
      </w:pPr>
    </w:p>
    <w:tbl>
      <w:tblPr>
        <w:tblStyle w:val="Tabelraster"/>
        <w:tblW w:w="0" w:type="auto"/>
        <w:tblLook w:val="04A0" w:firstRow="1" w:lastRow="0" w:firstColumn="1" w:lastColumn="0" w:noHBand="0" w:noVBand="1"/>
      </w:tblPr>
      <w:tblGrid>
        <w:gridCol w:w="1963"/>
        <w:gridCol w:w="7093"/>
      </w:tblGrid>
      <w:tr w:rsidR="00686742" w:rsidRPr="00A76E2A" w14:paraId="217A5FE9" w14:textId="77777777" w:rsidTr="00686742">
        <w:tc>
          <w:tcPr>
            <w:tcW w:w="1963" w:type="dxa"/>
          </w:tcPr>
          <w:p w14:paraId="406AFDF9" w14:textId="77777777" w:rsidR="00686742" w:rsidRPr="00A76E2A" w:rsidRDefault="00686742" w:rsidP="004716E3">
            <w:pPr>
              <w:rPr>
                <w:rFonts w:ascii="Corbel" w:hAnsi="Corbel"/>
                <w:sz w:val="20"/>
                <w:szCs w:val="20"/>
              </w:rPr>
            </w:pPr>
            <w:r w:rsidRPr="00A76E2A">
              <w:rPr>
                <w:rFonts w:ascii="Corbel" w:hAnsi="Corbel"/>
                <w:sz w:val="20"/>
                <w:szCs w:val="20"/>
              </w:rPr>
              <w:t>Logica</w:t>
            </w:r>
          </w:p>
        </w:tc>
        <w:tc>
          <w:tcPr>
            <w:tcW w:w="7093" w:type="dxa"/>
          </w:tcPr>
          <w:p w14:paraId="3F044290" w14:textId="0F1E5084" w:rsidR="00686742" w:rsidRPr="00A76E2A" w:rsidRDefault="00686742" w:rsidP="00AF35B4">
            <w:pPr>
              <w:spacing w:line="360" w:lineRule="auto"/>
              <w:jc w:val="both"/>
              <w:rPr>
                <w:rFonts w:ascii="Corbel" w:hAnsi="Corbel"/>
                <w:color w:val="000000" w:themeColor="text1"/>
                <w:sz w:val="20"/>
                <w:szCs w:val="20"/>
              </w:rPr>
            </w:pPr>
            <w:r w:rsidRPr="00A76E2A">
              <w:rPr>
                <w:rFonts w:ascii="Corbel" w:hAnsi="Corbel"/>
                <w:color w:val="000000" w:themeColor="text1"/>
                <w:sz w:val="20"/>
                <w:szCs w:val="20"/>
              </w:rPr>
              <w:t xml:space="preserve">Met een overeenkomstige logica wordt er in beide gevallen gekeken naar gevolgen. Bij dit perspectief wordt er specifiek gekeken naar de gevolgen in kwantitatieve zin. Voor iedereen is het (her)kenbaar dat het aantal doden en gewonden (immateriële schade), als ook de schade aan de industrie (materiele schade) geminimaliseerd moet worden. </w:t>
            </w:r>
          </w:p>
        </w:tc>
      </w:tr>
      <w:tr w:rsidR="00686742" w:rsidRPr="00A76E2A" w14:paraId="1C715CD2" w14:textId="77777777" w:rsidTr="00686742">
        <w:tc>
          <w:tcPr>
            <w:tcW w:w="1963" w:type="dxa"/>
          </w:tcPr>
          <w:p w14:paraId="6EBE4010" w14:textId="77777777" w:rsidR="00686742" w:rsidRPr="00A76E2A" w:rsidRDefault="00686742" w:rsidP="004716E3">
            <w:pPr>
              <w:rPr>
                <w:rFonts w:ascii="Corbel" w:hAnsi="Corbel"/>
                <w:sz w:val="20"/>
                <w:szCs w:val="20"/>
              </w:rPr>
            </w:pPr>
            <w:r w:rsidRPr="00A76E2A">
              <w:rPr>
                <w:rFonts w:ascii="Corbel" w:hAnsi="Corbel"/>
                <w:sz w:val="20"/>
                <w:szCs w:val="20"/>
              </w:rPr>
              <w:t>Focus</w:t>
            </w:r>
          </w:p>
        </w:tc>
        <w:tc>
          <w:tcPr>
            <w:tcW w:w="7093" w:type="dxa"/>
          </w:tcPr>
          <w:p w14:paraId="604A4621" w14:textId="40621DCE" w:rsidR="00686742" w:rsidRPr="00A76E2A" w:rsidRDefault="00686742" w:rsidP="00AF35B4">
            <w:pPr>
              <w:spacing w:line="360" w:lineRule="auto"/>
              <w:jc w:val="both"/>
              <w:rPr>
                <w:rFonts w:ascii="Corbel" w:hAnsi="Corbel"/>
                <w:color w:val="000000" w:themeColor="text1"/>
                <w:sz w:val="20"/>
                <w:szCs w:val="20"/>
              </w:rPr>
            </w:pPr>
            <w:r w:rsidRPr="00A76E2A">
              <w:rPr>
                <w:rFonts w:ascii="Corbel" w:hAnsi="Corbel"/>
                <w:color w:val="000000" w:themeColor="text1"/>
                <w:sz w:val="20"/>
                <w:szCs w:val="20"/>
              </w:rPr>
              <w:t xml:space="preserve">Ook is er een overeenkomst in de focus die aangebracht wordt. Indien deze nadelige effecten zich voordien is het voor iedereen begrijpelijk waarom deze effecten nadelig zijn. Het is dus mogelijk als outsider de situatie te beoordelen. </w:t>
            </w:r>
          </w:p>
        </w:tc>
      </w:tr>
      <w:tr w:rsidR="00686742" w:rsidRPr="00A76E2A" w14:paraId="02F1B21A" w14:textId="77777777" w:rsidTr="00686742">
        <w:tc>
          <w:tcPr>
            <w:tcW w:w="1963" w:type="dxa"/>
          </w:tcPr>
          <w:p w14:paraId="4402AF4B" w14:textId="77777777" w:rsidR="00686742" w:rsidRPr="00A76E2A" w:rsidRDefault="00686742" w:rsidP="004716E3">
            <w:pPr>
              <w:rPr>
                <w:rFonts w:ascii="Corbel" w:hAnsi="Corbel"/>
                <w:sz w:val="20"/>
                <w:szCs w:val="20"/>
              </w:rPr>
            </w:pPr>
            <w:r w:rsidRPr="00A76E2A">
              <w:rPr>
                <w:rFonts w:ascii="Corbel" w:hAnsi="Corbel"/>
                <w:sz w:val="20"/>
                <w:szCs w:val="20"/>
              </w:rPr>
              <w:t>Rationaliseringswijze</w:t>
            </w:r>
          </w:p>
        </w:tc>
        <w:tc>
          <w:tcPr>
            <w:tcW w:w="7093" w:type="dxa"/>
          </w:tcPr>
          <w:p w14:paraId="77834B6E" w14:textId="52A934F9" w:rsidR="00686742" w:rsidRPr="00A76E2A" w:rsidRDefault="00686742" w:rsidP="00AF35B4">
            <w:pPr>
              <w:spacing w:line="360" w:lineRule="auto"/>
              <w:jc w:val="both"/>
              <w:rPr>
                <w:rFonts w:ascii="Corbel" w:hAnsi="Corbel"/>
                <w:color w:val="000000" w:themeColor="text1"/>
                <w:sz w:val="20"/>
                <w:szCs w:val="20"/>
              </w:rPr>
            </w:pPr>
            <w:r w:rsidRPr="00A76E2A">
              <w:rPr>
                <w:rFonts w:ascii="Corbel" w:hAnsi="Corbel"/>
                <w:color w:val="000000" w:themeColor="text1"/>
                <w:sz w:val="20"/>
                <w:szCs w:val="20"/>
              </w:rPr>
              <w:t xml:space="preserve">Wat valt op als we naar de rationaliseringswijze kijken? Bij deze benadering past de mogelijkheid om de effecten te kwantificeren, via het omrekenen zoals beschreven in de procedure in voetnoten negen en elf. </w:t>
            </w:r>
          </w:p>
        </w:tc>
      </w:tr>
      <w:tr w:rsidR="00686742" w:rsidRPr="00A76E2A" w14:paraId="1C40F32E" w14:textId="77777777" w:rsidTr="00686742">
        <w:tc>
          <w:tcPr>
            <w:tcW w:w="1963" w:type="dxa"/>
          </w:tcPr>
          <w:p w14:paraId="0D4A3BBB" w14:textId="77777777" w:rsidR="00686742" w:rsidRPr="00A76E2A" w:rsidRDefault="00686742" w:rsidP="004716E3">
            <w:pPr>
              <w:rPr>
                <w:rFonts w:ascii="Corbel" w:hAnsi="Corbel"/>
                <w:sz w:val="20"/>
                <w:szCs w:val="20"/>
              </w:rPr>
            </w:pPr>
            <w:r w:rsidRPr="00A76E2A">
              <w:rPr>
                <w:rFonts w:ascii="Corbel" w:hAnsi="Corbel"/>
                <w:sz w:val="20"/>
                <w:szCs w:val="20"/>
              </w:rPr>
              <w:t>Kwetsbaarheden</w:t>
            </w:r>
          </w:p>
        </w:tc>
        <w:tc>
          <w:tcPr>
            <w:tcW w:w="7093" w:type="dxa"/>
          </w:tcPr>
          <w:p w14:paraId="4837B5A9" w14:textId="39F6F887" w:rsidR="00686742" w:rsidRPr="00A76E2A" w:rsidRDefault="00686742" w:rsidP="00AF35B4">
            <w:pPr>
              <w:spacing w:line="360" w:lineRule="auto"/>
              <w:jc w:val="both"/>
              <w:rPr>
                <w:rFonts w:ascii="Corbel" w:hAnsi="Corbel"/>
                <w:color w:val="000000" w:themeColor="text1"/>
                <w:sz w:val="20"/>
                <w:szCs w:val="20"/>
              </w:rPr>
            </w:pPr>
            <w:r w:rsidRPr="00A76E2A">
              <w:rPr>
                <w:rFonts w:ascii="Corbel" w:hAnsi="Corbel"/>
                <w:color w:val="000000" w:themeColor="text1"/>
                <w:sz w:val="20"/>
                <w:szCs w:val="20"/>
              </w:rPr>
              <w:t xml:space="preserve">De kwetsbaarheden kunnen gekwantificeerd worden in termen van schade aan mensen of de industrie. Dit is echter niet gebeurd in de risicocatalogus, enkel in de </w:t>
            </w:r>
            <w:proofErr w:type="spellStart"/>
            <w:r w:rsidRPr="00A76E2A">
              <w:rPr>
                <w:rFonts w:ascii="Corbel" w:hAnsi="Corbel"/>
                <w:color w:val="000000" w:themeColor="text1"/>
                <w:sz w:val="20"/>
                <w:szCs w:val="20"/>
              </w:rPr>
              <w:t>factsheet</w:t>
            </w:r>
            <w:proofErr w:type="spellEnd"/>
            <w:r w:rsidRPr="00A76E2A">
              <w:rPr>
                <w:rFonts w:ascii="Corbel" w:hAnsi="Corbel"/>
                <w:color w:val="000000" w:themeColor="text1"/>
                <w:sz w:val="20"/>
                <w:szCs w:val="20"/>
              </w:rPr>
              <w:t xml:space="preserve"> met achtergrondinformatie vanuit de domeinen (zie voetnoot elf). Uit de bespreking van het risico komt ook de schade aan de Nederlandse industrie in het geval van een overstroming naar voren. Deze schade heb ik geplaatst onder het perspectief ‘economische schade’, hoewel dit in de risicocatalogus niet zo expliciet is gebeurd. Ook voor dit perspectief geldt dat de consequenties in kwantitatieve zin </w:t>
            </w:r>
            <w:r w:rsidRPr="00A76E2A">
              <w:rPr>
                <w:rFonts w:ascii="Corbel" w:hAnsi="Corbel"/>
                <w:color w:val="000000" w:themeColor="text1"/>
                <w:sz w:val="20"/>
                <w:szCs w:val="20"/>
              </w:rPr>
              <w:lastRenderedPageBreak/>
              <w:t>centraal staan. Als outsider is het mogelijk de kosten en de baten onder een noemer te plaatsen. Versmalling van het vraagstuk is mogelijk bij deze ethische aspecten.</w:t>
            </w:r>
          </w:p>
        </w:tc>
      </w:tr>
      <w:tr w:rsidR="00686742" w:rsidRPr="00A76E2A" w14:paraId="0C288F0B" w14:textId="77777777" w:rsidTr="00686742">
        <w:trPr>
          <w:trHeight w:val="1177"/>
        </w:trPr>
        <w:tc>
          <w:tcPr>
            <w:tcW w:w="1963" w:type="dxa"/>
          </w:tcPr>
          <w:p w14:paraId="02BDFCF0" w14:textId="77777777" w:rsidR="00686742" w:rsidRPr="00A76E2A" w:rsidRDefault="00686742" w:rsidP="004716E3">
            <w:pPr>
              <w:rPr>
                <w:rFonts w:ascii="Corbel" w:hAnsi="Corbel"/>
                <w:sz w:val="20"/>
                <w:szCs w:val="20"/>
              </w:rPr>
            </w:pPr>
            <w:r w:rsidRPr="00A76E2A">
              <w:rPr>
                <w:rFonts w:ascii="Corbel" w:hAnsi="Corbel"/>
                <w:sz w:val="20"/>
                <w:szCs w:val="20"/>
              </w:rPr>
              <w:lastRenderedPageBreak/>
              <w:t>Operationalisatie</w:t>
            </w:r>
          </w:p>
        </w:tc>
        <w:tc>
          <w:tcPr>
            <w:tcW w:w="7093" w:type="dxa"/>
          </w:tcPr>
          <w:p w14:paraId="22B17029" w14:textId="09CA8903" w:rsidR="00686742" w:rsidRPr="00A76E2A" w:rsidRDefault="00686742" w:rsidP="00AF35B4">
            <w:pPr>
              <w:spacing w:line="360" w:lineRule="auto"/>
              <w:jc w:val="both"/>
              <w:rPr>
                <w:rFonts w:ascii="Corbel" w:hAnsi="Corbel"/>
                <w:color w:val="000000" w:themeColor="text1"/>
                <w:sz w:val="20"/>
                <w:szCs w:val="20"/>
              </w:rPr>
            </w:pPr>
            <w:r w:rsidRPr="00A76E2A">
              <w:rPr>
                <w:rFonts w:ascii="Corbel" w:hAnsi="Corbel"/>
                <w:color w:val="000000" w:themeColor="text1"/>
                <w:sz w:val="20"/>
                <w:szCs w:val="20"/>
              </w:rPr>
              <w:t>Kortom, het valt op dat de operationalisatie van het utilisme grotendeels overeenkomt met de beschrijving van het risico hoogwaterveiligheid in de risicocatalogus. De hoge</w:t>
            </w:r>
            <w:r w:rsidR="00F80BA6" w:rsidRPr="00A76E2A">
              <w:rPr>
                <w:rFonts w:ascii="Corbel" w:hAnsi="Corbel"/>
                <w:color w:val="000000" w:themeColor="text1"/>
                <w:sz w:val="20"/>
                <w:szCs w:val="20"/>
              </w:rPr>
              <w:t xml:space="preserve"> kwantitatieve</w:t>
            </w:r>
            <w:r w:rsidRPr="00A76E2A">
              <w:rPr>
                <w:rFonts w:ascii="Corbel" w:hAnsi="Corbel"/>
                <w:color w:val="000000" w:themeColor="text1"/>
                <w:sz w:val="20"/>
                <w:szCs w:val="20"/>
              </w:rPr>
              <w:t xml:space="preserve"> kosten die typisch utilistisch relevant zijn, zijn terug te zien bij dit risicogebied. </w:t>
            </w:r>
          </w:p>
        </w:tc>
      </w:tr>
    </w:tbl>
    <w:p w14:paraId="0B044AAD" w14:textId="77777777" w:rsidR="00686742" w:rsidRPr="00A76E2A" w:rsidRDefault="00686742" w:rsidP="00686742"/>
    <w:p w14:paraId="3EB192BC" w14:textId="77777777" w:rsidR="00F80BA6" w:rsidRPr="00A76E2A" w:rsidRDefault="00F2603E" w:rsidP="00F80BA6">
      <w:pPr>
        <w:spacing w:line="360" w:lineRule="auto"/>
        <w:jc w:val="both"/>
        <w:rPr>
          <w:rFonts w:ascii="Corbel" w:hAnsi="Corbel"/>
          <w:color w:val="000000" w:themeColor="text1"/>
          <w:sz w:val="20"/>
          <w:szCs w:val="20"/>
        </w:rPr>
      </w:pPr>
      <w:r w:rsidRPr="00A76E2A">
        <w:rPr>
          <w:rFonts w:ascii="Corbel" w:hAnsi="Corbel"/>
          <w:color w:val="000000" w:themeColor="text1"/>
          <w:sz w:val="20"/>
          <w:szCs w:val="20"/>
        </w:rPr>
        <w:t xml:space="preserve">Het tweede perspectief dat volgens de risicocatalogus van toepassing is, institutionele schade, past bij de deugdethiek. </w:t>
      </w:r>
      <w:r w:rsidR="001A0AA0" w:rsidRPr="00A76E2A">
        <w:rPr>
          <w:rFonts w:ascii="Corbel" w:hAnsi="Corbel"/>
          <w:color w:val="000000" w:themeColor="text1"/>
          <w:sz w:val="20"/>
          <w:szCs w:val="20"/>
        </w:rPr>
        <w:t xml:space="preserve">In het onderstaande schema is systematisch geanalyseerd hoe de praktische toepassing van de deugdethiek, zoals die in §4.3 gemaakt is, overeenkomt met het </w:t>
      </w:r>
      <w:r w:rsidR="00F80BA6" w:rsidRPr="00A76E2A">
        <w:rPr>
          <w:rFonts w:ascii="Corbel" w:hAnsi="Corbel"/>
          <w:color w:val="000000" w:themeColor="text1"/>
          <w:sz w:val="20"/>
          <w:szCs w:val="20"/>
        </w:rPr>
        <w:t xml:space="preserve">risico van hoogwaterveiligheid. In de risicocatalogus en achtergrondinformatie wordt gesproken over een ‘zeer groot maatschappelijk belang’ dat op het spel staat indien dit risico zich voordoet. De grootheden die deze schade bepalen zijn ‘economische en maatschappelijke ontwrichting’ (IBRA, 2017, p. 34). </w:t>
      </w:r>
    </w:p>
    <w:p w14:paraId="3D56FF81" w14:textId="77777777" w:rsidR="00F80BA6" w:rsidRPr="00A76E2A" w:rsidRDefault="00F80BA6" w:rsidP="00F80BA6">
      <w:pPr>
        <w:spacing w:line="360" w:lineRule="auto"/>
        <w:jc w:val="both"/>
        <w:rPr>
          <w:rFonts w:ascii="Corbel" w:hAnsi="Corbel"/>
          <w:color w:val="000000" w:themeColor="text1"/>
          <w:sz w:val="20"/>
          <w:szCs w:val="20"/>
        </w:rPr>
      </w:pPr>
    </w:p>
    <w:tbl>
      <w:tblPr>
        <w:tblStyle w:val="Tabelraster"/>
        <w:tblW w:w="0" w:type="auto"/>
        <w:tblLook w:val="04A0" w:firstRow="1" w:lastRow="0" w:firstColumn="1" w:lastColumn="0" w:noHBand="0" w:noVBand="1"/>
      </w:tblPr>
      <w:tblGrid>
        <w:gridCol w:w="2296"/>
        <w:gridCol w:w="6760"/>
      </w:tblGrid>
      <w:tr w:rsidR="00F80BA6" w:rsidRPr="00A76E2A" w14:paraId="5A4BCC5B" w14:textId="77777777" w:rsidTr="004716E3">
        <w:tc>
          <w:tcPr>
            <w:tcW w:w="2296" w:type="dxa"/>
          </w:tcPr>
          <w:p w14:paraId="4D94BD19" w14:textId="77777777" w:rsidR="00F80BA6" w:rsidRPr="00A76E2A" w:rsidRDefault="00F80BA6" w:rsidP="004716E3">
            <w:pPr>
              <w:rPr>
                <w:rFonts w:ascii="Corbel" w:hAnsi="Corbel"/>
                <w:sz w:val="20"/>
                <w:szCs w:val="20"/>
              </w:rPr>
            </w:pPr>
            <w:r w:rsidRPr="00A76E2A">
              <w:rPr>
                <w:rFonts w:ascii="Corbel" w:hAnsi="Corbel"/>
                <w:sz w:val="20"/>
                <w:szCs w:val="20"/>
              </w:rPr>
              <w:t>Logica</w:t>
            </w:r>
          </w:p>
        </w:tc>
        <w:tc>
          <w:tcPr>
            <w:tcW w:w="6760" w:type="dxa"/>
          </w:tcPr>
          <w:p w14:paraId="22275746" w14:textId="5DBF2A67" w:rsidR="00F80BA6" w:rsidRPr="00A76E2A" w:rsidRDefault="00F80BA6" w:rsidP="00AF35B4">
            <w:pPr>
              <w:spacing w:line="360" w:lineRule="auto"/>
              <w:jc w:val="both"/>
              <w:rPr>
                <w:rFonts w:ascii="Corbel" w:hAnsi="Corbel"/>
                <w:color w:val="000000" w:themeColor="text1"/>
                <w:sz w:val="20"/>
                <w:szCs w:val="20"/>
              </w:rPr>
            </w:pPr>
            <w:r w:rsidRPr="00A76E2A">
              <w:rPr>
                <w:rFonts w:ascii="Corbel" w:hAnsi="Corbel"/>
                <w:color w:val="000000" w:themeColor="text1"/>
                <w:sz w:val="20"/>
                <w:szCs w:val="20"/>
              </w:rPr>
              <w:t xml:space="preserve">De logica volgt hier de deugdethiek. Men kijkt hier dus ook naar de gevolgen (namelijk effect), maar op een kwalitatieve manier. Dit staat tegenover het utilisme, waar ook naar gevolgen wordt gekeken maar op een kwantitatieve manier. </w:t>
            </w:r>
          </w:p>
        </w:tc>
      </w:tr>
      <w:tr w:rsidR="00F80BA6" w:rsidRPr="00A76E2A" w14:paraId="30052B78" w14:textId="77777777" w:rsidTr="004716E3">
        <w:tc>
          <w:tcPr>
            <w:tcW w:w="2296" w:type="dxa"/>
          </w:tcPr>
          <w:p w14:paraId="28EB942E" w14:textId="77777777" w:rsidR="00F80BA6" w:rsidRPr="00A76E2A" w:rsidRDefault="00F80BA6" w:rsidP="004716E3">
            <w:pPr>
              <w:rPr>
                <w:rFonts w:ascii="Corbel" w:hAnsi="Corbel"/>
                <w:sz w:val="20"/>
                <w:szCs w:val="20"/>
              </w:rPr>
            </w:pPr>
            <w:r w:rsidRPr="00A76E2A">
              <w:rPr>
                <w:rFonts w:ascii="Corbel" w:hAnsi="Corbel"/>
                <w:sz w:val="20"/>
                <w:szCs w:val="20"/>
              </w:rPr>
              <w:t>Focus</w:t>
            </w:r>
          </w:p>
        </w:tc>
        <w:tc>
          <w:tcPr>
            <w:tcW w:w="6760" w:type="dxa"/>
          </w:tcPr>
          <w:p w14:paraId="54F75859" w14:textId="798AD2A0" w:rsidR="00F80BA6" w:rsidRPr="00A76E2A" w:rsidRDefault="00F80BA6" w:rsidP="00AF35B4">
            <w:pPr>
              <w:spacing w:line="360" w:lineRule="auto"/>
              <w:jc w:val="both"/>
              <w:rPr>
                <w:rFonts w:ascii="Corbel" w:hAnsi="Corbel"/>
                <w:color w:val="000000" w:themeColor="text1"/>
                <w:sz w:val="20"/>
                <w:szCs w:val="20"/>
              </w:rPr>
            </w:pPr>
            <w:r w:rsidRPr="00A76E2A">
              <w:rPr>
                <w:rFonts w:ascii="Corbel" w:hAnsi="Corbel"/>
                <w:color w:val="000000" w:themeColor="text1"/>
                <w:sz w:val="20"/>
                <w:szCs w:val="20"/>
              </w:rPr>
              <w:t xml:space="preserve">Bij de bespreking van het perspectief institutionele schade wordt een bepaalde focus aangebracht. De kwaliteit van deze (institutionele) ‘schade’ is namelijk expliciet niet terug te brengen onder een noemer, zoals bij het utilisme en de deontologie wel het geval is. </w:t>
            </w:r>
          </w:p>
        </w:tc>
      </w:tr>
      <w:tr w:rsidR="00F80BA6" w:rsidRPr="00A76E2A" w14:paraId="071DF5A0" w14:textId="77777777" w:rsidTr="004716E3">
        <w:tc>
          <w:tcPr>
            <w:tcW w:w="2296" w:type="dxa"/>
          </w:tcPr>
          <w:p w14:paraId="51616BF7" w14:textId="77777777" w:rsidR="00F80BA6" w:rsidRPr="00A76E2A" w:rsidRDefault="00F80BA6" w:rsidP="004716E3">
            <w:pPr>
              <w:rPr>
                <w:rFonts w:ascii="Corbel" w:hAnsi="Corbel"/>
                <w:sz w:val="20"/>
                <w:szCs w:val="20"/>
              </w:rPr>
            </w:pPr>
            <w:r w:rsidRPr="00A76E2A">
              <w:rPr>
                <w:rFonts w:ascii="Corbel" w:hAnsi="Corbel"/>
                <w:sz w:val="20"/>
                <w:szCs w:val="20"/>
              </w:rPr>
              <w:t>Rationaliseringswijze</w:t>
            </w:r>
          </w:p>
        </w:tc>
        <w:tc>
          <w:tcPr>
            <w:tcW w:w="6760" w:type="dxa"/>
          </w:tcPr>
          <w:p w14:paraId="46D8D2DB" w14:textId="480B6E14" w:rsidR="00F80BA6" w:rsidRPr="00A76E2A" w:rsidRDefault="00F80BA6" w:rsidP="00AF35B4">
            <w:pPr>
              <w:spacing w:line="360" w:lineRule="auto"/>
              <w:jc w:val="both"/>
              <w:rPr>
                <w:rFonts w:ascii="Corbel" w:hAnsi="Corbel"/>
                <w:color w:val="000000" w:themeColor="text1"/>
                <w:sz w:val="20"/>
                <w:szCs w:val="20"/>
              </w:rPr>
            </w:pPr>
            <w:r w:rsidRPr="00A76E2A">
              <w:rPr>
                <w:rFonts w:ascii="Corbel" w:hAnsi="Corbel"/>
                <w:color w:val="000000" w:themeColor="text1"/>
                <w:sz w:val="20"/>
                <w:szCs w:val="20"/>
              </w:rPr>
              <w:t xml:space="preserve">Ondanks de geringe aandacht in de risicocatalogus en in de achterliggende documenten voor dit perspectief, is het duidelijk dat men hier kijkt naar de kwaliteit van de praktijk(en). Dit past bij de benadering van de deugdethiek waarin betrokkenheid van essentieel belang is voor de waardering (insider perspectief). Maatschappelijke ontwrichting is geen schade voor een persoon als diegene niet in de desbetreffende maatschappij (praktijk) deelneemt. </w:t>
            </w:r>
          </w:p>
        </w:tc>
      </w:tr>
      <w:tr w:rsidR="00F80BA6" w:rsidRPr="00A76E2A" w14:paraId="01283715" w14:textId="77777777" w:rsidTr="004716E3">
        <w:tc>
          <w:tcPr>
            <w:tcW w:w="2296" w:type="dxa"/>
          </w:tcPr>
          <w:p w14:paraId="2364BB57" w14:textId="77777777" w:rsidR="00F80BA6" w:rsidRPr="00A76E2A" w:rsidRDefault="00F80BA6" w:rsidP="004716E3">
            <w:pPr>
              <w:rPr>
                <w:rFonts w:ascii="Corbel" w:hAnsi="Corbel"/>
                <w:sz w:val="20"/>
                <w:szCs w:val="20"/>
              </w:rPr>
            </w:pPr>
            <w:r w:rsidRPr="00A76E2A">
              <w:rPr>
                <w:rFonts w:ascii="Corbel" w:hAnsi="Corbel"/>
                <w:sz w:val="20"/>
                <w:szCs w:val="20"/>
              </w:rPr>
              <w:t>Kwetsbaarheden</w:t>
            </w:r>
          </w:p>
        </w:tc>
        <w:tc>
          <w:tcPr>
            <w:tcW w:w="6760" w:type="dxa"/>
          </w:tcPr>
          <w:p w14:paraId="6A73C5A1" w14:textId="77777777" w:rsidR="00F80BA6" w:rsidRPr="00A76E2A" w:rsidRDefault="00F80BA6" w:rsidP="004716E3">
            <w:pPr>
              <w:spacing w:line="360" w:lineRule="auto"/>
              <w:jc w:val="both"/>
              <w:rPr>
                <w:rFonts w:ascii="Corbel" w:hAnsi="Corbel"/>
                <w:color w:val="000000" w:themeColor="text1"/>
                <w:sz w:val="20"/>
                <w:szCs w:val="20"/>
              </w:rPr>
            </w:pPr>
            <w:r w:rsidRPr="00A76E2A">
              <w:rPr>
                <w:rFonts w:ascii="Corbel" w:hAnsi="Corbel"/>
                <w:color w:val="000000" w:themeColor="text1"/>
                <w:sz w:val="20"/>
                <w:szCs w:val="20"/>
              </w:rPr>
              <w:t xml:space="preserve">De kwetsbaarheden zoals die zijn geformuleerd (economische en maatschappelijke ontwrichting) passen bij een afgenomen vertrouwen in de praktijk. </w:t>
            </w:r>
          </w:p>
          <w:p w14:paraId="7671A733" w14:textId="77777777" w:rsidR="00F80BA6" w:rsidRPr="00A76E2A" w:rsidRDefault="00F80BA6" w:rsidP="004716E3">
            <w:pPr>
              <w:rPr>
                <w:rFonts w:ascii="Corbel" w:hAnsi="Corbel"/>
                <w:sz w:val="20"/>
                <w:szCs w:val="20"/>
              </w:rPr>
            </w:pPr>
          </w:p>
        </w:tc>
      </w:tr>
      <w:tr w:rsidR="00F80BA6" w:rsidRPr="00A76E2A" w14:paraId="2AD02788" w14:textId="77777777" w:rsidTr="004716E3">
        <w:tc>
          <w:tcPr>
            <w:tcW w:w="2296" w:type="dxa"/>
          </w:tcPr>
          <w:p w14:paraId="7ED5D54D" w14:textId="77777777" w:rsidR="00F80BA6" w:rsidRPr="00A76E2A" w:rsidRDefault="00F80BA6" w:rsidP="004716E3">
            <w:pPr>
              <w:rPr>
                <w:rFonts w:ascii="Corbel" w:hAnsi="Corbel"/>
                <w:sz w:val="20"/>
                <w:szCs w:val="20"/>
              </w:rPr>
            </w:pPr>
            <w:r w:rsidRPr="00A76E2A">
              <w:rPr>
                <w:rFonts w:ascii="Corbel" w:hAnsi="Corbel"/>
                <w:sz w:val="20"/>
                <w:szCs w:val="20"/>
              </w:rPr>
              <w:t>Operationalisatie</w:t>
            </w:r>
          </w:p>
        </w:tc>
        <w:tc>
          <w:tcPr>
            <w:tcW w:w="6760" w:type="dxa"/>
          </w:tcPr>
          <w:p w14:paraId="74DBAEDC" w14:textId="190381EA" w:rsidR="00F80BA6" w:rsidRPr="00A76E2A" w:rsidRDefault="00F80BA6" w:rsidP="00AF35B4">
            <w:pPr>
              <w:spacing w:line="360" w:lineRule="auto"/>
              <w:jc w:val="both"/>
              <w:rPr>
                <w:rFonts w:ascii="Corbel" w:hAnsi="Corbel"/>
                <w:color w:val="000000" w:themeColor="text1"/>
                <w:sz w:val="20"/>
                <w:szCs w:val="20"/>
              </w:rPr>
            </w:pPr>
            <w:r w:rsidRPr="00A76E2A">
              <w:rPr>
                <w:rFonts w:ascii="Corbel" w:hAnsi="Corbel"/>
                <w:color w:val="000000" w:themeColor="text1"/>
                <w:sz w:val="20"/>
                <w:szCs w:val="20"/>
              </w:rPr>
              <w:t xml:space="preserve">We zien dit terug in het feit dat men de economische/maatschappelijke praktijk wil beschermen door te voorkomen dat vertrouwen in de politiek/instituties afneemt als gevolg van het niet uitvoeren van toezicht op dit risico. </w:t>
            </w:r>
          </w:p>
        </w:tc>
      </w:tr>
    </w:tbl>
    <w:p w14:paraId="0E895EC1" w14:textId="77777777" w:rsidR="00F2603E" w:rsidRPr="00371492" w:rsidRDefault="00F2603E" w:rsidP="00F80BA6">
      <w:pPr>
        <w:spacing w:line="360" w:lineRule="auto"/>
        <w:jc w:val="both"/>
        <w:rPr>
          <w:rFonts w:ascii="Corbel" w:hAnsi="Corbel"/>
          <w:color w:val="000000" w:themeColor="text1"/>
          <w:sz w:val="20"/>
          <w:szCs w:val="20"/>
        </w:rPr>
      </w:pPr>
    </w:p>
    <w:p w14:paraId="4704DD7E" w14:textId="45B65399" w:rsidR="00F2603E" w:rsidRPr="00371492" w:rsidRDefault="00F2603E" w:rsidP="00510131">
      <w:pPr>
        <w:pStyle w:val="Stijl2"/>
      </w:pPr>
      <w:bookmarkStart w:id="43" w:name="_Toc485990883"/>
      <w:r w:rsidRPr="00371492">
        <w:lastRenderedPageBreak/>
        <w:t>Uitbreiding risicoanalyse hoogwaterveiligheid</w:t>
      </w:r>
      <w:bookmarkEnd w:id="43"/>
    </w:p>
    <w:p w14:paraId="0F01AF76" w14:textId="77777777" w:rsidR="00231390" w:rsidRDefault="00F2603E" w:rsidP="00F2603E">
      <w:pPr>
        <w:spacing w:line="360" w:lineRule="auto"/>
        <w:jc w:val="both"/>
        <w:rPr>
          <w:rFonts w:ascii="Corbel" w:hAnsi="Corbel"/>
          <w:sz w:val="20"/>
          <w:szCs w:val="20"/>
        </w:rPr>
      </w:pPr>
      <w:r w:rsidRPr="00371492">
        <w:rPr>
          <w:rFonts w:ascii="Corbel" w:hAnsi="Corbel"/>
          <w:sz w:val="20"/>
          <w:szCs w:val="20"/>
        </w:rPr>
        <w:t>De laatst</w:t>
      </w:r>
      <w:r w:rsidR="002B7D9F">
        <w:rPr>
          <w:rFonts w:ascii="Corbel" w:hAnsi="Corbel"/>
          <w:sz w:val="20"/>
          <w:szCs w:val="20"/>
        </w:rPr>
        <w:t>e deelvraag van dit onderzoek luidt</w:t>
      </w:r>
      <w:r w:rsidRPr="00371492">
        <w:rPr>
          <w:rFonts w:ascii="Corbel" w:hAnsi="Corbel"/>
          <w:sz w:val="20"/>
          <w:szCs w:val="20"/>
        </w:rPr>
        <w:t xml:space="preserve">: </w:t>
      </w:r>
      <w:r w:rsidRPr="002B7D9F">
        <w:rPr>
          <w:rFonts w:ascii="Corbel" w:hAnsi="Corbel"/>
          <w:i/>
          <w:sz w:val="20"/>
          <w:szCs w:val="20"/>
        </w:rPr>
        <w:t xml:space="preserve">hoe is </w:t>
      </w:r>
      <w:r w:rsidR="00026516" w:rsidRPr="002B7D9F">
        <w:rPr>
          <w:rFonts w:ascii="Corbel" w:hAnsi="Corbel"/>
          <w:i/>
          <w:sz w:val="20"/>
          <w:szCs w:val="20"/>
        </w:rPr>
        <w:t xml:space="preserve">een </w:t>
      </w:r>
      <w:r w:rsidRPr="002B7D9F">
        <w:rPr>
          <w:rFonts w:ascii="Corbel" w:hAnsi="Corbel"/>
          <w:i/>
          <w:sz w:val="20"/>
          <w:szCs w:val="20"/>
        </w:rPr>
        <w:t>uitbreiding van de risicoanalyse mogelijk</w:t>
      </w:r>
      <w:r w:rsidRPr="00371492">
        <w:rPr>
          <w:rFonts w:ascii="Corbel" w:hAnsi="Corbel"/>
          <w:sz w:val="20"/>
          <w:szCs w:val="20"/>
        </w:rPr>
        <w:t xml:space="preserve">? In de voorgaande paragraaf zijn de elementen uit de risicoanalyse besproken </w:t>
      </w:r>
      <w:r w:rsidR="007569A3" w:rsidRPr="00371492">
        <w:rPr>
          <w:rFonts w:ascii="Corbel" w:hAnsi="Corbel"/>
          <w:sz w:val="20"/>
          <w:szCs w:val="20"/>
        </w:rPr>
        <w:t>en is gekeken welke</w:t>
      </w:r>
      <w:r w:rsidRPr="00371492">
        <w:rPr>
          <w:rFonts w:ascii="Corbel" w:hAnsi="Corbel"/>
          <w:sz w:val="20"/>
          <w:szCs w:val="20"/>
        </w:rPr>
        <w:t xml:space="preserve"> ethische stroming</w:t>
      </w:r>
      <w:r w:rsidR="007569A3" w:rsidRPr="00371492">
        <w:rPr>
          <w:rFonts w:ascii="Corbel" w:hAnsi="Corbel"/>
          <w:sz w:val="20"/>
          <w:szCs w:val="20"/>
        </w:rPr>
        <w:t xml:space="preserve"> van toepassing is op die elementen</w:t>
      </w:r>
      <w:r w:rsidRPr="00371492">
        <w:rPr>
          <w:rFonts w:ascii="Corbel" w:hAnsi="Corbel"/>
          <w:sz w:val="20"/>
          <w:szCs w:val="20"/>
        </w:rPr>
        <w:t>.</w:t>
      </w:r>
      <w:r w:rsidR="002B7D9F">
        <w:rPr>
          <w:rFonts w:ascii="Corbel" w:hAnsi="Corbel"/>
          <w:sz w:val="20"/>
          <w:szCs w:val="20"/>
        </w:rPr>
        <w:t xml:space="preserve"> Uit deze analyse blijkt dat er expliciet utilistische en deugdethische argumentatie te herkennen is in deze case.</w:t>
      </w:r>
      <w:r w:rsidRPr="00371492">
        <w:rPr>
          <w:rFonts w:ascii="Corbel" w:hAnsi="Corbel"/>
          <w:sz w:val="20"/>
          <w:szCs w:val="20"/>
        </w:rPr>
        <w:t xml:space="preserve"> Bij de bespreking van de deugdethische </w:t>
      </w:r>
      <w:r w:rsidR="007569A3" w:rsidRPr="00371492">
        <w:rPr>
          <w:rFonts w:ascii="Corbel" w:hAnsi="Corbel"/>
          <w:sz w:val="20"/>
          <w:szCs w:val="20"/>
        </w:rPr>
        <w:t>onderdelen</w:t>
      </w:r>
      <w:r w:rsidRPr="00371492">
        <w:rPr>
          <w:rFonts w:ascii="Corbel" w:hAnsi="Corbel"/>
          <w:sz w:val="20"/>
          <w:szCs w:val="20"/>
        </w:rPr>
        <w:t xml:space="preserve"> aan de risicoanalyse kwam al naar voren dat er relatief weinig aandacht is voor deze aspecten. </w:t>
      </w:r>
      <w:r w:rsidR="002B7D9F">
        <w:rPr>
          <w:rFonts w:ascii="Corbel" w:hAnsi="Corbel"/>
          <w:sz w:val="20"/>
          <w:szCs w:val="20"/>
        </w:rPr>
        <w:t>Elementen als ‘ontwrichting’ en ‘vertrouwen’</w:t>
      </w:r>
      <w:r w:rsidRPr="00371492">
        <w:rPr>
          <w:rFonts w:ascii="Corbel" w:hAnsi="Corbel"/>
          <w:sz w:val="20"/>
          <w:szCs w:val="20"/>
        </w:rPr>
        <w:t xml:space="preserve"> zijn niet kwantificeerbaar en daarom wordt het moeilijk ze een plek te geven tussen de aspecten die vanuit de utiliteit een plek innemen in de risicoanalyse</w:t>
      </w:r>
      <w:r w:rsidR="002B7D9F">
        <w:rPr>
          <w:rFonts w:ascii="Corbel" w:hAnsi="Corbel"/>
          <w:sz w:val="20"/>
          <w:szCs w:val="20"/>
        </w:rPr>
        <w:t>, zoals economische kosten</w:t>
      </w:r>
      <w:r w:rsidRPr="00371492">
        <w:rPr>
          <w:rFonts w:ascii="Corbel" w:hAnsi="Corbel"/>
          <w:sz w:val="20"/>
          <w:szCs w:val="20"/>
        </w:rPr>
        <w:t>. Bij de aspecten economische en fysieke schade, die vanuit de utiliteit opgenomen zijn, zagen we de mogelijkheid om het effect te kwantificeren onder een gedeelde en herkenbare noemer</w:t>
      </w:r>
      <w:r w:rsidR="002A42AA" w:rsidRPr="00371492">
        <w:rPr>
          <w:rFonts w:ascii="Corbel" w:hAnsi="Corbel"/>
          <w:sz w:val="20"/>
          <w:szCs w:val="20"/>
        </w:rPr>
        <w:t xml:space="preserve">: </w:t>
      </w:r>
      <w:r w:rsidR="002B7D9F">
        <w:rPr>
          <w:rFonts w:ascii="Corbel" w:hAnsi="Corbel"/>
          <w:sz w:val="20"/>
          <w:szCs w:val="20"/>
        </w:rPr>
        <w:t xml:space="preserve">namelijk in </w:t>
      </w:r>
      <w:r w:rsidR="002A42AA" w:rsidRPr="00371492">
        <w:rPr>
          <w:rFonts w:ascii="Corbel" w:hAnsi="Corbel"/>
          <w:sz w:val="20"/>
          <w:szCs w:val="20"/>
        </w:rPr>
        <w:t>euro’s</w:t>
      </w:r>
      <w:r w:rsidRPr="00371492">
        <w:rPr>
          <w:rFonts w:ascii="Corbel" w:hAnsi="Corbel"/>
          <w:sz w:val="20"/>
          <w:szCs w:val="20"/>
        </w:rPr>
        <w:t>. Dit maakt vergelijking mogelijk waarmee op zoek gegaan kan wo</w:t>
      </w:r>
      <w:r w:rsidR="007569A3" w:rsidRPr="00371492">
        <w:rPr>
          <w:rFonts w:ascii="Corbel" w:hAnsi="Corbel"/>
          <w:sz w:val="20"/>
          <w:szCs w:val="20"/>
        </w:rPr>
        <w:t>r</w:t>
      </w:r>
      <w:r w:rsidRPr="00371492">
        <w:rPr>
          <w:rFonts w:ascii="Corbel" w:hAnsi="Corbel"/>
          <w:sz w:val="20"/>
          <w:szCs w:val="20"/>
        </w:rPr>
        <w:t>den naar een optimum</w:t>
      </w:r>
      <w:r w:rsidR="002A42AA" w:rsidRPr="00371492">
        <w:rPr>
          <w:rFonts w:ascii="Corbel" w:hAnsi="Corbel"/>
          <w:sz w:val="20"/>
          <w:szCs w:val="20"/>
        </w:rPr>
        <w:t xml:space="preserve"> in de vorm van een kosten-batenanalyse bijvoorbeeld</w:t>
      </w:r>
      <w:r w:rsidRPr="00371492">
        <w:rPr>
          <w:rFonts w:ascii="Corbel" w:hAnsi="Corbel"/>
          <w:sz w:val="20"/>
          <w:szCs w:val="20"/>
        </w:rPr>
        <w:t>. Deze manier van waarderen is bij de deugdethiek niet mogelijk. Door de aandacht voor kwalitatieve verschillen ontbreekt er een gemeenschappelijke meetlat die het utilisme wel heeft. Met andere woorden: de waardering is incommensurabel. Daarom is betrokkenheid bij de gevolgen voor de praktijk ook van essentieel belang. In de risicocatalogus wordt als conclusie voor IBRA een schatting van de kosten gegeven (26 miljard euro). Maar, vanwege de hierboven genoemde redenen, komt het perspectief van institutionele schade hierin niet goed naar voren. Maatschappelijke ontwrichting is namelijk niet te kwantificeren tot een getal. Dit perspectief vraagt om een kwalitatieve waardering, in tegenstelling tot de kwantitatieve waardering die op dit moment aan het gehele risico gehangen wordt. Oordeelkundigen (mensen die de praktijk kennen en beoordelen) zijn in staat om hier een beoordeling aan te geven.</w:t>
      </w:r>
      <w:r w:rsidRPr="00371492">
        <w:rPr>
          <w:rFonts w:ascii="Corbel" w:hAnsi="Corbel"/>
          <w:i/>
          <w:sz w:val="20"/>
          <w:szCs w:val="20"/>
        </w:rPr>
        <w:t xml:space="preserve"> </w:t>
      </w:r>
      <w:r w:rsidR="007569A3" w:rsidRPr="00371492">
        <w:rPr>
          <w:rFonts w:ascii="Corbel" w:hAnsi="Corbel"/>
          <w:sz w:val="20"/>
          <w:szCs w:val="20"/>
        </w:rPr>
        <w:t xml:space="preserve">De kwalitatieve waardering is noodzakelijk omdat anders niet alle perspectieven van het risico een plek krijgen in de analyse. </w:t>
      </w:r>
    </w:p>
    <w:p w14:paraId="66DB1E8D" w14:textId="4EB5048E" w:rsidR="00F2603E" w:rsidRPr="00231390" w:rsidRDefault="00F2603E" w:rsidP="00231390">
      <w:pPr>
        <w:spacing w:line="360" w:lineRule="auto"/>
        <w:ind w:firstLine="709"/>
        <w:jc w:val="both"/>
        <w:rPr>
          <w:rFonts w:ascii="Corbel" w:hAnsi="Corbel"/>
          <w:sz w:val="20"/>
          <w:szCs w:val="20"/>
        </w:rPr>
      </w:pPr>
      <w:r w:rsidRPr="00C07F9C">
        <w:rPr>
          <w:rFonts w:ascii="Corbel" w:hAnsi="Corbel"/>
          <w:color w:val="000000" w:themeColor="text1"/>
          <w:sz w:val="20"/>
          <w:szCs w:val="20"/>
        </w:rPr>
        <w:t>Naast de afwezigheid van een noodzakelijke kwalitatieve beoordeling vallen er nog een tweetal zaken op.</w:t>
      </w:r>
      <w:r w:rsidR="002B7D9F" w:rsidRPr="00C07F9C">
        <w:rPr>
          <w:rFonts w:ascii="Corbel" w:hAnsi="Corbel"/>
          <w:color w:val="000000" w:themeColor="text1"/>
          <w:sz w:val="20"/>
          <w:szCs w:val="20"/>
        </w:rPr>
        <w:t xml:space="preserve"> </w:t>
      </w:r>
      <w:r w:rsidRPr="00C07F9C">
        <w:rPr>
          <w:rFonts w:ascii="Corbel" w:hAnsi="Corbel"/>
          <w:color w:val="000000" w:themeColor="text1"/>
          <w:sz w:val="20"/>
          <w:szCs w:val="20"/>
        </w:rPr>
        <w:t xml:space="preserve">Ten eerste vallen er deontologische elementen te herkennen in de risicocatalogus. Zoals gezegd is de bijdrage van de ILT het toezicht dat zij </w:t>
      </w:r>
      <w:r w:rsidR="007569A3" w:rsidRPr="00C07F9C">
        <w:rPr>
          <w:rFonts w:ascii="Corbel" w:hAnsi="Corbel"/>
          <w:color w:val="000000" w:themeColor="text1"/>
          <w:sz w:val="20"/>
          <w:szCs w:val="20"/>
        </w:rPr>
        <w:t>voert</w:t>
      </w:r>
      <w:r w:rsidRPr="00C07F9C">
        <w:rPr>
          <w:rFonts w:ascii="Corbel" w:hAnsi="Corbel"/>
          <w:color w:val="000000" w:themeColor="text1"/>
          <w:sz w:val="20"/>
          <w:szCs w:val="20"/>
        </w:rPr>
        <w:t xml:space="preserve"> op het risicogebied. Dit toezicht richt zich </w:t>
      </w:r>
      <w:r w:rsidR="007569A3" w:rsidRPr="00C07F9C">
        <w:rPr>
          <w:rFonts w:ascii="Corbel" w:hAnsi="Corbel"/>
          <w:color w:val="000000" w:themeColor="text1"/>
          <w:sz w:val="20"/>
          <w:szCs w:val="20"/>
        </w:rPr>
        <w:t xml:space="preserve">in specifieke zin </w:t>
      </w:r>
      <w:r w:rsidRPr="00C07F9C">
        <w:rPr>
          <w:rFonts w:ascii="Corbel" w:hAnsi="Corbel"/>
          <w:color w:val="000000" w:themeColor="text1"/>
          <w:sz w:val="20"/>
          <w:szCs w:val="20"/>
        </w:rPr>
        <w:t xml:space="preserve">op overstromingen die plaatsvinden als gevolg van </w:t>
      </w:r>
      <w:r w:rsidRPr="00C07F9C">
        <w:rPr>
          <w:rFonts w:ascii="Corbel" w:hAnsi="Corbel"/>
          <w:i/>
          <w:color w:val="000000" w:themeColor="text1"/>
          <w:sz w:val="20"/>
          <w:szCs w:val="20"/>
        </w:rPr>
        <w:t>niet uitgevoerde zorgplicht</w:t>
      </w:r>
      <w:r w:rsidRPr="00C07F9C">
        <w:rPr>
          <w:rFonts w:ascii="Corbel" w:hAnsi="Corbel"/>
          <w:color w:val="000000" w:themeColor="text1"/>
          <w:sz w:val="20"/>
          <w:szCs w:val="20"/>
        </w:rPr>
        <w:t xml:space="preserve">. De focus bij deze omschrijving van het risico ligt niet op de gevolgen </w:t>
      </w:r>
      <w:r w:rsidR="00F43689" w:rsidRPr="00C07F9C">
        <w:rPr>
          <w:rFonts w:ascii="Corbel" w:hAnsi="Corbel"/>
          <w:color w:val="000000" w:themeColor="text1"/>
          <w:sz w:val="20"/>
          <w:szCs w:val="20"/>
        </w:rPr>
        <w:t xml:space="preserve">(i.e. utilisme) </w:t>
      </w:r>
      <w:r w:rsidRPr="00C07F9C">
        <w:rPr>
          <w:rFonts w:ascii="Corbel" w:hAnsi="Corbel"/>
          <w:color w:val="000000" w:themeColor="text1"/>
          <w:sz w:val="20"/>
          <w:szCs w:val="20"/>
        </w:rPr>
        <w:t>maar men beoordeelt de handeling voorafgaand aan het gevolg</w:t>
      </w:r>
      <w:r w:rsidR="00F43689" w:rsidRPr="00C07F9C">
        <w:rPr>
          <w:rFonts w:ascii="Corbel" w:hAnsi="Corbel"/>
          <w:color w:val="000000" w:themeColor="text1"/>
          <w:sz w:val="20"/>
          <w:szCs w:val="20"/>
        </w:rPr>
        <w:t xml:space="preserve"> (i.e. deontologie)</w:t>
      </w:r>
      <w:r w:rsidR="007569A3" w:rsidRPr="00C07F9C">
        <w:rPr>
          <w:rFonts w:ascii="Corbel" w:hAnsi="Corbel"/>
          <w:color w:val="000000" w:themeColor="text1"/>
          <w:sz w:val="20"/>
          <w:szCs w:val="20"/>
        </w:rPr>
        <w:t xml:space="preserve">, namelijk de </w:t>
      </w:r>
      <w:r w:rsidR="007569A3" w:rsidRPr="00C07F9C">
        <w:rPr>
          <w:rFonts w:ascii="Corbel" w:hAnsi="Corbel"/>
          <w:i/>
          <w:color w:val="000000" w:themeColor="text1"/>
          <w:sz w:val="20"/>
          <w:szCs w:val="20"/>
        </w:rPr>
        <w:t>zorgplicht</w:t>
      </w:r>
      <w:r w:rsidRPr="00C07F9C">
        <w:rPr>
          <w:rFonts w:ascii="Corbel" w:hAnsi="Corbel"/>
          <w:color w:val="000000" w:themeColor="text1"/>
          <w:sz w:val="20"/>
          <w:szCs w:val="20"/>
        </w:rPr>
        <w:t>. Het toezicht is gericht op de kwaliteit van de handeling, nameli</w:t>
      </w:r>
      <w:r w:rsidRPr="00C07F9C">
        <w:rPr>
          <w:rFonts w:ascii="Corbel" w:hAnsi="Corbel"/>
          <w:i/>
          <w:color w:val="000000" w:themeColor="text1"/>
          <w:sz w:val="20"/>
          <w:szCs w:val="20"/>
        </w:rPr>
        <w:t>jk voldoende zorg dragen voor keringen</w:t>
      </w:r>
      <w:r w:rsidRPr="00C07F9C">
        <w:rPr>
          <w:rFonts w:ascii="Corbel" w:hAnsi="Corbel"/>
          <w:color w:val="000000" w:themeColor="text1"/>
          <w:sz w:val="20"/>
          <w:szCs w:val="20"/>
        </w:rPr>
        <w:t xml:space="preserve">. Iedereen kan hiermee instemmen en het is als outsider logisch te begrijpen dat dit belangrijk </w:t>
      </w:r>
      <w:r w:rsidR="00BD08A5" w:rsidRPr="00C07F9C">
        <w:rPr>
          <w:rFonts w:ascii="Corbel" w:hAnsi="Corbel"/>
          <w:color w:val="000000" w:themeColor="text1"/>
          <w:sz w:val="20"/>
          <w:szCs w:val="20"/>
        </w:rPr>
        <w:t>is. Dit is vastgelegd in de wet. Dit laatste punt is een typisch kenmerk van de praktische toepassing van de deontologie (zie juristenkwestie). Kortom, e</w:t>
      </w:r>
      <w:r w:rsidRPr="00C07F9C">
        <w:rPr>
          <w:rFonts w:ascii="Corbel" w:hAnsi="Corbel"/>
          <w:color w:val="000000" w:themeColor="text1"/>
          <w:sz w:val="20"/>
          <w:szCs w:val="20"/>
        </w:rPr>
        <w:t>r wordt een bepaald principe</w:t>
      </w:r>
      <w:r w:rsidR="00BD08A5" w:rsidRPr="00C07F9C">
        <w:rPr>
          <w:rFonts w:ascii="Corbel" w:hAnsi="Corbel"/>
          <w:color w:val="000000" w:themeColor="text1"/>
          <w:sz w:val="20"/>
          <w:szCs w:val="20"/>
        </w:rPr>
        <w:t xml:space="preserve"> –in dit geval zorgplicht-</w:t>
      </w:r>
      <w:r w:rsidRPr="00C07F9C">
        <w:rPr>
          <w:rFonts w:ascii="Corbel" w:hAnsi="Corbel"/>
          <w:color w:val="000000" w:themeColor="text1"/>
          <w:sz w:val="20"/>
          <w:szCs w:val="20"/>
        </w:rPr>
        <w:t xml:space="preserve"> toegepast.</w:t>
      </w:r>
      <w:r w:rsidR="00F43689" w:rsidRPr="00C07F9C">
        <w:rPr>
          <w:rFonts w:ascii="Corbel" w:hAnsi="Corbel"/>
          <w:color w:val="000000" w:themeColor="text1"/>
          <w:sz w:val="20"/>
          <w:szCs w:val="20"/>
        </w:rPr>
        <w:t xml:space="preserve"> Als we de checklist van de ethische theorie van de deontologie toepassen zien we hoe deze ethische theorie toegepast kan worden:</w:t>
      </w:r>
    </w:p>
    <w:tbl>
      <w:tblPr>
        <w:tblStyle w:val="Tabelraster"/>
        <w:tblW w:w="9054" w:type="dxa"/>
        <w:tblLook w:val="04A0" w:firstRow="1" w:lastRow="0" w:firstColumn="1" w:lastColumn="0" w:noHBand="0" w:noVBand="1"/>
      </w:tblPr>
      <w:tblGrid>
        <w:gridCol w:w="2141"/>
        <w:gridCol w:w="6913"/>
      </w:tblGrid>
      <w:tr w:rsidR="00C07F9C" w:rsidRPr="00C07F9C" w14:paraId="5219109C" w14:textId="77777777" w:rsidTr="009D4480">
        <w:tc>
          <w:tcPr>
            <w:tcW w:w="2141" w:type="dxa"/>
          </w:tcPr>
          <w:p w14:paraId="28C5B276" w14:textId="77777777" w:rsidR="004102DF" w:rsidRPr="00A76E2A" w:rsidRDefault="004102DF" w:rsidP="009D4480">
            <w:pPr>
              <w:spacing w:line="360" w:lineRule="auto"/>
              <w:jc w:val="both"/>
              <w:rPr>
                <w:rFonts w:ascii="Corbel" w:eastAsia="Tahoma" w:hAnsi="Corbel" w:cs="Tahoma"/>
                <w:color w:val="000000" w:themeColor="text1"/>
                <w:sz w:val="20"/>
              </w:rPr>
            </w:pPr>
            <w:r w:rsidRPr="00A76E2A">
              <w:rPr>
                <w:rFonts w:ascii="Corbel" w:eastAsia="Tahoma" w:hAnsi="Corbel" w:cs="Tahoma"/>
                <w:i/>
                <w:color w:val="000000" w:themeColor="text1"/>
                <w:sz w:val="20"/>
              </w:rPr>
              <w:t>Logica</w:t>
            </w:r>
          </w:p>
        </w:tc>
        <w:tc>
          <w:tcPr>
            <w:tcW w:w="6913" w:type="dxa"/>
          </w:tcPr>
          <w:p w14:paraId="42CD1E88" w14:textId="54866370" w:rsidR="00F43689" w:rsidRPr="00A76E2A" w:rsidRDefault="00F43689" w:rsidP="009D4480">
            <w:pPr>
              <w:spacing w:line="360" w:lineRule="auto"/>
              <w:jc w:val="both"/>
              <w:rPr>
                <w:rFonts w:ascii="Corbel" w:eastAsia="Tahoma" w:hAnsi="Corbel" w:cs="Tahoma"/>
                <w:color w:val="000000" w:themeColor="text1"/>
                <w:sz w:val="20"/>
              </w:rPr>
            </w:pPr>
            <w:r w:rsidRPr="00A76E2A">
              <w:rPr>
                <w:rFonts w:ascii="Corbel" w:eastAsia="Tahoma" w:hAnsi="Corbel" w:cs="Tahoma"/>
                <w:color w:val="000000" w:themeColor="text1"/>
                <w:sz w:val="20"/>
              </w:rPr>
              <w:t xml:space="preserve">De handeling die centraal staat is de zorgplicht. Het toezicht is gericht op de kwaliteit van de handeling: wordt er voldoende zorg gedragen voor de keringen? Het gevolg staat bij deze logica niet centraal, maar de handeling zelf (het is een principekwestie zogezegd). Dit komt overeen met de deontologische logica van praktijkonafhankelijk (los van de context) plichtsgetrouw handelen. </w:t>
            </w:r>
          </w:p>
        </w:tc>
      </w:tr>
      <w:tr w:rsidR="004102DF" w:rsidRPr="004102DF" w14:paraId="11638CD2" w14:textId="77777777" w:rsidTr="009D4480">
        <w:tc>
          <w:tcPr>
            <w:tcW w:w="2141" w:type="dxa"/>
          </w:tcPr>
          <w:p w14:paraId="269F1C45" w14:textId="77777777" w:rsidR="004102DF" w:rsidRPr="00A76E2A" w:rsidRDefault="004102DF" w:rsidP="009D4480">
            <w:pPr>
              <w:spacing w:line="360" w:lineRule="auto"/>
              <w:jc w:val="both"/>
              <w:rPr>
                <w:rFonts w:ascii="Corbel" w:eastAsia="Tahoma" w:hAnsi="Corbel" w:cs="Tahoma"/>
                <w:color w:val="000000" w:themeColor="text1"/>
                <w:sz w:val="20"/>
              </w:rPr>
            </w:pPr>
            <w:r w:rsidRPr="00A76E2A">
              <w:rPr>
                <w:rFonts w:ascii="Corbel" w:eastAsia="Tahoma" w:hAnsi="Corbel" w:cs="Tahoma"/>
                <w:i/>
                <w:color w:val="000000" w:themeColor="text1"/>
                <w:sz w:val="20"/>
              </w:rPr>
              <w:lastRenderedPageBreak/>
              <w:t>Focus (waar kijkt de theorie naar?)</w:t>
            </w:r>
          </w:p>
        </w:tc>
        <w:tc>
          <w:tcPr>
            <w:tcW w:w="6913" w:type="dxa"/>
          </w:tcPr>
          <w:p w14:paraId="410C569D" w14:textId="4AEA6D48" w:rsidR="00C07F9C" w:rsidRPr="00A76E2A" w:rsidRDefault="00FE3C31" w:rsidP="009D4480">
            <w:pPr>
              <w:spacing w:line="360" w:lineRule="auto"/>
              <w:jc w:val="both"/>
              <w:rPr>
                <w:rFonts w:ascii="Corbel" w:eastAsia="Tahoma" w:hAnsi="Corbel" w:cs="Tahoma"/>
                <w:color w:val="000000" w:themeColor="text1"/>
                <w:sz w:val="20"/>
              </w:rPr>
            </w:pPr>
            <w:r w:rsidRPr="00A76E2A">
              <w:rPr>
                <w:rFonts w:ascii="Corbel" w:eastAsia="Tahoma" w:hAnsi="Corbel" w:cs="Tahoma"/>
                <w:color w:val="000000" w:themeColor="text1"/>
                <w:sz w:val="20"/>
              </w:rPr>
              <w:t>Men kijkt via deze lens naar universele waarden en gedragsregels die voortkomen uit de categorische imperatief. Het is te begrijpen dat iedereen er mee in stemt dat er voldoende zorg gedragen dient te worden voor de waterkeringen. Dit is in deze zin een universeel geaccepteerde plicht.</w:t>
            </w:r>
          </w:p>
        </w:tc>
      </w:tr>
      <w:tr w:rsidR="004102DF" w:rsidRPr="004102DF" w14:paraId="7B7AA6F8" w14:textId="77777777" w:rsidTr="002F2CB2">
        <w:trPr>
          <w:trHeight w:val="1779"/>
        </w:trPr>
        <w:tc>
          <w:tcPr>
            <w:tcW w:w="2141" w:type="dxa"/>
          </w:tcPr>
          <w:p w14:paraId="331E0837" w14:textId="4FC77C78" w:rsidR="004102DF" w:rsidRPr="00A76E2A" w:rsidRDefault="004102DF" w:rsidP="009D4480">
            <w:pPr>
              <w:spacing w:line="360" w:lineRule="auto"/>
              <w:jc w:val="both"/>
              <w:rPr>
                <w:rFonts w:ascii="Corbel" w:eastAsia="Tahoma" w:hAnsi="Corbel" w:cs="Tahoma"/>
                <w:color w:val="FF0000"/>
                <w:sz w:val="20"/>
              </w:rPr>
            </w:pPr>
            <w:r w:rsidRPr="00A76E2A">
              <w:rPr>
                <w:rFonts w:ascii="Corbel" w:eastAsia="Tahoma" w:hAnsi="Corbel" w:cs="Tahoma"/>
                <w:i/>
                <w:color w:val="000000" w:themeColor="text1"/>
                <w:sz w:val="20"/>
              </w:rPr>
              <w:t>Benadering (rationaliseringswijze</w:t>
            </w:r>
            <w:r w:rsidRPr="00A76E2A">
              <w:rPr>
                <w:rFonts w:ascii="Corbel" w:eastAsia="Tahoma" w:hAnsi="Corbel" w:cs="Tahoma"/>
                <w:i/>
                <w:color w:val="FF0000"/>
                <w:sz w:val="20"/>
              </w:rPr>
              <w:t>)</w:t>
            </w:r>
          </w:p>
        </w:tc>
        <w:tc>
          <w:tcPr>
            <w:tcW w:w="6913" w:type="dxa"/>
          </w:tcPr>
          <w:p w14:paraId="533D8DED" w14:textId="5C8FFB3F" w:rsidR="004102DF" w:rsidRPr="00A76E2A" w:rsidRDefault="00FE3C31" w:rsidP="009D4480">
            <w:pPr>
              <w:spacing w:line="360" w:lineRule="auto"/>
              <w:jc w:val="both"/>
              <w:rPr>
                <w:rFonts w:ascii="Corbel" w:eastAsia="Tahoma" w:hAnsi="Corbel" w:cs="Tahoma"/>
                <w:color w:val="FF0000"/>
                <w:sz w:val="20"/>
              </w:rPr>
            </w:pPr>
            <w:r w:rsidRPr="00A76E2A">
              <w:rPr>
                <w:rFonts w:ascii="Corbel" w:eastAsia="Tahoma" w:hAnsi="Corbel" w:cs="Tahoma"/>
                <w:color w:val="000000" w:themeColor="text1"/>
                <w:sz w:val="20"/>
              </w:rPr>
              <w:t xml:space="preserve">De rationalisering vindt plaats door het principe dat de zorgplicht gehandhaafd moet worden centraal te stellen. Iedere vrije individu zou hiermee in kunnen stemmen, zij het denkbeeldig of in een werkelijke situatie. In tegenstelling tot het utilisme is de waardering echter niet langs een meetlat te leggen, ze is kwalitatief en incommensurabel. </w:t>
            </w:r>
          </w:p>
        </w:tc>
      </w:tr>
      <w:tr w:rsidR="004102DF" w:rsidRPr="004102DF" w14:paraId="2298219A" w14:textId="77777777" w:rsidTr="009D4480">
        <w:tc>
          <w:tcPr>
            <w:tcW w:w="2141" w:type="dxa"/>
          </w:tcPr>
          <w:p w14:paraId="2B646B2F" w14:textId="77777777" w:rsidR="004102DF" w:rsidRPr="00A76E2A" w:rsidRDefault="004102DF" w:rsidP="009D4480">
            <w:pPr>
              <w:tabs>
                <w:tab w:val="left" w:pos="1166"/>
              </w:tabs>
              <w:spacing w:line="360" w:lineRule="auto"/>
              <w:jc w:val="both"/>
              <w:rPr>
                <w:rFonts w:ascii="Corbel" w:eastAsia="Tahoma" w:hAnsi="Corbel" w:cs="Tahoma"/>
                <w:color w:val="000000" w:themeColor="text1"/>
                <w:sz w:val="20"/>
              </w:rPr>
            </w:pPr>
            <w:r w:rsidRPr="00A76E2A">
              <w:rPr>
                <w:rFonts w:ascii="Corbel" w:eastAsia="Tahoma" w:hAnsi="Corbel" w:cs="Tahoma"/>
                <w:i/>
                <w:color w:val="000000" w:themeColor="text1"/>
                <w:sz w:val="20"/>
              </w:rPr>
              <w:t>Kwetsbaarheden (wat wil men beschermen?)</w:t>
            </w:r>
          </w:p>
        </w:tc>
        <w:tc>
          <w:tcPr>
            <w:tcW w:w="6913" w:type="dxa"/>
          </w:tcPr>
          <w:p w14:paraId="6F18B9AD" w14:textId="74D148AB" w:rsidR="004102DF" w:rsidRPr="00A76E2A" w:rsidRDefault="003420B5" w:rsidP="009D4480">
            <w:pPr>
              <w:spacing w:line="360" w:lineRule="auto"/>
              <w:jc w:val="both"/>
              <w:rPr>
                <w:rFonts w:ascii="Corbel" w:eastAsia="Tahoma" w:hAnsi="Corbel" w:cs="Tahoma"/>
                <w:color w:val="000000" w:themeColor="text1"/>
                <w:sz w:val="20"/>
              </w:rPr>
            </w:pPr>
            <w:r w:rsidRPr="00A76E2A">
              <w:rPr>
                <w:rFonts w:ascii="Corbel" w:eastAsia="Tahoma" w:hAnsi="Corbel" w:cs="Tahoma"/>
                <w:color w:val="000000" w:themeColor="text1"/>
                <w:sz w:val="20"/>
              </w:rPr>
              <w:t>Het principe dat bij de toepassing van de deontologie op de case centraal staat is de zorgplicht.  Dit principe slaagt voor de test met de categorische imperatief: het is te accepteren als algemene wet omdat het Nederland beschermt voor het risico van een dijkdoorbraak.</w:t>
            </w:r>
          </w:p>
        </w:tc>
      </w:tr>
      <w:tr w:rsidR="004102DF" w:rsidRPr="004102DF" w14:paraId="1B03AD93" w14:textId="77777777" w:rsidTr="009D4480">
        <w:trPr>
          <w:trHeight w:val="435"/>
        </w:trPr>
        <w:tc>
          <w:tcPr>
            <w:tcW w:w="2141" w:type="dxa"/>
          </w:tcPr>
          <w:p w14:paraId="414DDF3F" w14:textId="77777777" w:rsidR="004102DF" w:rsidRPr="00A76E2A" w:rsidRDefault="004102DF" w:rsidP="009D4480">
            <w:pPr>
              <w:spacing w:line="360" w:lineRule="auto"/>
              <w:jc w:val="both"/>
              <w:rPr>
                <w:rFonts w:ascii="Corbel" w:eastAsia="Tahoma" w:hAnsi="Corbel" w:cs="Tahoma"/>
                <w:color w:val="000000" w:themeColor="text1"/>
                <w:sz w:val="20"/>
              </w:rPr>
            </w:pPr>
            <w:r w:rsidRPr="00A76E2A">
              <w:rPr>
                <w:rFonts w:ascii="Corbel" w:eastAsia="Tahoma" w:hAnsi="Corbel" w:cs="Tahoma"/>
                <w:i/>
                <w:color w:val="000000" w:themeColor="text1"/>
                <w:sz w:val="20"/>
              </w:rPr>
              <w:t>Operationalisatie (hoe zie je dat terug?)</w:t>
            </w:r>
          </w:p>
        </w:tc>
        <w:tc>
          <w:tcPr>
            <w:tcW w:w="6913" w:type="dxa"/>
          </w:tcPr>
          <w:p w14:paraId="63464CF8" w14:textId="5B99B5C1" w:rsidR="004102DF" w:rsidRPr="00A76E2A" w:rsidRDefault="003420B5" w:rsidP="004102DF">
            <w:pPr>
              <w:pStyle w:val="Lijstalinea"/>
              <w:numPr>
                <w:ilvl w:val="0"/>
                <w:numId w:val="7"/>
              </w:numPr>
              <w:spacing w:line="360" w:lineRule="auto"/>
              <w:jc w:val="both"/>
              <w:rPr>
                <w:rFonts w:ascii="Corbel" w:eastAsia="Tahoma" w:hAnsi="Corbel" w:cs="Tahoma"/>
                <w:color w:val="000000" w:themeColor="text1"/>
                <w:sz w:val="20"/>
              </w:rPr>
            </w:pPr>
            <w:r w:rsidRPr="00A76E2A">
              <w:rPr>
                <w:rFonts w:ascii="Corbel" w:eastAsia="Tahoma" w:hAnsi="Corbel" w:cs="Tahoma"/>
                <w:color w:val="000000" w:themeColor="text1"/>
                <w:sz w:val="20"/>
              </w:rPr>
              <w:t>Zorgplicht, afdoende zorg dragen etc.</w:t>
            </w:r>
          </w:p>
        </w:tc>
      </w:tr>
      <w:tr w:rsidR="004102DF" w:rsidRPr="004102DF" w14:paraId="375F06D9" w14:textId="77777777" w:rsidTr="009D4480">
        <w:tc>
          <w:tcPr>
            <w:tcW w:w="2141" w:type="dxa"/>
          </w:tcPr>
          <w:p w14:paraId="77268DF5" w14:textId="77777777" w:rsidR="004102DF" w:rsidRPr="00A76E2A" w:rsidRDefault="004102DF" w:rsidP="009D4480">
            <w:pPr>
              <w:spacing w:line="360" w:lineRule="auto"/>
              <w:jc w:val="both"/>
              <w:rPr>
                <w:rFonts w:ascii="Corbel" w:eastAsia="Tahoma" w:hAnsi="Corbel" w:cs="Tahoma"/>
                <w:color w:val="000000" w:themeColor="text1"/>
                <w:sz w:val="20"/>
              </w:rPr>
            </w:pPr>
            <w:r w:rsidRPr="00A76E2A">
              <w:rPr>
                <w:rFonts w:ascii="Corbel" w:eastAsia="Tahoma" w:hAnsi="Corbel" w:cs="Tahoma"/>
                <w:i/>
                <w:color w:val="000000" w:themeColor="text1"/>
                <w:sz w:val="20"/>
              </w:rPr>
              <w:t>Gremium</w:t>
            </w:r>
          </w:p>
        </w:tc>
        <w:tc>
          <w:tcPr>
            <w:tcW w:w="6913" w:type="dxa"/>
          </w:tcPr>
          <w:p w14:paraId="1D20DAA1" w14:textId="77777777" w:rsidR="004102DF" w:rsidRPr="00A76E2A" w:rsidRDefault="004102DF" w:rsidP="004102DF">
            <w:pPr>
              <w:pStyle w:val="Lijstalinea"/>
              <w:numPr>
                <w:ilvl w:val="0"/>
                <w:numId w:val="9"/>
              </w:numPr>
              <w:spacing w:line="360" w:lineRule="auto"/>
              <w:jc w:val="both"/>
              <w:rPr>
                <w:rFonts w:ascii="Corbel" w:eastAsia="Tahoma" w:hAnsi="Corbel" w:cs="Tahoma"/>
                <w:color w:val="000000" w:themeColor="text1"/>
                <w:sz w:val="20"/>
              </w:rPr>
            </w:pPr>
            <w:r w:rsidRPr="00A76E2A">
              <w:rPr>
                <w:rFonts w:ascii="Corbel" w:eastAsia="Tahoma" w:hAnsi="Corbel" w:cs="Tahoma"/>
                <w:color w:val="000000" w:themeColor="text1"/>
                <w:sz w:val="20"/>
              </w:rPr>
              <w:t>Vanuit de democratische gedachte: willekeurig panel uit de samenleving (indien je de vrije keuze centraal stelt)</w:t>
            </w:r>
          </w:p>
          <w:p w14:paraId="10701840" w14:textId="77777777" w:rsidR="004102DF" w:rsidRPr="00A76E2A" w:rsidRDefault="004102DF" w:rsidP="004102DF">
            <w:pPr>
              <w:pStyle w:val="Lijstalinea"/>
              <w:numPr>
                <w:ilvl w:val="0"/>
                <w:numId w:val="9"/>
              </w:numPr>
              <w:spacing w:line="360" w:lineRule="auto"/>
              <w:jc w:val="both"/>
              <w:rPr>
                <w:rFonts w:ascii="Corbel" w:eastAsia="Tahoma" w:hAnsi="Corbel" w:cs="Tahoma"/>
                <w:color w:val="000000" w:themeColor="text1"/>
                <w:sz w:val="20"/>
              </w:rPr>
            </w:pPr>
            <w:r w:rsidRPr="00A76E2A">
              <w:rPr>
                <w:rFonts w:ascii="Corbel" w:eastAsia="Tahoma" w:hAnsi="Corbel" w:cs="Tahoma"/>
                <w:color w:val="000000" w:themeColor="text1"/>
                <w:sz w:val="20"/>
              </w:rPr>
              <w:t>Toepassen van principes: juristenkwestie (indien principes centraal stelt)</w:t>
            </w:r>
          </w:p>
        </w:tc>
      </w:tr>
    </w:tbl>
    <w:p w14:paraId="52949284" w14:textId="77777777" w:rsidR="004102DF" w:rsidRPr="00371492" w:rsidRDefault="004102DF" w:rsidP="00F2603E">
      <w:pPr>
        <w:spacing w:line="360" w:lineRule="auto"/>
        <w:jc w:val="both"/>
        <w:rPr>
          <w:rFonts w:ascii="Corbel" w:hAnsi="Corbel"/>
          <w:color w:val="000000" w:themeColor="text1"/>
          <w:sz w:val="20"/>
          <w:szCs w:val="20"/>
        </w:rPr>
      </w:pPr>
    </w:p>
    <w:p w14:paraId="7F30003A" w14:textId="77777777" w:rsidR="00F2603E" w:rsidRPr="00371492" w:rsidRDefault="00F2603E" w:rsidP="001E2064">
      <w:pPr>
        <w:spacing w:line="360" w:lineRule="auto"/>
        <w:ind w:firstLine="709"/>
        <w:jc w:val="both"/>
        <w:rPr>
          <w:rFonts w:ascii="Corbel" w:hAnsi="Corbel"/>
          <w:color w:val="000000" w:themeColor="text1"/>
          <w:sz w:val="20"/>
          <w:szCs w:val="20"/>
        </w:rPr>
      </w:pPr>
      <w:r w:rsidRPr="00371492">
        <w:rPr>
          <w:rFonts w:ascii="Corbel" w:hAnsi="Corbel"/>
          <w:color w:val="000000" w:themeColor="text1"/>
          <w:sz w:val="20"/>
          <w:szCs w:val="20"/>
        </w:rPr>
        <w:t xml:space="preserve">Ten tweede wordt er in de risicocatalogus gesproken over de onjuiste beoordeling van keringen als omschrijving van het risico. </w:t>
      </w:r>
      <w:r w:rsidR="009867FD" w:rsidRPr="00371492">
        <w:rPr>
          <w:rFonts w:ascii="Corbel" w:hAnsi="Corbel"/>
          <w:color w:val="000000" w:themeColor="text1"/>
          <w:sz w:val="20"/>
          <w:szCs w:val="20"/>
        </w:rPr>
        <w:t>Deze vaardigheid, namelijk het juist beoordelen van keringen, v</w:t>
      </w:r>
      <w:r w:rsidRPr="00371492">
        <w:rPr>
          <w:rFonts w:ascii="Corbel" w:hAnsi="Corbel"/>
          <w:color w:val="000000" w:themeColor="text1"/>
          <w:sz w:val="20"/>
          <w:szCs w:val="20"/>
        </w:rPr>
        <w:t xml:space="preserve">raagt om </w:t>
      </w:r>
      <w:r w:rsidR="009867FD" w:rsidRPr="00371492">
        <w:rPr>
          <w:rFonts w:ascii="Corbel" w:hAnsi="Corbel"/>
          <w:color w:val="000000" w:themeColor="text1"/>
          <w:sz w:val="20"/>
          <w:szCs w:val="20"/>
        </w:rPr>
        <w:t xml:space="preserve">het hebben van </w:t>
      </w:r>
      <w:r w:rsidRPr="00371492">
        <w:rPr>
          <w:rFonts w:ascii="Corbel" w:hAnsi="Corbel"/>
          <w:color w:val="000000" w:themeColor="text1"/>
          <w:sz w:val="20"/>
          <w:szCs w:val="20"/>
        </w:rPr>
        <w:t>een deugd</w:t>
      </w:r>
      <w:r w:rsidR="009867FD" w:rsidRPr="00371492">
        <w:rPr>
          <w:rFonts w:ascii="Corbel" w:hAnsi="Corbel"/>
          <w:color w:val="000000" w:themeColor="text1"/>
          <w:sz w:val="20"/>
          <w:szCs w:val="20"/>
        </w:rPr>
        <w:t>.</w:t>
      </w:r>
      <w:r w:rsidRPr="00371492">
        <w:rPr>
          <w:rFonts w:ascii="Corbel" w:hAnsi="Corbel"/>
          <w:color w:val="000000" w:themeColor="text1"/>
          <w:sz w:val="20"/>
          <w:szCs w:val="20"/>
        </w:rPr>
        <w:t xml:space="preserve"> </w:t>
      </w:r>
      <w:r w:rsidR="009867FD" w:rsidRPr="00371492">
        <w:rPr>
          <w:rFonts w:ascii="Corbel" w:hAnsi="Corbel"/>
          <w:color w:val="000000" w:themeColor="text1"/>
          <w:sz w:val="20"/>
          <w:szCs w:val="20"/>
        </w:rPr>
        <w:t>Welke deugd is dit?</w:t>
      </w:r>
      <w:r w:rsidR="00D00B39" w:rsidRPr="00371492">
        <w:rPr>
          <w:rFonts w:ascii="Corbel" w:hAnsi="Corbel"/>
          <w:color w:val="000000" w:themeColor="text1"/>
          <w:sz w:val="20"/>
          <w:szCs w:val="20"/>
        </w:rPr>
        <w:t xml:space="preserve"> </w:t>
      </w:r>
      <w:r w:rsidRPr="00371492">
        <w:rPr>
          <w:rFonts w:ascii="Corbel" w:hAnsi="Corbel"/>
          <w:color w:val="000000" w:themeColor="text1"/>
          <w:sz w:val="20"/>
          <w:szCs w:val="20"/>
        </w:rPr>
        <w:t xml:space="preserve">Hebben zij bepaalde deugden in voldoende mate? </w:t>
      </w:r>
      <w:r w:rsidR="00424E2C" w:rsidRPr="00371492">
        <w:rPr>
          <w:rFonts w:ascii="Corbel" w:hAnsi="Corbel"/>
          <w:color w:val="000000" w:themeColor="text1"/>
          <w:sz w:val="20"/>
          <w:szCs w:val="20"/>
        </w:rPr>
        <w:t xml:space="preserve">De benadering is hier actor-centrisch in plaats van proces-centrisch zoals we zagen bij de effecten voor de institutionele schade. </w:t>
      </w:r>
    </w:p>
    <w:p w14:paraId="535E1061" w14:textId="77777777" w:rsidR="002A42AA" w:rsidRPr="00371492" w:rsidRDefault="002A42AA" w:rsidP="001E2064">
      <w:pPr>
        <w:spacing w:line="360" w:lineRule="auto"/>
        <w:ind w:firstLine="709"/>
        <w:jc w:val="both"/>
        <w:rPr>
          <w:rFonts w:ascii="Corbel" w:hAnsi="Corbel"/>
          <w:color w:val="000000" w:themeColor="text1"/>
          <w:sz w:val="20"/>
          <w:szCs w:val="20"/>
        </w:rPr>
      </w:pPr>
    </w:p>
    <w:p w14:paraId="5F9F77E9" w14:textId="7EB1E161" w:rsidR="002A42AA" w:rsidRPr="00371492" w:rsidRDefault="002A42AA" w:rsidP="00510131">
      <w:pPr>
        <w:pStyle w:val="Stijl2"/>
      </w:pPr>
      <w:bookmarkStart w:id="44" w:name="_Toc485990884"/>
      <w:r w:rsidRPr="00371492">
        <w:t>Deelconclusie</w:t>
      </w:r>
      <w:bookmarkEnd w:id="44"/>
    </w:p>
    <w:p w14:paraId="2EB38CD2" w14:textId="068E20D6" w:rsidR="00DB5D64" w:rsidRPr="00371492" w:rsidRDefault="00A41775" w:rsidP="002A42AA">
      <w:pPr>
        <w:spacing w:line="360" w:lineRule="auto"/>
        <w:jc w:val="both"/>
        <w:rPr>
          <w:rFonts w:ascii="Corbel" w:hAnsi="Corbel"/>
          <w:sz w:val="20"/>
          <w:szCs w:val="20"/>
        </w:rPr>
      </w:pPr>
      <w:r w:rsidRPr="00371492">
        <w:rPr>
          <w:rFonts w:ascii="Corbel" w:hAnsi="Corbel"/>
          <w:sz w:val="20"/>
          <w:szCs w:val="20"/>
        </w:rPr>
        <w:t xml:space="preserve"> </w:t>
      </w:r>
      <w:r w:rsidR="003326F5" w:rsidRPr="00371492">
        <w:rPr>
          <w:rFonts w:ascii="Corbel" w:hAnsi="Corbel"/>
          <w:sz w:val="20"/>
          <w:szCs w:val="20"/>
        </w:rPr>
        <w:t>Na de bespreking van de</w:t>
      </w:r>
      <w:r w:rsidR="00DB5D64" w:rsidRPr="00371492">
        <w:rPr>
          <w:rFonts w:ascii="Corbel" w:hAnsi="Corbel"/>
          <w:sz w:val="20"/>
          <w:szCs w:val="20"/>
        </w:rPr>
        <w:t xml:space="preserve"> aanwezige</w:t>
      </w:r>
      <w:r w:rsidR="003326F5" w:rsidRPr="00371492">
        <w:rPr>
          <w:rFonts w:ascii="Corbel" w:hAnsi="Corbel"/>
          <w:sz w:val="20"/>
          <w:szCs w:val="20"/>
        </w:rPr>
        <w:t xml:space="preserve"> ethische aspecten van het risico ‘overstroming in Nederland’ en </w:t>
      </w:r>
      <w:r w:rsidR="00DB5D64" w:rsidRPr="00371492">
        <w:rPr>
          <w:rFonts w:ascii="Corbel" w:hAnsi="Corbel"/>
          <w:sz w:val="20"/>
          <w:szCs w:val="20"/>
        </w:rPr>
        <w:t xml:space="preserve">de mogelijkheden tot uitbreiding van de argumentatie is het tijd om de balans op te maken. Wat kan er op basis van de analyse geconcludeerd worden voor deze case? Hierbij zal gebruik gemaakt worden van een driedeling in kleuren: </w:t>
      </w:r>
      <w:r w:rsidR="00CA2798" w:rsidRPr="00371492">
        <w:rPr>
          <w:rFonts w:ascii="Corbel" w:hAnsi="Corbel"/>
          <w:b/>
          <w:color w:val="70AD47" w:themeColor="accent6"/>
          <w:sz w:val="20"/>
          <w:szCs w:val="20"/>
        </w:rPr>
        <w:t>[expliciet aanwezig</w:t>
      </w:r>
      <w:proofErr w:type="gramStart"/>
      <w:r w:rsidR="00CA2798" w:rsidRPr="00371492">
        <w:rPr>
          <w:rFonts w:ascii="Corbel" w:hAnsi="Corbel"/>
          <w:b/>
          <w:color w:val="70AD47" w:themeColor="accent6"/>
          <w:sz w:val="20"/>
          <w:szCs w:val="20"/>
        </w:rPr>
        <w:t xml:space="preserve">] </w:t>
      </w:r>
      <w:r w:rsidR="00CA2798" w:rsidRPr="00371492">
        <w:rPr>
          <w:rFonts w:ascii="Corbel" w:hAnsi="Corbel"/>
          <w:b/>
          <w:sz w:val="20"/>
          <w:szCs w:val="20"/>
        </w:rPr>
        <w:t>/</w:t>
      </w:r>
      <w:proofErr w:type="gramEnd"/>
      <w:r w:rsidR="00CA2798" w:rsidRPr="00371492">
        <w:rPr>
          <w:rFonts w:ascii="Corbel" w:hAnsi="Corbel"/>
          <w:b/>
          <w:sz w:val="20"/>
          <w:szCs w:val="20"/>
        </w:rPr>
        <w:t xml:space="preserve"> </w:t>
      </w:r>
      <w:r w:rsidR="00CA2798" w:rsidRPr="00371492">
        <w:rPr>
          <w:rFonts w:ascii="Corbel" w:hAnsi="Corbel"/>
          <w:b/>
          <w:color w:val="ED7D31" w:themeColor="accent2"/>
          <w:sz w:val="20"/>
          <w:szCs w:val="20"/>
        </w:rPr>
        <w:t xml:space="preserve">[impliciet aanwezig] </w:t>
      </w:r>
      <w:r w:rsidR="00CA2798" w:rsidRPr="00371492">
        <w:rPr>
          <w:rFonts w:ascii="Corbel" w:hAnsi="Corbel"/>
          <w:b/>
          <w:sz w:val="20"/>
          <w:szCs w:val="20"/>
        </w:rPr>
        <w:t xml:space="preserve">/ </w:t>
      </w:r>
      <w:r w:rsidR="00CA2798" w:rsidRPr="00371492">
        <w:rPr>
          <w:rFonts w:ascii="Corbel" w:hAnsi="Corbel"/>
          <w:b/>
          <w:color w:val="C00000"/>
          <w:sz w:val="20"/>
          <w:szCs w:val="20"/>
        </w:rPr>
        <w:t>[afwezig maar mogelijk zijn]</w:t>
      </w:r>
      <w:r w:rsidR="00DB5D64" w:rsidRPr="00371492">
        <w:rPr>
          <w:rFonts w:ascii="Corbel" w:hAnsi="Corbel"/>
          <w:sz w:val="20"/>
          <w:szCs w:val="20"/>
        </w:rPr>
        <w:t>.</w:t>
      </w:r>
    </w:p>
    <w:p w14:paraId="75E15026" w14:textId="22DEF97A" w:rsidR="00DC476F" w:rsidRPr="00371492" w:rsidRDefault="002B39F9" w:rsidP="002A42AA">
      <w:pPr>
        <w:spacing w:line="360" w:lineRule="auto"/>
        <w:jc w:val="both"/>
        <w:rPr>
          <w:rFonts w:ascii="Corbel" w:hAnsi="Corbel"/>
          <w:color w:val="000000" w:themeColor="text1"/>
          <w:sz w:val="20"/>
          <w:szCs w:val="20"/>
        </w:rPr>
      </w:pPr>
      <w:r>
        <w:rPr>
          <w:rFonts w:ascii="Corbel" w:hAnsi="Corbel"/>
          <w:sz w:val="20"/>
          <w:szCs w:val="20"/>
        </w:rPr>
        <w:tab/>
        <w:t>Uit de analyse blijkt dat d</w:t>
      </w:r>
      <w:r w:rsidR="00BF5C33" w:rsidRPr="00371492">
        <w:rPr>
          <w:rFonts w:ascii="Corbel" w:hAnsi="Corbel"/>
          <w:sz w:val="20"/>
          <w:szCs w:val="20"/>
        </w:rPr>
        <w:t>e perspectieven ‘economie’ en ‘</w:t>
      </w:r>
      <w:r w:rsidR="00451D42" w:rsidRPr="00371492">
        <w:rPr>
          <w:rFonts w:ascii="Corbel" w:hAnsi="Corbel"/>
          <w:sz w:val="20"/>
          <w:szCs w:val="20"/>
        </w:rPr>
        <w:t>fysieke schade’ allebei op basis van de utiliteit uitgewerkt</w:t>
      </w:r>
      <w:r>
        <w:rPr>
          <w:rFonts w:ascii="Corbel" w:hAnsi="Corbel"/>
          <w:sz w:val="20"/>
          <w:szCs w:val="20"/>
        </w:rPr>
        <w:t xml:space="preserve"> zijn</w:t>
      </w:r>
      <w:r w:rsidR="00451D42" w:rsidRPr="00371492">
        <w:rPr>
          <w:rFonts w:ascii="Corbel" w:hAnsi="Corbel"/>
          <w:sz w:val="20"/>
          <w:szCs w:val="20"/>
        </w:rPr>
        <w:t xml:space="preserve"> tot een gekwantificeerde schadepost.</w:t>
      </w:r>
      <w:r w:rsidR="00451D42" w:rsidRPr="00371492">
        <w:rPr>
          <w:rFonts w:ascii="Corbel" w:hAnsi="Corbel"/>
          <w:color w:val="00B050"/>
          <w:sz w:val="20"/>
          <w:szCs w:val="20"/>
        </w:rPr>
        <w:t xml:space="preserve"> </w:t>
      </w:r>
      <w:r w:rsidR="00451D42" w:rsidRPr="002B39F9">
        <w:rPr>
          <w:rFonts w:ascii="Corbel" w:hAnsi="Corbel"/>
          <w:color w:val="70AD47" w:themeColor="accent6"/>
          <w:sz w:val="20"/>
          <w:szCs w:val="20"/>
        </w:rPr>
        <w:t>Utilistische argumentatie is dus expliciet aanwezig</w:t>
      </w:r>
      <w:r w:rsidR="00451D42" w:rsidRPr="00371492">
        <w:rPr>
          <w:rFonts w:ascii="Corbel" w:hAnsi="Corbel"/>
          <w:color w:val="00B050"/>
          <w:sz w:val="20"/>
          <w:szCs w:val="20"/>
        </w:rPr>
        <w:t>.</w:t>
      </w:r>
      <w:r w:rsidR="00451D42" w:rsidRPr="00371492">
        <w:rPr>
          <w:rFonts w:ascii="Corbel" w:hAnsi="Corbel"/>
          <w:sz w:val="20"/>
          <w:szCs w:val="20"/>
        </w:rPr>
        <w:t xml:space="preserve"> </w:t>
      </w:r>
      <w:r w:rsidR="00451D42" w:rsidRPr="00371492">
        <w:rPr>
          <w:rFonts w:ascii="Corbel" w:hAnsi="Corbel"/>
          <w:color w:val="000000" w:themeColor="text1"/>
          <w:sz w:val="20"/>
          <w:szCs w:val="20"/>
        </w:rPr>
        <w:t xml:space="preserve">Het perspectief van ‘institutionele schade’ volgt een andere onderbouwing, namelijk die van de deugdethiek. Hoewel de argumentatie niet volledig is –er mist een noodzakelijke kwalitatieve beoordeling- is </w:t>
      </w:r>
      <w:r w:rsidR="00451D42" w:rsidRPr="00371492">
        <w:rPr>
          <w:rFonts w:ascii="Corbel" w:hAnsi="Corbel"/>
          <w:color w:val="70AD47" w:themeColor="accent6"/>
          <w:sz w:val="20"/>
          <w:szCs w:val="20"/>
        </w:rPr>
        <w:t xml:space="preserve">deugdethische argumentatie ook expliciet aanwezig. </w:t>
      </w:r>
      <w:r w:rsidR="00B46329" w:rsidRPr="00371492">
        <w:rPr>
          <w:rFonts w:ascii="Corbel" w:hAnsi="Corbel"/>
          <w:color w:val="000000" w:themeColor="text1"/>
          <w:sz w:val="20"/>
          <w:szCs w:val="20"/>
        </w:rPr>
        <w:t xml:space="preserve">Deze twee ethische stromingen vormen de onderbouwing in de risicosheet. </w:t>
      </w:r>
    </w:p>
    <w:p w14:paraId="688BC659" w14:textId="32DE84DB" w:rsidR="00451D42" w:rsidRPr="00371492" w:rsidRDefault="00B46329" w:rsidP="00DC476F">
      <w:pPr>
        <w:spacing w:line="360" w:lineRule="auto"/>
        <w:ind w:firstLine="360"/>
        <w:jc w:val="both"/>
        <w:rPr>
          <w:rFonts w:ascii="Corbel" w:hAnsi="Corbel"/>
          <w:color w:val="000000" w:themeColor="text1"/>
          <w:sz w:val="20"/>
          <w:szCs w:val="20"/>
        </w:rPr>
      </w:pPr>
      <w:r w:rsidRPr="00371492">
        <w:rPr>
          <w:rFonts w:ascii="Corbel" w:hAnsi="Corbel"/>
          <w:color w:val="000000" w:themeColor="text1"/>
          <w:sz w:val="20"/>
          <w:szCs w:val="20"/>
        </w:rPr>
        <w:t xml:space="preserve">Wanneer er dieper in de case gedoken wordt, zoals in §6.1.3 is gedaan komen aanknopingspunten voor aanvullende ethische argumentatie op tafel. Zo werd duidelijk dat </w:t>
      </w:r>
      <w:r w:rsidR="00DC476F" w:rsidRPr="00371492">
        <w:rPr>
          <w:rFonts w:ascii="Corbel" w:hAnsi="Corbel"/>
          <w:color w:val="000000" w:themeColor="text1"/>
          <w:sz w:val="20"/>
          <w:szCs w:val="20"/>
        </w:rPr>
        <w:t xml:space="preserve">de focus op de zorgplicht bij dit risico te </w:t>
      </w:r>
      <w:r w:rsidR="00DC476F" w:rsidRPr="00371492">
        <w:rPr>
          <w:rFonts w:ascii="Corbel" w:hAnsi="Corbel"/>
          <w:color w:val="000000" w:themeColor="text1"/>
          <w:sz w:val="20"/>
          <w:szCs w:val="20"/>
        </w:rPr>
        <w:lastRenderedPageBreak/>
        <w:t xml:space="preserve">beargumenteren is vanuit de deontologie. De uitwerking hiervan ontbreekt, maar een voorzet daartoe is gegeven in de paragraaf hierboven. Om die reden is </w:t>
      </w:r>
      <w:r w:rsidR="00DC476F" w:rsidRPr="00371492">
        <w:rPr>
          <w:rFonts w:ascii="Corbel" w:hAnsi="Corbel"/>
          <w:color w:val="ED7D31" w:themeColor="accent2"/>
          <w:sz w:val="20"/>
          <w:szCs w:val="20"/>
        </w:rPr>
        <w:t xml:space="preserve">deontologische argumentatie impliciet aanwezig. </w:t>
      </w:r>
      <w:r w:rsidR="004572EA" w:rsidRPr="00371492">
        <w:rPr>
          <w:rFonts w:ascii="Corbel" w:hAnsi="Corbel"/>
          <w:color w:val="000000" w:themeColor="text1"/>
          <w:sz w:val="20"/>
          <w:szCs w:val="20"/>
        </w:rPr>
        <w:t xml:space="preserve">De uitwerking van dit punt draagt bij aan een bredere en rijkere onderbouwing van dit risico. </w:t>
      </w:r>
      <w:r w:rsidR="003420B5">
        <w:rPr>
          <w:rFonts w:ascii="Corbel" w:hAnsi="Corbel"/>
          <w:color w:val="000000" w:themeColor="text1"/>
          <w:sz w:val="20"/>
          <w:szCs w:val="20"/>
        </w:rPr>
        <w:t xml:space="preserve">In het schema hierboven is hiertoe een eerste aanzet gedaan. </w:t>
      </w:r>
    </w:p>
    <w:tbl>
      <w:tblPr>
        <w:tblStyle w:val="Tabelraster"/>
        <w:tblpPr w:leftFromText="141" w:rightFromText="141" w:vertAnchor="text" w:horzAnchor="page" w:tblpX="3070" w:tblpY="2896"/>
        <w:tblW w:w="0" w:type="auto"/>
        <w:tblLook w:val="04A0" w:firstRow="1" w:lastRow="0" w:firstColumn="1" w:lastColumn="0" w:noHBand="0" w:noVBand="1"/>
      </w:tblPr>
      <w:tblGrid>
        <w:gridCol w:w="1698"/>
        <w:gridCol w:w="4090"/>
      </w:tblGrid>
      <w:tr w:rsidR="00A41775" w:rsidRPr="00371492" w14:paraId="2E661519" w14:textId="77777777" w:rsidTr="002B39F9">
        <w:tc>
          <w:tcPr>
            <w:tcW w:w="5788" w:type="dxa"/>
            <w:gridSpan w:val="2"/>
          </w:tcPr>
          <w:p w14:paraId="36351B53" w14:textId="77777777" w:rsidR="00A41775" w:rsidRPr="00371492" w:rsidRDefault="00A41775" w:rsidP="002B39F9">
            <w:pPr>
              <w:spacing w:line="360" w:lineRule="auto"/>
              <w:jc w:val="center"/>
              <w:rPr>
                <w:rFonts w:ascii="Corbel" w:hAnsi="Corbel"/>
                <w:i/>
                <w:color w:val="000000" w:themeColor="text1"/>
                <w:sz w:val="20"/>
                <w:szCs w:val="20"/>
              </w:rPr>
            </w:pPr>
            <w:r w:rsidRPr="00371492">
              <w:rPr>
                <w:rFonts w:ascii="Corbel" w:hAnsi="Corbel"/>
                <w:i/>
                <w:color w:val="000000" w:themeColor="text1"/>
                <w:sz w:val="20"/>
                <w:szCs w:val="20"/>
              </w:rPr>
              <w:t>Snapshot ethische argumentatie: casus 1</w:t>
            </w:r>
          </w:p>
        </w:tc>
      </w:tr>
      <w:tr w:rsidR="00A41775" w:rsidRPr="00371492" w14:paraId="578BDE04" w14:textId="77777777" w:rsidTr="002B39F9">
        <w:tc>
          <w:tcPr>
            <w:tcW w:w="1698" w:type="dxa"/>
          </w:tcPr>
          <w:p w14:paraId="1D4420AC" w14:textId="77777777" w:rsidR="00A41775" w:rsidRPr="00371492" w:rsidRDefault="00A41775" w:rsidP="002B39F9">
            <w:pPr>
              <w:spacing w:line="360" w:lineRule="auto"/>
              <w:jc w:val="both"/>
              <w:rPr>
                <w:rFonts w:ascii="Corbel" w:hAnsi="Corbel"/>
                <w:b/>
                <w:color w:val="000000" w:themeColor="text1"/>
                <w:sz w:val="20"/>
                <w:szCs w:val="20"/>
              </w:rPr>
            </w:pPr>
            <w:r w:rsidRPr="00371492">
              <w:rPr>
                <w:rFonts w:ascii="Corbel" w:hAnsi="Corbel"/>
                <w:b/>
                <w:color w:val="000000" w:themeColor="text1"/>
                <w:sz w:val="20"/>
                <w:szCs w:val="20"/>
              </w:rPr>
              <w:t>Utiliteit</w:t>
            </w:r>
          </w:p>
        </w:tc>
        <w:tc>
          <w:tcPr>
            <w:tcW w:w="4090" w:type="dxa"/>
          </w:tcPr>
          <w:p w14:paraId="59A62FFD" w14:textId="77777777" w:rsidR="00A41775" w:rsidRPr="00371492" w:rsidRDefault="00A41775" w:rsidP="002B39F9">
            <w:pPr>
              <w:spacing w:line="360" w:lineRule="auto"/>
              <w:jc w:val="both"/>
              <w:rPr>
                <w:rFonts w:ascii="Corbel" w:hAnsi="Corbel"/>
                <w:b/>
                <w:color w:val="FF0000"/>
                <w:sz w:val="20"/>
                <w:szCs w:val="20"/>
              </w:rPr>
            </w:pPr>
            <w:r w:rsidRPr="00371492">
              <w:rPr>
                <w:rFonts w:ascii="Corbel" w:hAnsi="Corbel"/>
                <w:b/>
                <w:color w:val="70AD47" w:themeColor="accent6"/>
                <w:sz w:val="20"/>
                <w:szCs w:val="20"/>
              </w:rPr>
              <w:t>Expliciet aanwezig</w:t>
            </w:r>
          </w:p>
        </w:tc>
      </w:tr>
      <w:tr w:rsidR="00A41775" w:rsidRPr="00371492" w14:paraId="0BD8D106" w14:textId="77777777" w:rsidTr="002B39F9">
        <w:tc>
          <w:tcPr>
            <w:tcW w:w="1698" w:type="dxa"/>
          </w:tcPr>
          <w:p w14:paraId="2BD128E1" w14:textId="77777777" w:rsidR="00A41775" w:rsidRPr="00371492" w:rsidRDefault="00A41775" w:rsidP="002B39F9">
            <w:pPr>
              <w:spacing w:line="360" w:lineRule="auto"/>
              <w:jc w:val="both"/>
              <w:rPr>
                <w:rFonts w:ascii="Corbel" w:hAnsi="Corbel"/>
                <w:b/>
                <w:color w:val="000000" w:themeColor="text1"/>
                <w:sz w:val="20"/>
                <w:szCs w:val="20"/>
              </w:rPr>
            </w:pPr>
            <w:r w:rsidRPr="00371492">
              <w:rPr>
                <w:rFonts w:ascii="Corbel" w:hAnsi="Corbel"/>
                <w:b/>
                <w:color w:val="000000" w:themeColor="text1"/>
                <w:sz w:val="20"/>
                <w:szCs w:val="20"/>
              </w:rPr>
              <w:t>Deontologie</w:t>
            </w:r>
          </w:p>
        </w:tc>
        <w:tc>
          <w:tcPr>
            <w:tcW w:w="4090" w:type="dxa"/>
          </w:tcPr>
          <w:p w14:paraId="121A0905" w14:textId="77777777" w:rsidR="00A41775" w:rsidRPr="00371492" w:rsidRDefault="00A41775" w:rsidP="002B39F9">
            <w:pPr>
              <w:spacing w:line="360" w:lineRule="auto"/>
              <w:jc w:val="both"/>
              <w:rPr>
                <w:rFonts w:ascii="Corbel" w:hAnsi="Corbel"/>
                <w:b/>
                <w:color w:val="ED7D31" w:themeColor="accent2"/>
                <w:sz w:val="20"/>
                <w:szCs w:val="20"/>
              </w:rPr>
            </w:pPr>
            <w:r w:rsidRPr="00371492">
              <w:rPr>
                <w:rFonts w:ascii="Corbel" w:hAnsi="Corbel"/>
                <w:b/>
                <w:color w:val="ED7D31" w:themeColor="accent2"/>
                <w:sz w:val="20"/>
                <w:szCs w:val="20"/>
              </w:rPr>
              <w:t>Impliciet aanwezig</w:t>
            </w:r>
          </w:p>
        </w:tc>
      </w:tr>
      <w:tr w:rsidR="00A41775" w:rsidRPr="00371492" w14:paraId="0B93CFFB" w14:textId="77777777" w:rsidTr="002B39F9">
        <w:trPr>
          <w:trHeight w:val="323"/>
        </w:trPr>
        <w:tc>
          <w:tcPr>
            <w:tcW w:w="1698" w:type="dxa"/>
          </w:tcPr>
          <w:p w14:paraId="17D77C3E" w14:textId="77777777" w:rsidR="00A41775" w:rsidRPr="00371492" w:rsidRDefault="00A41775" w:rsidP="002B39F9">
            <w:pPr>
              <w:spacing w:line="360" w:lineRule="auto"/>
              <w:jc w:val="both"/>
              <w:rPr>
                <w:rFonts w:ascii="Corbel" w:hAnsi="Corbel"/>
                <w:b/>
                <w:color w:val="000000" w:themeColor="text1"/>
                <w:sz w:val="20"/>
                <w:szCs w:val="20"/>
              </w:rPr>
            </w:pPr>
            <w:r w:rsidRPr="00371492">
              <w:rPr>
                <w:rFonts w:ascii="Corbel" w:hAnsi="Corbel"/>
                <w:b/>
                <w:color w:val="000000" w:themeColor="text1"/>
                <w:sz w:val="20"/>
                <w:szCs w:val="20"/>
              </w:rPr>
              <w:t>Deugdethiek</w:t>
            </w:r>
          </w:p>
        </w:tc>
        <w:tc>
          <w:tcPr>
            <w:tcW w:w="4090" w:type="dxa"/>
          </w:tcPr>
          <w:p w14:paraId="40C61EAE" w14:textId="75A52C2B" w:rsidR="00A41775" w:rsidRPr="00371492" w:rsidRDefault="00A41775" w:rsidP="002B39F9">
            <w:pPr>
              <w:spacing w:line="360" w:lineRule="auto"/>
              <w:jc w:val="both"/>
              <w:rPr>
                <w:rFonts w:ascii="Corbel" w:hAnsi="Corbel"/>
                <w:b/>
                <w:color w:val="000000" w:themeColor="text1"/>
                <w:sz w:val="20"/>
                <w:szCs w:val="20"/>
              </w:rPr>
            </w:pPr>
            <w:r w:rsidRPr="00371492">
              <w:rPr>
                <w:rFonts w:ascii="Corbel" w:hAnsi="Corbel"/>
                <w:b/>
                <w:color w:val="70AD47" w:themeColor="accent6"/>
                <w:sz w:val="20"/>
                <w:szCs w:val="20"/>
              </w:rPr>
              <w:t xml:space="preserve">Expliciet aanwezig </w:t>
            </w:r>
            <w:r w:rsidRPr="00371492">
              <w:rPr>
                <w:rFonts w:ascii="Corbel" w:hAnsi="Corbel"/>
                <w:b/>
                <w:color w:val="000000" w:themeColor="text1"/>
                <w:sz w:val="20"/>
                <w:szCs w:val="20"/>
              </w:rPr>
              <w:t xml:space="preserve">+ </w:t>
            </w:r>
            <w:r w:rsidRPr="00371492">
              <w:rPr>
                <w:rFonts w:ascii="Corbel" w:hAnsi="Corbel"/>
                <w:b/>
                <w:color w:val="C00000"/>
                <w:sz w:val="20"/>
                <w:szCs w:val="20"/>
              </w:rPr>
              <w:t xml:space="preserve">afwezig maar mogelijk </w:t>
            </w:r>
            <w:r w:rsidR="008A7388">
              <w:rPr>
                <w:rFonts w:ascii="Corbel" w:hAnsi="Corbel"/>
                <w:b/>
                <w:color w:val="C00000"/>
                <w:sz w:val="20"/>
                <w:szCs w:val="20"/>
              </w:rPr>
              <w:t xml:space="preserve"> (additioneel)</w:t>
            </w:r>
          </w:p>
        </w:tc>
      </w:tr>
    </w:tbl>
    <w:p w14:paraId="78F12519" w14:textId="0562C5F8" w:rsidR="0084169A" w:rsidRPr="00371492" w:rsidRDefault="00A41775" w:rsidP="00A41775">
      <w:pPr>
        <w:spacing w:line="360" w:lineRule="auto"/>
        <w:ind w:firstLine="360"/>
        <w:jc w:val="both"/>
        <w:rPr>
          <w:rFonts w:ascii="Corbel" w:hAnsi="Corbel"/>
          <w:color w:val="000000" w:themeColor="text1"/>
          <w:sz w:val="20"/>
          <w:szCs w:val="20"/>
        </w:rPr>
      </w:pPr>
      <w:r w:rsidRPr="00371492">
        <w:rPr>
          <w:rFonts w:ascii="Corbel" w:hAnsi="Corbel"/>
          <w:color w:val="000000" w:themeColor="text1"/>
          <w:sz w:val="20"/>
          <w:szCs w:val="20"/>
        </w:rPr>
        <w:t xml:space="preserve"> </w:t>
      </w:r>
      <w:r w:rsidR="004572EA" w:rsidRPr="00371492">
        <w:rPr>
          <w:rFonts w:ascii="Corbel" w:hAnsi="Corbel"/>
          <w:color w:val="000000" w:themeColor="text1"/>
          <w:sz w:val="20"/>
          <w:szCs w:val="20"/>
        </w:rPr>
        <w:t>Ten slotte is er</w:t>
      </w:r>
      <w:r w:rsidR="002B39F9">
        <w:rPr>
          <w:rFonts w:ascii="Corbel" w:hAnsi="Corbel"/>
          <w:color w:val="000000" w:themeColor="text1"/>
          <w:sz w:val="20"/>
          <w:szCs w:val="20"/>
        </w:rPr>
        <w:t xml:space="preserve"> bij de onderbouwing van dit risico</w:t>
      </w:r>
      <w:r w:rsidR="004572EA" w:rsidRPr="00371492">
        <w:rPr>
          <w:rFonts w:ascii="Corbel" w:hAnsi="Corbel"/>
          <w:color w:val="000000" w:themeColor="text1"/>
          <w:sz w:val="20"/>
          <w:szCs w:val="20"/>
        </w:rPr>
        <w:t xml:space="preserve"> ruimte voor aanvullende </w:t>
      </w:r>
      <w:r w:rsidR="004572EA" w:rsidRPr="00371492">
        <w:rPr>
          <w:rFonts w:ascii="Corbel" w:hAnsi="Corbel"/>
          <w:color w:val="FF0000"/>
          <w:sz w:val="20"/>
          <w:szCs w:val="20"/>
        </w:rPr>
        <w:t xml:space="preserve">deugdethische argumentatie. Deze is nu afwezig maar mogelijk. </w:t>
      </w:r>
      <w:r w:rsidR="002B39F9">
        <w:rPr>
          <w:rFonts w:ascii="Corbel" w:hAnsi="Corbel"/>
          <w:color w:val="000000" w:themeColor="text1"/>
          <w:sz w:val="20"/>
          <w:szCs w:val="20"/>
        </w:rPr>
        <w:t xml:space="preserve">Deze aanvulling zit verscholen in de </w:t>
      </w:r>
      <w:r w:rsidR="004572EA" w:rsidRPr="00371492">
        <w:rPr>
          <w:rFonts w:ascii="Corbel" w:hAnsi="Corbel"/>
          <w:color w:val="000000" w:themeColor="text1"/>
          <w:sz w:val="20"/>
          <w:szCs w:val="20"/>
        </w:rPr>
        <w:t>onjuiste beoordeling van een kering</w:t>
      </w:r>
      <w:r w:rsidR="002B39F9">
        <w:rPr>
          <w:rFonts w:ascii="Corbel" w:hAnsi="Corbel"/>
          <w:color w:val="000000" w:themeColor="text1"/>
          <w:sz w:val="20"/>
          <w:szCs w:val="20"/>
        </w:rPr>
        <w:t>, hetgeen</w:t>
      </w:r>
      <w:r w:rsidR="004572EA" w:rsidRPr="00371492">
        <w:rPr>
          <w:rFonts w:ascii="Corbel" w:hAnsi="Corbel"/>
          <w:color w:val="000000" w:themeColor="text1"/>
          <w:sz w:val="20"/>
          <w:szCs w:val="20"/>
        </w:rPr>
        <w:t xml:space="preserve"> vraagt om een</w:t>
      </w:r>
      <w:r w:rsidR="002B39F9">
        <w:rPr>
          <w:rFonts w:ascii="Corbel" w:hAnsi="Corbel"/>
          <w:color w:val="000000" w:themeColor="text1"/>
          <w:sz w:val="20"/>
          <w:szCs w:val="20"/>
        </w:rPr>
        <w:t xml:space="preserve"> bepaalde</w:t>
      </w:r>
      <w:r w:rsidR="004572EA" w:rsidRPr="00371492">
        <w:rPr>
          <w:rFonts w:ascii="Corbel" w:hAnsi="Corbel"/>
          <w:color w:val="000000" w:themeColor="text1"/>
          <w:sz w:val="20"/>
          <w:szCs w:val="20"/>
        </w:rPr>
        <w:t xml:space="preserve"> vaardigheid</w:t>
      </w:r>
      <w:r w:rsidR="002B39F9">
        <w:rPr>
          <w:rFonts w:ascii="Corbel" w:hAnsi="Corbel"/>
          <w:color w:val="000000" w:themeColor="text1"/>
          <w:sz w:val="20"/>
          <w:szCs w:val="20"/>
        </w:rPr>
        <w:t xml:space="preserve"> of ‘deugd’</w:t>
      </w:r>
      <w:r w:rsidR="004572EA" w:rsidRPr="00371492">
        <w:rPr>
          <w:rFonts w:ascii="Corbel" w:hAnsi="Corbel"/>
          <w:color w:val="000000" w:themeColor="text1"/>
          <w:sz w:val="20"/>
          <w:szCs w:val="20"/>
        </w:rPr>
        <w:t xml:space="preserve">. Het is mogelijk dit aspect in te vullen vanuit de deugdethiek. De deugdethische argumentatie bij dit punt verschilt van de </w:t>
      </w:r>
      <w:r w:rsidR="000641EC" w:rsidRPr="00371492">
        <w:rPr>
          <w:rFonts w:ascii="Corbel" w:hAnsi="Corbel"/>
          <w:color w:val="000000" w:themeColor="text1"/>
          <w:sz w:val="20"/>
          <w:szCs w:val="20"/>
        </w:rPr>
        <w:t>argumentatie</w:t>
      </w:r>
      <w:r w:rsidR="004572EA" w:rsidRPr="00371492">
        <w:rPr>
          <w:rFonts w:ascii="Corbel" w:hAnsi="Corbel"/>
          <w:color w:val="000000" w:themeColor="text1"/>
          <w:sz w:val="20"/>
          <w:szCs w:val="20"/>
        </w:rPr>
        <w:t xml:space="preserve"> </w:t>
      </w:r>
      <w:r w:rsidR="000641EC" w:rsidRPr="00371492">
        <w:rPr>
          <w:rFonts w:ascii="Corbel" w:hAnsi="Corbel"/>
          <w:color w:val="000000" w:themeColor="text1"/>
          <w:sz w:val="20"/>
          <w:szCs w:val="20"/>
        </w:rPr>
        <w:t xml:space="preserve">die wel expliciet aanwezig is. Institutionele schade werd proces-centrisch ingevuld in expliciet deugdethische termen. De onderbouwing van het punt van het beoordelen van keringen vraagt om een actor-centrische benadering. </w:t>
      </w:r>
      <w:r w:rsidRPr="00371492">
        <w:rPr>
          <w:rFonts w:ascii="Corbel" w:hAnsi="Corbel"/>
          <w:color w:val="000000" w:themeColor="text1"/>
          <w:sz w:val="20"/>
          <w:szCs w:val="20"/>
        </w:rPr>
        <w:t>Hieronder is de ethische argumentatie van casus 1 in een kort overzicht weergegeven:</w:t>
      </w:r>
    </w:p>
    <w:p w14:paraId="342B6E2F" w14:textId="77777777" w:rsidR="00A41775" w:rsidRPr="00371492" w:rsidRDefault="00A41775" w:rsidP="00A41775">
      <w:pPr>
        <w:spacing w:line="360" w:lineRule="auto"/>
        <w:ind w:firstLine="360"/>
        <w:jc w:val="both"/>
        <w:rPr>
          <w:rFonts w:ascii="Corbel" w:hAnsi="Corbel"/>
          <w:color w:val="000000" w:themeColor="text1"/>
          <w:sz w:val="20"/>
          <w:szCs w:val="20"/>
        </w:rPr>
      </w:pPr>
    </w:p>
    <w:p w14:paraId="012ECEA1" w14:textId="77777777" w:rsidR="00A41775" w:rsidRPr="00371492" w:rsidRDefault="00A41775" w:rsidP="00A41775">
      <w:pPr>
        <w:spacing w:line="360" w:lineRule="auto"/>
        <w:ind w:firstLine="360"/>
        <w:jc w:val="both"/>
        <w:rPr>
          <w:rFonts w:ascii="Corbel" w:hAnsi="Corbel"/>
          <w:color w:val="000000" w:themeColor="text1"/>
          <w:sz w:val="20"/>
          <w:szCs w:val="20"/>
        </w:rPr>
      </w:pPr>
    </w:p>
    <w:p w14:paraId="7BB9A9E3" w14:textId="77777777" w:rsidR="00A41775" w:rsidRPr="00371492" w:rsidRDefault="00A41775" w:rsidP="00A41775">
      <w:pPr>
        <w:spacing w:line="360" w:lineRule="auto"/>
        <w:ind w:firstLine="360"/>
        <w:jc w:val="both"/>
        <w:rPr>
          <w:rFonts w:ascii="Corbel" w:hAnsi="Corbel"/>
          <w:color w:val="000000" w:themeColor="text1"/>
          <w:sz w:val="20"/>
          <w:szCs w:val="20"/>
        </w:rPr>
      </w:pPr>
    </w:p>
    <w:p w14:paraId="1CB75A89" w14:textId="77777777" w:rsidR="00A41775" w:rsidRPr="00371492" w:rsidRDefault="00A41775" w:rsidP="00A41775">
      <w:pPr>
        <w:spacing w:line="360" w:lineRule="auto"/>
        <w:ind w:firstLine="360"/>
        <w:jc w:val="both"/>
        <w:rPr>
          <w:rFonts w:ascii="Corbel" w:hAnsi="Corbel"/>
          <w:color w:val="000000" w:themeColor="text1"/>
          <w:sz w:val="20"/>
          <w:szCs w:val="20"/>
        </w:rPr>
      </w:pPr>
    </w:p>
    <w:p w14:paraId="4118FC88" w14:textId="77777777" w:rsidR="00A41775" w:rsidRPr="00371492" w:rsidRDefault="00A41775" w:rsidP="00A41775">
      <w:pPr>
        <w:spacing w:line="360" w:lineRule="auto"/>
        <w:ind w:firstLine="360"/>
        <w:jc w:val="both"/>
        <w:rPr>
          <w:rFonts w:ascii="Corbel" w:hAnsi="Corbel"/>
          <w:color w:val="000000" w:themeColor="text1"/>
          <w:sz w:val="20"/>
          <w:szCs w:val="20"/>
        </w:rPr>
      </w:pPr>
    </w:p>
    <w:p w14:paraId="769CC12C" w14:textId="77777777" w:rsidR="00A41775" w:rsidRPr="00371492" w:rsidRDefault="00A41775" w:rsidP="00A41775">
      <w:pPr>
        <w:spacing w:line="360" w:lineRule="auto"/>
        <w:ind w:firstLine="360"/>
        <w:jc w:val="both"/>
        <w:rPr>
          <w:rFonts w:ascii="Corbel" w:hAnsi="Corbel"/>
          <w:color w:val="000000" w:themeColor="text1"/>
          <w:sz w:val="20"/>
          <w:szCs w:val="20"/>
        </w:rPr>
      </w:pPr>
    </w:p>
    <w:p w14:paraId="01BAB460" w14:textId="77777777" w:rsidR="00977C9A" w:rsidRPr="00371492" w:rsidRDefault="00977C9A" w:rsidP="00A41775">
      <w:pPr>
        <w:spacing w:line="360" w:lineRule="auto"/>
        <w:ind w:firstLine="360"/>
        <w:jc w:val="both"/>
        <w:rPr>
          <w:rFonts w:ascii="Corbel" w:hAnsi="Corbel"/>
          <w:color w:val="000000" w:themeColor="text1"/>
          <w:sz w:val="20"/>
          <w:szCs w:val="20"/>
        </w:rPr>
      </w:pPr>
    </w:p>
    <w:p w14:paraId="64FEE31A" w14:textId="77777777" w:rsidR="00977C9A" w:rsidRDefault="00977C9A" w:rsidP="00A41775">
      <w:pPr>
        <w:spacing w:line="360" w:lineRule="auto"/>
        <w:ind w:firstLine="360"/>
        <w:jc w:val="both"/>
        <w:rPr>
          <w:rFonts w:ascii="Corbel" w:hAnsi="Corbel"/>
          <w:color w:val="000000" w:themeColor="text1"/>
          <w:sz w:val="20"/>
          <w:szCs w:val="20"/>
        </w:rPr>
      </w:pPr>
    </w:p>
    <w:p w14:paraId="62F14089" w14:textId="77777777" w:rsidR="00AE27A7" w:rsidRDefault="00AE27A7" w:rsidP="00A41775">
      <w:pPr>
        <w:spacing w:line="360" w:lineRule="auto"/>
        <w:ind w:firstLine="360"/>
        <w:jc w:val="both"/>
        <w:rPr>
          <w:rFonts w:ascii="Corbel" w:hAnsi="Corbel"/>
          <w:color w:val="000000" w:themeColor="text1"/>
          <w:sz w:val="20"/>
          <w:szCs w:val="20"/>
        </w:rPr>
      </w:pPr>
    </w:p>
    <w:p w14:paraId="5C45BD8E" w14:textId="77777777" w:rsidR="00AE27A7" w:rsidRDefault="00AE27A7" w:rsidP="00A41775">
      <w:pPr>
        <w:spacing w:line="360" w:lineRule="auto"/>
        <w:ind w:firstLine="360"/>
        <w:jc w:val="both"/>
        <w:rPr>
          <w:rFonts w:ascii="Corbel" w:hAnsi="Corbel"/>
          <w:color w:val="000000" w:themeColor="text1"/>
          <w:sz w:val="20"/>
          <w:szCs w:val="20"/>
        </w:rPr>
      </w:pPr>
    </w:p>
    <w:p w14:paraId="44FD00C6" w14:textId="77777777" w:rsidR="00360263" w:rsidRDefault="00360263" w:rsidP="00A41775">
      <w:pPr>
        <w:spacing w:line="360" w:lineRule="auto"/>
        <w:ind w:firstLine="360"/>
        <w:jc w:val="both"/>
        <w:rPr>
          <w:rFonts w:ascii="Corbel" w:hAnsi="Corbel"/>
          <w:color w:val="000000" w:themeColor="text1"/>
          <w:sz w:val="20"/>
          <w:szCs w:val="20"/>
        </w:rPr>
      </w:pPr>
    </w:p>
    <w:p w14:paraId="72F10541" w14:textId="77777777" w:rsidR="00360263" w:rsidRDefault="00360263" w:rsidP="00A41775">
      <w:pPr>
        <w:spacing w:line="360" w:lineRule="auto"/>
        <w:ind w:firstLine="360"/>
        <w:jc w:val="both"/>
        <w:rPr>
          <w:rFonts w:ascii="Corbel" w:hAnsi="Corbel"/>
          <w:color w:val="000000" w:themeColor="text1"/>
          <w:sz w:val="20"/>
          <w:szCs w:val="20"/>
        </w:rPr>
      </w:pPr>
    </w:p>
    <w:p w14:paraId="23639603" w14:textId="77777777" w:rsidR="00360263" w:rsidRDefault="00360263" w:rsidP="00A41775">
      <w:pPr>
        <w:spacing w:line="360" w:lineRule="auto"/>
        <w:ind w:firstLine="360"/>
        <w:jc w:val="both"/>
        <w:rPr>
          <w:rFonts w:ascii="Corbel" w:hAnsi="Corbel"/>
          <w:color w:val="000000" w:themeColor="text1"/>
          <w:sz w:val="20"/>
          <w:szCs w:val="20"/>
        </w:rPr>
      </w:pPr>
    </w:p>
    <w:p w14:paraId="3E7EAD42" w14:textId="77777777" w:rsidR="00360263" w:rsidRDefault="00360263" w:rsidP="00A41775">
      <w:pPr>
        <w:spacing w:line="360" w:lineRule="auto"/>
        <w:ind w:firstLine="360"/>
        <w:jc w:val="both"/>
        <w:rPr>
          <w:rFonts w:ascii="Corbel" w:hAnsi="Corbel"/>
          <w:color w:val="000000" w:themeColor="text1"/>
          <w:sz w:val="20"/>
          <w:szCs w:val="20"/>
        </w:rPr>
      </w:pPr>
    </w:p>
    <w:p w14:paraId="1D9B93F0" w14:textId="77777777" w:rsidR="003420B5" w:rsidRDefault="003420B5" w:rsidP="00A41775">
      <w:pPr>
        <w:spacing w:line="360" w:lineRule="auto"/>
        <w:ind w:firstLine="360"/>
        <w:jc w:val="both"/>
        <w:rPr>
          <w:rFonts w:ascii="Corbel" w:hAnsi="Corbel"/>
          <w:color w:val="000000" w:themeColor="text1"/>
          <w:sz w:val="20"/>
          <w:szCs w:val="20"/>
        </w:rPr>
      </w:pPr>
    </w:p>
    <w:p w14:paraId="74871183" w14:textId="77777777" w:rsidR="003420B5" w:rsidRDefault="003420B5" w:rsidP="00A41775">
      <w:pPr>
        <w:spacing w:line="360" w:lineRule="auto"/>
        <w:ind w:firstLine="360"/>
        <w:jc w:val="both"/>
        <w:rPr>
          <w:rFonts w:ascii="Corbel" w:hAnsi="Corbel"/>
          <w:color w:val="000000" w:themeColor="text1"/>
          <w:sz w:val="20"/>
          <w:szCs w:val="20"/>
        </w:rPr>
      </w:pPr>
    </w:p>
    <w:p w14:paraId="7CB7B8AF" w14:textId="77777777" w:rsidR="003420B5" w:rsidRDefault="003420B5" w:rsidP="00A41775">
      <w:pPr>
        <w:spacing w:line="360" w:lineRule="auto"/>
        <w:ind w:firstLine="360"/>
        <w:jc w:val="both"/>
        <w:rPr>
          <w:rFonts w:ascii="Corbel" w:hAnsi="Corbel"/>
          <w:color w:val="000000" w:themeColor="text1"/>
          <w:sz w:val="20"/>
          <w:szCs w:val="20"/>
        </w:rPr>
      </w:pPr>
    </w:p>
    <w:p w14:paraId="2F351992" w14:textId="77777777" w:rsidR="003420B5" w:rsidRDefault="003420B5" w:rsidP="00A41775">
      <w:pPr>
        <w:spacing w:line="360" w:lineRule="auto"/>
        <w:ind w:firstLine="360"/>
        <w:jc w:val="both"/>
        <w:rPr>
          <w:rFonts w:ascii="Corbel" w:hAnsi="Corbel"/>
          <w:color w:val="000000" w:themeColor="text1"/>
          <w:sz w:val="20"/>
          <w:szCs w:val="20"/>
        </w:rPr>
      </w:pPr>
    </w:p>
    <w:p w14:paraId="2322C398" w14:textId="77777777" w:rsidR="003420B5" w:rsidRDefault="003420B5" w:rsidP="00A41775">
      <w:pPr>
        <w:spacing w:line="360" w:lineRule="auto"/>
        <w:ind w:firstLine="360"/>
        <w:jc w:val="both"/>
        <w:rPr>
          <w:rFonts w:ascii="Corbel" w:hAnsi="Corbel"/>
          <w:color w:val="000000" w:themeColor="text1"/>
          <w:sz w:val="20"/>
          <w:szCs w:val="20"/>
        </w:rPr>
      </w:pPr>
    </w:p>
    <w:p w14:paraId="07B651A0" w14:textId="77777777" w:rsidR="003420B5" w:rsidRDefault="003420B5" w:rsidP="00A41775">
      <w:pPr>
        <w:spacing w:line="360" w:lineRule="auto"/>
        <w:ind w:firstLine="360"/>
        <w:jc w:val="both"/>
        <w:rPr>
          <w:rFonts w:ascii="Corbel" w:hAnsi="Corbel"/>
          <w:color w:val="000000" w:themeColor="text1"/>
          <w:sz w:val="20"/>
          <w:szCs w:val="20"/>
        </w:rPr>
      </w:pPr>
    </w:p>
    <w:p w14:paraId="78660B76" w14:textId="77777777" w:rsidR="003420B5" w:rsidRDefault="003420B5" w:rsidP="00A41775">
      <w:pPr>
        <w:spacing w:line="360" w:lineRule="auto"/>
        <w:ind w:firstLine="360"/>
        <w:jc w:val="both"/>
        <w:rPr>
          <w:rFonts w:ascii="Corbel" w:hAnsi="Corbel"/>
          <w:color w:val="000000" w:themeColor="text1"/>
          <w:sz w:val="20"/>
          <w:szCs w:val="20"/>
        </w:rPr>
      </w:pPr>
    </w:p>
    <w:p w14:paraId="7DD2B1BD" w14:textId="77777777" w:rsidR="003420B5" w:rsidRDefault="003420B5" w:rsidP="00A41775">
      <w:pPr>
        <w:spacing w:line="360" w:lineRule="auto"/>
        <w:ind w:firstLine="360"/>
        <w:jc w:val="both"/>
        <w:rPr>
          <w:rFonts w:ascii="Corbel" w:hAnsi="Corbel"/>
          <w:color w:val="000000" w:themeColor="text1"/>
          <w:sz w:val="20"/>
          <w:szCs w:val="20"/>
        </w:rPr>
      </w:pPr>
    </w:p>
    <w:p w14:paraId="1CC99159" w14:textId="77777777" w:rsidR="00360263" w:rsidRPr="00371492" w:rsidRDefault="00360263" w:rsidP="00A41775">
      <w:pPr>
        <w:spacing w:line="360" w:lineRule="auto"/>
        <w:ind w:firstLine="360"/>
        <w:jc w:val="both"/>
        <w:rPr>
          <w:rFonts w:ascii="Corbel" w:hAnsi="Corbel"/>
          <w:color w:val="000000" w:themeColor="text1"/>
          <w:sz w:val="20"/>
          <w:szCs w:val="20"/>
        </w:rPr>
      </w:pPr>
    </w:p>
    <w:p w14:paraId="56293514" w14:textId="374682B2" w:rsidR="0084169A" w:rsidRPr="00371492" w:rsidRDefault="0084169A" w:rsidP="00510131">
      <w:pPr>
        <w:pStyle w:val="Stijl2"/>
        <w:numPr>
          <w:ilvl w:val="1"/>
          <w:numId w:val="21"/>
        </w:numPr>
      </w:pPr>
      <w:bookmarkStart w:id="45" w:name="_Toc485990885"/>
      <w:r w:rsidRPr="00371492">
        <w:lastRenderedPageBreak/>
        <w:t xml:space="preserve">Casus 2: </w:t>
      </w:r>
      <w:r w:rsidR="008D436D" w:rsidRPr="00371492">
        <w:t>‘s</w:t>
      </w:r>
      <w:r w:rsidR="000D3A52" w:rsidRPr="00371492">
        <w:t>tank en geluidsoverlast door luchtvaart</w:t>
      </w:r>
      <w:r w:rsidR="008D436D" w:rsidRPr="00371492">
        <w:t>’</w:t>
      </w:r>
      <w:bookmarkEnd w:id="45"/>
    </w:p>
    <w:p w14:paraId="05E629FE" w14:textId="703495A6" w:rsidR="0062527E" w:rsidRPr="00371492" w:rsidRDefault="003420B5" w:rsidP="0062527E">
      <w:pPr>
        <w:spacing w:line="360" w:lineRule="auto"/>
        <w:jc w:val="both"/>
        <w:rPr>
          <w:rFonts w:ascii="Corbel" w:hAnsi="Corbel"/>
          <w:sz w:val="20"/>
          <w:szCs w:val="20"/>
        </w:rPr>
      </w:pPr>
      <w:r>
        <w:rPr>
          <w:rFonts w:ascii="Corbel" w:hAnsi="Corbel"/>
          <w:sz w:val="20"/>
          <w:szCs w:val="20"/>
        </w:rPr>
        <w:t>Het risico ‘s</w:t>
      </w:r>
      <w:r w:rsidR="00D94D26" w:rsidRPr="00371492">
        <w:rPr>
          <w:rFonts w:ascii="Corbel" w:hAnsi="Corbel"/>
          <w:sz w:val="20"/>
          <w:szCs w:val="20"/>
        </w:rPr>
        <w:t>tank en geluidsoverlast door luchtvaart</w:t>
      </w:r>
      <w:r>
        <w:rPr>
          <w:rFonts w:ascii="Corbel" w:hAnsi="Corbel"/>
          <w:sz w:val="20"/>
          <w:szCs w:val="20"/>
        </w:rPr>
        <w:t>’</w:t>
      </w:r>
      <w:r w:rsidR="00D94D26" w:rsidRPr="00371492">
        <w:rPr>
          <w:rFonts w:ascii="Corbel" w:hAnsi="Corbel"/>
          <w:sz w:val="20"/>
          <w:szCs w:val="20"/>
        </w:rPr>
        <w:t xml:space="preserve"> vormt de tweede casus in dit onderzoek. Voor een goed begrip van deze casus zal eerst de relevante achtergrondinformatie besproken worden</w:t>
      </w:r>
      <w:r w:rsidR="00D94D26" w:rsidRPr="00371492">
        <w:rPr>
          <w:rStyle w:val="Voetnootmarkering"/>
          <w:rFonts w:ascii="Corbel" w:hAnsi="Corbel"/>
          <w:sz w:val="20"/>
          <w:szCs w:val="20"/>
        </w:rPr>
        <w:footnoteReference w:id="15"/>
      </w:r>
      <w:r w:rsidR="00D94D26" w:rsidRPr="00371492">
        <w:rPr>
          <w:rFonts w:ascii="Corbel" w:hAnsi="Corbel"/>
          <w:sz w:val="20"/>
          <w:szCs w:val="20"/>
        </w:rPr>
        <w:t xml:space="preserve">. Dit risico valt onder het domein </w:t>
      </w:r>
      <w:r w:rsidR="00BD04AB" w:rsidRPr="00371492">
        <w:rPr>
          <w:rFonts w:ascii="Corbel" w:hAnsi="Corbel"/>
          <w:sz w:val="20"/>
          <w:szCs w:val="20"/>
        </w:rPr>
        <w:t>‘</w:t>
      </w:r>
      <w:r w:rsidR="00D94D26" w:rsidRPr="00371492">
        <w:rPr>
          <w:rFonts w:ascii="Corbel" w:hAnsi="Corbel"/>
          <w:sz w:val="20"/>
          <w:szCs w:val="20"/>
        </w:rPr>
        <w:t>luchtvaart</w:t>
      </w:r>
      <w:r w:rsidR="00BD04AB" w:rsidRPr="00371492">
        <w:rPr>
          <w:rFonts w:ascii="Corbel" w:hAnsi="Corbel"/>
          <w:sz w:val="20"/>
          <w:szCs w:val="20"/>
        </w:rPr>
        <w:t>’</w:t>
      </w:r>
      <w:r w:rsidR="00D94D26" w:rsidRPr="00371492">
        <w:rPr>
          <w:rFonts w:ascii="Corbel" w:hAnsi="Corbel"/>
          <w:sz w:val="20"/>
          <w:szCs w:val="20"/>
        </w:rPr>
        <w:t xml:space="preserve"> van de ILT. Het risico wordt omschreven als de gezondheidsschade als gevolg van stank en geluidsoverlast door luchtvaart. De populatie die aan dit risico blootgesteld (kunnen) worden zijn burgers in de omgeving van luchthavens. </w:t>
      </w:r>
      <w:r w:rsidR="000E5CF1" w:rsidRPr="00371492">
        <w:rPr>
          <w:rFonts w:ascii="Corbel" w:hAnsi="Corbel"/>
          <w:sz w:val="20"/>
          <w:szCs w:val="20"/>
        </w:rPr>
        <w:t>Het handhaving</w:t>
      </w:r>
      <w:r w:rsidR="00030EC6" w:rsidRPr="00371492">
        <w:rPr>
          <w:rFonts w:ascii="Corbel" w:hAnsi="Corbel"/>
          <w:sz w:val="20"/>
          <w:szCs w:val="20"/>
        </w:rPr>
        <w:t>s</w:t>
      </w:r>
      <w:r w:rsidR="000E5CF1" w:rsidRPr="00371492">
        <w:rPr>
          <w:rFonts w:ascii="Corbel" w:hAnsi="Corbel"/>
          <w:sz w:val="20"/>
          <w:szCs w:val="20"/>
        </w:rPr>
        <w:t>instrument dat door de ILT wordt ingezet is objectgericht toezicht. Het risico doet zich direct en continu voor</w:t>
      </w:r>
      <w:r>
        <w:rPr>
          <w:rFonts w:ascii="Corbel" w:hAnsi="Corbel"/>
          <w:sz w:val="20"/>
          <w:szCs w:val="20"/>
        </w:rPr>
        <w:t xml:space="preserve"> en</w:t>
      </w:r>
      <w:r w:rsidR="000E5CF1" w:rsidRPr="00371492">
        <w:rPr>
          <w:rFonts w:ascii="Corbel" w:hAnsi="Corbel"/>
          <w:sz w:val="20"/>
          <w:szCs w:val="20"/>
        </w:rPr>
        <w:t xml:space="preserve"> de termijn waarin men blootgesteld kan worden aan dit risico is in feite de gehele duur van een mensenleven. Het soort schade dat dit risico geeft is immaterieel. Vervolgens is het belangrijk stil te staan bij de frequentie van het risico. De frequentie wordt berekend op basis van overschrijdingen van de milieuwetgeving</w:t>
      </w:r>
      <w:r w:rsidR="00872D76" w:rsidRPr="00371492">
        <w:rPr>
          <w:rFonts w:ascii="Corbel" w:hAnsi="Corbel"/>
          <w:sz w:val="20"/>
          <w:szCs w:val="20"/>
        </w:rPr>
        <w:t xml:space="preserve">. Deze overschrijdingen worden één keer per jaar vastgesteld: voor het jaar 2015 werd op 2 van de 35 handhavingspunten </w:t>
      </w:r>
      <w:r w:rsidR="00872D76" w:rsidRPr="00371492">
        <w:rPr>
          <w:rFonts w:ascii="Corbel" w:hAnsi="Corbel"/>
          <w:i/>
          <w:sz w:val="20"/>
          <w:szCs w:val="20"/>
        </w:rPr>
        <w:t>overdag</w:t>
      </w:r>
      <w:r w:rsidR="00872D76" w:rsidRPr="00371492">
        <w:rPr>
          <w:rFonts w:ascii="Corbel" w:hAnsi="Corbel"/>
          <w:sz w:val="20"/>
          <w:szCs w:val="20"/>
        </w:rPr>
        <w:t xml:space="preserve"> de norm overschreven en op 1 van de 25 punten </w:t>
      </w:r>
      <w:r w:rsidR="00872D76" w:rsidRPr="00371492">
        <w:rPr>
          <w:rFonts w:ascii="Corbel" w:hAnsi="Corbel"/>
          <w:i/>
          <w:sz w:val="20"/>
          <w:szCs w:val="20"/>
        </w:rPr>
        <w:t>’s nachts</w:t>
      </w:r>
      <w:r w:rsidR="00872D76" w:rsidRPr="00371492">
        <w:rPr>
          <w:rFonts w:ascii="Corbel" w:hAnsi="Corbel"/>
          <w:sz w:val="20"/>
          <w:szCs w:val="20"/>
        </w:rPr>
        <w:t xml:space="preserve">. Daarnaast was er in 3,9% van de gevallen sprake van niet-gelegitimeerd gebruik van de hulpaandrijvingseenheid van een toestel. </w:t>
      </w:r>
      <w:r w:rsidR="00063333" w:rsidRPr="00371492">
        <w:rPr>
          <w:rFonts w:ascii="Corbel" w:hAnsi="Corbel"/>
          <w:sz w:val="20"/>
          <w:szCs w:val="20"/>
        </w:rPr>
        <w:t xml:space="preserve">De conclusies van het </w:t>
      </w:r>
      <w:r w:rsidR="008D436D" w:rsidRPr="00371492">
        <w:rPr>
          <w:rFonts w:ascii="Corbel" w:hAnsi="Corbel"/>
          <w:sz w:val="20"/>
          <w:szCs w:val="20"/>
        </w:rPr>
        <w:t>IBRA-projectteam</w:t>
      </w:r>
      <w:r w:rsidR="00063333" w:rsidRPr="00371492">
        <w:rPr>
          <w:rFonts w:ascii="Corbel" w:hAnsi="Corbel"/>
          <w:sz w:val="20"/>
          <w:szCs w:val="20"/>
        </w:rPr>
        <w:t xml:space="preserve"> over de frequentie is dat het zich één keer per jaar voor doet. De grootheden die de schade bepalen van dit risico zijn emissies in kilo’s. Wat voor effect heeft dit risico? Het effect van het risico is de overschrijding van de wetgeving, alles onder de normen is geaccepteerde schade. Een schadeberekening laat zien dat een overschrijding een waarde heeft van €185 per woning. In de gemeenten rondom Schiphol zijn er 58.000 woningen wat een schade voortbrengt van €10,7 miljoen. De conclusie is dat het </w:t>
      </w:r>
      <w:r w:rsidR="002652C8" w:rsidRPr="00371492">
        <w:rPr>
          <w:rFonts w:ascii="Corbel" w:hAnsi="Corbel"/>
          <w:sz w:val="20"/>
          <w:szCs w:val="20"/>
        </w:rPr>
        <w:t xml:space="preserve">risico een </w:t>
      </w:r>
      <w:r w:rsidR="00063333" w:rsidRPr="00371492">
        <w:rPr>
          <w:rFonts w:ascii="Corbel" w:hAnsi="Corbel"/>
          <w:sz w:val="20"/>
          <w:szCs w:val="20"/>
        </w:rPr>
        <w:t>effect</w:t>
      </w:r>
      <w:r w:rsidR="002652C8" w:rsidRPr="00371492">
        <w:rPr>
          <w:rFonts w:ascii="Corbel" w:hAnsi="Corbel"/>
          <w:sz w:val="20"/>
          <w:szCs w:val="20"/>
        </w:rPr>
        <w:t xml:space="preserve"> heeft van</w:t>
      </w:r>
      <w:r w:rsidR="00063333" w:rsidRPr="00371492">
        <w:rPr>
          <w:rFonts w:ascii="Corbel" w:hAnsi="Corbel"/>
          <w:sz w:val="20"/>
          <w:szCs w:val="20"/>
        </w:rPr>
        <w:t xml:space="preserve"> maximaal €10,5 miljoen</w:t>
      </w:r>
      <w:r w:rsidR="002652C8" w:rsidRPr="00371492">
        <w:rPr>
          <w:rFonts w:ascii="Corbel" w:hAnsi="Corbel"/>
          <w:sz w:val="20"/>
          <w:szCs w:val="20"/>
        </w:rPr>
        <w:t xml:space="preserve"> kosten per jaar.</w:t>
      </w:r>
    </w:p>
    <w:p w14:paraId="25DB3258" w14:textId="77777777" w:rsidR="00066FDD" w:rsidRPr="00371492" w:rsidRDefault="0062527E" w:rsidP="00066FDD">
      <w:pPr>
        <w:spacing w:line="360" w:lineRule="auto"/>
        <w:ind w:firstLine="360"/>
        <w:jc w:val="both"/>
        <w:rPr>
          <w:rFonts w:ascii="Corbel" w:hAnsi="Corbel"/>
          <w:color w:val="000000" w:themeColor="text1"/>
          <w:sz w:val="20"/>
          <w:szCs w:val="20"/>
        </w:rPr>
      </w:pPr>
      <w:r w:rsidRPr="00371492">
        <w:rPr>
          <w:rFonts w:ascii="Corbel" w:hAnsi="Corbel"/>
          <w:color w:val="000000" w:themeColor="text1"/>
          <w:sz w:val="20"/>
          <w:szCs w:val="20"/>
        </w:rPr>
        <w:t xml:space="preserve">Kortom, er bestaat schade aan gezondheid en economie. Dit zijn de twee perspectieven (thema’s) waarin het risico zich manifesteert en expliciet zijn aangegeven in de risicocatalogus, welke ten grondslag ligt aan de inspectiebrede risicoanalyse van de ILT. </w:t>
      </w:r>
      <w:r w:rsidR="008D436D" w:rsidRPr="00371492">
        <w:rPr>
          <w:rFonts w:ascii="Corbel" w:hAnsi="Corbel"/>
          <w:color w:val="000000" w:themeColor="text1"/>
          <w:sz w:val="20"/>
          <w:szCs w:val="20"/>
        </w:rPr>
        <w:t xml:space="preserve">De volgende paragraaf kijkt naar de vraag welke ethische elementen te herkennen zijn in deze casus. </w:t>
      </w:r>
    </w:p>
    <w:p w14:paraId="2A32526F" w14:textId="77777777" w:rsidR="00066FDD" w:rsidRPr="00371492" w:rsidRDefault="00066FDD" w:rsidP="00066FDD">
      <w:pPr>
        <w:spacing w:line="360" w:lineRule="auto"/>
        <w:jc w:val="both"/>
        <w:rPr>
          <w:rFonts w:ascii="Corbel" w:hAnsi="Corbel"/>
          <w:color w:val="000000" w:themeColor="text1"/>
          <w:sz w:val="20"/>
          <w:szCs w:val="20"/>
        </w:rPr>
      </w:pPr>
    </w:p>
    <w:p w14:paraId="3B84411D" w14:textId="652727E4" w:rsidR="00352B88" w:rsidRPr="00371492" w:rsidRDefault="00352B88" w:rsidP="00510131">
      <w:pPr>
        <w:pStyle w:val="Stijl2"/>
      </w:pPr>
      <w:bookmarkStart w:id="46" w:name="_Toc485990886"/>
      <w:r w:rsidRPr="00371492">
        <w:t xml:space="preserve">Ethische aspecten huidige risicoanalyse </w:t>
      </w:r>
      <w:r w:rsidR="008D436D" w:rsidRPr="00371492">
        <w:t>‘s</w:t>
      </w:r>
      <w:r w:rsidR="000D3A52" w:rsidRPr="00371492">
        <w:t>tank en geluidsoverlast door luchtvaart</w:t>
      </w:r>
      <w:r w:rsidR="008D436D" w:rsidRPr="00371492">
        <w:t>’</w:t>
      </w:r>
      <w:bookmarkEnd w:id="46"/>
    </w:p>
    <w:p w14:paraId="5C975C2A" w14:textId="6BBF7747" w:rsidR="00980F8E" w:rsidRPr="00371492" w:rsidRDefault="00980F8E" w:rsidP="00980F8E">
      <w:pPr>
        <w:spacing w:line="360" w:lineRule="auto"/>
        <w:jc w:val="both"/>
        <w:rPr>
          <w:rFonts w:ascii="Corbel" w:hAnsi="Corbel"/>
          <w:sz w:val="20"/>
          <w:szCs w:val="20"/>
        </w:rPr>
      </w:pPr>
      <w:r w:rsidRPr="00371492">
        <w:rPr>
          <w:rFonts w:ascii="Corbel" w:hAnsi="Corbel"/>
          <w:sz w:val="20"/>
          <w:szCs w:val="20"/>
        </w:rPr>
        <w:t xml:space="preserve">In de risicocatalogus worden voor het risico ‘stank en geluidsoverlast door luchtvaart’ </w:t>
      </w:r>
      <w:r w:rsidR="00D9525B" w:rsidRPr="00371492">
        <w:rPr>
          <w:rFonts w:ascii="Corbel" w:hAnsi="Corbel"/>
          <w:sz w:val="20"/>
          <w:szCs w:val="20"/>
        </w:rPr>
        <w:t>één soort schade benoemt, namelijk:</w:t>
      </w:r>
      <w:r w:rsidRPr="00371492">
        <w:rPr>
          <w:rFonts w:ascii="Corbel" w:hAnsi="Corbel"/>
          <w:sz w:val="20"/>
          <w:szCs w:val="20"/>
        </w:rPr>
        <w:t xml:space="preserve"> immaterieel. Het eerste perspectief dat van toepassing is op dit risico is </w:t>
      </w:r>
      <w:r w:rsidRPr="00371492">
        <w:rPr>
          <w:rFonts w:ascii="Corbel" w:hAnsi="Corbel"/>
          <w:i/>
          <w:sz w:val="20"/>
          <w:szCs w:val="20"/>
        </w:rPr>
        <w:t>gezondheid</w:t>
      </w:r>
      <w:r w:rsidRPr="00371492">
        <w:rPr>
          <w:rFonts w:ascii="Corbel" w:hAnsi="Corbel"/>
          <w:sz w:val="20"/>
          <w:szCs w:val="20"/>
        </w:rPr>
        <w:t>. Hier val</w:t>
      </w:r>
      <w:r w:rsidR="00D9525B" w:rsidRPr="00371492">
        <w:rPr>
          <w:rFonts w:ascii="Corbel" w:hAnsi="Corbel"/>
          <w:sz w:val="20"/>
          <w:szCs w:val="20"/>
        </w:rPr>
        <w:t xml:space="preserve">t onder: </w:t>
      </w:r>
      <w:r w:rsidR="00AA5D70" w:rsidRPr="00371492">
        <w:rPr>
          <w:rFonts w:ascii="Corbel" w:hAnsi="Corbel"/>
          <w:sz w:val="20"/>
          <w:szCs w:val="20"/>
        </w:rPr>
        <w:t>‘</w:t>
      </w:r>
      <w:r w:rsidR="00D9525B" w:rsidRPr="00371492">
        <w:rPr>
          <w:rFonts w:ascii="Corbel" w:hAnsi="Corbel"/>
          <w:sz w:val="20"/>
          <w:szCs w:val="20"/>
        </w:rPr>
        <w:t xml:space="preserve">verlies van levenskwaliteit of levensduur als gevolg van blootstelling aan </w:t>
      </w:r>
      <w:proofErr w:type="spellStart"/>
      <w:r w:rsidR="00D9525B" w:rsidRPr="00371492">
        <w:rPr>
          <w:rFonts w:ascii="Corbel" w:hAnsi="Corbel"/>
          <w:sz w:val="20"/>
          <w:szCs w:val="20"/>
        </w:rPr>
        <w:t>gezondheidsbeschadigende</w:t>
      </w:r>
      <w:proofErr w:type="spellEnd"/>
      <w:r w:rsidR="00D9525B" w:rsidRPr="00371492">
        <w:rPr>
          <w:rFonts w:ascii="Corbel" w:hAnsi="Corbel"/>
          <w:sz w:val="20"/>
          <w:szCs w:val="20"/>
        </w:rPr>
        <w:t xml:space="preserve"> stoffen en straling</w:t>
      </w:r>
      <w:r w:rsidR="00AA5D70" w:rsidRPr="00371492">
        <w:rPr>
          <w:rFonts w:ascii="Corbel" w:hAnsi="Corbel"/>
          <w:sz w:val="20"/>
          <w:szCs w:val="20"/>
        </w:rPr>
        <w:t>’</w:t>
      </w:r>
      <w:r w:rsidR="00DE2EE7" w:rsidRPr="00371492">
        <w:rPr>
          <w:rFonts w:ascii="Corbel" w:hAnsi="Corbel"/>
          <w:sz w:val="20"/>
          <w:szCs w:val="20"/>
        </w:rPr>
        <w:t xml:space="preserve"> (ILT, 2017, p. 23)</w:t>
      </w:r>
      <w:r w:rsidR="00D9525B" w:rsidRPr="00371492">
        <w:rPr>
          <w:rFonts w:ascii="Corbel" w:hAnsi="Corbel"/>
          <w:sz w:val="20"/>
          <w:szCs w:val="20"/>
        </w:rPr>
        <w:t>. De grootheden die de omvang van dez</w:t>
      </w:r>
      <w:r w:rsidR="003420B5">
        <w:rPr>
          <w:rFonts w:ascii="Corbel" w:hAnsi="Corbel"/>
          <w:sz w:val="20"/>
          <w:szCs w:val="20"/>
        </w:rPr>
        <w:t>e schade bepalen zijn emissies in de grootheden van kilo’s/tonnen</w:t>
      </w:r>
      <w:r w:rsidR="00D9525B" w:rsidRPr="00371492">
        <w:rPr>
          <w:rFonts w:ascii="Corbel" w:hAnsi="Corbel"/>
          <w:sz w:val="20"/>
          <w:szCs w:val="20"/>
        </w:rPr>
        <w:t xml:space="preserve">. </w:t>
      </w:r>
      <w:r w:rsidRPr="00371492">
        <w:rPr>
          <w:rFonts w:ascii="Corbel" w:hAnsi="Corbel"/>
          <w:sz w:val="20"/>
          <w:szCs w:val="20"/>
        </w:rPr>
        <w:t>Het tweede perspectief dat van toepassing is</w:t>
      </w:r>
      <w:r w:rsidR="009074C8" w:rsidRPr="00371492">
        <w:rPr>
          <w:rFonts w:ascii="Corbel" w:hAnsi="Corbel"/>
          <w:sz w:val="20"/>
          <w:szCs w:val="20"/>
        </w:rPr>
        <w:t xml:space="preserve"> schade aan </w:t>
      </w:r>
      <w:r w:rsidR="009074C8" w:rsidRPr="00371492">
        <w:rPr>
          <w:rFonts w:ascii="Corbel" w:hAnsi="Corbel"/>
          <w:i/>
          <w:sz w:val="20"/>
          <w:szCs w:val="20"/>
        </w:rPr>
        <w:t>economie</w:t>
      </w:r>
      <w:r w:rsidR="009074C8" w:rsidRPr="00371492">
        <w:rPr>
          <w:rFonts w:ascii="Corbel" w:hAnsi="Corbel"/>
          <w:sz w:val="20"/>
          <w:szCs w:val="20"/>
        </w:rPr>
        <w:t>.</w:t>
      </w:r>
      <w:r w:rsidRPr="00371492">
        <w:rPr>
          <w:rFonts w:ascii="Corbel" w:hAnsi="Corbel"/>
          <w:sz w:val="20"/>
          <w:szCs w:val="20"/>
        </w:rPr>
        <w:t xml:space="preserve"> Hierbij moet gedacht worden aan</w:t>
      </w:r>
      <w:r w:rsidR="00AA5D70" w:rsidRPr="00371492">
        <w:rPr>
          <w:rFonts w:ascii="Corbel" w:hAnsi="Corbel"/>
          <w:sz w:val="20"/>
          <w:szCs w:val="20"/>
        </w:rPr>
        <w:t>:</w:t>
      </w:r>
      <w:r w:rsidR="00AA5D70" w:rsidRPr="00371492">
        <w:t xml:space="preserve"> ‘</w:t>
      </w:r>
      <w:r w:rsidR="00AA5D70" w:rsidRPr="00371492">
        <w:rPr>
          <w:rFonts w:ascii="Corbel" w:hAnsi="Corbel"/>
          <w:sz w:val="20"/>
          <w:szCs w:val="20"/>
        </w:rPr>
        <w:t xml:space="preserve">financieel nadeel door bewuste fraudes en/of oneerlijke markt’ (ibid., p. 24). </w:t>
      </w:r>
      <w:r w:rsidR="00BD1454" w:rsidRPr="00371492">
        <w:rPr>
          <w:rFonts w:ascii="Corbel" w:hAnsi="Corbel"/>
          <w:sz w:val="20"/>
          <w:szCs w:val="20"/>
        </w:rPr>
        <w:t>Ook bij dit risico is er dus expliciet de nadruk op de gevolgen van het risico, namelijk</w:t>
      </w:r>
      <w:r w:rsidR="00273375" w:rsidRPr="00371492">
        <w:rPr>
          <w:rFonts w:ascii="Corbel" w:hAnsi="Corbel"/>
          <w:sz w:val="20"/>
          <w:szCs w:val="20"/>
        </w:rPr>
        <w:t xml:space="preserve"> de</w:t>
      </w:r>
      <w:r w:rsidR="00BD1454" w:rsidRPr="00371492">
        <w:rPr>
          <w:rFonts w:ascii="Corbel" w:hAnsi="Corbel"/>
          <w:sz w:val="20"/>
          <w:szCs w:val="20"/>
        </w:rPr>
        <w:t xml:space="preserve"> schade aan gezondheid of de economie</w:t>
      </w:r>
      <w:r w:rsidR="0096449B" w:rsidRPr="00371492">
        <w:rPr>
          <w:rFonts w:ascii="Corbel" w:hAnsi="Corbel"/>
          <w:sz w:val="20"/>
          <w:szCs w:val="20"/>
        </w:rPr>
        <w:t xml:space="preserve"> als </w:t>
      </w:r>
      <w:r w:rsidR="0096449B" w:rsidRPr="00371492">
        <w:rPr>
          <w:rFonts w:ascii="Corbel" w:hAnsi="Corbel"/>
          <w:i/>
          <w:sz w:val="20"/>
          <w:szCs w:val="20"/>
        </w:rPr>
        <w:t>gevolg</w:t>
      </w:r>
      <w:r w:rsidR="0096449B" w:rsidRPr="00371492">
        <w:rPr>
          <w:rFonts w:ascii="Corbel" w:hAnsi="Corbel"/>
          <w:sz w:val="20"/>
          <w:szCs w:val="20"/>
        </w:rPr>
        <w:t xml:space="preserve"> van het risico</w:t>
      </w:r>
      <w:r w:rsidR="00BD1454" w:rsidRPr="00371492">
        <w:rPr>
          <w:rFonts w:ascii="Corbel" w:hAnsi="Corbel"/>
          <w:sz w:val="20"/>
          <w:szCs w:val="20"/>
        </w:rPr>
        <w:t xml:space="preserve">. </w:t>
      </w:r>
      <w:r w:rsidR="002652C8" w:rsidRPr="00371492">
        <w:rPr>
          <w:rFonts w:ascii="Corbel" w:hAnsi="Corbel"/>
          <w:sz w:val="20"/>
          <w:szCs w:val="20"/>
        </w:rPr>
        <w:t>Door deze focus aan te brengen wordt er dus gekeken naar gevolgen. Deze logica zagen we terug bij het utilisme en de deugdethiek en dus ook expliciet in de risicocatalogus van de ILT.</w:t>
      </w:r>
      <w:r w:rsidR="00340664" w:rsidRPr="00371492">
        <w:rPr>
          <w:rFonts w:ascii="Corbel" w:hAnsi="Corbel"/>
          <w:sz w:val="20"/>
          <w:szCs w:val="20"/>
        </w:rPr>
        <w:t xml:space="preserve"> </w:t>
      </w:r>
      <w:r w:rsidRPr="00371492">
        <w:rPr>
          <w:rFonts w:ascii="Corbel" w:hAnsi="Corbel"/>
          <w:sz w:val="20"/>
          <w:szCs w:val="20"/>
        </w:rPr>
        <w:t>Allereerst zal er verder ingegaan worden op de ethische aspecten van deze twee perspectieven. De opbouw van het risico is schematisch weergegeven:</w:t>
      </w:r>
      <w:r w:rsidR="00AC4420" w:rsidRPr="00371492">
        <w:rPr>
          <w:rFonts w:ascii="Corbel" w:hAnsi="Corbel"/>
          <w:sz w:val="20"/>
          <w:szCs w:val="20"/>
        </w:rPr>
        <w:t xml:space="preserve"> </w:t>
      </w:r>
    </w:p>
    <w:p w14:paraId="35B7A5A1" w14:textId="77777777" w:rsidR="003C5CBE" w:rsidRPr="00371492" w:rsidRDefault="003C5CBE" w:rsidP="00980F8E">
      <w:pPr>
        <w:spacing w:line="360" w:lineRule="auto"/>
        <w:jc w:val="both"/>
        <w:rPr>
          <w:rFonts w:ascii="Corbel" w:hAnsi="Corbel"/>
          <w:sz w:val="20"/>
          <w:szCs w:val="20"/>
        </w:rPr>
      </w:pPr>
    </w:p>
    <w:p w14:paraId="6159DA51" w14:textId="77777777" w:rsidR="0069038A" w:rsidRPr="00371492" w:rsidRDefault="003C5CBE" w:rsidP="0069038A">
      <w:pPr>
        <w:keepNext/>
        <w:spacing w:line="360" w:lineRule="auto"/>
        <w:ind w:firstLine="709"/>
        <w:jc w:val="both"/>
      </w:pPr>
      <w:r w:rsidRPr="00371492">
        <w:rPr>
          <w:rFonts w:ascii="Corbel" w:hAnsi="Corbel"/>
          <w:noProof/>
          <w:sz w:val="20"/>
          <w:szCs w:val="20"/>
        </w:rPr>
        <w:drawing>
          <wp:inline distT="0" distB="0" distL="0" distR="0" wp14:anchorId="624E2E82" wp14:editId="6C5B1B3F">
            <wp:extent cx="4996815" cy="3558780"/>
            <wp:effectExtent l="0" t="0" r="6985"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4F19448B" w14:textId="28D331D8" w:rsidR="00C57F3D" w:rsidRPr="00165179" w:rsidRDefault="000C096A" w:rsidP="00340664">
      <w:pPr>
        <w:pStyle w:val="Bijschrift"/>
        <w:jc w:val="center"/>
        <w:rPr>
          <w:rFonts w:ascii="Corbel" w:hAnsi="Corbel"/>
          <w:sz w:val="20"/>
          <w:szCs w:val="20"/>
        </w:rPr>
      </w:pPr>
      <w:r w:rsidRPr="00165179">
        <w:rPr>
          <w:rFonts w:ascii="Corbel" w:hAnsi="Corbel"/>
        </w:rPr>
        <w:t>Figuur</w:t>
      </w:r>
      <w:r w:rsidR="0069038A" w:rsidRPr="00165179">
        <w:rPr>
          <w:rFonts w:ascii="Corbel" w:hAnsi="Corbel"/>
        </w:rPr>
        <w:t xml:space="preserve"> </w:t>
      </w:r>
      <w:r w:rsidR="00640E13" w:rsidRPr="00165179">
        <w:rPr>
          <w:rFonts w:ascii="Corbel" w:hAnsi="Corbel"/>
        </w:rPr>
        <w:fldChar w:fldCharType="begin"/>
      </w:r>
      <w:r w:rsidR="00640E13" w:rsidRPr="00165179">
        <w:rPr>
          <w:rFonts w:ascii="Corbel" w:hAnsi="Corbel"/>
        </w:rPr>
        <w:instrText xml:space="preserve"> SEQ Afbeelding \* ARABIC </w:instrText>
      </w:r>
      <w:r w:rsidR="00640E13" w:rsidRPr="00165179">
        <w:rPr>
          <w:rFonts w:ascii="Corbel" w:hAnsi="Corbel"/>
        </w:rPr>
        <w:fldChar w:fldCharType="separate"/>
      </w:r>
      <w:r w:rsidR="00BA122C">
        <w:rPr>
          <w:rFonts w:ascii="Corbel" w:hAnsi="Corbel"/>
          <w:noProof/>
        </w:rPr>
        <w:t>4</w:t>
      </w:r>
      <w:r w:rsidR="00640E13" w:rsidRPr="00165179">
        <w:rPr>
          <w:rFonts w:ascii="Corbel" w:hAnsi="Corbel"/>
          <w:noProof/>
        </w:rPr>
        <w:fldChar w:fldCharType="end"/>
      </w:r>
      <w:r w:rsidR="0069038A" w:rsidRPr="00165179">
        <w:rPr>
          <w:rFonts w:ascii="Corbel" w:hAnsi="Corbel"/>
        </w:rPr>
        <w:t xml:space="preserve"> - schematische weergave casus 2</w:t>
      </w:r>
    </w:p>
    <w:p w14:paraId="176770A6" w14:textId="46E3C138" w:rsidR="002652C8" w:rsidRPr="00371492" w:rsidRDefault="0027753B" w:rsidP="002652C8">
      <w:pPr>
        <w:spacing w:line="360" w:lineRule="auto"/>
        <w:jc w:val="both"/>
        <w:rPr>
          <w:rFonts w:ascii="Corbel" w:hAnsi="Corbel"/>
          <w:color w:val="000000" w:themeColor="text1"/>
          <w:sz w:val="20"/>
          <w:szCs w:val="20"/>
        </w:rPr>
      </w:pPr>
      <w:r w:rsidRPr="00371492">
        <w:rPr>
          <w:rFonts w:ascii="Corbel" w:hAnsi="Corbel"/>
          <w:sz w:val="20"/>
          <w:szCs w:val="20"/>
        </w:rPr>
        <w:t xml:space="preserve">De wijze waarop het eerste perspectief (gezondheid) besproken wordt, past bij het utilisme. </w:t>
      </w:r>
      <w:r w:rsidR="002652C8" w:rsidRPr="00371492">
        <w:rPr>
          <w:rFonts w:ascii="Corbel" w:hAnsi="Corbel"/>
          <w:color w:val="000000" w:themeColor="text1"/>
          <w:sz w:val="20"/>
          <w:szCs w:val="20"/>
        </w:rPr>
        <w:t>In het onderstaande schema is systematisch geanalyseerd hoe de praktische toepassing van het utilisme, zoals die in §4.1 gemaakt is, overeenkomt met het risico van stank en overlast door luchtvaart.</w:t>
      </w:r>
      <w:r w:rsidR="006C74E3" w:rsidRPr="00371492">
        <w:rPr>
          <w:rFonts w:ascii="Corbel" w:hAnsi="Corbel"/>
          <w:color w:val="000000" w:themeColor="text1"/>
          <w:sz w:val="20"/>
          <w:szCs w:val="20"/>
        </w:rPr>
        <w:t xml:space="preserve"> </w:t>
      </w:r>
    </w:p>
    <w:p w14:paraId="76595636" w14:textId="77777777" w:rsidR="00C57F3D" w:rsidRPr="00371492" w:rsidRDefault="00C57F3D" w:rsidP="00980F8E">
      <w:pPr>
        <w:spacing w:line="360" w:lineRule="auto"/>
        <w:jc w:val="both"/>
        <w:rPr>
          <w:rFonts w:ascii="Corbel" w:hAnsi="Corbel"/>
          <w:sz w:val="20"/>
          <w:szCs w:val="20"/>
        </w:rPr>
      </w:pPr>
    </w:p>
    <w:tbl>
      <w:tblPr>
        <w:tblStyle w:val="Tabelraster"/>
        <w:tblW w:w="0" w:type="auto"/>
        <w:tblLook w:val="04A0" w:firstRow="1" w:lastRow="0" w:firstColumn="1" w:lastColumn="0" w:noHBand="0" w:noVBand="1"/>
      </w:tblPr>
      <w:tblGrid>
        <w:gridCol w:w="1963"/>
        <w:gridCol w:w="7093"/>
      </w:tblGrid>
      <w:tr w:rsidR="002652C8" w:rsidRPr="00371492" w14:paraId="4C0CE063" w14:textId="77777777" w:rsidTr="002652C8">
        <w:tc>
          <w:tcPr>
            <w:tcW w:w="1963" w:type="dxa"/>
          </w:tcPr>
          <w:p w14:paraId="5C4D4183" w14:textId="77777777" w:rsidR="002652C8" w:rsidRPr="00A76E2A" w:rsidRDefault="002652C8" w:rsidP="002652C8">
            <w:pPr>
              <w:rPr>
                <w:rFonts w:ascii="Corbel" w:hAnsi="Corbel"/>
                <w:sz w:val="20"/>
                <w:szCs w:val="20"/>
              </w:rPr>
            </w:pPr>
            <w:r w:rsidRPr="00A76E2A">
              <w:rPr>
                <w:rFonts w:ascii="Corbel" w:hAnsi="Corbel"/>
                <w:sz w:val="20"/>
                <w:szCs w:val="20"/>
              </w:rPr>
              <w:t>Logica</w:t>
            </w:r>
          </w:p>
        </w:tc>
        <w:tc>
          <w:tcPr>
            <w:tcW w:w="7093" w:type="dxa"/>
          </w:tcPr>
          <w:p w14:paraId="1AD72E03" w14:textId="77777777" w:rsidR="002652C8" w:rsidRPr="00A76E2A" w:rsidRDefault="002652C8" w:rsidP="000F7BB5">
            <w:pPr>
              <w:spacing w:line="360" w:lineRule="auto"/>
              <w:jc w:val="both"/>
              <w:rPr>
                <w:rFonts w:ascii="Corbel" w:hAnsi="Corbel"/>
                <w:sz w:val="20"/>
                <w:szCs w:val="20"/>
              </w:rPr>
            </w:pPr>
            <w:r w:rsidRPr="00A76E2A">
              <w:rPr>
                <w:rFonts w:ascii="Corbel" w:hAnsi="Corbel"/>
                <w:color w:val="000000" w:themeColor="text1"/>
                <w:sz w:val="20"/>
                <w:szCs w:val="20"/>
              </w:rPr>
              <w:t xml:space="preserve">Bij de bespreking van dit risico in de risicocatalogus valt de nadruk op de gevolgen op. Hierbij volgt men dezelfde logica als het utilisme. Bij dit perspectief wordt er specifiek gekeken naar de gevolgen in kwantitatieve zin. Het gezondheidsperspectief wordt uitgedrukt in een geldbedrag, hetgeen als het schadebedrag wordt gezien. Het is voor iedereen (her)kenbaar dat </w:t>
            </w:r>
            <w:r w:rsidR="000F7BB5" w:rsidRPr="00A76E2A">
              <w:rPr>
                <w:rFonts w:ascii="Corbel" w:hAnsi="Corbel"/>
                <w:color w:val="000000" w:themeColor="text1"/>
                <w:sz w:val="20"/>
                <w:szCs w:val="20"/>
              </w:rPr>
              <w:t>een groter schadebedrag een groter risico vormt.</w:t>
            </w:r>
            <w:r w:rsidR="000F7BB5" w:rsidRPr="00A76E2A">
              <w:rPr>
                <w:rFonts w:ascii="Corbel" w:hAnsi="Corbel"/>
                <w:sz w:val="20"/>
                <w:szCs w:val="20"/>
              </w:rPr>
              <w:t xml:space="preserve"> </w:t>
            </w:r>
          </w:p>
        </w:tc>
      </w:tr>
      <w:tr w:rsidR="002652C8" w:rsidRPr="00371492" w14:paraId="1E75CCC7" w14:textId="77777777" w:rsidTr="002652C8">
        <w:tc>
          <w:tcPr>
            <w:tcW w:w="1963" w:type="dxa"/>
          </w:tcPr>
          <w:p w14:paraId="250911C1" w14:textId="77777777" w:rsidR="002652C8" w:rsidRPr="00A76E2A" w:rsidRDefault="002652C8" w:rsidP="002652C8">
            <w:pPr>
              <w:rPr>
                <w:rFonts w:ascii="Corbel" w:hAnsi="Corbel"/>
                <w:sz w:val="20"/>
                <w:szCs w:val="20"/>
              </w:rPr>
            </w:pPr>
            <w:r w:rsidRPr="00A76E2A">
              <w:rPr>
                <w:rFonts w:ascii="Corbel" w:hAnsi="Corbel"/>
                <w:sz w:val="20"/>
                <w:szCs w:val="20"/>
              </w:rPr>
              <w:t>Focus</w:t>
            </w:r>
          </w:p>
        </w:tc>
        <w:tc>
          <w:tcPr>
            <w:tcW w:w="7093" w:type="dxa"/>
          </w:tcPr>
          <w:p w14:paraId="67FAE025" w14:textId="77777777" w:rsidR="002652C8" w:rsidRPr="00A76E2A" w:rsidRDefault="00EC3D37" w:rsidP="000C7AEF">
            <w:pPr>
              <w:spacing w:line="360" w:lineRule="auto"/>
              <w:jc w:val="both"/>
              <w:rPr>
                <w:rFonts w:ascii="Corbel" w:hAnsi="Corbel"/>
                <w:color w:val="000000" w:themeColor="text1"/>
                <w:sz w:val="20"/>
                <w:szCs w:val="20"/>
              </w:rPr>
            </w:pPr>
            <w:r w:rsidRPr="00A76E2A">
              <w:rPr>
                <w:rFonts w:ascii="Corbel" w:hAnsi="Corbel"/>
                <w:color w:val="000000" w:themeColor="text1"/>
                <w:sz w:val="20"/>
                <w:szCs w:val="20"/>
              </w:rPr>
              <w:t xml:space="preserve">De focus waarmee dit perspectief van het risico bekeken wordt, vertoont overeenkomsten met het utilisme. </w:t>
            </w:r>
            <w:r w:rsidR="00AF1E67" w:rsidRPr="00A76E2A">
              <w:rPr>
                <w:rFonts w:ascii="Corbel" w:hAnsi="Corbel"/>
                <w:color w:val="000000" w:themeColor="text1"/>
                <w:sz w:val="20"/>
                <w:szCs w:val="20"/>
              </w:rPr>
              <w:t>Het risico wordt doorberekend in de gevolgen die het heeft in emissies. Tel hier de geluidsoverlast bij op en de doorberekening volgt in een schadesom (maximaal €</w:t>
            </w:r>
            <w:r w:rsidR="008C7453" w:rsidRPr="00A76E2A">
              <w:rPr>
                <w:rFonts w:ascii="Corbel" w:hAnsi="Corbel"/>
                <w:color w:val="000000" w:themeColor="text1"/>
                <w:sz w:val="20"/>
                <w:szCs w:val="20"/>
              </w:rPr>
              <w:t xml:space="preserve">10,5 miljoen </w:t>
            </w:r>
            <w:r w:rsidR="00AF1E67" w:rsidRPr="00A76E2A">
              <w:rPr>
                <w:rFonts w:ascii="Corbel" w:hAnsi="Corbel"/>
                <w:color w:val="000000" w:themeColor="text1"/>
                <w:sz w:val="20"/>
                <w:szCs w:val="20"/>
              </w:rPr>
              <w:t>per jaar). Dit zijn de nadelige effecten van het risico. De consequenties van het risico worden zo weergegeven dat het voor iedereen te begrijpe</w:t>
            </w:r>
            <w:r w:rsidR="009E6B30" w:rsidRPr="00A76E2A">
              <w:rPr>
                <w:rFonts w:ascii="Corbel" w:hAnsi="Corbel"/>
                <w:color w:val="000000" w:themeColor="text1"/>
                <w:sz w:val="20"/>
                <w:szCs w:val="20"/>
              </w:rPr>
              <w:t>n</w:t>
            </w:r>
            <w:r w:rsidR="00AF1E67" w:rsidRPr="00A76E2A">
              <w:rPr>
                <w:rFonts w:ascii="Corbel" w:hAnsi="Corbel"/>
                <w:color w:val="000000" w:themeColor="text1"/>
                <w:sz w:val="20"/>
                <w:szCs w:val="20"/>
              </w:rPr>
              <w:t xml:space="preserve"> is waarom deze nadelig zijn.</w:t>
            </w:r>
            <w:r w:rsidR="002652C8" w:rsidRPr="00A76E2A">
              <w:rPr>
                <w:rFonts w:ascii="Corbel" w:hAnsi="Corbel"/>
                <w:color w:val="000000" w:themeColor="text1"/>
                <w:sz w:val="20"/>
                <w:szCs w:val="20"/>
              </w:rPr>
              <w:t xml:space="preserve"> Het is dus mogelijk als outsider de situatie te beoordelen. </w:t>
            </w:r>
          </w:p>
        </w:tc>
      </w:tr>
      <w:tr w:rsidR="002652C8" w:rsidRPr="00371492" w14:paraId="34C1AA49" w14:textId="77777777" w:rsidTr="002652C8">
        <w:tc>
          <w:tcPr>
            <w:tcW w:w="1963" w:type="dxa"/>
          </w:tcPr>
          <w:p w14:paraId="283D9FE6" w14:textId="77777777" w:rsidR="002652C8" w:rsidRPr="00A76E2A" w:rsidRDefault="002652C8" w:rsidP="002652C8">
            <w:pPr>
              <w:rPr>
                <w:rFonts w:ascii="Corbel" w:hAnsi="Corbel"/>
                <w:sz w:val="20"/>
                <w:szCs w:val="20"/>
              </w:rPr>
            </w:pPr>
            <w:r w:rsidRPr="00A76E2A">
              <w:rPr>
                <w:rFonts w:ascii="Corbel" w:hAnsi="Corbel"/>
                <w:sz w:val="20"/>
                <w:szCs w:val="20"/>
              </w:rPr>
              <w:t>Rationaliseringswijze</w:t>
            </w:r>
          </w:p>
        </w:tc>
        <w:tc>
          <w:tcPr>
            <w:tcW w:w="7093" w:type="dxa"/>
          </w:tcPr>
          <w:p w14:paraId="5F2BF778" w14:textId="77777777" w:rsidR="002652C8" w:rsidRPr="00A76E2A" w:rsidRDefault="002652C8" w:rsidP="00C0016B">
            <w:pPr>
              <w:spacing w:line="360" w:lineRule="auto"/>
              <w:jc w:val="both"/>
              <w:rPr>
                <w:rFonts w:ascii="Corbel" w:hAnsi="Corbel"/>
                <w:color w:val="000000" w:themeColor="text1"/>
                <w:sz w:val="20"/>
                <w:szCs w:val="20"/>
              </w:rPr>
            </w:pPr>
            <w:r w:rsidRPr="00A76E2A">
              <w:rPr>
                <w:rFonts w:ascii="Corbel" w:hAnsi="Corbel"/>
                <w:color w:val="000000" w:themeColor="text1"/>
                <w:sz w:val="20"/>
                <w:szCs w:val="20"/>
              </w:rPr>
              <w:t xml:space="preserve">Wat valt op als we naar de rationaliseringswijze kijken? Bij deze benadering past de mogelijkheid </w:t>
            </w:r>
            <w:r w:rsidR="009E6B30" w:rsidRPr="00A76E2A">
              <w:rPr>
                <w:rFonts w:ascii="Corbel" w:hAnsi="Corbel"/>
                <w:color w:val="000000" w:themeColor="text1"/>
                <w:sz w:val="20"/>
                <w:szCs w:val="20"/>
              </w:rPr>
              <w:t>om de effecten te kwantificeren. De procedure hiervoor staat in de risicosheet i</w:t>
            </w:r>
            <w:r w:rsidR="001A3E3C" w:rsidRPr="00A76E2A">
              <w:rPr>
                <w:rFonts w:ascii="Corbel" w:hAnsi="Corbel"/>
                <w:color w:val="000000" w:themeColor="text1"/>
                <w:sz w:val="20"/>
                <w:szCs w:val="20"/>
              </w:rPr>
              <w:t xml:space="preserve">n bijlage. Het totaalbedrag bij de IBRA-conclusie is €10,5 miljoen per jaar. </w:t>
            </w:r>
            <w:r w:rsidR="00C0016B" w:rsidRPr="00A76E2A">
              <w:rPr>
                <w:rFonts w:ascii="Corbel" w:hAnsi="Corbel"/>
                <w:color w:val="000000" w:themeColor="text1"/>
                <w:sz w:val="20"/>
                <w:szCs w:val="20"/>
              </w:rPr>
              <w:lastRenderedPageBreak/>
              <w:t>Echter, deze berekening maakt geen gebruik van de kwetsbaarheden die logisch volgen uit de beschrijving van het risico (zoals in de volgende stap beschreven wordt).</w:t>
            </w:r>
          </w:p>
        </w:tc>
      </w:tr>
      <w:tr w:rsidR="002652C8" w:rsidRPr="00371492" w14:paraId="46E25A7D" w14:textId="77777777" w:rsidTr="002652C8">
        <w:tc>
          <w:tcPr>
            <w:tcW w:w="1963" w:type="dxa"/>
          </w:tcPr>
          <w:p w14:paraId="04AE7762" w14:textId="77777777" w:rsidR="002652C8" w:rsidRPr="00A76E2A" w:rsidRDefault="002652C8" w:rsidP="002652C8">
            <w:pPr>
              <w:rPr>
                <w:rFonts w:ascii="Corbel" w:hAnsi="Corbel"/>
                <w:sz w:val="20"/>
                <w:szCs w:val="20"/>
              </w:rPr>
            </w:pPr>
            <w:r w:rsidRPr="00A76E2A">
              <w:rPr>
                <w:rFonts w:ascii="Corbel" w:hAnsi="Corbel"/>
                <w:sz w:val="20"/>
                <w:szCs w:val="20"/>
              </w:rPr>
              <w:lastRenderedPageBreak/>
              <w:t>Kwetsbaarheden</w:t>
            </w:r>
          </w:p>
        </w:tc>
        <w:tc>
          <w:tcPr>
            <w:tcW w:w="7093" w:type="dxa"/>
          </w:tcPr>
          <w:p w14:paraId="34269B4E" w14:textId="77777777" w:rsidR="009356B2" w:rsidRPr="00A76E2A" w:rsidRDefault="001A3E3C" w:rsidP="009356B2">
            <w:pPr>
              <w:spacing w:line="360" w:lineRule="auto"/>
              <w:jc w:val="both"/>
              <w:rPr>
                <w:rFonts w:ascii="Corbel" w:hAnsi="Corbel"/>
                <w:color w:val="000000" w:themeColor="text1"/>
                <w:sz w:val="20"/>
                <w:szCs w:val="20"/>
              </w:rPr>
            </w:pPr>
            <w:r w:rsidRPr="00A76E2A">
              <w:rPr>
                <w:rFonts w:ascii="Corbel" w:hAnsi="Corbel"/>
                <w:color w:val="000000" w:themeColor="text1"/>
                <w:sz w:val="20"/>
                <w:szCs w:val="20"/>
              </w:rPr>
              <w:t xml:space="preserve">De kwetsbaarheden bij dit perspectief zijn levensduur en/of levenskwaliteit. Deze kwetsbaarheden zijn echter niet het onderwerp van de kwantificering bij dit risico. Het totaalbedrag </w:t>
            </w:r>
            <w:r w:rsidR="00474E53" w:rsidRPr="00A76E2A">
              <w:rPr>
                <w:rFonts w:ascii="Corbel" w:hAnsi="Corbel"/>
                <w:color w:val="000000" w:themeColor="text1"/>
                <w:sz w:val="20"/>
                <w:szCs w:val="20"/>
              </w:rPr>
              <w:t xml:space="preserve">van €10,5 miljoen euro is een berekening op basis van cijfers van Schiphol. Het aantal woningen is vermenigvuldigd met de kosten van een overschrijding van een handhavingswaarde. </w:t>
            </w:r>
            <w:r w:rsidR="00C0016B" w:rsidRPr="00A76E2A">
              <w:rPr>
                <w:rFonts w:ascii="Corbel" w:hAnsi="Corbel"/>
                <w:color w:val="000000" w:themeColor="text1"/>
                <w:sz w:val="20"/>
                <w:szCs w:val="20"/>
              </w:rPr>
              <w:t>Er is dus geen gebruik gemaakt van kwanti</w:t>
            </w:r>
            <w:r w:rsidR="009356B2" w:rsidRPr="00A76E2A">
              <w:rPr>
                <w:rFonts w:ascii="Corbel" w:hAnsi="Corbel"/>
                <w:color w:val="000000" w:themeColor="text1"/>
                <w:sz w:val="20"/>
                <w:szCs w:val="20"/>
              </w:rPr>
              <w:t xml:space="preserve">ficering van de kwetsbaarheden, maar er is via een andere weg een getal gehangen aan dit risico. </w:t>
            </w:r>
          </w:p>
          <w:p w14:paraId="4820DBB9" w14:textId="77777777" w:rsidR="002652C8" w:rsidRPr="00A76E2A" w:rsidRDefault="002652C8" w:rsidP="002652C8">
            <w:pPr>
              <w:spacing w:line="360" w:lineRule="auto"/>
              <w:jc w:val="both"/>
              <w:rPr>
                <w:rFonts w:ascii="Corbel" w:hAnsi="Corbel"/>
                <w:color w:val="000000" w:themeColor="text1"/>
                <w:sz w:val="20"/>
                <w:szCs w:val="20"/>
              </w:rPr>
            </w:pPr>
            <w:r w:rsidRPr="00A76E2A">
              <w:rPr>
                <w:rFonts w:ascii="Corbel" w:hAnsi="Corbel"/>
                <w:color w:val="000000" w:themeColor="text1"/>
                <w:sz w:val="20"/>
                <w:szCs w:val="20"/>
              </w:rPr>
              <w:t xml:space="preserve">Ook voor dit perspectief geldt dat de consequenties in kwantitatieve zin centraal staan. Als outsider is het mogelijk de kosten en de baten onder een noemer te plaatsen. Versmalling van het </w:t>
            </w:r>
            <w:r w:rsidR="009356B2" w:rsidRPr="00A76E2A">
              <w:rPr>
                <w:rFonts w:ascii="Corbel" w:hAnsi="Corbel"/>
                <w:color w:val="000000" w:themeColor="text1"/>
                <w:sz w:val="20"/>
                <w:szCs w:val="20"/>
              </w:rPr>
              <w:t>(ethische) vraagstuk is mogelijk</w:t>
            </w:r>
            <w:r w:rsidRPr="00A76E2A">
              <w:rPr>
                <w:rFonts w:ascii="Corbel" w:hAnsi="Corbel"/>
                <w:color w:val="000000" w:themeColor="text1"/>
                <w:sz w:val="20"/>
                <w:szCs w:val="20"/>
              </w:rPr>
              <w:t>.</w:t>
            </w:r>
          </w:p>
          <w:p w14:paraId="2F9A20A0" w14:textId="77777777" w:rsidR="002652C8" w:rsidRPr="00A76E2A" w:rsidRDefault="002652C8" w:rsidP="002652C8">
            <w:pPr>
              <w:rPr>
                <w:rFonts w:ascii="Corbel" w:hAnsi="Corbel"/>
                <w:sz w:val="20"/>
                <w:szCs w:val="20"/>
              </w:rPr>
            </w:pPr>
          </w:p>
        </w:tc>
      </w:tr>
      <w:tr w:rsidR="002652C8" w:rsidRPr="00371492" w14:paraId="6A6CF28E" w14:textId="77777777" w:rsidTr="002652C8">
        <w:trPr>
          <w:trHeight w:val="1177"/>
        </w:trPr>
        <w:tc>
          <w:tcPr>
            <w:tcW w:w="1963" w:type="dxa"/>
          </w:tcPr>
          <w:p w14:paraId="74B6485F" w14:textId="77777777" w:rsidR="002652C8" w:rsidRPr="00A76E2A" w:rsidRDefault="002652C8" w:rsidP="002652C8">
            <w:pPr>
              <w:rPr>
                <w:rFonts w:ascii="Corbel" w:hAnsi="Corbel"/>
                <w:sz w:val="20"/>
                <w:szCs w:val="20"/>
              </w:rPr>
            </w:pPr>
            <w:r w:rsidRPr="00A76E2A">
              <w:rPr>
                <w:rFonts w:ascii="Corbel" w:hAnsi="Corbel"/>
                <w:sz w:val="20"/>
                <w:szCs w:val="20"/>
              </w:rPr>
              <w:t>Operationalisatie</w:t>
            </w:r>
          </w:p>
        </w:tc>
        <w:tc>
          <w:tcPr>
            <w:tcW w:w="7093" w:type="dxa"/>
          </w:tcPr>
          <w:p w14:paraId="100351FC" w14:textId="7A4B662D" w:rsidR="002652C8" w:rsidRPr="00A76E2A" w:rsidRDefault="002652C8" w:rsidP="00D517B7">
            <w:pPr>
              <w:spacing w:line="360" w:lineRule="auto"/>
              <w:jc w:val="both"/>
              <w:rPr>
                <w:rFonts w:ascii="Corbel" w:hAnsi="Corbel"/>
                <w:color w:val="000000" w:themeColor="text1"/>
                <w:sz w:val="20"/>
                <w:szCs w:val="20"/>
              </w:rPr>
            </w:pPr>
            <w:r w:rsidRPr="00A76E2A">
              <w:rPr>
                <w:rFonts w:ascii="Corbel" w:hAnsi="Corbel"/>
                <w:color w:val="000000" w:themeColor="text1"/>
                <w:sz w:val="20"/>
                <w:szCs w:val="20"/>
              </w:rPr>
              <w:t xml:space="preserve">Kortom, het valt op dat de operationalisatie van het utilisme grotendeels overeenkomt met de beschrijving van het risico </w:t>
            </w:r>
            <w:r w:rsidR="00504B92" w:rsidRPr="00A76E2A">
              <w:rPr>
                <w:rFonts w:ascii="Corbel" w:hAnsi="Corbel"/>
                <w:color w:val="000000" w:themeColor="text1"/>
                <w:sz w:val="20"/>
                <w:szCs w:val="20"/>
              </w:rPr>
              <w:t>stank en geluidsoverlast door luchtvaart</w:t>
            </w:r>
            <w:r w:rsidRPr="00A76E2A">
              <w:rPr>
                <w:rFonts w:ascii="Corbel" w:hAnsi="Corbel"/>
                <w:color w:val="000000" w:themeColor="text1"/>
                <w:sz w:val="20"/>
                <w:szCs w:val="20"/>
              </w:rPr>
              <w:t xml:space="preserve"> in de risicocatalogus. De hoge kwantitatieve kosten die typisch utilistisch relevant zijn, zijn terug te zien bij dit risicogebied. </w:t>
            </w:r>
            <w:r w:rsidR="00504B92" w:rsidRPr="00A76E2A">
              <w:rPr>
                <w:rFonts w:ascii="Corbel" w:hAnsi="Corbel"/>
                <w:color w:val="000000" w:themeColor="text1"/>
                <w:sz w:val="20"/>
                <w:szCs w:val="20"/>
              </w:rPr>
              <w:t xml:space="preserve">Typisch is echter wel dat men geen gebruik heeft gemaakt van het kwantificeren van </w:t>
            </w:r>
            <w:r w:rsidR="00D517B7" w:rsidRPr="00A76E2A">
              <w:rPr>
                <w:rFonts w:ascii="Corbel" w:hAnsi="Corbel"/>
                <w:color w:val="000000" w:themeColor="text1"/>
                <w:sz w:val="20"/>
                <w:szCs w:val="20"/>
              </w:rPr>
              <w:t>het</w:t>
            </w:r>
            <w:r w:rsidR="00504B92" w:rsidRPr="00A76E2A">
              <w:rPr>
                <w:rFonts w:ascii="Corbel" w:hAnsi="Corbel"/>
                <w:color w:val="000000" w:themeColor="text1"/>
                <w:sz w:val="20"/>
                <w:szCs w:val="20"/>
              </w:rPr>
              <w:t xml:space="preserve"> verlies aan levensjaren/levenskwaliteit. </w:t>
            </w:r>
          </w:p>
        </w:tc>
      </w:tr>
    </w:tbl>
    <w:p w14:paraId="70A232C2" w14:textId="77777777" w:rsidR="00C57F3D" w:rsidRPr="00371492" w:rsidRDefault="00C57F3D" w:rsidP="00980F8E">
      <w:pPr>
        <w:spacing w:line="360" w:lineRule="auto"/>
        <w:jc w:val="both"/>
        <w:rPr>
          <w:rFonts w:ascii="Corbel" w:hAnsi="Corbel"/>
          <w:sz w:val="20"/>
          <w:szCs w:val="20"/>
        </w:rPr>
      </w:pPr>
    </w:p>
    <w:p w14:paraId="19824260" w14:textId="3F54CA24" w:rsidR="00C57F3D" w:rsidRPr="00371492" w:rsidRDefault="00C11702" w:rsidP="00980F8E">
      <w:pPr>
        <w:spacing w:line="360" w:lineRule="auto"/>
        <w:jc w:val="both"/>
        <w:rPr>
          <w:rFonts w:ascii="Corbel" w:hAnsi="Corbel"/>
          <w:sz w:val="20"/>
          <w:szCs w:val="20"/>
        </w:rPr>
      </w:pPr>
      <w:r w:rsidRPr="00371492">
        <w:rPr>
          <w:rFonts w:ascii="Corbel" w:hAnsi="Corbel"/>
          <w:sz w:val="20"/>
          <w:szCs w:val="20"/>
        </w:rPr>
        <w:t>Bij d</w:t>
      </w:r>
      <w:r w:rsidR="00C57F3D" w:rsidRPr="00371492">
        <w:rPr>
          <w:rFonts w:ascii="Corbel" w:hAnsi="Corbel"/>
          <w:sz w:val="20"/>
          <w:szCs w:val="20"/>
        </w:rPr>
        <w:t>e bespreking van het tweede perspectief (</w:t>
      </w:r>
      <w:r w:rsidR="00BC7FD4" w:rsidRPr="00371492">
        <w:rPr>
          <w:rFonts w:ascii="Corbel" w:hAnsi="Corbel"/>
          <w:sz w:val="20"/>
          <w:szCs w:val="20"/>
        </w:rPr>
        <w:t>economie</w:t>
      </w:r>
      <w:r w:rsidRPr="00371492">
        <w:rPr>
          <w:rFonts w:ascii="Corbel" w:hAnsi="Corbel"/>
          <w:sz w:val="20"/>
          <w:szCs w:val="20"/>
        </w:rPr>
        <w:t xml:space="preserve">) passen grotendeels dezelfde ethische elementen. Bij de bespreking van het risico worden de perspectieven van gezondheid en economie wel onderscheiden, maar in de behandeling van het risico is dit onderscheid niet terug te zien. Het is wel logisch te herleiden dat het financiële nadeel (€10,5 miljoen schadepost) geleden wordt door overschrijding van wetgeving. </w:t>
      </w:r>
      <w:r w:rsidR="007B67FA" w:rsidRPr="00371492">
        <w:rPr>
          <w:rFonts w:ascii="Corbel" w:hAnsi="Corbel"/>
          <w:sz w:val="20"/>
          <w:szCs w:val="20"/>
        </w:rPr>
        <w:t xml:space="preserve">De argumentatie bij het risico is dan ook volledig gegeven in utilistische termen. De vraag rijst nu op of dit volledig is? </w:t>
      </w:r>
      <w:r w:rsidR="003420B5">
        <w:rPr>
          <w:rFonts w:ascii="Corbel" w:hAnsi="Corbel"/>
          <w:sz w:val="20"/>
          <w:szCs w:val="20"/>
        </w:rPr>
        <w:t xml:space="preserve">En zijn er andere ethische theorieën te herkennen of toe te passen? </w:t>
      </w:r>
      <w:r w:rsidR="007B67FA" w:rsidRPr="00371492">
        <w:rPr>
          <w:rFonts w:ascii="Corbel" w:hAnsi="Corbel"/>
          <w:sz w:val="20"/>
          <w:szCs w:val="20"/>
        </w:rPr>
        <w:t xml:space="preserve">We wenden ons tot </w:t>
      </w:r>
      <w:r w:rsidR="003420B5">
        <w:rPr>
          <w:rFonts w:ascii="Corbel" w:hAnsi="Corbel"/>
          <w:sz w:val="20"/>
          <w:szCs w:val="20"/>
        </w:rPr>
        <w:t>een</w:t>
      </w:r>
      <w:r w:rsidR="007B67FA" w:rsidRPr="00371492">
        <w:rPr>
          <w:rFonts w:ascii="Corbel" w:hAnsi="Corbel"/>
          <w:sz w:val="20"/>
          <w:szCs w:val="20"/>
        </w:rPr>
        <w:t xml:space="preserve"> uitbreiding van de risicoanalyse.</w:t>
      </w:r>
    </w:p>
    <w:p w14:paraId="35392721" w14:textId="77777777" w:rsidR="000C53CD" w:rsidRPr="00371492" w:rsidRDefault="000C53CD" w:rsidP="00C11702">
      <w:pPr>
        <w:rPr>
          <w:rFonts w:ascii="Corbel" w:eastAsiaTheme="majorEastAsia" w:hAnsi="Corbel" w:cs="Arial"/>
          <w:b/>
          <w:bCs/>
          <w:color w:val="C45911" w:themeColor="accent2" w:themeShade="BF"/>
          <w:szCs w:val="26"/>
        </w:rPr>
      </w:pPr>
    </w:p>
    <w:p w14:paraId="6C9EF70D" w14:textId="19556DED" w:rsidR="00352B88" w:rsidRPr="00371492" w:rsidRDefault="00352B88" w:rsidP="00510131">
      <w:pPr>
        <w:pStyle w:val="Stijl2"/>
      </w:pPr>
      <w:bookmarkStart w:id="47" w:name="_Toc485990887"/>
      <w:r w:rsidRPr="00371492">
        <w:t xml:space="preserve">Uitbreiding risicoanalyse </w:t>
      </w:r>
      <w:r w:rsidR="008D436D" w:rsidRPr="00371492">
        <w:t>‘s</w:t>
      </w:r>
      <w:r w:rsidR="000D3A52" w:rsidRPr="00371492">
        <w:t>tank en geluidsoverlast door luchtvaart</w:t>
      </w:r>
      <w:r w:rsidR="008D436D" w:rsidRPr="00371492">
        <w:t>’</w:t>
      </w:r>
      <w:bookmarkEnd w:id="47"/>
    </w:p>
    <w:p w14:paraId="2978944D" w14:textId="39D4EC90" w:rsidR="00D94D26" w:rsidRPr="00371492" w:rsidRDefault="00C06EDF" w:rsidP="00C11702">
      <w:pPr>
        <w:spacing w:line="360" w:lineRule="auto"/>
        <w:jc w:val="both"/>
        <w:rPr>
          <w:rFonts w:ascii="Corbel" w:hAnsi="Corbel"/>
          <w:sz w:val="20"/>
          <w:szCs w:val="20"/>
        </w:rPr>
      </w:pPr>
      <w:r w:rsidRPr="00371492">
        <w:rPr>
          <w:rFonts w:ascii="Corbel" w:hAnsi="Corbel"/>
          <w:sz w:val="20"/>
          <w:szCs w:val="20"/>
        </w:rPr>
        <w:t>De laatst</w:t>
      </w:r>
      <w:r w:rsidR="00C91F93">
        <w:rPr>
          <w:rFonts w:ascii="Corbel" w:hAnsi="Corbel"/>
          <w:sz w:val="20"/>
          <w:szCs w:val="20"/>
        </w:rPr>
        <w:t>e deelvraag van dit onderzoek luidt</w:t>
      </w:r>
      <w:r w:rsidRPr="00371492">
        <w:rPr>
          <w:rFonts w:ascii="Corbel" w:hAnsi="Corbel"/>
          <w:sz w:val="20"/>
          <w:szCs w:val="20"/>
        </w:rPr>
        <w:t>: hoe is een uitbreiding van de</w:t>
      </w:r>
      <w:r w:rsidR="00C91F93">
        <w:rPr>
          <w:rFonts w:ascii="Corbel" w:hAnsi="Corbel"/>
          <w:sz w:val="20"/>
          <w:szCs w:val="20"/>
        </w:rPr>
        <w:t xml:space="preserve"> bestaande</w:t>
      </w:r>
      <w:r w:rsidRPr="00371492">
        <w:rPr>
          <w:rFonts w:ascii="Corbel" w:hAnsi="Corbel"/>
          <w:sz w:val="20"/>
          <w:szCs w:val="20"/>
        </w:rPr>
        <w:t xml:space="preserve"> risicoanalyse mogelijk? In de voorgaande paragraaf zijn de elementen uit de risicoanalyse </w:t>
      </w:r>
      <w:r w:rsidR="00C91F93">
        <w:rPr>
          <w:rFonts w:ascii="Corbel" w:hAnsi="Corbel"/>
          <w:sz w:val="20"/>
          <w:szCs w:val="20"/>
        </w:rPr>
        <w:t xml:space="preserve">van het risico ‘stank en geluidsoverlast door luchtvaart’ </w:t>
      </w:r>
      <w:r w:rsidRPr="00371492">
        <w:rPr>
          <w:rFonts w:ascii="Corbel" w:hAnsi="Corbel"/>
          <w:sz w:val="20"/>
          <w:szCs w:val="20"/>
        </w:rPr>
        <w:t>besproken en is geke</w:t>
      </w:r>
      <w:r w:rsidR="00C11702" w:rsidRPr="00371492">
        <w:rPr>
          <w:rFonts w:ascii="Corbel" w:hAnsi="Corbel"/>
          <w:sz w:val="20"/>
          <w:szCs w:val="20"/>
        </w:rPr>
        <w:t xml:space="preserve">ken welke ethische stroming te herkennen </w:t>
      </w:r>
      <w:r w:rsidRPr="00371492">
        <w:rPr>
          <w:rFonts w:ascii="Corbel" w:hAnsi="Corbel"/>
          <w:sz w:val="20"/>
          <w:szCs w:val="20"/>
        </w:rPr>
        <w:t xml:space="preserve">is </w:t>
      </w:r>
      <w:r w:rsidR="00C11702" w:rsidRPr="00371492">
        <w:rPr>
          <w:rFonts w:ascii="Corbel" w:hAnsi="Corbel"/>
          <w:sz w:val="20"/>
          <w:szCs w:val="20"/>
        </w:rPr>
        <w:t>in</w:t>
      </w:r>
      <w:r w:rsidRPr="00371492">
        <w:rPr>
          <w:rFonts w:ascii="Corbel" w:hAnsi="Corbel"/>
          <w:sz w:val="20"/>
          <w:szCs w:val="20"/>
        </w:rPr>
        <w:t xml:space="preserve"> die elementen.</w:t>
      </w:r>
      <w:r w:rsidR="00C91F93">
        <w:rPr>
          <w:rFonts w:ascii="Corbel" w:hAnsi="Corbel"/>
          <w:sz w:val="20"/>
          <w:szCs w:val="20"/>
        </w:rPr>
        <w:t xml:space="preserve"> Deze analyse </w:t>
      </w:r>
      <w:r w:rsidR="00C11702" w:rsidRPr="00371492">
        <w:rPr>
          <w:rFonts w:ascii="Corbel" w:hAnsi="Corbel"/>
          <w:sz w:val="20"/>
          <w:szCs w:val="20"/>
        </w:rPr>
        <w:t>laat zien dat de behandeling van het risico ‘stank en geluidsoverlast door luchtvaart’ enkel op een utilistische wijze is ingevuld. Immers, de twee perspectieven die centraal staan bij de behandeling van het risico worde</w:t>
      </w:r>
      <w:r w:rsidR="001949C0">
        <w:rPr>
          <w:rFonts w:ascii="Corbel" w:hAnsi="Corbel"/>
          <w:sz w:val="20"/>
          <w:szCs w:val="20"/>
        </w:rPr>
        <w:t>n op eenzelfde wijze besproken en i</w:t>
      </w:r>
      <w:r w:rsidR="00C11702" w:rsidRPr="00371492">
        <w:rPr>
          <w:rFonts w:ascii="Corbel" w:hAnsi="Corbel"/>
          <w:sz w:val="20"/>
          <w:szCs w:val="20"/>
        </w:rPr>
        <w:t>n die bespreking staat kwantificering centraal: stank en geluidsoverlast door luchtvaart is een risico omdat het grote kosten tot gevolg heeft. Deze kosten werken door in de gezondheid van omwonenden en in de econo</w:t>
      </w:r>
      <w:r w:rsidR="0097524D" w:rsidRPr="00371492">
        <w:rPr>
          <w:rFonts w:ascii="Corbel" w:hAnsi="Corbel"/>
          <w:sz w:val="20"/>
          <w:szCs w:val="20"/>
        </w:rPr>
        <w:t xml:space="preserve">mie (o.a. valse concurrentie). </w:t>
      </w:r>
      <w:r w:rsidR="006A1357" w:rsidRPr="00371492">
        <w:rPr>
          <w:rFonts w:ascii="Corbel" w:hAnsi="Corbel"/>
          <w:sz w:val="20"/>
          <w:szCs w:val="20"/>
        </w:rPr>
        <w:t xml:space="preserve">Er is in de bespreking van dit risico geen aandacht </w:t>
      </w:r>
      <w:r w:rsidR="006A1357" w:rsidRPr="00371492">
        <w:rPr>
          <w:rFonts w:ascii="Corbel" w:hAnsi="Corbel"/>
          <w:sz w:val="20"/>
          <w:szCs w:val="20"/>
        </w:rPr>
        <w:lastRenderedPageBreak/>
        <w:t>voor deontologische of deugdethische elementen. Dit terwijl een onderbouwing van dit risico met deze ethische stromingen versterkt zou kunnen</w:t>
      </w:r>
      <w:r w:rsidR="005D775D" w:rsidRPr="00371492">
        <w:rPr>
          <w:rFonts w:ascii="Corbel" w:hAnsi="Corbel"/>
          <w:sz w:val="20"/>
          <w:szCs w:val="20"/>
        </w:rPr>
        <w:t xml:space="preserve"> worden.</w:t>
      </w:r>
      <w:r w:rsidR="006D414B" w:rsidRPr="00371492">
        <w:rPr>
          <w:rFonts w:ascii="Corbel" w:hAnsi="Corbel"/>
          <w:sz w:val="20"/>
          <w:szCs w:val="20"/>
        </w:rPr>
        <w:t xml:space="preserve"> Hoe zou dit eruit kunnen zien?</w:t>
      </w:r>
    </w:p>
    <w:p w14:paraId="11DE1B14" w14:textId="027E9949" w:rsidR="006D414B" w:rsidRDefault="00975097" w:rsidP="006D414B">
      <w:pPr>
        <w:spacing w:line="360" w:lineRule="auto"/>
        <w:ind w:firstLine="709"/>
        <w:jc w:val="both"/>
        <w:rPr>
          <w:rFonts w:ascii="Corbel" w:hAnsi="Corbel"/>
          <w:sz w:val="20"/>
          <w:szCs w:val="20"/>
        </w:rPr>
      </w:pPr>
      <w:r w:rsidRPr="00371492">
        <w:rPr>
          <w:rFonts w:ascii="Corbel" w:hAnsi="Corbel"/>
          <w:sz w:val="20"/>
          <w:szCs w:val="20"/>
        </w:rPr>
        <w:t xml:space="preserve">Vanuit de </w:t>
      </w:r>
      <w:r w:rsidR="001515ED">
        <w:rPr>
          <w:rFonts w:ascii="Corbel" w:hAnsi="Corbel"/>
          <w:sz w:val="20"/>
          <w:szCs w:val="20"/>
        </w:rPr>
        <w:t>theorie</w:t>
      </w:r>
      <w:r w:rsidRPr="00371492">
        <w:rPr>
          <w:rFonts w:ascii="Corbel" w:hAnsi="Corbel"/>
          <w:sz w:val="20"/>
          <w:szCs w:val="20"/>
        </w:rPr>
        <w:t xml:space="preserve"> van de deontologie zou een onderbouwing mogelijk zijn door de argumentatie te richten op de plicht om te zorgen voor de medemens </w:t>
      </w:r>
      <w:r w:rsidR="00D453DE" w:rsidRPr="00371492">
        <w:rPr>
          <w:rFonts w:ascii="Corbel" w:hAnsi="Corbel"/>
          <w:sz w:val="20"/>
          <w:szCs w:val="20"/>
        </w:rPr>
        <w:t>op basis van bepaalde principes</w:t>
      </w:r>
      <w:r w:rsidR="007B67FA" w:rsidRPr="00371492">
        <w:rPr>
          <w:rFonts w:ascii="Corbel" w:hAnsi="Corbel"/>
          <w:sz w:val="20"/>
          <w:szCs w:val="20"/>
        </w:rPr>
        <w:t xml:space="preserve"> of het volgen van bepaalde procedures</w:t>
      </w:r>
      <w:r w:rsidR="00D453DE" w:rsidRPr="00371492">
        <w:rPr>
          <w:rFonts w:ascii="Corbel" w:hAnsi="Corbel"/>
          <w:sz w:val="20"/>
          <w:szCs w:val="20"/>
        </w:rPr>
        <w:t>.</w:t>
      </w:r>
      <w:r w:rsidR="00F0440F">
        <w:rPr>
          <w:rFonts w:ascii="Corbel" w:hAnsi="Corbel"/>
          <w:sz w:val="20"/>
          <w:szCs w:val="20"/>
        </w:rPr>
        <w:t xml:space="preserve"> Kortweg, omdat je dus respect hebt voor je naasten.</w:t>
      </w:r>
      <w:r w:rsidR="00D453DE" w:rsidRPr="00371492">
        <w:rPr>
          <w:rFonts w:ascii="Corbel" w:hAnsi="Corbel"/>
          <w:sz w:val="20"/>
          <w:szCs w:val="20"/>
        </w:rPr>
        <w:t xml:space="preserve"> In hoofdstuk vier zagen we </w:t>
      </w:r>
      <w:r w:rsidR="006D414B" w:rsidRPr="00371492">
        <w:rPr>
          <w:rFonts w:ascii="Corbel" w:hAnsi="Corbel"/>
          <w:sz w:val="20"/>
          <w:szCs w:val="20"/>
        </w:rPr>
        <w:t xml:space="preserve">dat een onderbouwing op basis van deontologische </w:t>
      </w:r>
      <w:r w:rsidR="00F0440F">
        <w:rPr>
          <w:rFonts w:ascii="Corbel" w:hAnsi="Corbel"/>
          <w:sz w:val="20"/>
          <w:szCs w:val="20"/>
        </w:rPr>
        <w:t>theorie</w:t>
      </w:r>
      <w:r w:rsidR="006D414B" w:rsidRPr="00371492">
        <w:rPr>
          <w:rFonts w:ascii="Corbel" w:hAnsi="Corbel"/>
          <w:sz w:val="20"/>
          <w:szCs w:val="20"/>
        </w:rPr>
        <w:t xml:space="preserve"> via twee wegen mogelijk is. Enerzijds kan men een invulling geven vanuit de democratische gedachte (indien bepaalde procedures gevolgd moeten worden). Anderzijds is het mogelijk bepaalde principes toe te passen. Hierbij zou het meer een juristenkwestie worden, waarbij toetsing van principes zoals gelijkheid, redelijkheid en autonomie getoetst worden.</w:t>
      </w:r>
      <w:r w:rsidR="00231390" w:rsidRPr="00231390">
        <w:rPr>
          <w:rFonts w:ascii="Corbel" w:hAnsi="Corbel"/>
          <w:color w:val="000000" w:themeColor="text1"/>
          <w:sz w:val="20"/>
          <w:szCs w:val="20"/>
        </w:rPr>
        <w:t xml:space="preserve"> </w:t>
      </w:r>
      <w:r w:rsidR="00231390" w:rsidRPr="00C07F9C">
        <w:rPr>
          <w:rFonts w:ascii="Corbel" w:hAnsi="Corbel"/>
          <w:color w:val="000000" w:themeColor="text1"/>
          <w:sz w:val="20"/>
          <w:szCs w:val="20"/>
        </w:rPr>
        <w:t>Als we de checklist van de ethische theorie van de deontologie toepassen zien we hoe deze ethische theorie toegepast kan worden:</w:t>
      </w:r>
    </w:p>
    <w:tbl>
      <w:tblPr>
        <w:tblStyle w:val="Tabelraster"/>
        <w:tblW w:w="9054" w:type="dxa"/>
        <w:tblLook w:val="04A0" w:firstRow="1" w:lastRow="0" w:firstColumn="1" w:lastColumn="0" w:noHBand="0" w:noVBand="1"/>
      </w:tblPr>
      <w:tblGrid>
        <w:gridCol w:w="2141"/>
        <w:gridCol w:w="6913"/>
      </w:tblGrid>
      <w:tr w:rsidR="00E958F4" w:rsidRPr="00E958F4" w14:paraId="0D9FB031" w14:textId="77777777" w:rsidTr="009D4480">
        <w:tc>
          <w:tcPr>
            <w:tcW w:w="2141" w:type="dxa"/>
          </w:tcPr>
          <w:p w14:paraId="114B9513" w14:textId="77777777" w:rsidR="00E958F4" w:rsidRPr="00F0440F" w:rsidRDefault="00E958F4" w:rsidP="009D4480">
            <w:pPr>
              <w:spacing w:line="360" w:lineRule="auto"/>
              <w:jc w:val="both"/>
              <w:rPr>
                <w:rFonts w:ascii="Corbel" w:eastAsia="Tahoma" w:hAnsi="Corbel" w:cs="Tahoma"/>
                <w:color w:val="000000" w:themeColor="text1"/>
                <w:sz w:val="20"/>
              </w:rPr>
            </w:pPr>
            <w:r w:rsidRPr="00F0440F">
              <w:rPr>
                <w:rFonts w:ascii="Corbel" w:eastAsia="Tahoma" w:hAnsi="Corbel" w:cs="Tahoma"/>
                <w:i/>
                <w:color w:val="000000" w:themeColor="text1"/>
                <w:sz w:val="20"/>
              </w:rPr>
              <w:t>Logica</w:t>
            </w:r>
          </w:p>
        </w:tc>
        <w:tc>
          <w:tcPr>
            <w:tcW w:w="6913" w:type="dxa"/>
          </w:tcPr>
          <w:p w14:paraId="4EAAE854" w14:textId="11F1240F" w:rsidR="00F0440F" w:rsidRPr="00F0440F" w:rsidRDefault="00F0440F" w:rsidP="00F0440F">
            <w:pPr>
              <w:spacing w:line="360" w:lineRule="auto"/>
              <w:jc w:val="both"/>
              <w:rPr>
                <w:rFonts w:ascii="Corbel" w:eastAsia="Tahoma" w:hAnsi="Corbel" w:cs="Tahoma"/>
                <w:color w:val="000000" w:themeColor="text1"/>
                <w:sz w:val="20"/>
              </w:rPr>
            </w:pPr>
            <w:r w:rsidRPr="00F0440F">
              <w:rPr>
                <w:rFonts w:ascii="Corbel" w:eastAsia="Tahoma" w:hAnsi="Corbel" w:cs="Tahoma"/>
                <w:color w:val="000000" w:themeColor="text1"/>
                <w:sz w:val="20"/>
              </w:rPr>
              <w:t xml:space="preserve">Los van de gevolgen van dit risico moet er plichtsgetrouw gehandeld worden. Dit houdt in dat dit risico een gevaar is omdat het tegen het principe van respect voor de medemens in gaat. Toezicht houden is dus een principekwestie in deze casus. </w:t>
            </w:r>
          </w:p>
        </w:tc>
      </w:tr>
      <w:tr w:rsidR="00E958F4" w:rsidRPr="00E958F4" w14:paraId="31D5C747" w14:textId="77777777" w:rsidTr="009D4480">
        <w:tc>
          <w:tcPr>
            <w:tcW w:w="2141" w:type="dxa"/>
          </w:tcPr>
          <w:p w14:paraId="4236FAD4" w14:textId="77777777" w:rsidR="00E958F4" w:rsidRPr="00F0440F" w:rsidRDefault="00E958F4" w:rsidP="009D4480">
            <w:pPr>
              <w:spacing w:line="360" w:lineRule="auto"/>
              <w:jc w:val="both"/>
              <w:rPr>
                <w:rFonts w:ascii="Corbel" w:eastAsia="Tahoma" w:hAnsi="Corbel" w:cs="Tahoma"/>
                <w:color w:val="000000" w:themeColor="text1"/>
                <w:sz w:val="20"/>
              </w:rPr>
            </w:pPr>
            <w:r w:rsidRPr="00F0440F">
              <w:rPr>
                <w:rFonts w:ascii="Corbel" w:eastAsia="Tahoma" w:hAnsi="Corbel" w:cs="Tahoma"/>
                <w:i/>
                <w:color w:val="000000" w:themeColor="text1"/>
                <w:sz w:val="20"/>
              </w:rPr>
              <w:t>Focus (waar kijkt de theorie naar?)</w:t>
            </w:r>
          </w:p>
        </w:tc>
        <w:tc>
          <w:tcPr>
            <w:tcW w:w="6913" w:type="dxa"/>
          </w:tcPr>
          <w:p w14:paraId="5241653D" w14:textId="39D90F63" w:rsidR="00E958F4" w:rsidRPr="00F0440F" w:rsidRDefault="00E958F4" w:rsidP="00F0440F">
            <w:pPr>
              <w:spacing w:line="360" w:lineRule="auto"/>
              <w:jc w:val="both"/>
              <w:rPr>
                <w:rFonts w:ascii="Corbel" w:eastAsia="Tahoma" w:hAnsi="Corbel" w:cs="Tahoma"/>
                <w:color w:val="000000" w:themeColor="text1"/>
                <w:sz w:val="20"/>
              </w:rPr>
            </w:pPr>
            <w:r w:rsidRPr="00F0440F">
              <w:rPr>
                <w:rFonts w:ascii="Corbel" w:eastAsia="Tahoma" w:hAnsi="Corbel" w:cs="Tahoma"/>
                <w:color w:val="000000" w:themeColor="text1"/>
                <w:sz w:val="20"/>
              </w:rPr>
              <w:t>Universele waarden en gedragsregels die voortkomen uit categorische imperatief. Iedereen moet er mee in kunnen stemmen (een outsider perspectief).</w:t>
            </w:r>
            <w:r w:rsidR="00F0440F" w:rsidRPr="00F0440F">
              <w:rPr>
                <w:rFonts w:ascii="Corbel" w:eastAsia="Tahoma" w:hAnsi="Corbel" w:cs="Tahoma"/>
                <w:color w:val="000000" w:themeColor="text1"/>
                <w:sz w:val="20"/>
              </w:rPr>
              <w:t xml:space="preserve"> Dit betekent concreet voor deze casus dat </w:t>
            </w:r>
            <w:r w:rsidR="00F0440F">
              <w:rPr>
                <w:rFonts w:ascii="Corbel" w:eastAsia="Tahoma" w:hAnsi="Corbel" w:cs="Tahoma"/>
                <w:color w:val="000000" w:themeColor="text1"/>
                <w:sz w:val="20"/>
              </w:rPr>
              <w:t xml:space="preserve">iedereen zou willen dat men tegen geluidsoverlast en stankoverlast door luchtvaart beschermt zou willen zijn, mocht de situatie zich voordoen. Deze focus is discutabel omdat het moeilijk te stellen is dat iedereen dit zo belangrijk vindt. </w:t>
            </w:r>
          </w:p>
        </w:tc>
      </w:tr>
      <w:tr w:rsidR="00E958F4" w:rsidRPr="00E958F4" w14:paraId="5C70A17E" w14:textId="77777777" w:rsidTr="00F0440F">
        <w:trPr>
          <w:trHeight w:val="1765"/>
        </w:trPr>
        <w:tc>
          <w:tcPr>
            <w:tcW w:w="2141" w:type="dxa"/>
          </w:tcPr>
          <w:p w14:paraId="714ABAC4" w14:textId="77777777" w:rsidR="00E958F4" w:rsidRPr="00A76E2A" w:rsidRDefault="00E958F4" w:rsidP="009D4480">
            <w:pPr>
              <w:spacing w:line="360" w:lineRule="auto"/>
              <w:jc w:val="both"/>
              <w:rPr>
                <w:rFonts w:ascii="Corbel" w:eastAsia="Tahoma" w:hAnsi="Corbel" w:cs="Tahoma"/>
                <w:color w:val="000000" w:themeColor="text1"/>
                <w:sz w:val="20"/>
              </w:rPr>
            </w:pPr>
            <w:r w:rsidRPr="00A76E2A">
              <w:rPr>
                <w:rFonts w:ascii="Corbel" w:eastAsia="Tahoma" w:hAnsi="Corbel" w:cs="Tahoma"/>
                <w:i/>
                <w:color w:val="000000" w:themeColor="text1"/>
                <w:sz w:val="20"/>
              </w:rPr>
              <w:t>Benadering (rationaliseringswijze)</w:t>
            </w:r>
          </w:p>
        </w:tc>
        <w:tc>
          <w:tcPr>
            <w:tcW w:w="6913" w:type="dxa"/>
          </w:tcPr>
          <w:p w14:paraId="6E660F94" w14:textId="7E0ACBFA" w:rsidR="00E958F4" w:rsidRPr="00A76E2A" w:rsidRDefault="00E958F4" w:rsidP="009D4480">
            <w:pPr>
              <w:spacing w:line="360" w:lineRule="auto"/>
              <w:jc w:val="both"/>
              <w:rPr>
                <w:rFonts w:ascii="Corbel" w:eastAsia="Tahoma" w:hAnsi="Corbel" w:cs="Tahoma"/>
                <w:color w:val="000000" w:themeColor="text1"/>
                <w:sz w:val="20"/>
              </w:rPr>
            </w:pPr>
            <w:r w:rsidRPr="00A76E2A">
              <w:rPr>
                <w:rFonts w:ascii="Corbel" w:eastAsia="Tahoma" w:hAnsi="Corbel" w:cs="Tahoma"/>
                <w:color w:val="000000" w:themeColor="text1"/>
                <w:sz w:val="20"/>
              </w:rPr>
              <w:t xml:space="preserve">Rationalisering volgens onderliggende principes. Mensen moeten denkbeeldig of werkelijk kunnen instemmen met de verdeling. Vrije wil van het individu staat centraal. </w:t>
            </w:r>
            <w:r w:rsidR="00F0440F" w:rsidRPr="00A76E2A">
              <w:rPr>
                <w:rFonts w:ascii="Corbel" w:eastAsia="Tahoma" w:hAnsi="Corbel" w:cs="Tahoma"/>
                <w:color w:val="000000" w:themeColor="text1"/>
                <w:sz w:val="20"/>
              </w:rPr>
              <w:t>Er is sprake van een principekwestie, maar zoals gezegd is het niet zeker dat iedereen hier mee in zou stemmen. De onderbouwing is dus uit te breiden met deontologie maar op zichzelf niet afdoende.</w:t>
            </w:r>
            <w:r w:rsidRPr="00A76E2A">
              <w:rPr>
                <w:rFonts w:ascii="Corbel" w:eastAsia="Tahoma" w:hAnsi="Corbel" w:cs="Tahoma"/>
                <w:color w:val="000000" w:themeColor="text1"/>
                <w:sz w:val="20"/>
              </w:rPr>
              <w:t xml:space="preserve"> </w:t>
            </w:r>
          </w:p>
        </w:tc>
      </w:tr>
      <w:tr w:rsidR="00E958F4" w:rsidRPr="00E958F4" w14:paraId="790A0527" w14:textId="77777777" w:rsidTr="009D4480">
        <w:tc>
          <w:tcPr>
            <w:tcW w:w="2141" w:type="dxa"/>
          </w:tcPr>
          <w:p w14:paraId="67F03B02" w14:textId="77777777" w:rsidR="00E958F4" w:rsidRPr="00A76E2A" w:rsidRDefault="00E958F4" w:rsidP="009D4480">
            <w:pPr>
              <w:tabs>
                <w:tab w:val="left" w:pos="1166"/>
              </w:tabs>
              <w:spacing w:line="360" w:lineRule="auto"/>
              <w:jc w:val="both"/>
              <w:rPr>
                <w:rFonts w:ascii="Corbel" w:eastAsia="Tahoma" w:hAnsi="Corbel" w:cs="Tahoma"/>
                <w:color w:val="000000" w:themeColor="text1"/>
                <w:sz w:val="20"/>
              </w:rPr>
            </w:pPr>
            <w:r w:rsidRPr="00A76E2A">
              <w:rPr>
                <w:rFonts w:ascii="Corbel" w:eastAsia="Tahoma" w:hAnsi="Corbel" w:cs="Tahoma"/>
                <w:i/>
                <w:color w:val="000000" w:themeColor="text1"/>
                <w:sz w:val="20"/>
              </w:rPr>
              <w:t>Kwetsbaarheden (wat wil men beschermen?)</w:t>
            </w:r>
          </w:p>
        </w:tc>
        <w:tc>
          <w:tcPr>
            <w:tcW w:w="6913" w:type="dxa"/>
          </w:tcPr>
          <w:p w14:paraId="622D25A5" w14:textId="5750BF59" w:rsidR="00E958F4" w:rsidRPr="00A76E2A" w:rsidRDefault="00E958F4" w:rsidP="009D4480">
            <w:pPr>
              <w:spacing w:line="360" w:lineRule="auto"/>
              <w:jc w:val="both"/>
              <w:rPr>
                <w:rFonts w:ascii="Corbel" w:eastAsia="Tahoma" w:hAnsi="Corbel" w:cs="Tahoma"/>
                <w:color w:val="000000" w:themeColor="text1"/>
                <w:sz w:val="20"/>
              </w:rPr>
            </w:pPr>
            <w:r w:rsidRPr="00A76E2A">
              <w:rPr>
                <w:rFonts w:ascii="Corbel" w:eastAsia="Tahoma" w:hAnsi="Corbel" w:cs="Tahoma"/>
                <w:color w:val="000000" w:themeColor="text1"/>
                <w:sz w:val="20"/>
              </w:rPr>
              <w:t>Principes die voortkomen uit een geslaagde test met de categorische imperatief</w:t>
            </w:r>
            <w:r w:rsidR="00980F1E" w:rsidRPr="00A76E2A">
              <w:rPr>
                <w:rFonts w:ascii="Corbel" w:eastAsia="Tahoma" w:hAnsi="Corbel" w:cs="Tahoma"/>
                <w:color w:val="000000" w:themeColor="text1"/>
                <w:sz w:val="20"/>
              </w:rPr>
              <w:t xml:space="preserve">, dat is de leidraad bij de deontologie. Zoals gezegd is het niet vanzelfsprekend dat dit gebeurt in deze casus. </w:t>
            </w:r>
          </w:p>
        </w:tc>
      </w:tr>
      <w:tr w:rsidR="00E958F4" w:rsidRPr="00E958F4" w14:paraId="6BA097EA" w14:textId="77777777" w:rsidTr="009D4480">
        <w:trPr>
          <w:trHeight w:val="435"/>
        </w:trPr>
        <w:tc>
          <w:tcPr>
            <w:tcW w:w="2141" w:type="dxa"/>
          </w:tcPr>
          <w:p w14:paraId="10749DAF" w14:textId="77777777" w:rsidR="00E958F4" w:rsidRPr="00A76E2A" w:rsidRDefault="00E958F4" w:rsidP="009D4480">
            <w:pPr>
              <w:spacing w:line="360" w:lineRule="auto"/>
              <w:jc w:val="both"/>
              <w:rPr>
                <w:rFonts w:ascii="Corbel" w:eastAsia="Tahoma" w:hAnsi="Corbel" w:cs="Tahoma"/>
                <w:color w:val="000000" w:themeColor="text1"/>
                <w:sz w:val="20"/>
              </w:rPr>
            </w:pPr>
            <w:r w:rsidRPr="00A76E2A">
              <w:rPr>
                <w:rFonts w:ascii="Corbel" w:eastAsia="Tahoma" w:hAnsi="Corbel" w:cs="Tahoma"/>
                <w:i/>
                <w:color w:val="000000" w:themeColor="text1"/>
                <w:sz w:val="20"/>
              </w:rPr>
              <w:t>Operationalisatie (hoe zie je dat terug?)</w:t>
            </w:r>
          </w:p>
        </w:tc>
        <w:tc>
          <w:tcPr>
            <w:tcW w:w="6913" w:type="dxa"/>
          </w:tcPr>
          <w:p w14:paraId="3C60E0E5" w14:textId="1F70E7BF" w:rsidR="00E958F4" w:rsidRPr="00A76E2A" w:rsidRDefault="0066326F" w:rsidP="0066326F">
            <w:pPr>
              <w:spacing w:line="360" w:lineRule="auto"/>
              <w:jc w:val="both"/>
              <w:rPr>
                <w:rFonts w:ascii="Corbel" w:eastAsia="Tahoma" w:hAnsi="Corbel" w:cs="Tahoma"/>
                <w:color w:val="000000" w:themeColor="text1"/>
                <w:sz w:val="20"/>
              </w:rPr>
            </w:pPr>
            <w:r w:rsidRPr="00A76E2A">
              <w:rPr>
                <w:rFonts w:ascii="Corbel" w:eastAsia="Tahoma" w:hAnsi="Corbel" w:cs="Tahoma"/>
                <w:color w:val="000000" w:themeColor="text1"/>
                <w:sz w:val="20"/>
              </w:rPr>
              <w:t>De overschrijdingslimieten zijn hier een voorbeeld van.</w:t>
            </w:r>
          </w:p>
        </w:tc>
      </w:tr>
      <w:tr w:rsidR="00E958F4" w:rsidRPr="00E958F4" w14:paraId="0BF38F7B" w14:textId="77777777" w:rsidTr="009D4480">
        <w:tc>
          <w:tcPr>
            <w:tcW w:w="2141" w:type="dxa"/>
          </w:tcPr>
          <w:p w14:paraId="0AF0ED56" w14:textId="77777777" w:rsidR="00E958F4" w:rsidRPr="00A76E2A" w:rsidRDefault="00E958F4" w:rsidP="009D4480">
            <w:pPr>
              <w:spacing w:line="360" w:lineRule="auto"/>
              <w:jc w:val="both"/>
              <w:rPr>
                <w:rFonts w:ascii="Corbel" w:eastAsia="Tahoma" w:hAnsi="Corbel" w:cs="Tahoma"/>
                <w:color w:val="000000" w:themeColor="text1"/>
                <w:sz w:val="20"/>
              </w:rPr>
            </w:pPr>
            <w:r w:rsidRPr="00A76E2A">
              <w:rPr>
                <w:rFonts w:ascii="Corbel" w:eastAsia="Tahoma" w:hAnsi="Corbel" w:cs="Tahoma"/>
                <w:i/>
                <w:color w:val="000000" w:themeColor="text1"/>
                <w:sz w:val="20"/>
              </w:rPr>
              <w:t>Gremium</w:t>
            </w:r>
          </w:p>
        </w:tc>
        <w:tc>
          <w:tcPr>
            <w:tcW w:w="6913" w:type="dxa"/>
          </w:tcPr>
          <w:p w14:paraId="57CDC37F" w14:textId="77777777" w:rsidR="00E958F4" w:rsidRPr="00A76E2A" w:rsidRDefault="00E958F4" w:rsidP="0066326F">
            <w:pPr>
              <w:pStyle w:val="Lijstalinea"/>
              <w:numPr>
                <w:ilvl w:val="0"/>
                <w:numId w:val="29"/>
              </w:numPr>
              <w:spacing w:line="360" w:lineRule="auto"/>
              <w:jc w:val="both"/>
              <w:rPr>
                <w:rFonts w:ascii="Corbel" w:eastAsia="Tahoma" w:hAnsi="Corbel" w:cs="Tahoma"/>
                <w:color w:val="000000" w:themeColor="text1"/>
                <w:sz w:val="20"/>
              </w:rPr>
            </w:pPr>
            <w:r w:rsidRPr="00A76E2A">
              <w:rPr>
                <w:rFonts w:ascii="Corbel" w:eastAsia="Tahoma" w:hAnsi="Corbel" w:cs="Tahoma"/>
                <w:color w:val="000000" w:themeColor="text1"/>
                <w:sz w:val="20"/>
              </w:rPr>
              <w:t>Vanuit de democratische gedachte: willekeurig panel uit de samenleving (indien je de vrije keuze centraal stelt)</w:t>
            </w:r>
          </w:p>
          <w:p w14:paraId="0BD1D561" w14:textId="77777777" w:rsidR="00E958F4" w:rsidRPr="00A76E2A" w:rsidRDefault="00E958F4" w:rsidP="0066326F">
            <w:pPr>
              <w:pStyle w:val="Lijstalinea"/>
              <w:numPr>
                <w:ilvl w:val="0"/>
                <w:numId w:val="29"/>
              </w:numPr>
              <w:spacing w:line="360" w:lineRule="auto"/>
              <w:jc w:val="both"/>
              <w:rPr>
                <w:rFonts w:ascii="Corbel" w:eastAsia="Tahoma" w:hAnsi="Corbel" w:cs="Tahoma"/>
                <w:color w:val="000000" w:themeColor="text1"/>
                <w:sz w:val="20"/>
              </w:rPr>
            </w:pPr>
            <w:r w:rsidRPr="00A76E2A">
              <w:rPr>
                <w:rFonts w:ascii="Corbel" w:eastAsia="Tahoma" w:hAnsi="Corbel" w:cs="Tahoma"/>
                <w:color w:val="000000" w:themeColor="text1"/>
                <w:sz w:val="20"/>
              </w:rPr>
              <w:t>Toepassen van principes: juristenkwestie (indien principes centraal stelt)</w:t>
            </w:r>
          </w:p>
        </w:tc>
      </w:tr>
    </w:tbl>
    <w:p w14:paraId="4497DECF" w14:textId="77777777" w:rsidR="00E958F4" w:rsidRPr="00371492" w:rsidRDefault="00E958F4" w:rsidP="0066326F">
      <w:pPr>
        <w:spacing w:line="360" w:lineRule="auto"/>
        <w:jc w:val="both"/>
        <w:rPr>
          <w:rFonts w:ascii="Corbel" w:hAnsi="Corbel"/>
          <w:sz w:val="20"/>
          <w:szCs w:val="20"/>
        </w:rPr>
      </w:pPr>
    </w:p>
    <w:p w14:paraId="4B8DF395" w14:textId="11254465" w:rsidR="00E958F4" w:rsidRPr="00F51C3D" w:rsidRDefault="00975097" w:rsidP="00F51C3D">
      <w:pPr>
        <w:spacing w:line="360" w:lineRule="auto"/>
        <w:ind w:firstLine="709"/>
        <w:jc w:val="both"/>
        <w:rPr>
          <w:rFonts w:ascii="Corbel" w:hAnsi="Corbel"/>
          <w:sz w:val="20"/>
          <w:szCs w:val="20"/>
        </w:rPr>
      </w:pPr>
      <w:r w:rsidRPr="00371492">
        <w:rPr>
          <w:rFonts w:ascii="Corbel" w:hAnsi="Corbel"/>
          <w:sz w:val="20"/>
          <w:szCs w:val="20"/>
        </w:rPr>
        <w:t xml:space="preserve">De toepassing van de deugdethiek stelt in de onderbouwing de </w:t>
      </w:r>
      <w:r w:rsidR="00625668" w:rsidRPr="00371492">
        <w:rPr>
          <w:rFonts w:ascii="Corbel" w:hAnsi="Corbel"/>
          <w:sz w:val="20"/>
          <w:szCs w:val="20"/>
        </w:rPr>
        <w:t xml:space="preserve">zorg voor het voortbestaan van de </w:t>
      </w:r>
      <w:r w:rsidR="006B7587" w:rsidRPr="00371492">
        <w:rPr>
          <w:rFonts w:ascii="Corbel" w:hAnsi="Corbel"/>
          <w:sz w:val="20"/>
          <w:szCs w:val="20"/>
        </w:rPr>
        <w:t>‘</w:t>
      </w:r>
      <w:r w:rsidR="00625668" w:rsidRPr="00371492">
        <w:rPr>
          <w:rFonts w:ascii="Corbel" w:hAnsi="Corbel"/>
          <w:sz w:val="20"/>
          <w:szCs w:val="20"/>
        </w:rPr>
        <w:t>praktijk</w:t>
      </w:r>
      <w:r w:rsidR="006B7587" w:rsidRPr="00371492">
        <w:rPr>
          <w:rFonts w:ascii="Corbel" w:hAnsi="Corbel"/>
          <w:sz w:val="20"/>
          <w:szCs w:val="20"/>
        </w:rPr>
        <w:t>’</w:t>
      </w:r>
      <w:r w:rsidR="00625668" w:rsidRPr="00371492">
        <w:rPr>
          <w:rFonts w:ascii="Corbel" w:hAnsi="Corbel"/>
          <w:sz w:val="20"/>
          <w:szCs w:val="20"/>
        </w:rPr>
        <w:t xml:space="preserve"> centraal. Bij dit risico zijn dat</w:t>
      </w:r>
      <w:r w:rsidR="00F340D9" w:rsidRPr="00371492">
        <w:rPr>
          <w:rFonts w:ascii="Corbel" w:hAnsi="Corbel"/>
          <w:sz w:val="20"/>
          <w:szCs w:val="20"/>
        </w:rPr>
        <w:t xml:space="preserve"> respectievelijk</w:t>
      </w:r>
      <w:r w:rsidR="00625668" w:rsidRPr="00371492">
        <w:rPr>
          <w:rFonts w:ascii="Corbel" w:hAnsi="Corbel"/>
          <w:sz w:val="20"/>
          <w:szCs w:val="20"/>
        </w:rPr>
        <w:t xml:space="preserve"> de praktijk van de gezondheidszorg en de economie.</w:t>
      </w:r>
      <w:r w:rsidR="00F4036B" w:rsidRPr="00371492">
        <w:rPr>
          <w:rFonts w:ascii="Corbel" w:hAnsi="Corbel"/>
          <w:sz w:val="20"/>
          <w:szCs w:val="20"/>
        </w:rPr>
        <w:t xml:space="preserve"> Stank en geluidsoverlast door luchtvaart kunnen zorgen voor allerlei gezondheidsproblemen, zeker in een klein en dichtbevolkt land als Nederland. Daarnaast heeft dit risico ook een economisch element in zich, namelijk dat bedrijven die zich niet aan de wet- en regelgeving houden illegaal voordeel verkrijgen. Dit zorgt voor een </w:t>
      </w:r>
      <w:r w:rsidR="00F4036B" w:rsidRPr="00371492">
        <w:rPr>
          <w:rFonts w:ascii="Corbel" w:hAnsi="Corbel"/>
          <w:sz w:val="20"/>
          <w:szCs w:val="20"/>
        </w:rPr>
        <w:lastRenderedPageBreak/>
        <w:t xml:space="preserve">oneerlijke economische markt. </w:t>
      </w:r>
      <w:r w:rsidR="00F340D9" w:rsidRPr="00371492">
        <w:rPr>
          <w:rFonts w:ascii="Corbel" w:hAnsi="Corbel"/>
          <w:sz w:val="20"/>
          <w:szCs w:val="20"/>
        </w:rPr>
        <w:t xml:space="preserve">In de praktijken vindt deugdzaam handelen zijn vorm. Door deel te nemen aan concrete praktijken (zoals de gezondheidszorg en de </w:t>
      </w:r>
      <w:r w:rsidR="00F4036B" w:rsidRPr="00371492">
        <w:rPr>
          <w:rFonts w:ascii="Corbel" w:hAnsi="Corbel"/>
          <w:sz w:val="20"/>
          <w:szCs w:val="20"/>
        </w:rPr>
        <w:t>economie) worden deugd</w:t>
      </w:r>
      <w:r w:rsidR="00F340D9" w:rsidRPr="00371492">
        <w:rPr>
          <w:rFonts w:ascii="Corbel" w:hAnsi="Corbel"/>
          <w:sz w:val="20"/>
          <w:szCs w:val="20"/>
        </w:rPr>
        <w:t xml:space="preserve">en als rechtvaardigheid, </w:t>
      </w:r>
      <w:r w:rsidR="00F4036B" w:rsidRPr="00371492">
        <w:rPr>
          <w:rFonts w:ascii="Corbel" w:hAnsi="Corbel"/>
          <w:sz w:val="20"/>
          <w:szCs w:val="20"/>
        </w:rPr>
        <w:t xml:space="preserve">moed en betrouwbaarheid ontwikkelt. Mensen die de praktijk kennen en kunnen beoordelen, zogenaamde oordeelkundigen, zouden deze praktijken kunnen toetsen. Dit zou vorm kunnen krijgen in een ethische commissie. </w:t>
      </w:r>
    </w:p>
    <w:tbl>
      <w:tblPr>
        <w:tblStyle w:val="Tabelraster"/>
        <w:tblW w:w="9209" w:type="dxa"/>
        <w:tblLook w:val="04A0" w:firstRow="1" w:lastRow="0" w:firstColumn="1" w:lastColumn="0" w:noHBand="0" w:noVBand="1"/>
      </w:tblPr>
      <w:tblGrid>
        <w:gridCol w:w="2141"/>
        <w:gridCol w:w="7068"/>
      </w:tblGrid>
      <w:tr w:rsidR="00275467" w:rsidRPr="00E958F4" w14:paraId="5095381F" w14:textId="77777777" w:rsidTr="009D4480">
        <w:tc>
          <w:tcPr>
            <w:tcW w:w="2141" w:type="dxa"/>
          </w:tcPr>
          <w:p w14:paraId="1FC66F20" w14:textId="77777777" w:rsidR="00E958F4" w:rsidRPr="00A76E2A" w:rsidRDefault="00E958F4" w:rsidP="009D4480">
            <w:pPr>
              <w:spacing w:line="360" w:lineRule="auto"/>
              <w:jc w:val="both"/>
              <w:rPr>
                <w:rFonts w:ascii="Corbel" w:eastAsia="Tahoma" w:hAnsi="Corbel" w:cs="Tahoma"/>
                <w:color w:val="FF0000"/>
                <w:sz w:val="20"/>
              </w:rPr>
            </w:pPr>
            <w:r w:rsidRPr="00A76E2A">
              <w:rPr>
                <w:rFonts w:ascii="Corbel" w:eastAsia="Tahoma" w:hAnsi="Corbel" w:cs="Tahoma"/>
                <w:i/>
                <w:color w:val="000000" w:themeColor="text1"/>
                <w:sz w:val="20"/>
              </w:rPr>
              <w:t>Logica</w:t>
            </w:r>
          </w:p>
        </w:tc>
        <w:tc>
          <w:tcPr>
            <w:tcW w:w="7068" w:type="dxa"/>
          </w:tcPr>
          <w:p w14:paraId="1AA1E9DB" w14:textId="7AB3B723" w:rsidR="00E958F4" w:rsidRPr="00A76E2A" w:rsidRDefault="00E958F4" w:rsidP="00275467">
            <w:pPr>
              <w:spacing w:line="360" w:lineRule="auto"/>
              <w:jc w:val="both"/>
              <w:rPr>
                <w:rFonts w:ascii="Corbel" w:eastAsia="Tahoma" w:hAnsi="Corbel" w:cs="Tahoma"/>
                <w:color w:val="FF0000"/>
                <w:sz w:val="20"/>
              </w:rPr>
            </w:pPr>
            <w:r w:rsidRPr="00A76E2A">
              <w:rPr>
                <w:rFonts w:ascii="Corbel" w:eastAsia="Tahoma" w:hAnsi="Corbel" w:cs="Tahoma"/>
                <w:color w:val="000000" w:themeColor="text1"/>
                <w:sz w:val="20"/>
              </w:rPr>
              <w:t xml:space="preserve">Deugdzaam handelen binnen een concrete praktijk. </w:t>
            </w:r>
            <w:r w:rsidR="00275467" w:rsidRPr="00A76E2A">
              <w:rPr>
                <w:rFonts w:ascii="Corbel" w:eastAsia="Tahoma" w:hAnsi="Corbel" w:cs="Tahoma"/>
                <w:color w:val="000000" w:themeColor="text1"/>
                <w:sz w:val="20"/>
              </w:rPr>
              <w:t xml:space="preserve">Dit is wat centraal staat bij de deugdethiek. We zien dit terug in de casus: de praktijk van de gezondheidszorg en economie moeten beschermd worden. </w:t>
            </w:r>
          </w:p>
        </w:tc>
      </w:tr>
      <w:tr w:rsidR="00147A96" w:rsidRPr="00E958F4" w14:paraId="6F63FBE5" w14:textId="77777777" w:rsidTr="009D4480">
        <w:tc>
          <w:tcPr>
            <w:tcW w:w="2141" w:type="dxa"/>
          </w:tcPr>
          <w:p w14:paraId="0796D4A2" w14:textId="77777777" w:rsidR="00E958F4" w:rsidRPr="00A76E2A" w:rsidRDefault="00E958F4" w:rsidP="009D4480">
            <w:pPr>
              <w:spacing w:line="360" w:lineRule="auto"/>
              <w:jc w:val="both"/>
              <w:rPr>
                <w:rFonts w:ascii="Corbel" w:eastAsia="Tahoma" w:hAnsi="Corbel" w:cs="Tahoma"/>
                <w:color w:val="000000" w:themeColor="text1"/>
                <w:sz w:val="20"/>
              </w:rPr>
            </w:pPr>
            <w:r w:rsidRPr="00A76E2A">
              <w:rPr>
                <w:rFonts w:ascii="Corbel" w:eastAsia="Tahoma" w:hAnsi="Corbel" w:cs="Tahoma"/>
                <w:i/>
                <w:color w:val="000000" w:themeColor="text1"/>
                <w:sz w:val="20"/>
              </w:rPr>
              <w:t>Focus (waar kijkt de theorie naar?)</w:t>
            </w:r>
          </w:p>
        </w:tc>
        <w:tc>
          <w:tcPr>
            <w:tcW w:w="7068" w:type="dxa"/>
          </w:tcPr>
          <w:p w14:paraId="4067F663" w14:textId="7D7EAA9B" w:rsidR="00147A96" w:rsidRPr="00A76E2A" w:rsidRDefault="00E958F4" w:rsidP="00147A96">
            <w:pPr>
              <w:spacing w:line="360" w:lineRule="auto"/>
              <w:jc w:val="both"/>
              <w:rPr>
                <w:rFonts w:ascii="Corbel" w:eastAsia="Tahoma" w:hAnsi="Corbel" w:cs="Tahoma"/>
                <w:color w:val="000000" w:themeColor="text1"/>
                <w:sz w:val="20"/>
              </w:rPr>
            </w:pPr>
            <w:r w:rsidRPr="00A76E2A">
              <w:rPr>
                <w:rFonts w:ascii="Corbel" w:eastAsia="Tahoma" w:hAnsi="Corbel" w:cs="Tahoma"/>
                <w:color w:val="000000" w:themeColor="text1"/>
                <w:sz w:val="20"/>
              </w:rPr>
              <w:t>Kwaliteit is expliciet niet terug te brengen onder een noemer (vgl. Utilisme en deontologie). De waardering is incommensurabel (gemeensc</w:t>
            </w:r>
            <w:r w:rsidR="00147A96" w:rsidRPr="00A76E2A">
              <w:rPr>
                <w:rFonts w:ascii="Corbel" w:eastAsia="Tahoma" w:hAnsi="Corbel" w:cs="Tahoma"/>
                <w:color w:val="000000" w:themeColor="text1"/>
                <w:sz w:val="20"/>
              </w:rPr>
              <w:t xml:space="preserve">happelijke meetlat is afwezig). Zo luidde de beschrijving eerder in dit hoofdstuk. In de risicocatalogus zien we dat er harde drempels en </w:t>
            </w:r>
            <w:proofErr w:type="spellStart"/>
            <w:r w:rsidR="00147A96" w:rsidRPr="00A76E2A">
              <w:rPr>
                <w:rFonts w:ascii="Corbel" w:eastAsia="Tahoma" w:hAnsi="Corbel" w:cs="Tahoma"/>
                <w:color w:val="000000" w:themeColor="text1"/>
                <w:sz w:val="20"/>
              </w:rPr>
              <w:t>overschrijdingsniveau’s</w:t>
            </w:r>
            <w:proofErr w:type="spellEnd"/>
            <w:r w:rsidR="00147A96" w:rsidRPr="00A76E2A">
              <w:rPr>
                <w:rFonts w:ascii="Corbel" w:eastAsia="Tahoma" w:hAnsi="Corbel" w:cs="Tahoma"/>
                <w:color w:val="000000" w:themeColor="text1"/>
                <w:sz w:val="20"/>
              </w:rPr>
              <w:t xml:space="preserve"> zijn afgesproken. De kwaliteit van de praktijk lijkt dus wel onder te brengen onder een noemer. </w:t>
            </w:r>
          </w:p>
        </w:tc>
      </w:tr>
      <w:tr w:rsidR="00E958F4" w:rsidRPr="00E958F4" w14:paraId="22787009" w14:textId="77777777" w:rsidTr="009D4480">
        <w:tc>
          <w:tcPr>
            <w:tcW w:w="2141" w:type="dxa"/>
          </w:tcPr>
          <w:p w14:paraId="69C3686A" w14:textId="77777777" w:rsidR="00E958F4" w:rsidRPr="00A76E2A" w:rsidRDefault="00E958F4" w:rsidP="009D4480">
            <w:pPr>
              <w:spacing w:line="360" w:lineRule="auto"/>
              <w:jc w:val="both"/>
              <w:rPr>
                <w:rFonts w:ascii="Corbel" w:eastAsia="Tahoma" w:hAnsi="Corbel" w:cs="Tahoma"/>
                <w:color w:val="000000" w:themeColor="text1"/>
                <w:sz w:val="20"/>
              </w:rPr>
            </w:pPr>
            <w:r w:rsidRPr="00A76E2A">
              <w:rPr>
                <w:rFonts w:ascii="Corbel" w:eastAsia="Tahoma" w:hAnsi="Corbel" w:cs="Tahoma"/>
                <w:i/>
                <w:color w:val="000000" w:themeColor="text1"/>
                <w:sz w:val="20"/>
              </w:rPr>
              <w:t>Benadering (rationaliseringswijze)</w:t>
            </w:r>
          </w:p>
        </w:tc>
        <w:tc>
          <w:tcPr>
            <w:tcW w:w="7068" w:type="dxa"/>
          </w:tcPr>
          <w:p w14:paraId="08899DD3" w14:textId="34565BE8" w:rsidR="00E958F4" w:rsidRPr="00A76E2A" w:rsidRDefault="00F51C3D" w:rsidP="009D4480">
            <w:pPr>
              <w:spacing w:line="360" w:lineRule="auto"/>
              <w:jc w:val="both"/>
              <w:rPr>
                <w:rFonts w:ascii="Corbel" w:eastAsia="Tahoma" w:hAnsi="Corbel" w:cs="Tahoma"/>
                <w:color w:val="FF0000"/>
                <w:sz w:val="20"/>
              </w:rPr>
            </w:pPr>
            <w:r w:rsidRPr="00A76E2A">
              <w:rPr>
                <w:rFonts w:ascii="Corbel" w:eastAsia="Tahoma" w:hAnsi="Corbel" w:cs="Tahoma"/>
                <w:color w:val="000000" w:themeColor="text1"/>
                <w:sz w:val="20"/>
              </w:rPr>
              <w:t xml:space="preserve">Bij de deugdethiek zijn er twee benaderingen mogelijk. </w:t>
            </w:r>
            <w:r w:rsidR="00E958F4" w:rsidRPr="00A76E2A">
              <w:rPr>
                <w:rFonts w:ascii="Corbel" w:eastAsia="Tahoma" w:hAnsi="Corbel" w:cs="Tahoma"/>
                <w:color w:val="000000" w:themeColor="text1"/>
                <w:sz w:val="20"/>
              </w:rPr>
              <w:t>Hebben bepaalde mensen bepaalde deugden in voldoende mate (je kijkt naar actoren)? Of je probeert te participeren en daarmee te ontdekken of de kwaliteit gehaald wordt in de praktijk (je kijkt naar het proces) (een insider perspectief).</w:t>
            </w:r>
            <w:r w:rsidRPr="00A76E2A">
              <w:rPr>
                <w:rFonts w:ascii="Corbel" w:eastAsia="Tahoma" w:hAnsi="Corbel" w:cs="Tahoma"/>
                <w:color w:val="000000" w:themeColor="text1"/>
                <w:sz w:val="20"/>
              </w:rPr>
              <w:t xml:space="preserve"> In deze case </w:t>
            </w:r>
            <w:r w:rsidR="00147A96" w:rsidRPr="00A76E2A">
              <w:rPr>
                <w:rFonts w:ascii="Corbel" w:eastAsia="Tahoma" w:hAnsi="Corbel" w:cs="Tahoma"/>
                <w:color w:val="000000" w:themeColor="text1"/>
                <w:sz w:val="20"/>
              </w:rPr>
              <w:t>staat het voortbestaan van de praktijk centraal</w:t>
            </w:r>
          </w:p>
        </w:tc>
      </w:tr>
      <w:tr w:rsidR="00F51C3D" w:rsidRPr="00E958F4" w14:paraId="3A9837D8" w14:textId="77777777" w:rsidTr="009D4480">
        <w:tc>
          <w:tcPr>
            <w:tcW w:w="2141" w:type="dxa"/>
          </w:tcPr>
          <w:p w14:paraId="016ECE95" w14:textId="77777777" w:rsidR="00E958F4" w:rsidRPr="00A76E2A" w:rsidRDefault="00E958F4" w:rsidP="009D4480">
            <w:pPr>
              <w:tabs>
                <w:tab w:val="left" w:pos="1166"/>
              </w:tabs>
              <w:spacing w:line="360" w:lineRule="auto"/>
              <w:jc w:val="both"/>
              <w:rPr>
                <w:rFonts w:ascii="Corbel" w:eastAsia="Tahoma" w:hAnsi="Corbel" w:cs="Tahoma"/>
                <w:color w:val="000000" w:themeColor="text1"/>
                <w:sz w:val="20"/>
              </w:rPr>
            </w:pPr>
            <w:r w:rsidRPr="00A76E2A">
              <w:rPr>
                <w:rFonts w:ascii="Corbel" w:eastAsia="Tahoma" w:hAnsi="Corbel" w:cs="Tahoma"/>
                <w:i/>
                <w:color w:val="000000" w:themeColor="text1"/>
                <w:sz w:val="20"/>
              </w:rPr>
              <w:t>Kwetsbaarheden (wat wil men beschermen?)</w:t>
            </w:r>
          </w:p>
        </w:tc>
        <w:tc>
          <w:tcPr>
            <w:tcW w:w="7068" w:type="dxa"/>
          </w:tcPr>
          <w:p w14:paraId="12F7DE48" w14:textId="0772DAFB" w:rsidR="00E958F4" w:rsidRPr="00A76E2A" w:rsidRDefault="00147A96" w:rsidP="009D4480">
            <w:pPr>
              <w:spacing w:line="360" w:lineRule="auto"/>
              <w:jc w:val="both"/>
              <w:rPr>
                <w:rFonts w:ascii="Corbel" w:eastAsia="Tahoma" w:hAnsi="Corbel" w:cs="Tahoma"/>
                <w:color w:val="000000" w:themeColor="text1"/>
                <w:sz w:val="20"/>
              </w:rPr>
            </w:pPr>
            <w:r w:rsidRPr="00A76E2A">
              <w:rPr>
                <w:rFonts w:ascii="Corbel" w:eastAsia="Tahoma" w:hAnsi="Corbel" w:cs="Tahoma"/>
                <w:color w:val="000000" w:themeColor="text1"/>
                <w:sz w:val="20"/>
              </w:rPr>
              <w:t>In deze case is het voor te stellen dat p</w:t>
            </w:r>
            <w:r w:rsidR="00E958F4" w:rsidRPr="00A76E2A">
              <w:rPr>
                <w:rFonts w:ascii="Corbel" w:eastAsia="Tahoma" w:hAnsi="Corbel" w:cs="Tahoma"/>
                <w:color w:val="000000" w:themeColor="text1"/>
                <w:sz w:val="20"/>
              </w:rPr>
              <w:t>raktijken kapotgaan door:</w:t>
            </w:r>
          </w:p>
          <w:p w14:paraId="4A1733D1" w14:textId="77777777" w:rsidR="00E958F4" w:rsidRPr="00A76E2A" w:rsidRDefault="00E958F4" w:rsidP="00E958F4">
            <w:pPr>
              <w:pStyle w:val="Lijstalinea"/>
              <w:numPr>
                <w:ilvl w:val="0"/>
                <w:numId w:val="7"/>
              </w:numPr>
              <w:spacing w:line="360" w:lineRule="auto"/>
              <w:jc w:val="both"/>
              <w:rPr>
                <w:rFonts w:ascii="Corbel" w:eastAsia="Tahoma" w:hAnsi="Corbel" w:cs="Tahoma"/>
                <w:color w:val="000000" w:themeColor="text1"/>
                <w:sz w:val="20"/>
              </w:rPr>
            </w:pPr>
            <w:r w:rsidRPr="00A76E2A">
              <w:rPr>
                <w:rFonts w:ascii="Corbel" w:eastAsia="Tahoma" w:hAnsi="Corbel" w:cs="Tahoma"/>
                <w:color w:val="000000" w:themeColor="text1"/>
                <w:sz w:val="20"/>
              </w:rPr>
              <w:t xml:space="preserve"> Onvoldoende toewijding (eigenbelang nastreven)</w:t>
            </w:r>
          </w:p>
          <w:p w14:paraId="644EB590" w14:textId="022DDBD0" w:rsidR="00F51C3D" w:rsidRPr="00A76E2A" w:rsidRDefault="00E958F4" w:rsidP="00F51C3D">
            <w:pPr>
              <w:pStyle w:val="Lijstalinea"/>
              <w:numPr>
                <w:ilvl w:val="0"/>
                <w:numId w:val="7"/>
              </w:numPr>
              <w:spacing w:line="360" w:lineRule="auto"/>
              <w:jc w:val="both"/>
              <w:rPr>
                <w:rFonts w:ascii="Corbel" w:eastAsia="Tahoma" w:hAnsi="Corbel" w:cs="Tahoma"/>
                <w:color w:val="000000" w:themeColor="text1"/>
                <w:sz w:val="20"/>
              </w:rPr>
            </w:pPr>
            <w:r w:rsidRPr="00A76E2A">
              <w:rPr>
                <w:rFonts w:ascii="Corbel" w:eastAsia="Tahoma" w:hAnsi="Corbel" w:cs="Tahoma"/>
                <w:color w:val="000000" w:themeColor="text1"/>
                <w:sz w:val="20"/>
              </w:rPr>
              <w:t>Verdwijnen deugdzaamheid</w:t>
            </w:r>
          </w:p>
        </w:tc>
      </w:tr>
      <w:tr w:rsidR="00F51C3D" w:rsidRPr="00E958F4" w14:paraId="66F5B52C" w14:textId="77777777" w:rsidTr="009D4480">
        <w:tc>
          <w:tcPr>
            <w:tcW w:w="2141" w:type="dxa"/>
          </w:tcPr>
          <w:p w14:paraId="7CA32DD6" w14:textId="77777777" w:rsidR="00E958F4" w:rsidRPr="00A76E2A" w:rsidRDefault="00E958F4" w:rsidP="009D4480">
            <w:pPr>
              <w:spacing w:line="360" w:lineRule="auto"/>
              <w:jc w:val="both"/>
              <w:rPr>
                <w:rFonts w:ascii="Corbel" w:eastAsia="Tahoma" w:hAnsi="Corbel" w:cs="Tahoma"/>
                <w:color w:val="000000" w:themeColor="text1"/>
                <w:sz w:val="20"/>
              </w:rPr>
            </w:pPr>
            <w:r w:rsidRPr="00A76E2A">
              <w:rPr>
                <w:rFonts w:ascii="Corbel" w:eastAsia="Tahoma" w:hAnsi="Corbel" w:cs="Tahoma"/>
                <w:i/>
                <w:color w:val="000000" w:themeColor="text1"/>
                <w:sz w:val="20"/>
              </w:rPr>
              <w:t>Operationalisatie (hoe zie je dat terug?)</w:t>
            </w:r>
          </w:p>
        </w:tc>
        <w:tc>
          <w:tcPr>
            <w:tcW w:w="7068" w:type="dxa"/>
          </w:tcPr>
          <w:p w14:paraId="1B2258D0" w14:textId="7D671FD6" w:rsidR="00E958F4" w:rsidRPr="00A76E2A" w:rsidRDefault="00F51C3D" w:rsidP="00E958F4">
            <w:pPr>
              <w:pStyle w:val="Lijstalinea"/>
              <w:numPr>
                <w:ilvl w:val="0"/>
                <w:numId w:val="7"/>
              </w:numPr>
              <w:spacing w:line="360" w:lineRule="auto"/>
              <w:jc w:val="both"/>
              <w:rPr>
                <w:rFonts w:ascii="Corbel" w:eastAsia="Tahoma" w:hAnsi="Corbel" w:cs="Tahoma"/>
                <w:color w:val="000000" w:themeColor="text1"/>
                <w:sz w:val="20"/>
              </w:rPr>
            </w:pPr>
            <w:r w:rsidRPr="00A76E2A">
              <w:rPr>
                <w:rFonts w:ascii="Corbel" w:eastAsia="Tahoma" w:hAnsi="Corbel" w:cs="Tahoma"/>
                <w:color w:val="000000" w:themeColor="text1"/>
                <w:sz w:val="20"/>
              </w:rPr>
              <w:t>Vertrouwen/stabiliteit economie</w:t>
            </w:r>
          </w:p>
          <w:p w14:paraId="0EFEFB27" w14:textId="23085820" w:rsidR="00E958F4" w:rsidRPr="00A76E2A" w:rsidRDefault="00E958F4" w:rsidP="00F51C3D">
            <w:pPr>
              <w:pStyle w:val="Lijstalinea"/>
              <w:numPr>
                <w:ilvl w:val="0"/>
                <w:numId w:val="7"/>
              </w:numPr>
              <w:spacing w:line="360" w:lineRule="auto"/>
              <w:jc w:val="both"/>
              <w:rPr>
                <w:rFonts w:ascii="Corbel" w:eastAsia="Tahoma" w:hAnsi="Corbel" w:cs="Tahoma"/>
                <w:color w:val="000000" w:themeColor="text1"/>
                <w:sz w:val="20"/>
              </w:rPr>
            </w:pPr>
            <w:r w:rsidRPr="00A76E2A">
              <w:rPr>
                <w:rFonts w:ascii="Corbel" w:eastAsia="Tahoma" w:hAnsi="Corbel" w:cs="Tahoma"/>
                <w:color w:val="000000" w:themeColor="text1"/>
                <w:sz w:val="20"/>
              </w:rPr>
              <w:t>Gemeenschap van de gezondheidszorg</w:t>
            </w:r>
          </w:p>
        </w:tc>
      </w:tr>
      <w:tr w:rsidR="00E958F4" w:rsidRPr="00E958F4" w14:paraId="7406EA05" w14:textId="77777777" w:rsidTr="009D4480">
        <w:tc>
          <w:tcPr>
            <w:tcW w:w="2141" w:type="dxa"/>
          </w:tcPr>
          <w:p w14:paraId="7B34470D" w14:textId="77777777" w:rsidR="00E958F4" w:rsidRPr="00A76E2A" w:rsidRDefault="00E958F4" w:rsidP="009D4480">
            <w:pPr>
              <w:spacing w:line="360" w:lineRule="auto"/>
              <w:jc w:val="both"/>
              <w:rPr>
                <w:rFonts w:ascii="Corbel" w:eastAsia="Tahoma" w:hAnsi="Corbel" w:cs="Tahoma"/>
                <w:i/>
                <w:color w:val="000000" w:themeColor="text1"/>
                <w:sz w:val="20"/>
              </w:rPr>
            </w:pPr>
            <w:r w:rsidRPr="00A76E2A">
              <w:rPr>
                <w:rFonts w:ascii="Corbel" w:eastAsia="Tahoma" w:hAnsi="Corbel" w:cs="Tahoma"/>
                <w:i/>
                <w:color w:val="000000" w:themeColor="text1"/>
                <w:sz w:val="20"/>
              </w:rPr>
              <w:t>Gremium</w:t>
            </w:r>
          </w:p>
        </w:tc>
        <w:tc>
          <w:tcPr>
            <w:tcW w:w="7068" w:type="dxa"/>
          </w:tcPr>
          <w:p w14:paraId="1F96B769" w14:textId="77777777" w:rsidR="00E958F4" w:rsidRPr="00A76E2A" w:rsidRDefault="00E958F4" w:rsidP="009D4480">
            <w:pPr>
              <w:spacing w:line="360" w:lineRule="auto"/>
              <w:jc w:val="both"/>
              <w:rPr>
                <w:rFonts w:ascii="Corbel" w:eastAsia="Tahoma" w:hAnsi="Corbel" w:cs="Tahoma"/>
                <w:color w:val="000000" w:themeColor="text1"/>
                <w:sz w:val="20"/>
              </w:rPr>
            </w:pPr>
            <w:r w:rsidRPr="00A76E2A">
              <w:rPr>
                <w:rFonts w:ascii="Corbel" w:eastAsia="Tahoma" w:hAnsi="Corbel" w:cs="Tahoma"/>
                <w:color w:val="000000" w:themeColor="text1"/>
                <w:sz w:val="20"/>
              </w:rPr>
              <w:t>Oordeelkundigen, mensen die de praktijk kennen en beoordelen, bijvoorbeeld een ethische commissie.</w:t>
            </w:r>
          </w:p>
        </w:tc>
      </w:tr>
    </w:tbl>
    <w:p w14:paraId="5AD8D5C6" w14:textId="77777777" w:rsidR="00E958F4" w:rsidRPr="00371492" w:rsidRDefault="00E958F4" w:rsidP="006D414B">
      <w:pPr>
        <w:spacing w:line="360" w:lineRule="auto"/>
        <w:ind w:firstLine="709"/>
        <w:jc w:val="both"/>
        <w:rPr>
          <w:rFonts w:ascii="Corbel" w:hAnsi="Corbel"/>
          <w:sz w:val="20"/>
          <w:szCs w:val="20"/>
        </w:rPr>
      </w:pPr>
    </w:p>
    <w:p w14:paraId="1E614032" w14:textId="77777777" w:rsidR="0094026F" w:rsidRPr="00371492" w:rsidRDefault="0094026F" w:rsidP="0094026F">
      <w:pPr>
        <w:spacing w:line="360" w:lineRule="auto"/>
        <w:rPr>
          <w:rFonts w:ascii="Corbel" w:hAnsi="Corbel"/>
          <w:sz w:val="20"/>
          <w:szCs w:val="20"/>
        </w:rPr>
      </w:pPr>
    </w:p>
    <w:p w14:paraId="5EDB133F" w14:textId="03A9BF31" w:rsidR="002A42AA" w:rsidRPr="00371492" w:rsidRDefault="002A42AA" w:rsidP="00510131">
      <w:pPr>
        <w:pStyle w:val="Stijl2"/>
      </w:pPr>
      <w:bookmarkStart w:id="48" w:name="_Toc485990888"/>
      <w:r w:rsidRPr="00371492">
        <w:t>Deelconclusie</w:t>
      </w:r>
      <w:bookmarkEnd w:id="48"/>
    </w:p>
    <w:p w14:paraId="157E4AD4" w14:textId="7677E990" w:rsidR="002A42AA" w:rsidRPr="00371492" w:rsidRDefault="00134E79" w:rsidP="00EA7732">
      <w:pPr>
        <w:spacing w:line="360" w:lineRule="auto"/>
        <w:jc w:val="both"/>
        <w:rPr>
          <w:rFonts w:ascii="Corbel" w:hAnsi="Corbel"/>
          <w:sz w:val="20"/>
          <w:szCs w:val="20"/>
        </w:rPr>
      </w:pPr>
      <w:r w:rsidRPr="00371492">
        <w:rPr>
          <w:rFonts w:ascii="Corbel" w:hAnsi="Corbel"/>
          <w:sz w:val="20"/>
          <w:szCs w:val="20"/>
        </w:rPr>
        <w:t xml:space="preserve">De analyse van het risico ‘stank en overlast door luchtvaart’ laat een ander beeld zien dan de eerste case. Wat valt op als we naar deze case kijken? zal gebruik gemaakt worden van een driedeling in kleuren: </w:t>
      </w:r>
      <w:r w:rsidRPr="00371492">
        <w:rPr>
          <w:rFonts w:ascii="Corbel" w:hAnsi="Corbel"/>
          <w:b/>
          <w:color w:val="70AD47" w:themeColor="accent6"/>
          <w:sz w:val="20"/>
          <w:szCs w:val="20"/>
        </w:rPr>
        <w:t>[expliciet aanwezig</w:t>
      </w:r>
      <w:proofErr w:type="gramStart"/>
      <w:r w:rsidRPr="00371492">
        <w:rPr>
          <w:rFonts w:ascii="Corbel" w:hAnsi="Corbel"/>
          <w:b/>
          <w:color w:val="70AD47" w:themeColor="accent6"/>
          <w:sz w:val="20"/>
          <w:szCs w:val="20"/>
        </w:rPr>
        <w:t xml:space="preserve">] </w:t>
      </w:r>
      <w:r w:rsidRPr="00371492">
        <w:rPr>
          <w:rFonts w:ascii="Corbel" w:hAnsi="Corbel"/>
          <w:b/>
          <w:sz w:val="20"/>
          <w:szCs w:val="20"/>
        </w:rPr>
        <w:t>/</w:t>
      </w:r>
      <w:proofErr w:type="gramEnd"/>
      <w:r w:rsidRPr="00371492">
        <w:rPr>
          <w:rFonts w:ascii="Corbel" w:hAnsi="Corbel"/>
          <w:b/>
          <w:sz w:val="20"/>
          <w:szCs w:val="20"/>
        </w:rPr>
        <w:t xml:space="preserve"> </w:t>
      </w:r>
      <w:r w:rsidRPr="00371492">
        <w:rPr>
          <w:rFonts w:ascii="Corbel" w:hAnsi="Corbel"/>
          <w:b/>
          <w:color w:val="ED7D31" w:themeColor="accent2"/>
          <w:sz w:val="20"/>
          <w:szCs w:val="20"/>
        </w:rPr>
        <w:t xml:space="preserve">[impliciet aanwezig] </w:t>
      </w:r>
      <w:r w:rsidRPr="00371492">
        <w:rPr>
          <w:rFonts w:ascii="Corbel" w:hAnsi="Corbel"/>
          <w:b/>
          <w:sz w:val="20"/>
          <w:szCs w:val="20"/>
        </w:rPr>
        <w:t xml:space="preserve">/ </w:t>
      </w:r>
      <w:r w:rsidRPr="00371492">
        <w:rPr>
          <w:rFonts w:ascii="Corbel" w:hAnsi="Corbel"/>
          <w:b/>
          <w:color w:val="C00000"/>
          <w:sz w:val="20"/>
          <w:szCs w:val="20"/>
        </w:rPr>
        <w:t>[afwezig maar mogelijk]</w:t>
      </w:r>
      <w:r w:rsidRPr="00371492">
        <w:rPr>
          <w:rFonts w:ascii="Corbel" w:hAnsi="Corbel"/>
          <w:sz w:val="20"/>
          <w:szCs w:val="20"/>
        </w:rPr>
        <w:t>.</w:t>
      </w:r>
      <w:r w:rsidR="002A42AA" w:rsidRPr="00371492">
        <w:rPr>
          <w:rFonts w:ascii="Corbel" w:hAnsi="Corbel"/>
          <w:sz w:val="20"/>
          <w:szCs w:val="20"/>
        </w:rPr>
        <w:t xml:space="preserve"> </w:t>
      </w:r>
    </w:p>
    <w:p w14:paraId="12401318" w14:textId="21E5B837" w:rsidR="00BD6A12" w:rsidRPr="00371492" w:rsidRDefault="00BD6A12" w:rsidP="00EA7732">
      <w:pPr>
        <w:spacing w:line="360" w:lineRule="auto"/>
        <w:jc w:val="both"/>
        <w:rPr>
          <w:rFonts w:ascii="Corbel" w:hAnsi="Corbel"/>
          <w:color w:val="000000" w:themeColor="text1"/>
          <w:sz w:val="20"/>
          <w:szCs w:val="20"/>
        </w:rPr>
      </w:pPr>
      <w:r w:rsidRPr="00371492">
        <w:rPr>
          <w:rFonts w:ascii="Corbel" w:hAnsi="Corbel"/>
          <w:sz w:val="20"/>
          <w:szCs w:val="20"/>
        </w:rPr>
        <w:tab/>
      </w:r>
      <w:r w:rsidR="00256984" w:rsidRPr="00371492">
        <w:rPr>
          <w:rFonts w:ascii="Corbel" w:hAnsi="Corbel"/>
          <w:sz w:val="20"/>
          <w:szCs w:val="20"/>
        </w:rPr>
        <w:t xml:space="preserve">‘Gezondheid’ en ‘economie’ zijn de twee centrale perspectieven in de bespreking van het risico in de risicocatalogus. </w:t>
      </w:r>
      <w:r w:rsidR="00A714DB" w:rsidRPr="00371492">
        <w:rPr>
          <w:rFonts w:ascii="Corbel" w:hAnsi="Corbel"/>
          <w:sz w:val="20"/>
          <w:szCs w:val="20"/>
        </w:rPr>
        <w:t xml:space="preserve">Via de beide perspectieven wordt het risico uiteengezet in utilistische termen. </w:t>
      </w:r>
      <w:r w:rsidR="00092CF2" w:rsidRPr="00371492">
        <w:rPr>
          <w:rFonts w:ascii="Corbel" w:hAnsi="Corbel"/>
          <w:sz w:val="20"/>
          <w:szCs w:val="20"/>
        </w:rPr>
        <w:t>Door middel van kwantificering is de grootte van het risico vormgegeven in een schadebedrag</w:t>
      </w:r>
      <w:r w:rsidR="00B013ED" w:rsidRPr="00371492">
        <w:rPr>
          <w:rFonts w:ascii="Corbel" w:hAnsi="Corbel"/>
          <w:sz w:val="20"/>
          <w:szCs w:val="20"/>
        </w:rPr>
        <w:t xml:space="preserve"> in euro’s. </w:t>
      </w:r>
      <w:r w:rsidR="00B013ED" w:rsidRPr="00371492">
        <w:rPr>
          <w:rFonts w:ascii="Corbel" w:hAnsi="Corbel"/>
          <w:color w:val="70AD47" w:themeColor="accent6"/>
          <w:sz w:val="20"/>
          <w:szCs w:val="20"/>
        </w:rPr>
        <w:t xml:space="preserve">De utilistische logica is dus expliciet aanwezig. </w:t>
      </w:r>
      <w:r w:rsidR="00620530" w:rsidRPr="00371492">
        <w:rPr>
          <w:rFonts w:ascii="Corbel" w:hAnsi="Corbel"/>
          <w:color w:val="000000" w:themeColor="text1"/>
          <w:sz w:val="20"/>
          <w:szCs w:val="20"/>
        </w:rPr>
        <w:t xml:space="preserve">Het schadebedrag is maximaal €10,5 miljoen per jaar. In de risicocatalogus wordt geen verdeling gemaakt over de twee perspectieven. Daarnaast is de berekening tot stand gekomen met enkel cijfers omtrent de luchthaven van Schiphol. </w:t>
      </w:r>
    </w:p>
    <w:p w14:paraId="0D7E5727" w14:textId="07D1B81B" w:rsidR="00EB0E2D" w:rsidRPr="00371492" w:rsidRDefault="00B1537E" w:rsidP="00EA7732">
      <w:pPr>
        <w:spacing w:line="360" w:lineRule="auto"/>
        <w:jc w:val="both"/>
        <w:rPr>
          <w:rFonts w:ascii="Corbel" w:hAnsi="Corbel"/>
          <w:color w:val="000000" w:themeColor="text1"/>
          <w:sz w:val="20"/>
          <w:szCs w:val="20"/>
        </w:rPr>
      </w:pPr>
      <w:r w:rsidRPr="00371492">
        <w:rPr>
          <w:rFonts w:ascii="Corbel" w:hAnsi="Corbel"/>
          <w:color w:val="000000" w:themeColor="text1"/>
          <w:sz w:val="20"/>
          <w:szCs w:val="20"/>
        </w:rPr>
        <w:lastRenderedPageBreak/>
        <w:tab/>
      </w:r>
      <w:r w:rsidRPr="00371492">
        <w:rPr>
          <w:rFonts w:ascii="Corbel" w:hAnsi="Corbel"/>
          <w:color w:val="FF0000"/>
          <w:sz w:val="20"/>
          <w:szCs w:val="20"/>
        </w:rPr>
        <w:t xml:space="preserve">Aanvullende deontologische argumentatie is mogelijk, maar nu nog afwezig. </w:t>
      </w:r>
      <w:r w:rsidR="0014750C" w:rsidRPr="00371492">
        <w:rPr>
          <w:rFonts w:ascii="Corbel" w:hAnsi="Corbel"/>
          <w:color w:val="000000" w:themeColor="text1"/>
          <w:sz w:val="20"/>
          <w:szCs w:val="20"/>
        </w:rPr>
        <w:t xml:space="preserve">De invulling hiervan kan op basis van het handhaven van principes waar iedereen mee in moet kunnen stemmen of het volgen van procedures. Het gekwantificeerde schadebedrag is hier dan niet van belang, omdat </w:t>
      </w:r>
      <w:r w:rsidR="00EB0E2D" w:rsidRPr="00371492">
        <w:rPr>
          <w:rFonts w:ascii="Corbel" w:hAnsi="Corbel"/>
          <w:color w:val="000000" w:themeColor="text1"/>
          <w:sz w:val="20"/>
          <w:szCs w:val="20"/>
        </w:rPr>
        <w:t>dit geen deel is van de onderbouwing. In deze case zou dit dus een verste</w:t>
      </w:r>
      <w:r w:rsidR="00F0440F">
        <w:rPr>
          <w:rFonts w:ascii="Corbel" w:hAnsi="Corbel"/>
          <w:color w:val="000000" w:themeColor="text1"/>
          <w:sz w:val="20"/>
          <w:szCs w:val="20"/>
        </w:rPr>
        <w:t xml:space="preserve">rking zijn van de argumentatie, alhoewel het niet met zekerheid is vast te stellen dat iedereen hier mee in zou stemmen. </w:t>
      </w:r>
      <w:r w:rsidR="0066326F">
        <w:rPr>
          <w:rFonts w:ascii="Corbel" w:hAnsi="Corbel"/>
          <w:color w:val="000000" w:themeColor="text1"/>
          <w:sz w:val="20"/>
          <w:szCs w:val="20"/>
        </w:rPr>
        <w:t>Niet elk item uit de checklist van hoofdstuk vier komt namelijk terug.</w:t>
      </w:r>
    </w:p>
    <w:p w14:paraId="183DA939" w14:textId="70906303" w:rsidR="00977C9A" w:rsidRPr="007259DE" w:rsidRDefault="008108D5" w:rsidP="007259DE">
      <w:pPr>
        <w:spacing w:line="360" w:lineRule="auto"/>
        <w:ind w:firstLine="709"/>
        <w:jc w:val="both"/>
        <w:rPr>
          <w:rFonts w:ascii="Corbel" w:hAnsi="Corbel"/>
          <w:color w:val="000000" w:themeColor="text1"/>
          <w:sz w:val="20"/>
          <w:szCs w:val="20"/>
        </w:rPr>
      </w:pPr>
      <w:r w:rsidRPr="00371492">
        <w:rPr>
          <w:rFonts w:ascii="Corbel" w:hAnsi="Corbel"/>
          <w:color w:val="FF0000"/>
          <w:sz w:val="20"/>
          <w:szCs w:val="20"/>
        </w:rPr>
        <w:t xml:space="preserve">Ten slotte is ook deugdethische onderbouwing mogelijk, maar nu ook nog afwezig. </w:t>
      </w:r>
      <w:r w:rsidR="00D517B7" w:rsidRPr="00371492">
        <w:rPr>
          <w:rFonts w:ascii="Corbel" w:hAnsi="Corbel"/>
          <w:color w:val="000000" w:themeColor="text1"/>
          <w:sz w:val="20"/>
          <w:szCs w:val="20"/>
        </w:rPr>
        <w:t xml:space="preserve">De twee perspectieven waarop het risico betrekking heeft zijn gezondheid en economie. Deze perspectieven zouden als praktijken opgevat kunnen worden. De deugdethiek kan als basis dienen om een onderbouwing te geven waarom het belangrijk is om kwaliteit te handhaven in deze praktijken. </w:t>
      </w:r>
      <w:r w:rsidR="00FC41E2" w:rsidRPr="00371492">
        <w:rPr>
          <w:rFonts w:ascii="Corbel" w:hAnsi="Corbel"/>
          <w:color w:val="000000" w:themeColor="text1"/>
          <w:sz w:val="20"/>
          <w:szCs w:val="20"/>
        </w:rPr>
        <w:t xml:space="preserve">De betrokkenheid in deze praktijken is essentieel voor de waardering. </w:t>
      </w:r>
      <w:r w:rsidR="007259DE">
        <w:rPr>
          <w:rFonts w:ascii="Corbel" w:hAnsi="Corbel"/>
          <w:color w:val="000000" w:themeColor="text1"/>
          <w:sz w:val="20"/>
          <w:szCs w:val="20"/>
        </w:rPr>
        <w:t xml:space="preserve">De deugdethiek vertoont, net zoals de deontologie, onderdelen die niet na te volgen zijn in deze casus. Dit komt grotendeels door de overschrijvingswaarden die zijn afgesproken. Hier kunnen harde criteria aan gesteld worden waardoor kwaliteit wel onder een noemer terug te brengen is. </w:t>
      </w:r>
      <w:r w:rsidR="00FC41E2" w:rsidRPr="00371492">
        <w:rPr>
          <w:rFonts w:ascii="Corbel" w:hAnsi="Corbel"/>
          <w:color w:val="000000" w:themeColor="text1"/>
          <w:sz w:val="20"/>
          <w:szCs w:val="20"/>
        </w:rPr>
        <w:t>Hieronder is een schematisch overzicht van de ethische argumentatie in deze casus opgenomen:</w:t>
      </w:r>
    </w:p>
    <w:tbl>
      <w:tblPr>
        <w:tblStyle w:val="Tabelraster"/>
        <w:tblpPr w:leftFromText="141" w:rightFromText="141" w:vertAnchor="text" w:horzAnchor="page" w:tblpX="3070" w:tblpY="164"/>
        <w:tblW w:w="0" w:type="auto"/>
        <w:tblLook w:val="04A0" w:firstRow="1" w:lastRow="0" w:firstColumn="1" w:lastColumn="0" w:noHBand="0" w:noVBand="1"/>
      </w:tblPr>
      <w:tblGrid>
        <w:gridCol w:w="1698"/>
        <w:gridCol w:w="4090"/>
      </w:tblGrid>
      <w:tr w:rsidR="00066FDD" w:rsidRPr="00371492" w14:paraId="2F6026E8" w14:textId="77777777" w:rsidTr="00066FDD">
        <w:tc>
          <w:tcPr>
            <w:tcW w:w="5788" w:type="dxa"/>
            <w:gridSpan w:val="2"/>
          </w:tcPr>
          <w:p w14:paraId="1F44D9B1" w14:textId="707007A8" w:rsidR="00066FDD" w:rsidRPr="00371492" w:rsidRDefault="00066FDD" w:rsidP="00066FDD">
            <w:pPr>
              <w:spacing w:line="360" w:lineRule="auto"/>
              <w:jc w:val="center"/>
              <w:rPr>
                <w:rFonts w:ascii="Corbel" w:hAnsi="Corbel"/>
                <w:i/>
                <w:color w:val="000000" w:themeColor="text1"/>
                <w:sz w:val="20"/>
                <w:szCs w:val="20"/>
              </w:rPr>
            </w:pPr>
            <w:r w:rsidRPr="00371492">
              <w:rPr>
                <w:rFonts w:ascii="Corbel" w:hAnsi="Corbel"/>
                <w:i/>
                <w:color w:val="000000" w:themeColor="text1"/>
                <w:sz w:val="20"/>
                <w:szCs w:val="20"/>
              </w:rPr>
              <w:t>Snapsho</w:t>
            </w:r>
            <w:r w:rsidR="00EA7732" w:rsidRPr="00371492">
              <w:rPr>
                <w:rFonts w:ascii="Corbel" w:hAnsi="Corbel"/>
                <w:i/>
                <w:color w:val="000000" w:themeColor="text1"/>
                <w:sz w:val="20"/>
                <w:szCs w:val="20"/>
              </w:rPr>
              <w:t>t ethische argumentatie: casus 2</w:t>
            </w:r>
          </w:p>
        </w:tc>
      </w:tr>
      <w:tr w:rsidR="00066FDD" w:rsidRPr="00371492" w14:paraId="769ADEC6" w14:textId="77777777" w:rsidTr="00066FDD">
        <w:tc>
          <w:tcPr>
            <w:tcW w:w="1698" w:type="dxa"/>
          </w:tcPr>
          <w:p w14:paraId="16C15053" w14:textId="77777777" w:rsidR="00066FDD" w:rsidRPr="00371492" w:rsidRDefault="00066FDD" w:rsidP="00066FDD">
            <w:pPr>
              <w:spacing w:line="360" w:lineRule="auto"/>
              <w:jc w:val="both"/>
              <w:rPr>
                <w:rFonts w:ascii="Corbel" w:hAnsi="Corbel"/>
                <w:b/>
                <w:color w:val="000000" w:themeColor="text1"/>
                <w:sz w:val="20"/>
                <w:szCs w:val="20"/>
              </w:rPr>
            </w:pPr>
            <w:r w:rsidRPr="00371492">
              <w:rPr>
                <w:rFonts w:ascii="Corbel" w:hAnsi="Corbel"/>
                <w:b/>
                <w:color w:val="000000" w:themeColor="text1"/>
                <w:sz w:val="20"/>
                <w:szCs w:val="20"/>
              </w:rPr>
              <w:t>Utiliteit</w:t>
            </w:r>
          </w:p>
        </w:tc>
        <w:tc>
          <w:tcPr>
            <w:tcW w:w="4090" w:type="dxa"/>
          </w:tcPr>
          <w:p w14:paraId="113342EB" w14:textId="77777777" w:rsidR="00066FDD" w:rsidRPr="00371492" w:rsidRDefault="00066FDD" w:rsidP="00066FDD">
            <w:pPr>
              <w:spacing w:line="360" w:lineRule="auto"/>
              <w:jc w:val="both"/>
              <w:rPr>
                <w:rFonts w:ascii="Corbel" w:hAnsi="Corbel"/>
                <w:b/>
                <w:color w:val="FF0000"/>
                <w:sz w:val="20"/>
                <w:szCs w:val="20"/>
              </w:rPr>
            </w:pPr>
            <w:r w:rsidRPr="00371492">
              <w:rPr>
                <w:rFonts w:ascii="Corbel" w:hAnsi="Corbel"/>
                <w:b/>
                <w:color w:val="70AD47" w:themeColor="accent6"/>
                <w:sz w:val="20"/>
                <w:szCs w:val="20"/>
              </w:rPr>
              <w:t>Expliciet aanwezig</w:t>
            </w:r>
          </w:p>
        </w:tc>
      </w:tr>
      <w:tr w:rsidR="00066FDD" w:rsidRPr="00371492" w14:paraId="69B5BB48" w14:textId="77777777" w:rsidTr="00066FDD">
        <w:tc>
          <w:tcPr>
            <w:tcW w:w="1698" w:type="dxa"/>
          </w:tcPr>
          <w:p w14:paraId="2E6154FB" w14:textId="77777777" w:rsidR="00066FDD" w:rsidRPr="00371492" w:rsidRDefault="00066FDD" w:rsidP="00066FDD">
            <w:pPr>
              <w:spacing w:line="360" w:lineRule="auto"/>
              <w:jc w:val="both"/>
              <w:rPr>
                <w:rFonts w:ascii="Corbel" w:hAnsi="Corbel"/>
                <w:b/>
                <w:color w:val="000000" w:themeColor="text1"/>
                <w:sz w:val="20"/>
                <w:szCs w:val="20"/>
              </w:rPr>
            </w:pPr>
            <w:r w:rsidRPr="00371492">
              <w:rPr>
                <w:rFonts w:ascii="Corbel" w:hAnsi="Corbel"/>
                <w:b/>
                <w:color w:val="000000" w:themeColor="text1"/>
                <w:sz w:val="20"/>
                <w:szCs w:val="20"/>
              </w:rPr>
              <w:t>Deontologie</w:t>
            </w:r>
          </w:p>
        </w:tc>
        <w:tc>
          <w:tcPr>
            <w:tcW w:w="4090" w:type="dxa"/>
          </w:tcPr>
          <w:p w14:paraId="6705EF2F" w14:textId="0159851A" w:rsidR="00066FDD" w:rsidRPr="00371492" w:rsidRDefault="00EA7732" w:rsidP="00066FDD">
            <w:pPr>
              <w:spacing w:line="360" w:lineRule="auto"/>
              <w:jc w:val="both"/>
              <w:rPr>
                <w:rFonts w:ascii="Corbel" w:hAnsi="Corbel"/>
                <w:b/>
                <w:color w:val="ED7D31" w:themeColor="accent2"/>
                <w:sz w:val="20"/>
                <w:szCs w:val="20"/>
              </w:rPr>
            </w:pPr>
            <w:r w:rsidRPr="00371492">
              <w:rPr>
                <w:rFonts w:ascii="Corbel" w:hAnsi="Corbel"/>
                <w:b/>
                <w:color w:val="C00000"/>
                <w:sz w:val="20"/>
                <w:szCs w:val="20"/>
              </w:rPr>
              <w:t>Afwezig maar mogelijk</w:t>
            </w:r>
          </w:p>
        </w:tc>
      </w:tr>
      <w:tr w:rsidR="00066FDD" w:rsidRPr="00371492" w14:paraId="00B0BC73" w14:textId="77777777" w:rsidTr="00066FDD">
        <w:trPr>
          <w:trHeight w:val="323"/>
        </w:trPr>
        <w:tc>
          <w:tcPr>
            <w:tcW w:w="1698" w:type="dxa"/>
          </w:tcPr>
          <w:p w14:paraId="7BDEB7DB" w14:textId="77777777" w:rsidR="00066FDD" w:rsidRPr="00371492" w:rsidRDefault="00066FDD" w:rsidP="00066FDD">
            <w:pPr>
              <w:spacing w:line="360" w:lineRule="auto"/>
              <w:jc w:val="both"/>
              <w:rPr>
                <w:rFonts w:ascii="Corbel" w:hAnsi="Corbel"/>
                <w:b/>
                <w:color w:val="000000" w:themeColor="text1"/>
                <w:sz w:val="20"/>
                <w:szCs w:val="20"/>
              </w:rPr>
            </w:pPr>
            <w:r w:rsidRPr="00371492">
              <w:rPr>
                <w:rFonts w:ascii="Corbel" w:hAnsi="Corbel"/>
                <w:b/>
                <w:color w:val="000000" w:themeColor="text1"/>
                <w:sz w:val="20"/>
                <w:szCs w:val="20"/>
              </w:rPr>
              <w:t>Deugdethiek</w:t>
            </w:r>
          </w:p>
        </w:tc>
        <w:tc>
          <w:tcPr>
            <w:tcW w:w="4090" w:type="dxa"/>
          </w:tcPr>
          <w:p w14:paraId="2A4052AF" w14:textId="4A559C7B" w:rsidR="00066FDD" w:rsidRPr="00371492" w:rsidRDefault="00EA7732" w:rsidP="00EA7732">
            <w:pPr>
              <w:spacing w:line="360" w:lineRule="auto"/>
              <w:jc w:val="both"/>
              <w:rPr>
                <w:rFonts w:ascii="Corbel" w:hAnsi="Corbel"/>
                <w:b/>
                <w:color w:val="000000" w:themeColor="text1"/>
                <w:sz w:val="20"/>
                <w:szCs w:val="20"/>
              </w:rPr>
            </w:pPr>
            <w:r w:rsidRPr="00371492">
              <w:rPr>
                <w:rFonts w:ascii="Corbel" w:hAnsi="Corbel"/>
                <w:b/>
                <w:color w:val="C00000"/>
                <w:sz w:val="20"/>
                <w:szCs w:val="20"/>
              </w:rPr>
              <w:t>Afwezig maar mogelijk</w:t>
            </w:r>
          </w:p>
        </w:tc>
      </w:tr>
    </w:tbl>
    <w:p w14:paraId="0CAD70E1" w14:textId="77777777" w:rsidR="00977C9A" w:rsidRPr="00371492" w:rsidRDefault="00977C9A" w:rsidP="002A42AA">
      <w:pPr>
        <w:spacing w:line="360" w:lineRule="auto"/>
        <w:jc w:val="both"/>
        <w:rPr>
          <w:rFonts w:ascii="Corbel" w:hAnsi="Corbel"/>
          <w:color w:val="000000" w:themeColor="text1"/>
          <w:sz w:val="20"/>
          <w:szCs w:val="20"/>
        </w:rPr>
      </w:pPr>
    </w:p>
    <w:p w14:paraId="15119703" w14:textId="77777777" w:rsidR="002A42AA" w:rsidRPr="00371492" w:rsidRDefault="002A42AA" w:rsidP="0094026F">
      <w:pPr>
        <w:spacing w:line="360" w:lineRule="auto"/>
        <w:rPr>
          <w:rFonts w:ascii="Corbel" w:hAnsi="Corbel"/>
          <w:sz w:val="20"/>
          <w:szCs w:val="20"/>
        </w:rPr>
      </w:pPr>
    </w:p>
    <w:p w14:paraId="30567DE4" w14:textId="77777777" w:rsidR="00977C9A" w:rsidRPr="00371492" w:rsidRDefault="00977C9A" w:rsidP="0094026F">
      <w:pPr>
        <w:spacing w:line="360" w:lineRule="auto"/>
        <w:rPr>
          <w:rFonts w:ascii="Corbel" w:hAnsi="Corbel"/>
          <w:sz w:val="20"/>
          <w:szCs w:val="20"/>
        </w:rPr>
      </w:pPr>
    </w:p>
    <w:p w14:paraId="01286787" w14:textId="77777777" w:rsidR="00977C9A" w:rsidRPr="00371492" w:rsidRDefault="00977C9A" w:rsidP="0094026F">
      <w:pPr>
        <w:spacing w:line="360" w:lineRule="auto"/>
        <w:rPr>
          <w:rFonts w:ascii="Corbel" w:hAnsi="Corbel"/>
          <w:sz w:val="20"/>
          <w:szCs w:val="20"/>
        </w:rPr>
      </w:pPr>
    </w:p>
    <w:p w14:paraId="06185567" w14:textId="77777777" w:rsidR="00977C9A" w:rsidRPr="00371492" w:rsidRDefault="00977C9A" w:rsidP="0094026F">
      <w:pPr>
        <w:spacing w:line="360" w:lineRule="auto"/>
        <w:rPr>
          <w:rFonts w:ascii="Corbel" w:hAnsi="Corbel"/>
          <w:sz w:val="20"/>
          <w:szCs w:val="20"/>
        </w:rPr>
      </w:pPr>
    </w:p>
    <w:p w14:paraId="3127FADA" w14:textId="77777777" w:rsidR="00066FDD" w:rsidRPr="00371492" w:rsidRDefault="00066FDD" w:rsidP="00066FDD"/>
    <w:p w14:paraId="67C69DAB" w14:textId="77777777" w:rsidR="00066FDD" w:rsidRPr="00371492" w:rsidRDefault="00066FDD" w:rsidP="00066FDD"/>
    <w:p w14:paraId="499B9697" w14:textId="77777777" w:rsidR="00066FDD" w:rsidRPr="00371492" w:rsidRDefault="00066FDD" w:rsidP="00066FDD"/>
    <w:p w14:paraId="70ED0727" w14:textId="173A3616" w:rsidR="00066FDD" w:rsidRPr="00371492" w:rsidRDefault="00066FDD" w:rsidP="00066FDD">
      <w:r w:rsidRPr="00371492">
        <w:br/>
      </w:r>
    </w:p>
    <w:p w14:paraId="36A3BE20" w14:textId="77777777" w:rsidR="00066FDD" w:rsidRPr="00371492" w:rsidRDefault="00066FDD" w:rsidP="00066FDD"/>
    <w:p w14:paraId="2F39A736" w14:textId="77777777" w:rsidR="00066FDD" w:rsidRPr="00371492" w:rsidRDefault="00066FDD" w:rsidP="00066FDD"/>
    <w:p w14:paraId="476E0846" w14:textId="77777777" w:rsidR="00FC41E2" w:rsidRPr="00371492" w:rsidRDefault="00FC41E2" w:rsidP="00066FDD"/>
    <w:p w14:paraId="63403F58" w14:textId="77777777" w:rsidR="00FC41E2" w:rsidRPr="00371492" w:rsidRDefault="00FC41E2" w:rsidP="00066FDD"/>
    <w:p w14:paraId="32CAEB9C" w14:textId="77777777" w:rsidR="00FC41E2" w:rsidRPr="00371492" w:rsidRDefault="00FC41E2" w:rsidP="00066FDD"/>
    <w:p w14:paraId="2DBD94F1" w14:textId="77777777" w:rsidR="00FC41E2" w:rsidRPr="00371492" w:rsidRDefault="00FC41E2" w:rsidP="00066FDD"/>
    <w:p w14:paraId="5D07B026" w14:textId="77777777" w:rsidR="00FC41E2" w:rsidRPr="00371492" w:rsidRDefault="00FC41E2" w:rsidP="00066FDD"/>
    <w:p w14:paraId="0AFD9067" w14:textId="77777777" w:rsidR="00FC41E2" w:rsidRPr="00371492" w:rsidRDefault="00FC41E2" w:rsidP="00066FDD"/>
    <w:p w14:paraId="3C9976CA" w14:textId="77777777" w:rsidR="00FC41E2" w:rsidRPr="00371492" w:rsidRDefault="00FC41E2" w:rsidP="00066FDD"/>
    <w:p w14:paraId="666F0623" w14:textId="77777777" w:rsidR="00FC41E2" w:rsidRPr="00371492" w:rsidRDefault="00FC41E2" w:rsidP="00066FDD"/>
    <w:p w14:paraId="4C4B55FD" w14:textId="77777777" w:rsidR="00FC41E2" w:rsidRPr="00371492" w:rsidRDefault="00FC41E2" w:rsidP="00066FDD"/>
    <w:p w14:paraId="012EAC9F" w14:textId="77777777" w:rsidR="00FC41E2" w:rsidRPr="00371492" w:rsidRDefault="00FC41E2" w:rsidP="00066FDD"/>
    <w:p w14:paraId="76A0FDD7" w14:textId="77777777" w:rsidR="00FC41E2" w:rsidRPr="00371492" w:rsidRDefault="00FC41E2" w:rsidP="00066FDD"/>
    <w:p w14:paraId="19371626" w14:textId="77777777" w:rsidR="00FC41E2" w:rsidRPr="00371492" w:rsidRDefault="00FC41E2" w:rsidP="00066FDD"/>
    <w:p w14:paraId="7F440595" w14:textId="77777777" w:rsidR="00FC41E2" w:rsidRPr="00371492" w:rsidRDefault="00FC41E2" w:rsidP="00066FDD"/>
    <w:p w14:paraId="13E87AC9" w14:textId="1ACA86AE" w:rsidR="0084169A" w:rsidRPr="00371492" w:rsidRDefault="0084169A" w:rsidP="00510131">
      <w:pPr>
        <w:pStyle w:val="Stijl2"/>
        <w:numPr>
          <w:ilvl w:val="1"/>
          <w:numId w:val="21"/>
        </w:numPr>
      </w:pPr>
      <w:bookmarkStart w:id="49" w:name="_Toc485990889"/>
      <w:r w:rsidRPr="00371492">
        <w:lastRenderedPageBreak/>
        <w:t xml:space="preserve">Casus 3: </w:t>
      </w:r>
      <w:r w:rsidR="008D436D" w:rsidRPr="00371492">
        <w:t>‘o</w:t>
      </w:r>
      <w:r w:rsidR="000D3A52" w:rsidRPr="00371492">
        <w:t>ngewenste verspreiding genetisch gemanipuleerde organismen (</w:t>
      </w:r>
      <w:proofErr w:type="spellStart"/>
      <w:r w:rsidR="000D3A52" w:rsidRPr="00371492">
        <w:t>GGO’s</w:t>
      </w:r>
      <w:proofErr w:type="spellEnd"/>
      <w:r w:rsidR="000D3A52" w:rsidRPr="00371492">
        <w:t>)</w:t>
      </w:r>
      <w:r w:rsidR="008D436D" w:rsidRPr="00371492">
        <w:t>’</w:t>
      </w:r>
      <w:bookmarkEnd w:id="49"/>
    </w:p>
    <w:p w14:paraId="58BB2279" w14:textId="16E5D9E0" w:rsidR="0062527E" w:rsidRPr="00371492" w:rsidRDefault="00BD04AB" w:rsidP="0062527E">
      <w:pPr>
        <w:spacing w:line="360" w:lineRule="auto"/>
        <w:jc w:val="both"/>
        <w:rPr>
          <w:rFonts w:ascii="Corbel" w:hAnsi="Corbel"/>
          <w:color w:val="000000" w:themeColor="text1"/>
          <w:sz w:val="20"/>
          <w:szCs w:val="20"/>
        </w:rPr>
      </w:pPr>
      <w:r w:rsidRPr="00371492">
        <w:rPr>
          <w:rFonts w:ascii="Corbel" w:hAnsi="Corbel"/>
          <w:sz w:val="20"/>
          <w:szCs w:val="20"/>
        </w:rPr>
        <w:t xml:space="preserve">Ongewenste verspreiding </w:t>
      </w:r>
      <w:r w:rsidR="00665586" w:rsidRPr="00371492">
        <w:rPr>
          <w:rFonts w:ascii="Corbel" w:hAnsi="Corbel"/>
          <w:sz w:val="20"/>
          <w:szCs w:val="20"/>
        </w:rPr>
        <w:t xml:space="preserve">van </w:t>
      </w:r>
      <w:r w:rsidRPr="00371492">
        <w:rPr>
          <w:rFonts w:ascii="Corbel" w:hAnsi="Corbel"/>
          <w:sz w:val="20"/>
          <w:szCs w:val="20"/>
        </w:rPr>
        <w:t>genetisch gemanipuleerde organismen (</w:t>
      </w:r>
      <w:proofErr w:type="spellStart"/>
      <w:r w:rsidRPr="00371492">
        <w:rPr>
          <w:rFonts w:ascii="Corbel" w:hAnsi="Corbel"/>
          <w:sz w:val="20"/>
          <w:szCs w:val="20"/>
        </w:rPr>
        <w:t>GGO’s</w:t>
      </w:r>
      <w:proofErr w:type="spellEnd"/>
      <w:r w:rsidRPr="00371492">
        <w:rPr>
          <w:rFonts w:ascii="Corbel" w:hAnsi="Corbel"/>
          <w:sz w:val="20"/>
          <w:szCs w:val="20"/>
        </w:rPr>
        <w:t>) vormt de derde en laatste casus in dit onderzoek. Voor een goed begrip van deze casus zal eerst de relevante achtergrondinformatie besproken worden</w:t>
      </w:r>
      <w:r w:rsidRPr="00371492">
        <w:rPr>
          <w:rStyle w:val="Voetnootmarkering"/>
          <w:rFonts w:ascii="Corbel" w:hAnsi="Corbel"/>
          <w:sz w:val="20"/>
          <w:szCs w:val="20"/>
        </w:rPr>
        <w:footnoteReference w:id="16"/>
      </w:r>
      <w:r w:rsidRPr="00371492">
        <w:rPr>
          <w:rFonts w:ascii="Corbel" w:hAnsi="Corbel"/>
          <w:sz w:val="20"/>
          <w:szCs w:val="20"/>
        </w:rPr>
        <w:t>. Dit risico valt onder het domein ‘Afval, industrie en bedrijven’ van de ILT.</w:t>
      </w:r>
      <w:r w:rsidR="0080219E" w:rsidRPr="00371492">
        <w:rPr>
          <w:rFonts w:ascii="Corbel" w:hAnsi="Corbel"/>
          <w:sz w:val="20"/>
          <w:szCs w:val="20"/>
        </w:rPr>
        <w:t xml:space="preserve"> De omschrijving van het risico luidt als volgt: ‘schade aan het milieu en gezondheid door de ongecontroleerde verspreiding van genetisch gemodificeerde organismen’ (</w:t>
      </w:r>
      <w:r w:rsidR="0037116F">
        <w:rPr>
          <w:rFonts w:ascii="Corbel" w:hAnsi="Corbel"/>
          <w:sz w:val="20"/>
          <w:szCs w:val="20"/>
        </w:rPr>
        <w:t>ILT</w:t>
      </w:r>
      <w:r w:rsidR="0080219E" w:rsidRPr="00371492">
        <w:rPr>
          <w:rFonts w:ascii="Corbel" w:hAnsi="Corbel"/>
          <w:sz w:val="20"/>
          <w:szCs w:val="20"/>
        </w:rPr>
        <w:t xml:space="preserve">, 2017, p. 28). De getroffen populatie omvat in beginsel de gehele wereldbevolking en industrie (agrarische schade door dominant gewas). De omvang is afhankelijk van de effectschaalgrootte. Ten behoeve van het toezicht op dit risico wordt gebruik gemaakt van object- en systeemgericht toezicht. De termijn waarop het risico zich manifesteert kan zowel nu (bij ongewenste verspreiding treedt direct schade op) als later zijn (grote vrees is dat effecten onherstelbaar ingrijpen in het biologisch evenwicht). </w:t>
      </w:r>
      <w:r w:rsidR="00F03438" w:rsidRPr="00371492">
        <w:rPr>
          <w:rFonts w:ascii="Corbel" w:hAnsi="Corbel"/>
          <w:sz w:val="20"/>
          <w:szCs w:val="20"/>
        </w:rPr>
        <w:t xml:space="preserve">Het risico kan zich in Nederland maar ook buiten Nederland voordoen. Immers, de verspreiding van bijvoorbeeld een virus kan snel mondiale gevolgen </w:t>
      </w:r>
      <w:r w:rsidR="00421175" w:rsidRPr="00371492">
        <w:rPr>
          <w:rFonts w:ascii="Corbel" w:hAnsi="Corbel"/>
          <w:sz w:val="20"/>
          <w:szCs w:val="20"/>
        </w:rPr>
        <w:t>teweegbrengen</w:t>
      </w:r>
      <w:r w:rsidR="00F03438" w:rsidRPr="00371492">
        <w:rPr>
          <w:rFonts w:ascii="Corbel" w:hAnsi="Corbel"/>
          <w:sz w:val="20"/>
          <w:szCs w:val="20"/>
        </w:rPr>
        <w:t xml:space="preserve">. De schade als gevolg van dit risico omvat zowel materiële als immateriële schade. </w:t>
      </w:r>
      <w:r w:rsidR="00665586" w:rsidRPr="00371492">
        <w:rPr>
          <w:rFonts w:ascii="Corbel" w:hAnsi="Corbel"/>
          <w:sz w:val="20"/>
          <w:szCs w:val="20"/>
        </w:rPr>
        <w:t>Betrouwbare statistiek voor GGO</w:t>
      </w:r>
      <w:r w:rsidR="002D349D" w:rsidRPr="00371492">
        <w:rPr>
          <w:rFonts w:ascii="Corbel" w:hAnsi="Corbel"/>
          <w:sz w:val="20"/>
          <w:szCs w:val="20"/>
        </w:rPr>
        <w:t>-calamiteiten (ingeperkt gebruik, veldproeven, klinische trials en markttoelating) ontbreekt. Er zijn in Nederland nog geen ernstige calamiteiten geweest. Bij vergunningverlening wordt uitgegaan van verwaarloosbaar risico (max. 10</w:t>
      </w:r>
      <w:r w:rsidR="002D349D" w:rsidRPr="00371492">
        <w:rPr>
          <w:rFonts w:ascii="Corbel" w:hAnsi="Corbel"/>
          <w:sz w:val="20"/>
          <w:szCs w:val="20"/>
          <w:vertAlign w:val="superscript"/>
        </w:rPr>
        <w:t>-8</w:t>
      </w:r>
      <w:r w:rsidR="002D349D" w:rsidRPr="00371492">
        <w:rPr>
          <w:rFonts w:ascii="Corbel" w:hAnsi="Corbel"/>
          <w:sz w:val="20"/>
          <w:szCs w:val="20"/>
        </w:rPr>
        <w:t xml:space="preserve">) (kans op voorkomen van het risico is 1/100mln). Inzet is erop gericht dit gevaar absoluut te voorkomen, gezien de grote potentiële effecten. Cijfers uit het toezicht van de ILT laten zien dat zich wel incidenten voordoen (bij markttoelating blijkt bijvoorbeeld 2% van de importmaïs te zijn besmet met GGO). </w:t>
      </w:r>
      <w:r w:rsidR="00AC76AA" w:rsidRPr="00371492">
        <w:rPr>
          <w:rFonts w:ascii="Corbel" w:hAnsi="Corbel"/>
          <w:sz w:val="20"/>
          <w:szCs w:val="20"/>
        </w:rPr>
        <w:t>Vervolgens bespreekt het IBRA rapport de conclusie die getrokken wordt over frequentie, deze is namelijk zeer laag</w:t>
      </w:r>
      <w:r w:rsidR="00AC76AA" w:rsidRPr="00371492">
        <w:rPr>
          <w:rStyle w:val="Voetnootmarkering"/>
          <w:rFonts w:ascii="Corbel" w:hAnsi="Corbel"/>
          <w:sz w:val="20"/>
          <w:szCs w:val="20"/>
        </w:rPr>
        <w:footnoteReference w:id="17"/>
      </w:r>
      <w:r w:rsidR="00AC76AA" w:rsidRPr="00371492">
        <w:rPr>
          <w:rFonts w:ascii="Corbel" w:hAnsi="Corbel"/>
          <w:sz w:val="20"/>
          <w:szCs w:val="20"/>
        </w:rPr>
        <w:t>. Volgens de risicocatalogus zijn de grootheden die bepalend zijn voor dit risico</w:t>
      </w:r>
      <w:r w:rsidR="004A27D4" w:rsidRPr="00371492">
        <w:rPr>
          <w:rFonts w:ascii="Corbel" w:hAnsi="Corbel"/>
          <w:sz w:val="20"/>
          <w:szCs w:val="20"/>
        </w:rPr>
        <w:t>:</w:t>
      </w:r>
      <w:r w:rsidR="00AC76AA" w:rsidRPr="00371492">
        <w:rPr>
          <w:rFonts w:ascii="Corbel" w:hAnsi="Corbel"/>
          <w:sz w:val="20"/>
          <w:szCs w:val="20"/>
        </w:rPr>
        <w:t xml:space="preserve"> </w:t>
      </w:r>
      <w:r w:rsidR="00AC76AA" w:rsidRPr="00371492">
        <w:rPr>
          <w:rFonts w:ascii="Corbel" w:eastAsia="Times New Roman" w:hAnsi="Corbel" w:cs="Calibri"/>
          <w:sz w:val="20"/>
          <w:szCs w:val="20"/>
        </w:rPr>
        <w:t xml:space="preserve">doden, zieken, herstelschade en ecologische schade. Hier valt inderdaad het onderscheid te maken tussen materiële en immateriële schade. </w:t>
      </w:r>
      <w:r w:rsidR="005D6236" w:rsidRPr="00371492">
        <w:rPr>
          <w:rFonts w:ascii="Corbel" w:eastAsia="Times New Roman" w:hAnsi="Corbel" w:cs="Calibri"/>
          <w:sz w:val="20"/>
          <w:szCs w:val="20"/>
        </w:rPr>
        <w:t xml:space="preserve">Bij de bespreking van de effecten van het risico worden een drietal voorbeelden besproken wat de een indruk moet geven van de calamiteiten die zich zouden kunnen voordoen. Deze voorbeelden zijn: </w:t>
      </w:r>
      <w:r w:rsidR="0034392E" w:rsidRPr="00371492">
        <w:rPr>
          <w:rFonts w:ascii="Corbel" w:eastAsia="Times New Roman" w:hAnsi="Corbel" w:cs="Calibri"/>
          <w:sz w:val="20"/>
          <w:szCs w:val="20"/>
        </w:rPr>
        <w:t>Mkz-crisis</w:t>
      </w:r>
      <w:r w:rsidR="005D6236" w:rsidRPr="00371492">
        <w:rPr>
          <w:rFonts w:ascii="Corbel" w:eastAsia="Times New Roman" w:hAnsi="Corbel" w:cs="Calibri"/>
          <w:sz w:val="20"/>
          <w:szCs w:val="20"/>
        </w:rPr>
        <w:t xml:space="preserve">, SARS-uitbraak en verspreiding invasieve exoten zoals de grote waternavel (waterplant). </w:t>
      </w:r>
      <w:r w:rsidR="00DC1C0B" w:rsidRPr="00371492">
        <w:rPr>
          <w:rFonts w:ascii="Corbel" w:eastAsia="Times New Roman" w:hAnsi="Corbel" w:cs="Calibri"/>
          <w:sz w:val="20"/>
          <w:szCs w:val="20"/>
        </w:rPr>
        <w:t xml:space="preserve">De conclusie over de mogelijke effecten die dit risico heeft luidt dat er mogelijk grote gevolgen kunnen optreden, maar met een grote variatie in omvang. Schade aan gezondheid, milieu en vertrouwen in instituties is van toepassing maar er is met grote onzekerheid een getal aan te hangen. In de risicocatalogus wordt de schade van de drie voorbeelden gemiddeld en dan komt </w:t>
      </w:r>
      <w:r w:rsidR="00DC1C0B" w:rsidRPr="00371492">
        <w:rPr>
          <w:rFonts w:ascii="Corbel" w:eastAsia="Times New Roman" w:hAnsi="Corbel" w:cs="Calibri"/>
          <w:color w:val="000000" w:themeColor="text1"/>
          <w:sz w:val="20"/>
          <w:szCs w:val="20"/>
        </w:rPr>
        <w:t xml:space="preserve">er </w:t>
      </w:r>
      <w:r w:rsidR="00DC1C0B" w:rsidRPr="00371492">
        <w:rPr>
          <w:rFonts w:ascii="Corbel" w:hAnsi="Corbel"/>
          <w:color w:val="000000" w:themeColor="text1"/>
          <w:sz w:val="20"/>
          <w:szCs w:val="20"/>
        </w:rPr>
        <w:t>gemiddeld €11 miljard per case/incident uit. Wanneer dit afgezet wordt tegen de eerder berekende frequentie volgt 2500 x 10</w:t>
      </w:r>
      <w:r w:rsidR="00DC1C0B" w:rsidRPr="00371492">
        <w:rPr>
          <w:rFonts w:ascii="Corbel" w:hAnsi="Corbel"/>
          <w:color w:val="000000" w:themeColor="text1"/>
          <w:sz w:val="20"/>
          <w:szCs w:val="20"/>
          <w:vertAlign w:val="superscript"/>
        </w:rPr>
        <w:t>-8</w:t>
      </w:r>
      <w:r w:rsidR="0062527E" w:rsidRPr="00371492">
        <w:rPr>
          <w:rFonts w:ascii="Corbel" w:hAnsi="Corbel"/>
          <w:color w:val="000000" w:themeColor="text1"/>
          <w:sz w:val="20"/>
          <w:szCs w:val="20"/>
        </w:rPr>
        <w:t xml:space="preserve"> x €11 miljard = € 0,28 miljoen per jaar</w:t>
      </w:r>
      <w:r w:rsidR="00DC1C0B" w:rsidRPr="00371492">
        <w:rPr>
          <w:rFonts w:ascii="Corbel" w:hAnsi="Corbel"/>
          <w:color w:val="000000" w:themeColor="text1"/>
          <w:sz w:val="20"/>
          <w:szCs w:val="20"/>
        </w:rPr>
        <w:t>.</w:t>
      </w:r>
      <w:r w:rsidR="0062527E" w:rsidRPr="00371492">
        <w:rPr>
          <w:rFonts w:ascii="Corbel" w:hAnsi="Corbel"/>
          <w:color w:val="000000" w:themeColor="text1"/>
          <w:sz w:val="20"/>
          <w:szCs w:val="20"/>
        </w:rPr>
        <w:t xml:space="preserve"> </w:t>
      </w:r>
    </w:p>
    <w:p w14:paraId="1E26514E" w14:textId="77777777" w:rsidR="0062527E" w:rsidRPr="00371492" w:rsidRDefault="0062527E" w:rsidP="00C87FF4">
      <w:pPr>
        <w:spacing w:line="360" w:lineRule="auto"/>
        <w:ind w:firstLine="709"/>
        <w:jc w:val="both"/>
        <w:rPr>
          <w:rFonts w:ascii="Corbel" w:hAnsi="Corbel"/>
          <w:color w:val="000000" w:themeColor="text1"/>
          <w:sz w:val="20"/>
          <w:szCs w:val="20"/>
        </w:rPr>
      </w:pPr>
      <w:r w:rsidRPr="00371492">
        <w:rPr>
          <w:rFonts w:ascii="Corbel" w:hAnsi="Corbel"/>
          <w:color w:val="000000" w:themeColor="text1"/>
          <w:sz w:val="20"/>
          <w:szCs w:val="20"/>
        </w:rPr>
        <w:t xml:space="preserve">Kortom, er bestaat schade aan gezondheid, milieu en vertrouwen in instituties. Dit zijn de drie perspectieven (thema’s) waarin het risico zich manifesteert en expliciet zijn aangegeven in de risicocatalogus, welke ten grondslag ligt aan de inspectiebrede risicoanalyse van de ILT. </w:t>
      </w:r>
    </w:p>
    <w:p w14:paraId="75F8B49A" w14:textId="51D090F4" w:rsidR="00352B88" w:rsidRPr="00371492" w:rsidRDefault="00352B88" w:rsidP="00510131">
      <w:pPr>
        <w:pStyle w:val="Stijl2"/>
      </w:pPr>
      <w:bookmarkStart w:id="50" w:name="_Toc485990890"/>
      <w:r w:rsidRPr="00371492">
        <w:lastRenderedPageBreak/>
        <w:t xml:space="preserve">Ethische aspecten huidige risicoanalyse </w:t>
      </w:r>
      <w:r w:rsidR="008D436D" w:rsidRPr="00371492">
        <w:t>‘o</w:t>
      </w:r>
      <w:r w:rsidR="000D3A52" w:rsidRPr="00371492">
        <w:t>ngewenste verspreiding genetisch gemanipuleerde organismen (</w:t>
      </w:r>
      <w:proofErr w:type="spellStart"/>
      <w:r w:rsidR="000D3A52" w:rsidRPr="00371492">
        <w:t>GGO’s</w:t>
      </w:r>
      <w:proofErr w:type="spellEnd"/>
      <w:r w:rsidR="000D3A52" w:rsidRPr="00371492">
        <w:t>)</w:t>
      </w:r>
      <w:r w:rsidR="008D436D" w:rsidRPr="00371492">
        <w:t>’</w:t>
      </w:r>
      <w:bookmarkEnd w:id="50"/>
    </w:p>
    <w:p w14:paraId="61357C6B" w14:textId="77777777" w:rsidR="00EC3D37" w:rsidRPr="00371492" w:rsidRDefault="00CF47AB" w:rsidP="00340664">
      <w:pPr>
        <w:spacing w:line="360" w:lineRule="auto"/>
        <w:jc w:val="both"/>
        <w:rPr>
          <w:rFonts w:ascii="Corbel" w:hAnsi="Corbel"/>
          <w:sz w:val="20"/>
          <w:szCs w:val="20"/>
        </w:rPr>
      </w:pPr>
      <w:r w:rsidRPr="00371492">
        <w:rPr>
          <w:rFonts w:ascii="Corbel" w:hAnsi="Corbel"/>
          <w:sz w:val="20"/>
          <w:szCs w:val="20"/>
        </w:rPr>
        <w:t>In de risicocatalogus worden voor het risico ‘</w:t>
      </w:r>
      <w:r w:rsidR="00D86D71" w:rsidRPr="00371492">
        <w:rPr>
          <w:rFonts w:ascii="Corbel" w:hAnsi="Corbel"/>
          <w:sz w:val="20"/>
          <w:szCs w:val="20"/>
        </w:rPr>
        <w:t>ongewenste verspreiding genetisch gemanipuleerde organismen (</w:t>
      </w:r>
      <w:proofErr w:type="spellStart"/>
      <w:r w:rsidR="00D86D71" w:rsidRPr="00371492">
        <w:rPr>
          <w:rFonts w:ascii="Corbel" w:hAnsi="Corbel"/>
          <w:sz w:val="20"/>
          <w:szCs w:val="20"/>
        </w:rPr>
        <w:t>GGO’s</w:t>
      </w:r>
      <w:proofErr w:type="spellEnd"/>
      <w:r w:rsidR="00D86D71" w:rsidRPr="00371492">
        <w:rPr>
          <w:rFonts w:ascii="Corbel" w:hAnsi="Corbel"/>
          <w:sz w:val="20"/>
          <w:szCs w:val="20"/>
        </w:rPr>
        <w:t>)</w:t>
      </w:r>
      <w:r w:rsidRPr="00371492">
        <w:rPr>
          <w:rFonts w:ascii="Corbel" w:hAnsi="Corbel"/>
          <w:sz w:val="20"/>
          <w:szCs w:val="20"/>
        </w:rPr>
        <w:t xml:space="preserve">’ </w:t>
      </w:r>
      <w:r w:rsidR="00D86D71" w:rsidRPr="00371492">
        <w:rPr>
          <w:rFonts w:ascii="Corbel" w:hAnsi="Corbel"/>
          <w:sz w:val="20"/>
          <w:szCs w:val="20"/>
        </w:rPr>
        <w:t>twee</w:t>
      </w:r>
      <w:r w:rsidRPr="00371492">
        <w:rPr>
          <w:rFonts w:ascii="Corbel" w:hAnsi="Corbel"/>
          <w:sz w:val="20"/>
          <w:szCs w:val="20"/>
        </w:rPr>
        <w:t xml:space="preserve"> soort</w:t>
      </w:r>
      <w:r w:rsidR="00D86D71" w:rsidRPr="00371492">
        <w:rPr>
          <w:rFonts w:ascii="Corbel" w:hAnsi="Corbel"/>
          <w:sz w:val="20"/>
          <w:szCs w:val="20"/>
        </w:rPr>
        <w:t>en</w:t>
      </w:r>
      <w:r w:rsidRPr="00371492">
        <w:rPr>
          <w:rFonts w:ascii="Corbel" w:hAnsi="Corbel"/>
          <w:sz w:val="20"/>
          <w:szCs w:val="20"/>
        </w:rPr>
        <w:t xml:space="preserve"> schade benoemt: </w:t>
      </w:r>
      <w:r w:rsidR="00D86D71" w:rsidRPr="00371492">
        <w:rPr>
          <w:rFonts w:ascii="Corbel" w:hAnsi="Corbel"/>
          <w:sz w:val="20"/>
          <w:szCs w:val="20"/>
        </w:rPr>
        <w:t xml:space="preserve">materieel en </w:t>
      </w:r>
      <w:r w:rsidRPr="00371492">
        <w:rPr>
          <w:rFonts w:ascii="Corbel" w:hAnsi="Corbel"/>
          <w:sz w:val="20"/>
          <w:szCs w:val="20"/>
        </w:rPr>
        <w:t xml:space="preserve">immaterieel. </w:t>
      </w:r>
      <w:r w:rsidR="00A0350E" w:rsidRPr="00371492">
        <w:rPr>
          <w:rFonts w:ascii="Corbel" w:hAnsi="Corbel"/>
          <w:sz w:val="20"/>
          <w:szCs w:val="20"/>
        </w:rPr>
        <w:t>De perspectieven die</w:t>
      </w:r>
      <w:r w:rsidRPr="00371492">
        <w:rPr>
          <w:rFonts w:ascii="Corbel" w:hAnsi="Corbel"/>
          <w:sz w:val="20"/>
          <w:szCs w:val="20"/>
        </w:rPr>
        <w:t xml:space="preserve"> van toepassing </w:t>
      </w:r>
      <w:r w:rsidR="00A0350E" w:rsidRPr="00371492">
        <w:rPr>
          <w:rFonts w:ascii="Corbel" w:hAnsi="Corbel"/>
          <w:sz w:val="20"/>
          <w:szCs w:val="20"/>
        </w:rPr>
        <w:t>zijn</w:t>
      </w:r>
      <w:r w:rsidRPr="00371492">
        <w:rPr>
          <w:rFonts w:ascii="Corbel" w:hAnsi="Corbel"/>
          <w:sz w:val="20"/>
          <w:szCs w:val="20"/>
        </w:rPr>
        <w:t xml:space="preserve"> op dit risico</w:t>
      </w:r>
      <w:r w:rsidR="00D86D71" w:rsidRPr="00371492">
        <w:rPr>
          <w:rFonts w:ascii="Corbel" w:hAnsi="Corbel"/>
          <w:sz w:val="20"/>
          <w:szCs w:val="20"/>
        </w:rPr>
        <w:t xml:space="preserve"> volgens IBRA</w:t>
      </w:r>
      <w:r w:rsidR="00A0350E" w:rsidRPr="00371492">
        <w:rPr>
          <w:rFonts w:ascii="Corbel" w:hAnsi="Corbel"/>
          <w:sz w:val="20"/>
          <w:szCs w:val="20"/>
        </w:rPr>
        <w:t xml:space="preserve"> zijn: </w:t>
      </w:r>
      <w:r w:rsidR="00D86D71" w:rsidRPr="00371492">
        <w:rPr>
          <w:rFonts w:ascii="Corbel" w:hAnsi="Corbel"/>
          <w:i/>
          <w:sz w:val="20"/>
          <w:szCs w:val="20"/>
        </w:rPr>
        <w:t>milieu</w:t>
      </w:r>
      <w:r w:rsidR="00A0350E" w:rsidRPr="00371492">
        <w:rPr>
          <w:rFonts w:ascii="Corbel" w:hAnsi="Corbel"/>
          <w:i/>
          <w:sz w:val="20"/>
          <w:szCs w:val="20"/>
        </w:rPr>
        <w:t>, gezondheid en instituties</w:t>
      </w:r>
      <w:r w:rsidR="00D86D71" w:rsidRPr="00371492">
        <w:rPr>
          <w:rFonts w:ascii="Corbel" w:hAnsi="Corbel"/>
          <w:sz w:val="20"/>
          <w:szCs w:val="20"/>
        </w:rPr>
        <w:t>.</w:t>
      </w:r>
      <w:r w:rsidRPr="00371492">
        <w:rPr>
          <w:rFonts w:ascii="Corbel" w:hAnsi="Corbel"/>
          <w:sz w:val="20"/>
          <w:szCs w:val="20"/>
        </w:rPr>
        <w:t xml:space="preserve"> </w:t>
      </w:r>
      <w:r w:rsidR="004A27D4" w:rsidRPr="00371492">
        <w:rPr>
          <w:rFonts w:ascii="Corbel" w:hAnsi="Corbel"/>
          <w:sz w:val="20"/>
          <w:szCs w:val="20"/>
        </w:rPr>
        <w:t>Onder milieu wordt verstaan</w:t>
      </w:r>
      <w:r w:rsidR="004D2C66" w:rsidRPr="00371492">
        <w:rPr>
          <w:rFonts w:ascii="Corbel" w:hAnsi="Corbel"/>
          <w:sz w:val="20"/>
          <w:szCs w:val="20"/>
        </w:rPr>
        <w:t>: het ontstaan van schaarste door onbruikbaarheid raken of door vernietiging van middelen’</w:t>
      </w:r>
      <w:r w:rsidR="00CE5A64" w:rsidRPr="00371492">
        <w:rPr>
          <w:rFonts w:ascii="Corbel" w:hAnsi="Corbel"/>
          <w:sz w:val="20"/>
          <w:szCs w:val="20"/>
        </w:rPr>
        <w:t xml:space="preserve"> (ILT, 2017, p. 20</w:t>
      </w:r>
      <w:r w:rsidR="004D2C66" w:rsidRPr="00371492">
        <w:rPr>
          <w:rFonts w:ascii="Corbel" w:hAnsi="Corbel"/>
          <w:sz w:val="20"/>
          <w:szCs w:val="20"/>
        </w:rPr>
        <w:t>).</w:t>
      </w:r>
      <w:r w:rsidR="004A27D4" w:rsidRPr="00371492">
        <w:rPr>
          <w:rFonts w:ascii="Corbel" w:hAnsi="Corbel"/>
          <w:sz w:val="20"/>
          <w:szCs w:val="20"/>
        </w:rPr>
        <w:t xml:space="preserve"> Het gezondheidsperspectief omhelst ‘verlies van levenskwaliteit of levensduur als gevolg van blootstelling aan </w:t>
      </w:r>
      <w:proofErr w:type="spellStart"/>
      <w:r w:rsidR="004A27D4" w:rsidRPr="00371492">
        <w:rPr>
          <w:rFonts w:ascii="Corbel" w:hAnsi="Corbel"/>
          <w:sz w:val="20"/>
          <w:szCs w:val="20"/>
        </w:rPr>
        <w:t>gezondheidsbeschadigende</w:t>
      </w:r>
      <w:proofErr w:type="spellEnd"/>
      <w:r w:rsidR="004A27D4" w:rsidRPr="00371492">
        <w:rPr>
          <w:rFonts w:ascii="Corbel" w:hAnsi="Corbel"/>
          <w:sz w:val="20"/>
          <w:szCs w:val="20"/>
        </w:rPr>
        <w:t xml:space="preserve"> stoffen en straling’. </w:t>
      </w:r>
      <w:r w:rsidR="00CE5A64" w:rsidRPr="00371492">
        <w:rPr>
          <w:rFonts w:ascii="Corbel" w:hAnsi="Corbel"/>
          <w:sz w:val="20"/>
          <w:szCs w:val="20"/>
        </w:rPr>
        <w:t xml:space="preserve">Het perspectief ‘instituties’ wordt omschreven als ‘verlies aan vertrouwen in het systeem, menselijke waardigheid en eerlijkheid’ (ibid., p. 21). </w:t>
      </w:r>
      <w:r w:rsidRPr="00371492">
        <w:rPr>
          <w:rFonts w:ascii="Corbel" w:hAnsi="Corbel"/>
          <w:sz w:val="20"/>
          <w:szCs w:val="20"/>
        </w:rPr>
        <w:t xml:space="preserve">Allereerst zal er verder ingegaan worden op de ethische aspecten van deze </w:t>
      </w:r>
      <w:r w:rsidR="00CE5A64" w:rsidRPr="00371492">
        <w:rPr>
          <w:rFonts w:ascii="Corbel" w:hAnsi="Corbel"/>
          <w:sz w:val="20"/>
          <w:szCs w:val="20"/>
        </w:rPr>
        <w:t>drie</w:t>
      </w:r>
      <w:r w:rsidRPr="00371492">
        <w:rPr>
          <w:rFonts w:ascii="Corbel" w:hAnsi="Corbel"/>
          <w:sz w:val="20"/>
          <w:szCs w:val="20"/>
        </w:rPr>
        <w:t xml:space="preserve"> perspectieven. De opbouw van het risico is schematisch weergegeven:</w:t>
      </w:r>
    </w:p>
    <w:p w14:paraId="5BF2F41B" w14:textId="77777777" w:rsidR="0069038A" w:rsidRPr="00371492" w:rsidRDefault="00E25D0C" w:rsidP="0069038A">
      <w:pPr>
        <w:keepNext/>
        <w:spacing w:line="360" w:lineRule="auto"/>
        <w:ind w:firstLine="709"/>
        <w:jc w:val="both"/>
      </w:pPr>
      <w:r w:rsidRPr="00371492">
        <w:rPr>
          <w:rFonts w:ascii="Corbel" w:hAnsi="Corbel"/>
          <w:noProof/>
          <w:sz w:val="20"/>
          <w:szCs w:val="20"/>
        </w:rPr>
        <w:drawing>
          <wp:inline distT="0" distB="0" distL="0" distR="0" wp14:anchorId="7E3140E9" wp14:editId="429422C1">
            <wp:extent cx="4996815" cy="3088640"/>
            <wp:effectExtent l="0" t="0" r="6985" b="0"/>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128B847B" w14:textId="342E6EEA" w:rsidR="0069038A" w:rsidRPr="00165179" w:rsidRDefault="000C096A" w:rsidP="00340664">
      <w:pPr>
        <w:pStyle w:val="Bijschrift"/>
        <w:jc w:val="center"/>
        <w:rPr>
          <w:rFonts w:ascii="Corbel" w:hAnsi="Corbel"/>
          <w:sz w:val="20"/>
          <w:szCs w:val="20"/>
        </w:rPr>
      </w:pPr>
      <w:r w:rsidRPr="00165179">
        <w:rPr>
          <w:rFonts w:ascii="Corbel" w:hAnsi="Corbel"/>
        </w:rPr>
        <w:t>Figuur</w:t>
      </w:r>
      <w:r w:rsidR="0069038A" w:rsidRPr="00165179">
        <w:rPr>
          <w:rFonts w:ascii="Corbel" w:hAnsi="Corbel"/>
        </w:rPr>
        <w:t xml:space="preserve"> </w:t>
      </w:r>
      <w:r w:rsidR="00640E13" w:rsidRPr="00165179">
        <w:rPr>
          <w:rFonts w:ascii="Corbel" w:hAnsi="Corbel"/>
        </w:rPr>
        <w:fldChar w:fldCharType="begin"/>
      </w:r>
      <w:r w:rsidR="00640E13" w:rsidRPr="00165179">
        <w:rPr>
          <w:rFonts w:ascii="Corbel" w:hAnsi="Corbel"/>
        </w:rPr>
        <w:instrText xml:space="preserve"> SEQ Afbeelding \* ARABIC </w:instrText>
      </w:r>
      <w:r w:rsidR="00640E13" w:rsidRPr="00165179">
        <w:rPr>
          <w:rFonts w:ascii="Corbel" w:hAnsi="Corbel"/>
        </w:rPr>
        <w:fldChar w:fldCharType="separate"/>
      </w:r>
      <w:r w:rsidR="00BA122C">
        <w:rPr>
          <w:rFonts w:ascii="Corbel" w:hAnsi="Corbel"/>
          <w:noProof/>
        </w:rPr>
        <w:t>5</w:t>
      </w:r>
      <w:r w:rsidR="00640E13" w:rsidRPr="00165179">
        <w:rPr>
          <w:rFonts w:ascii="Corbel" w:hAnsi="Corbel"/>
          <w:noProof/>
        </w:rPr>
        <w:fldChar w:fldCharType="end"/>
      </w:r>
      <w:r w:rsidR="0069038A" w:rsidRPr="00165179">
        <w:rPr>
          <w:rFonts w:ascii="Corbel" w:hAnsi="Corbel"/>
        </w:rPr>
        <w:t xml:space="preserve"> - schematische weergave casus 3</w:t>
      </w:r>
    </w:p>
    <w:p w14:paraId="0D661FE7" w14:textId="44F17C4F" w:rsidR="00A105E3" w:rsidRPr="00371492" w:rsidRDefault="00677B60" w:rsidP="00566CAA">
      <w:pPr>
        <w:spacing w:line="360" w:lineRule="auto"/>
        <w:jc w:val="both"/>
        <w:rPr>
          <w:rFonts w:ascii="Corbel" w:hAnsi="Corbel"/>
          <w:sz w:val="20"/>
          <w:szCs w:val="20"/>
        </w:rPr>
      </w:pPr>
      <w:r w:rsidRPr="00371492">
        <w:rPr>
          <w:rFonts w:ascii="Corbel" w:hAnsi="Corbel"/>
          <w:sz w:val="20"/>
          <w:szCs w:val="20"/>
        </w:rPr>
        <w:t>Een analyse van de wijze</w:t>
      </w:r>
      <w:r w:rsidR="00EC3D37" w:rsidRPr="00371492">
        <w:rPr>
          <w:rFonts w:ascii="Corbel" w:hAnsi="Corbel"/>
          <w:sz w:val="20"/>
          <w:szCs w:val="20"/>
        </w:rPr>
        <w:t xml:space="preserve"> waarop het </w:t>
      </w:r>
      <w:r w:rsidRPr="00371492">
        <w:rPr>
          <w:rFonts w:ascii="Corbel" w:hAnsi="Corbel"/>
          <w:sz w:val="20"/>
          <w:szCs w:val="20"/>
        </w:rPr>
        <w:t>risico besproken in de risicocatalogus wordt laat</w:t>
      </w:r>
      <w:r w:rsidR="006C74E3" w:rsidRPr="00371492">
        <w:rPr>
          <w:rFonts w:ascii="Corbel" w:hAnsi="Corbel"/>
          <w:sz w:val="20"/>
          <w:szCs w:val="20"/>
        </w:rPr>
        <w:t xml:space="preserve"> </w:t>
      </w:r>
      <w:r w:rsidR="004B277E" w:rsidRPr="00371492">
        <w:rPr>
          <w:rFonts w:ascii="Corbel" w:hAnsi="Corbel"/>
          <w:sz w:val="20"/>
          <w:szCs w:val="20"/>
        </w:rPr>
        <w:t>logischerwijs</w:t>
      </w:r>
      <w:r w:rsidR="004B277E" w:rsidRPr="00371492">
        <w:rPr>
          <w:rStyle w:val="Voetnootmarkering"/>
          <w:rFonts w:ascii="Corbel" w:hAnsi="Corbel"/>
          <w:sz w:val="20"/>
          <w:szCs w:val="20"/>
        </w:rPr>
        <w:footnoteReference w:id="18"/>
      </w:r>
      <w:r w:rsidR="004B277E" w:rsidRPr="00371492">
        <w:rPr>
          <w:rFonts w:ascii="Corbel" w:hAnsi="Corbel"/>
          <w:sz w:val="20"/>
          <w:szCs w:val="20"/>
        </w:rPr>
        <w:t xml:space="preserve"> </w:t>
      </w:r>
      <w:r w:rsidRPr="00371492">
        <w:rPr>
          <w:rFonts w:ascii="Corbel" w:hAnsi="Corbel"/>
          <w:sz w:val="20"/>
          <w:szCs w:val="20"/>
        </w:rPr>
        <w:t xml:space="preserve">voornamelijk utilistische argumentatie zien. De grootheden die de schade bepalen zijn doden, zieken, herstelschade en ecologische schade. De conclusie over de grootte van het risico wordt uitgedrukt in een getal. </w:t>
      </w:r>
      <w:r w:rsidR="00EA1EE1" w:rsidRPr="00371492">
        <w:rPr>
          <w:rFonts w:ascii="Corbel" w:hAnsi="Corbel"/>
          <w:sz w:val="20"/>
          <w:szCs w:val="20"/>
        </w:rPr>
        <w:t xml:space="preserve">De risicosheet neemt drie voorbeelden (lokale uitbraak van een virus, ongecontroleerde mondiale uitbraak van een </w:t>
      </w:r>
      <w:r w:rsidR="00566CAA" w:rsidRPr="00371492">
        <w:rPr>
          <w:rFonts w:ascii="Corbel" w:hAnsi="Corbel"/>
          <w:sz w:val="20"/>
          <w:szCs w:val="20"/>
        </w:rPr>
        <w:t>agressief</w:t>
      </w:r>
      <w:r w:rsidR="00EA1EE1" w:rsidRPr="00371492">
        <w:rPr>
          <w:rFonts w:ascii="Corbel" w:hAnsi="Corbel"/>
          <w:sz w:val="20"/>
          <w:szCs w:val="20"/>
        </w:rPr>
        <w:t xml:space="preserve"> virus en de ongecontroleerde </w:t>
      </w:r>
      <w:r w:rsidR="00566CAA" w:rsidRPr="00371492">
        <w:rPr>
          <w:rFonts w:ascii="Corbel" w:hAnsi="Corbel"/>
          <w:sz w:val="20"/>
          <w:szCs w:val="20"/>
        </w:rPr>
        <w:t>verspreiding</w:t>
      </w:r>
      <w:r w:rsidR="00EA1EE1" w:rsidRPr="00371492">
        <w:rPr>
          <w:rFonts w:ascii="Corbel" w:hAnsi="Corbel"/>
          <w:sz w:val="20"/>
          <w:szCs w:val="20"/>
        </w:rPr>
        <w:t xml:space="preserve"> van een ongewenst gewas) om de effecten van het risico te beschrijven. Hiertoe wordt als argumentatie aangedragen dat er ‘zich in Nederland geen grote calamiteiten hebben voorgedaan’. De schade die deze drie voorbeelden met zich mee hebben gebracht in het verleden, ligt aan de basis van de berekening </w:t>
      </w:r>
      <w:r w:rsidR="00FA7647" w:rsidRPr="00371492">
        <w:rPr>
          <w:rFonts w:ascii="Corbel" w:hAnsi="Corbel"/>
          <w:sz w:val="20"/>
          <w:szCs w:val="20"/>
        </w:rPr>
        <w:t xml:space="preserve">voor het huidige schadebedrag van dit risico. Men komt hierbij uit op €0,28 miljoen per jaar. Dit schadebedrag is verdeeld over de perspectieven gezondheid en milieu. Beide krijgen €0,14 miljoen op de rekening. Voor het perspectief instituties is geen berekening beschikbaar maar is </w:t>
      </w:r>
      <w:r w:rsidR="00FA7647" w:rsidRPr="00371492">
        <w:rPr>
          <w:rFonts w:ascii="Corbel" w:hAnsi="Corbel"/>
          <w:sz w:val="20"/>
          <w:szCs w:val="20"/>
        </w:rPr>
        <w:lastRenderedPageBreak/>
        <w:t>wel van</w:t>
      </w:r>
      <w:r w:rsidR="00136120" w:rsidRPr="00371492">
        <w:rPr>
          <w:rFonts w:ascii="Corbel" w:hAnsi="Corbel"/>
          <w:sz w:val="20"/>
          <w:szCs w:val="20"/>
        </w:rPr>
        <w:t xml:space="preserve"> toepassing (ILT, 2017, p. 29) (zie hiervoor ook de bijlage). De onzekerheid bij de bespreking van dit risico is erg groot. Er bestaat onzekerheid over de gevolgen (vandaar de anekdotische’ bewijsvoering</w:t>
      </w:r>
      <w:r w:rsidR="00A04520" w:rsidRPr="00371492">
        <w:rPr>
          <w:rFonts w:ascii="Corbel" w:hAnsi="Corbel"/>
          <w:sz w:val="20"/>
          <w:szCs w:val="20"/>
        </w:rPr>
        <w:t>)</w:t>
      </w:r>
      <w:r w:rsidR="00136120" w:rsidRPr="00371492">
        <w:rPr>
          <w:rFonts w:ascii="Corbel" w:hAnsi="Corbel"/>
          <w:sz w:val="20"/>
          <w:szCs w:val="20"/>
        </w:rPr>
        <w:t xml:space="preserve"> maar </w:t>
      </w:r>
      <w:r w:rsidR="006C74E3" w:rsidRPr="00371492">
        <w:rPr>
          <w:rFonts w:ascii="Corbel" w:hAnsi="Corbel"/>
          <w:sz w:val="20"/>
          <w:szCs w:val="20"/>
        </w:rPr>
        <w:t>ook over</w:t>
      </w:r>
      <w:r w:rsidR="00A04520" w:rsidRPr="00371492">
        <w:rPr>
          <w:rFonts w:ascii="Corbel" w:hAnsi="Corbel"/>
          <w:sz w:val="20"/>
          <w:szCs w:val="20"/>
        </w:rPr>
        <w:t xml:space="preserve"> de kans</w:t>
      </w:r>
      <w:r w:rsidR="00136120" w:rsidRPr="00371492">
        <w:rPr>
          <w:rFonts w:ascii="Corbel" w:hAnsi="Corbel"/>
          <w:sz w:val="20"/>
          <w:szCs w:val="20"/>
        </w:rPr>
        <w:t>. De kans op het risico kan sterk worden beïnvloed</w:t>
      </w:r>
      <w:r w:rsidR="006F4DAE" w:rsidRPr="00371492">
        <w:rPr>
          <w:rFonts w:ascii="Corbel" w:hAnsi="Corbel"/>
          <w:sz w:val="20"/>
          <w:szCs w:val="20"/>
        </w:rPr>
        <w:t xml:space="preserve"> door de ontwikkeling van </w:t>
      </w:r>
      <w:r w:rsidR="009858BB" w:rsidRPr="00371492">
        <w:rPr>
          <w:rFonts w:ascii="Corbel" w:hAnsi="Corbel"/>
          <w:sz w:val="20"/>
          <w:szCs w:val="20"/>
        </w:rPr>
        <w:t>‘</w:t>
      </w:r>
      <w:proofErr w:type="spellStart"/>
      <w:r w:rsidR="006F4DAE" w:rsidRPr="00371492">
        <w:rPr>
          <w:rFonts w:ascii="Corbel" w:hAnsi="Corbel"/>
          <w:sz w:val="20"/>
          <w:szCs w:val="20"/>
        </w:rPr>
        <w:t>CRISPr</w:t>
      </w:r>
      <w:proofErr w:type="spellEnd"/>
      <w:r w:rsidR="009858BB" w:rsidRPr="00371492">
        <w:rPr>
          <w:rFonts w:ascii="Corbel" w:hAnsi="Corbel"/>
          <w:sz w:val="20"/>
          <w:szCs w:val="20"/>
        </w:rPr>
        <w:t>/Cas9’</w:t>
      </w:r>
      <w:r w:rsidR="00136120" w:rsidRPr="00371492">
        <w:rPr>
          <w:rStyle w:val="Voetnootmarkering"/>
          <w:rFonts w:ascii="Corbel" w:hAnsi="Corbel"/>
          <w:sz w:val="20"/>
          <w:szCs w:val="20"/>
        </w:rPr>
        <w:footnoteReference w:id="19"/>
      </w:r>
      <w:r w:rsidR="00136120" w:rsidRPr="00371492">
        <w:rPr>
          <w:rFonts w:ascii="Corbel" w:hAnsi="Corbel"/>
          <w:sz w:val="20"/>
          <w:szCs w:val="20"/>
        </w:rPr>
        <w:t>.</w:t>
      </w:r>
      <w:r w:rsidR="006F4DAE" w:rsidRPr="00371492">
        <w:rPr>
          <w:rFonts w:ascii="Corbel" w:hAnsi="Corbel"/>
          <w:sz w:val="20"/>
          <w:szCs w:val="20"/>
        </w:rPr>
        <w:t xml:space="preserve"> </w:t>
      </w:r>
    </w:p>
    <w:p w14:paraId="21E2A3C2" w14:textId="77777777" w:rsidR="000D164B" w:rsidRDefault="000D164B" w:rsidP="00566CAA">
      <w:pPr>
        <w:spacing w:line="360" w:lineRule="auto"/>
        <w:jc w:val="both"/>
        <w:rPr>
          <w:rFonts w:ascii="Corbel" w:hAnsi="Corbel"/>
          <w:color w:val="000000" w:themeColor="text1"/>
          <w:sz w:val="20"/>
          <w:szCs w:val="20"/>
        </w:rPr>
      </w:pPr>
      <w:r w:rsidRPr="00371492">
        <w:rPr>
          <w:rFonts w:ascii="Corbel" w:hAnsi="Corbel"/>
          <w:sz w:val="20"/>
          <w:szCs w:val="20"/>
        </w:rPr>
        <w:tab/>
        <w:t xml:space="preserve">Het vraagstuk bij dit risico wordt met utilistische logica benadert. Centraal staan de gevolgen van het risico. Wat dit risico lastig maakt is dat betrouwbare statistiek ontbreekt. Om die reden is er gebruik gemaakt van drie voorbeelden om de effecten van het risico te beschrijven. Meer specifiek wordt er gekeken naar de kwantitatieve gevolgen, de IBRA-conclusie over het effect is hiervan de uitwerking. Deze kwantificering zorgt ervoor dat de beoordeling voor iedereen toegankelijk is. In andere woorden: iedereen kan begrijpen dat de gevolgen van dit risico negatief beoordeeld moeten worden. Bij utilistische argumentatie neemt deze </w:t>
      </w:r>
      <w:r w:rsidR="006F4DAE" w:rsidRPr="00371492">
        <w:rPr>
          <w:rFonts w:ascii="Corbel" w:hAnsi="Corbel"/>
          <w:sz w:val="20"/>
          <w:szCs w:val="20"/>
        </w:rPr>
        <w:t>mogelijkheid</w:t>
      </w:r>
      <w:r w:rsidRPr="00371492">
        <w:rPr>
          <w:rFonts w:ascii="Corbel" w:hAnsi="Corbel"/>
          <w:sz w:val="20"/>
          <w:szCs w:val="20"/>
        </w:rPr>
        <w:t xml:space="preserve"> tot afwegen een centrale plaats in. Bij de andere ethische tradities is deze mogelijkheid tot een rangorde zeer beperkt. </w:t>
      </w:r>
      <w:r w:rsidRPr="00371492">
        <w:rPr>
          <w:rFonts w:ascii="Corbel" w:hAnsi="Corbel"/>
          <w:color w:val="000000" w:themeColor="text1"/>
          <w:sz w:val="20"/>
          <w:szCs w:val="20"/>
        </w:rPr>
        <w:t>Het vraagstuk van ‘ongewenste verspreiding genetisch gemanipuleerde organismen’ wordt versmald tot een schadebedrag. De ‘kostenposten’ zoals herstelkosten, doden en verloren levensjaren zagen we al terug bij de bespreking van het utilisme voor</w:t>
      </w:r>
      <w:r w:rsidR="00800CF2" w:rsidRPr="00371492">
        <w:rPr>
          <w:rFonts w:ascii="Corbel" w:hAnsi="Corbel"/>
          <w:color w:val="000000" w:themeColor="text1"/>
          <w:sz w:val="20"/>
          <w:szCs w:val="20"/>
        </w:rPr>
        <w:t xml:space="preserve"> de praktijk van risicoanalyse.</w:t>
      </w:r>
    </w:p>
    <w:tbl>
      <w:tblPr>
        <w:tblStyle w:val="Tabelraster"/>
        <w:tblW w:w="0" w:type="auto"/>
        <w:tblLook w:val="04A0" w:firstRow="1" w:lastRow="0" w:firstColumn="1" w:lastColumn="0" w:noHBand="0" w:noVBand="1"/>
      </w:tblPr>
      <w:tblGrid>
        <w:gridCol w:w="1966"/>
        <w:gridCol w:w="7090"/>
      </w:tblGrid>
      <w:tr w:rsidR="00E958F4" w:rsidRPr="00E958F4" w14:paraId="696D9A1B" w14:textId="77777777" w:rsidTr="009D4480">
        <w:trPr>
          <w:trHeight w:val="841"/>
        </w:trPr>
        <w:tc>
          <w:tcPr>
            <w:tcW w:w="1966" w:type="dxa"/>
          </w:tcPr>
          <w:p w14:paraId="481D40B0" w14:textId="77777777" w:rsidR="00E958F4" w:rsidRPr="00F20FC1" w:rsidRDefault="00E958F4" w:rsidP="009D4480">
            <w:pPr>
              <w:spacing w:line="360" w:lineRule="auto"/>
              <w:jc w:val="both"/>
              <w:rPr>
                <w:rFonts w:ascii="Corbel" w:eastAsia="Tahoma" w:hAnsi="Corbel" w:cs="Tahoma"/>
                <w:i/>
                <w:color w:val="000000" w:themeColor="text1"/>
                <w:sz w:val="20"/>
              </w:rPr>
            </w:pPr>
            <w:r w:rsidRPr="00F20FC1">
              <w:rPr>
                <w:rFonts w:ascii="Corbel" w:eastAsia="Tahoma" w:hAnsi="Corbel" w:cs="Tahoma"/>
                <w:i/>
                <w:color w:val="000000" w:themeColor="text1"/>
                <w:sz w:val="20"/>
              </w:rPr>
              <w:t>Logica</w:t>
            </w:r>
          </w:p>
          <w:p w14:paraId="25476A1E" w14:textId="77777777" w:rsidR="00E958F4" w:rsidRPr="00F20FC1" w:rsidRDefault="00E958F4" w:rsidP="009D4480">
            <w:pPr>
              <w:spacing w:line="360" w:lineRule="auto"/>
              <w:jc w:val="both"/>
              <w:rPr>
                <w:rFonts w:ascii="Corbel" w:eastAsia="Tahoma" w:hAnsi="Corbel" w:cs="Tahoma"/>
                <w:i/>
                <w:color w:val="000000" w:themeColor="text1"/>
                <w:sz w:val="20"/>
              </w:rPr>
            </w:pPr>
          </w:p>
        </w:tc>
        <w:tc>
          <w:tcPr>
            <w:tcW w:w="7090" w:type="dxa"/>
          </w:tcPr>
          <w:p w14:paraId="16D7A1F9" w14:textId="4E5535F3" w:rsidR="00A53C32" w:rsidRPr="00F20FC1" w:rsidRDefault="00E958F4" w:rsidP="009D4480">
            <w:pPr>
              <w:spacing w:line="360" w:lineRule="auto"/>
              <w:jc w:val="both"/>
              <w:rPr>
                <w:rFonts w:ascii="Corbel" w:eastAsia="Tahoma" w:hAnsi="Corbel" w:cs="Tahoma"/>
                <w:color w:val="000000" w:themeColor="text1"/>
                <w:sz w:val="20"/>
              </w:rPr>
            </w:pPr>
            <w:r w:rsidRPr="00F20FC1">
              <w:rPr>
                <w:rFonts w:ascii="Corbel" w:eastAsia="Tahoma" w:hAnsi="Corbel" w:cs="Tahoma"/>
                <w:color w:val="000000" w:themeColor="text1"/>
                <w:sz w:val="20"/>
              </w:rPr>
              <w:t xml:space="preserve">Het utilisme kijkt naar gevolgen van een handeling (kwantiteit). </w:t>
            </w:r>
            <w:r w:rsidR="00A53C32" w:rsidRPr="00F20FC1">
              <w:rPr>
                <w:rFonts w:ascii="Corbel" w:eastAsia="Tahoma" w:hAnsi="Corbel" w:cs="Tahoma"/>
                <w:color w:val="000000" w:themeColor="text1"/>
                <w:sz w:val="20"/>
              </w:rPr>
              <w:t xml:space="preserve">Bij de behandeling van dit risico staan de gevolgen centraal. </w:t>
            </w:r>
            <w:r w:rsidR="00473601" w:rsidRPr="00F20FC1">
              <w:rPr>
                <w:rFonts w:ascii="Corbel" w:eastAsia="Tahoma" w:hAnsi="Corbel" w:cs="Tahoma"/>
                <w:color w:val="000000" w:themeColor="text1"/>
                <w:sz w:val="20"/>
              </w:rPr>
              <w:t xml:space="preserve">Er is geen goede statistiek voor handen maar toch wordt er gekozen voor een kwantitatieve benadering. </w:t>
            </w:r>
          </w:p>
        </w:tc>
      </w:tr>
      <w:tr w:rsidR="00E958F4" w:rsidRPr="00E958F4" w14:paraId="3F31BC66" w14:textId="77777777" w:rsidTr="009D4480">
        <w:trPr>
          <w:trHeight w:val="1107"/>
        </w:trPr>
        <w:tc>
          <w:tcPr>
            <w:tcW w:w="1966" w:type="dxa"/>
          </w:tcPr>
          <w:p w14:paraId="2CBDF70B" w14:textId="77777777" w:rsidR="00E958F4" w:rsidRPr="00F20FC1" w:rsidRDefault="00E958F4" w:rsidP="009D4480">
            <w:pPr>
              <w:spacing w:line="360" w:lineRule="auto"/>
              <w:jc w:val="both"/>
              <w:rPr>
                <w:rFonts w:ascii="Corbel" w:eastAsia="Tahoma" w:hAnsi="Corbel" w:cs="Tahoma"/>
                <w:i/>
                <w:color w:val="000000" w:themeColor="text1"/>
                <w:sz w:val="20"/>
              </w:rPr>
            </w:pPr>
            <w:r w:rsidRPr="00F20FC1">
              <w:rPr>
                <w:rFonts w:ascii="Corbel" w:eastAsia="Tahoma" w:hAnsi="Corbel" w:cs="Tahoma"/>
                <w:i/>
                <w:color w:val="000000" w:themeColor="text1"/>
                <w:sz w:val="20"/>
              </w:rPr>
              <w:t>Focus (waar kijkt de theorie naar?)</w:t>
            </w:r>
          </w:p>
        </w:tc>
        <w:tc>
          <w:tcPr>
            <w:tcW w:w="7090" w:type="dxa"/>
          </w:tcPr>
          <w:p w14:paraId="0EBB36CB" w14:textId="42D6F631" w:rsidR="00473601" w:rsidRPr="00F20FC1" w:rsidRDefault="00473601" w:rsidP="00473601">
            <w:pPr>
              <w:spacing w:line="360" w:lineRule="auto"/>
              <w:jc w:val="both"/>
              <w:rPr>
                <w:rFonts w:ascii="Corbel" w:eastAsia="Tahoma" w:hAnsi="Corbel" w:cs="Tahoma"/>
                <w:color w:val="000000" w:themeColor="text1"/>
                <w:sz w:val="20"/>
              </w:rPr>
            </w:pPr>
            <w:r w:rsidRPr="00F20FC1">
              <w:rPr>
                <w:rFonts w:ascii="Corbel" w:hAnsi="Corbel"/>
                <w:color w:val="000000" w:themeColor="text1"/>
                <w:sz w:val="20"/>
                <w:szCs w:val="20"/>
              </w:rPr>
              <w:t>Deze kwantificering zorgt ervoor dat de beoordeling voor iedereen te begrijpen is waarom die nadelig is. Je kunt het dus inderdaad als outsider beoordelen. Het is duidelijk dat dit risico ongewenst gevolgen heeft.</w:t>
            </w:r>
          </w:p>
        </w:tc>
      </w:tr>
      <w:tr w:rsidR="00E958F4" w:rsidRPr="00E958F4" w14:paraId="0DCE37EB" w14:textId="77777777" w:rsidTr="009D4480">
        <w:tc>
          <w:tcPr>
            <w:tcW w:w="1966" w:type="dxa"/>
          </w:tcPr>
          <w:p w14:paraId="721566CC" w14:textId="77777777" w:rsidR="00E958F4" w:rsidRPr="00F20FC1" w:rsidRDefault="00E958F4" w:rsidP="009D4480">
            <w:pPr>
              <w:spacing w:line="360" w:lineRule="auto"/>
              <w:jc w:val="both"/>
              <w:rPr>
                <w:rFonts w:ascii="Corbel" w:eastAsia="Tahoma" w:hAnsi="Corbel" w:cs="Tahoma"/>
                <w:i/>
                <w:color w:val="000000" w:themeColor="text1"/>
                <w:sz w:val="20"/>
              </w:rPr>
            </w:pPr>
            <w:r w:rsidRPr="00F20FC1">
              <w:rPr>
                <w:rFonts w:ascii="Corbel" w:eastAsia="Tahoma" w:hAnsi="Corbel" w:cs="Tahoma"/>
                <w:i/>
                <w:color w:val="000000" w:themeColor="text1"/>
                <w:sz w:val="20"/>
              </w:rPr>
              <w:t>Benadering (rationaliseringswijze)</w:t>
            </w:r>
          </w:p>
        </w:tc>
        <w:tc>
          <w:tcPr>
            <w:tcW w:w="7090" w:type="dxa"/>
          </w:tcPr>
          <w:p w14:paraId="6BAE03A1" w14:textId="1E129014" w:rsidR="00E958F4" w:rsidRPr="00F20FC1" w:rsidRDefault="00E958F4" w:rsidP="000F3CD3">
            <w:pPr>
              <w:spacing w:line="360" w:lineRule="auto"/>
              <w:jc w:val="both"/>
              <w:rPr>
                <w:rFonts w:ascii="Corbel" w:eastAsia="Tahoma" w:hAnsi="Corbel" w:cs="Tahoma"/>
                <w:color w:val="000000" w:themeColor="text1"/>
                <w:sz w:val="20"/>
              </w:rPr>
            </w:pPr>
            <w:r w:rsidRPr="00F20FC1">
              <w:rPr>
                <w:rFonts w:ascii="Corbel" w:eastAsia="Tahoma" w:hAnsi="Corbel" w:cs="Tahoma"/>
                <w:color w:val="000000" w:themeColor="text1"/>
                <w:sz w:val="20"/>
              </w:rPr>
              <w:t>Uit de algemene kenbaarheid/vergelijkbaarheid volgt de mogelijkheid tot het kwantificeren: het is mogelijk de verwachte kosten en baten van gevolgen te vatten onder een noemer (bijv. geld, pijn, levensjaren etc.) waar men het snel over eens is. Met andere woorden, versmalling</w:t>
            </w:r>
            <w:r w:rsidR="000F3CD3" w:rsidRPr="00F20FC1">
              <w:rPr>
                <w:rFonts w:ascii="Corbel" w:eastAsia="Tahoma" w:hAnsi="Corbel" w:cs="Tahoma"/>
                <w:color w:val="000000" w:themeColor="text1"/>
                <w:sz w:val="20"/>
              </w:rPr>
              <w:t xml:space="preserve"> van het vraagstuk is mogelijk. </w:t>
            </w:r>
          </w:p>
        </w:tc>
      </w:tr>
      <w:tr w:rsidR="00E958F4" w:rsidRPr="00E958F4" w14:paraId="500B5E72" w14:textId="77777777" w:rsidTr="009D4480">
        <w:tc>
          <w:tcPr>
            <w:tcW w:w="1966" w:type="dxa"/>
          </w:tcPr>
          <w:p w14:paraId="3B43F2BC" w14:textId="77777777" w:rsidR="00E958F4" w:rsidRPr="00F20FC1" w:rsidRDefault="00E958F4" w:rsidP="009D4480">
            <w:pPr>
              <w:tabs>
                <w:tab w:val="left" w:pos="1166"/>
              </w:tabs>
              <w:spacing w:line="360" w:lineRule="auto"/>
              <w:jc w:val="both"/>
              <w:rPr>
                <w:rFonts w:ascii="Corbel" w:eastAsia="Tahoma" w:hAnsi="Corbel" w:cs="Tahoma"/>
                <w:i/>
                <w:color w:val="000000" w:themeColor="text1"/>
                <w:sz w:val="20"/>
              </w:rPr>
            </w:pPr>
            <w:r w:rsidRPr="00F20FC1">
              <w:rPr>
                <w:rFonts w:ascii="Corbel" w:eastAsia="Tahoma" w:hAnsi="Corbel" w:cs="Tahoma"/>
                <w:i/>
                <w:color w:val="000000" w:themeColor="text1"/>
                <w:sz w:val="20"/>
              </w:rPr>
              <w:t>Kwetsbaarheden (wat wil men beschermen?)</w:t>
            </w:r>
          </w:p>
        </w:tc>
        <w:tc>
          <w:tcPr>
            <w:tcW w:w="7090" w:type="dxa"/>
          </w:tcPr>
          <w:p w14:paraId="38C3F143" w14:textId="3DE8E88C" w:rsidR="00E958F4" w:rsidRPr="00F20FC1" w:rsidRDefault="000F3CD3" w:rsidP="009D4480">
            <w:pPr>
              <w:spacing w:line="360" w:lineRule="auto"/>
              <w:jc w:val="both"/>
              <w:rPr>
                <w:rFonts w:ascii="Corbel" w:eastAsia="Tahoma" w:hAnsi="Corbel" w:cs="Tahoma"/>
                <w:color w:val="000000" w:themeColor="text1"/>
                <w:sz w:val="20"/>
              </w:rPr>
            </w:pPr>
            <w:r w:rsidRPr="00F20FC1">
              <w:rPr>
                <w:rFonts w:ascii="Corbel" w:eastAsia="Tahoma" w:hAnsi="Corbel" w:cs="Tahoma"/>
                <w:color w:val="000000" w:themeColor="text1"/>
                <w:sz w:val="20"/>
              </w:rPr>
              <w:t xml:space="preserve">De kwetsbaarheden zijn in dit risico de kostenposten, die afgewogen moeten worden. </w:t>
            </w:r>
            <w:r w:rsidR="00E958F4" w:rsidRPr="00F20FC1">
              <w:rPr>
                <w:rFonts w:ascii="Corbel" w:eastAsia="Tahoma" w:hAnsi="Corbel" w:cs="Tahoma"/>
                <w:color w:val="000000" w:themeColor="text1"/>
                <w:sz w:val="20"/>
              </w:rPr>
              <w:t xml:space="preserve"> </w:t>
            </w:r>
          </w:p>
        </w:tc>
      </w:tr>
      <w:tr w:rsidR="00E958F4" w:rsidRPr="00E958F4" w14:paraId="0B5936FB" w14:textId="77777777" w:rsidTr="009D4480">
        <w:trPr>
          <w:trHeight w:val="841"/>
        </w:trPr>
        <w:tc>
          <w:tcPr>
            <w:tcW w:w="1966" w:type="dxa"/>
          </w:tcPr>
          <w:p w14:paraId="5F3323B6" w14:textId="77777777" w:rsidR="00E958F4" w:rsidRPr="00F20FC1" w:rsidRDefault="00E958F4" w:rsidP="009D4480">
            <w:pPr>
              <w:spacing w:line="360" w:lineRule="auto"/>
              <w:jc w:val="both"/>
              <w:rPr>
                <w:rFonts w:ascii="Corbel" w:eastAsia="Tahoma" w:hAnsi="Corbel" w:cs="Tahoma"/>
                <w:i/>
                <w:color w:val="000000" w:themeColor="text1"/>
                <w:sz w:val="20"/>
              </w:rPr>
            </w:pPr>
            <w:r w:rsidRPr="00F20FC1">
              <w:rPr>
                <w:rFonts w:ascii="Corbel" w:eastAsia="Tahoma" w:hAnsi="Corbel" w:cs="Tahoma"/>
                <w:i/>
                <w:color w:val="000000" w:themeColor="text1"/>
                <w:sz w:val="20"/>
              </w:rPr>
              <w:t>Operationalisatie (hoe zie je dat terug?)</w:t>
            </w:r>
          </w:p>
        </w:tc>
        <w:tc>
          <w:tcPr>
            <w:tcW w:w="7090" w:type="dxa"/>
          </w:tcPr>
          <w:p w14:paraId="0911CFB0" w14:textId="05CCFD75" w:rsidR="00E958F4" w:rsidRPr="00F20FC1" w:rsidRDefault="000F3CD3" w:rsidP="000F3CD3">
            <w:pPr>
              <w:spacing w:line="360" w:lineRule="auto"/>
              <w:jc w:val="both"/>
              <w:rPr>
                <w:rFonts w:ascii="Corbel" w:eastAsia="Tahoma" w:hAnsi="Corbel" w:cs="Tahoma"/>
                <w:color w:val="000000" w:themeColor="text1"/>
                <w:sz w:val="20"/>
              </w:rPr>
            </w:pPr>
            <w:r w:rsidRPr="00F20FC1">
              <w:rPr>
                <w:rFonts w:ascii="Corbel" w:eastAsia="Tahoma" w:hAnsi="Corbel" w:cs="Tahoma"/>
                <w:color w:val="000000" w:themeColor="text1"/>
                <w:sz w:val="20"/>
              </w:rPr>
              <w:t>De kostenposten zijn herstelkosten, doden en verloren levensjaren. Dit is overeenkomstig de operationalisatie van de theorie eerder in dit onderzoek.</w:t>
            </w:r>
          </w:p>
        </w:tc>
      </w:tr>
      <w:tr w:rsidR="00E958F4" w:rsidRPr="00E958F4" w14:paraId="27E3E1FA" w14:textId="77777777" w:rsidTr="009D4480">
        <w:tc>
          <w:tcPr>
            <w:tcW w:w="1966" w:type="dxa"/>
          </w:tcPr>
          <w:p w14:paraId="789EFCD1" w14:textId="77777777" w:rsidR="00E958F4" w:rsidRPr="00F20FC1" w:rsidRDefault="00E958F4" w:rsidP="009D4480">
            <w:pPr>
              <w:spacing w:line="360" w:lineRule="auto"/>
              <w:jc w:val="both"/>
              <w:rPr>
                <w:rFonts w:ascii="Corbel" w:eastAsia="Tahoma" w:hAnsi="Corbel" w:cs="Tahoma"/>
                <w:i/>
                <w:color w:val="000000" w:themeColor="text1"/>
                <w:sz w:val="20"/>
              </w:rPr>
            </w:pPr>
            <w:r w:rsidRPr="00F20FC1">
              <w:rPr>
                <w:rFonts w:ascii="Corbel" w:eastAsia="Tahoma" w:hAnsi="Corbel" w:cs="Tahoma"/>
                <w:i/>
                <w:color w:val="000000" w:themeColor="text1"/>
                <w:sz w:val="20"/>
              </w:rPr>
              <w:t>Gremium</w:t>
            </w:r>
          </w:p>
        </w:tc>
        <w:tc>
          <w:tcPr>
            <w:tcW w:w="7090" w:type="dxa"/>
          </w:tcPr>
          <w:p w14:paraId="0655E2A1" w14:textId="77777777" w:rsidR="00E958F4" w:rsidRPr="00F20FC1" w:rsidRDefault="00E958F4" w:rsidP="009D4480">
            <w:pPr>
              <w:spacing w:line="360" w:lineRule="auto"/>
              <w:jc w:val="both"/>
              <w:rPr>
                <w:rFonts w:ascii="Corbel" w:eastAsia="Tahoma" w:hAnsi="Corbel" w:cs="Tahoma"/>
                <w:color w:val="000000" w:themeColor="text1"/>
                <w:sz w:val="20"/>
              </w:rPr>
            </w:pPr>
            <w:r w:rsidRPr="00F20FC1">
              <w:rPr>
                <w:rFonts w:ascii="Corbel" w:eastAsia="Tahoma" w:hAnsi="Corbel" w:cs="Tahoma"/>
                <w:color w:val="000000" w:themeColor="text1"/>
                <w:sz w:val="20"/>
              </w:rPr>
              <w:t xml:space="preserve">Risicoanalisten (RA) of uitvoerders maatschappelijke kostenbaten analyse (MKBA) </w:t>
            </w:r>
            <w:r w:rsidRPr="00F20FC1">
              <w:rPr>
                <w:rFonts w:ascii="Corbel" w:eastAsia="Tahoma" w:hAnsi="Corbel" w:cs="Tahoma"/>
                <w:color w:val="000000" w:themeColor="text1"/>
                <w:sz w:val="20"/>
              </w:rPr>
              <w:sym w:font="Wingdings" w:char="F0E0"/>
            </w:r>
            <w:r w:rsidRPr="00F20FC1">
              <w:rPr>
                <w:rFonts w:ascii="Corbel" w:eastAsia="Tahoma" w:hAnsi="Corbel" w:cs="Tahoma"/>
                <w:color w:val="000000" w:themeColor="text1"/>
                <w:sz w:val="20"/>
              </w:rPr>
              <w:t xml:space="preserve"> technische deskundigheid (weten en kunnen) staat centraal</w:t>
            </w:r>
          </w:p>
        </w:tc>
      </w:tr>
    </w:tbl>
    <w:p w14:paraId="4CD2A553" w14:textId="77777777" w:rsidR="00E958F4" w:rsidRPr="00371492" w:rsidRDefault="00E958F4" w:rsidP="00566CAA">
      <w:pPr>
        <w:spacing w:line="360" w:lineRule="auto"/>
        <w:jc w:val="both"/>
        <w:rPr>
          <w:rFonts w:ascii="Corbel" w:hAnsi="Corbel"/>
          <w:sz w:val="20"/>
          <w:szCs w:val="20"/>
        </w:rPr>
      </w:pPr>
    </w:p>
    <w:p w14:paraId="0EB0FDDB" w14:textId="77777777" w:rsidR="006E4FC0" w:rsidRPr="00371492" w:rsidRDefault="00800CF2" w:rsidP="00566CAA">
      <w:pPr>
        <w:spacing w:line="360" w:lineRule="auto"/>
        <w:jc w:val="both"/>
        <w:rPr>
          <w:rFonts w:ascii="Corbel" w:hAnsi="Corbel"/>
          <w:sz w:val="20"/>
          <w:szCs w:val="20"/>
        </w:rPr>
      </w:pPr>
      <w:r w:rsidRPr="00371492">
        <w:rPr>
          <w:rFonts w:ascii="Corbel" w:hAnsi="Corbel"/>
          <w:sz w:val="20"/>
          <w:szCs w:val="20"/>
        </w:rPr>
        <w:tab/>
      </w:r>
    </w:p>
    <w:p w14:paraId="37076CC3" w14:textId="093AE362" w:rsidR="00352B88" w:rsidRPr="00371492" w:rsidRDefault="00352B88" w:rsidP="00510131">
      <w:pPr>
        <w:pStyle w:val="Stijl2"/>
      </w:pPr>
      <w:bookmarkStart w:id="51" w:name="_Toc485990891"/>
      <w:r w:rsidRPr="00371492">
        <w:lastRenderedPageBreak/>
        <w:t xml:space="preserve">Uitbreiding risicoanalyse </w:t>
      </w:r>
      <w:r w:rsidR="008D436D" w:rsidRPr="00371492">
        <w:t>‘o</w:t>
      </w:r>
      <w:r w:rsidR="000D3A52" w:rsidRPr="00371492">
        <w:t>ngewenste verspreiding genetisch gemanipuleerde organismen (</w:t>
      </w:r>
      <w:proofErr w:type="spellStart"/>
      <w:r w:rsidR="000D3A52" w:rsidRPr="00371492">
        <w:t>GGO’s</w:t>
      </w:r>
      <w:proofErr w:type="spellEnd"/>
      <w:r w:rsidR="000D3A52" w:rsidRPr="00371492">
        <w:t>)</w:t>
      </w:r>
      <w:r w:rsidR="008D436D" w:rsidRPr="00371492">
        <w:t>’</w:t>
      </w:r>
      <w:bookmarkEnd w:id="51"/>
    </w:p>
    <w:p w14:paraId="021978EE" w14:textId="61385AF7" w:rsidR="009C0F2A" w:rsidRPr="00371492" w:rsidRDefault="00C06EDF" w:rsidP="001C5EA9">
      <w:pPr>
        <w:spacing w:line="360" w:lineRule="auto"/>
        <w:jc w:val="both"/>
        <w:rPr>
          <w:rFonts w:ascii="Corbel" w:hAnsi="Corbel"/>
          <w:color w:val="000000" w:themeColor="text1"/>
          <w:sz w:val="20"/>
          <w:szCs w:val="20"/>
        </w:rPr>
      </w:pPr>
      <w:r w:rsidRPr="00371492">
        <w:rPr>
          <w:rFonts w:ascii="Corbel" w:hAnsi="Corbel"/>
          <w:color w:val="000000" w:themeColor="text1"/>
          <w:sz w:val="20"/>
          <w:szCs w:val="20"/>
        </w:rPr>
        <w:t>De laatst</w:t>
      </w:r>
      <w:r w:rsidR="00A76E2A">
        <w:rPr>
          <w:rFonts w:ascii="Corbel" w:hAnsi="Corbel"/>
          <w:color w:val="000000" w:themeColor="text1"/>
          <w:sz w:val="20"/>
          <w:szCs w:val="20"/>
        </w:rPr>
        <w:t>e deelvraag van dit onderzoek luidt</w:t>
      </w:r>
      <w:r w:rsidRPr="00371492">
        <w:rPr>
          <w:rFonts w:ascii="Corbel" w:hAnsi="Corbel"/>
          <w:color w:val="000000" w:themeColor="text1"/>
          <w:sz w:val="20"/>
          <w:szCs w:val="20"/>
        </w:rPr>
        <w:t>: hoe is een uitbreiding van de risicoanalyse mogelijk? In de voorgaande paragraaf zijn de elementen uit de risicoanalyse besproken en is gekeken welke ethische stroming van toepassing is op die elementen.</w:t>
      </w:r>
      <w:r w:rsidR="00FE1199" w:rsidRPr="00371492">
        <w:rPr>
          <w:rFonts w:ascii="Corbel" w:hAnsi="Corbel"/>
          <w:color w:val="000000" w:themeColor="text1"/>
          <w:sz w:val="20"/>
          <w:szCs w:val="20"/>
        </w:rPr>
        <w:t xml:space="preserve"> </w:t>
      </w:r>
      <w:r w:rsidR="00932BFB" w:rsidRPr="00371492">
        <w:rPr>
          <w:rFonts w:ascii="Corbel" w:hAnsi="Corbel"/>
          <w:color w:val="000000" w:themeColor="text1"/>
          <w:sz w:val="20"/>
          <w:szCs w:val="20"/>
        </w:rPr>
        <w:t xml:space="preserve">Hoewel de utilistische argumentatie </w:t>
      </w:r>
      <w:r w:rsidR="00FE1199" w:rsidRPr="00371492">
        <w:rPr>
          <w:rFonts w:ascii="Corbel" w:hAnsi="Corbel"/>
          <w:color w:val="000000" w:themeColor="text1"/>
          <w:sz w:val="20"/>
          <w:szCs w:val="20"/>
        </w:rPr>
        <w:t>logischerwijs</w:t>
      </w:r>
      <w:r w:rsidR="00932BFB" w:rsidRPr="00371492">
        <w:rPr>
          <w:rFonts w:ascii="Corbel" w:hAnsi="Corbel"/>
          <w:color w:val="000000" w:themeColor="text1"/>
          <w:sz w:val="20"/>
          <w:szCs w:val="20"/>
        </w:rPr>
        <w:t xml:space="preserve"> dominant is in de bespreking van dit risico, vallen er ook andere ethische elementen te herkennen.</w:t>
      </w:r>
      <w:r w:rsidR="00FE1199" w:rsidRPr="00371492">
        <w:rPr>
          <w:rFonts w:ascii="Corbel" w:hAnsi="Corbel"/>
          <w:color w:val="000000" w:themeColor="text1"/>
          <w:sz w:val="20"/>
          <w:szCs w:val="20"/>
        </w:rPr>
        <w:t xml:space="preserve"> De utilistische boventoon is logisch omdat dit expliciet de ingeving is van deze ronde van het IBRA-project (ILT, 2017). </w:t>
      </w:r>
    </w:p>
    <w:p w14:paraId="24EB6C94" w14:textId="77777777" w:rsidR="009C0F2A" w:rsidRPr="00371492" w:rsidRDefault="00FE1199" w:rsidP="009C0F2A">
      <w:pPr>
        <w:spacing w:line="360" w:lineRule="auto"/>
        <w:ind w:firstLine="360"/>
        <w:jc w:val="both"/>
        <w:rPr>
          <w:rFonts w:ascii="Corbel" w:hAnsi="Corbel"/>
          <w:color w:val="000000" w:themeColor="text1"/>
          <w:sz w:val="20"/>
          <w:szCs w:val="20"/>
        </w:rPr>
      </w:pPr>
      <w:r w:rsidRPr="00371492">
        <w:rPr>
          <w:rFonts w:ascii="Corbel" w:hAnsi="Corbel"/>
          <w:color w:val="000000" w:themeColor="text1"/>
          <w:sz w:val="20"/>
          <w:szCs w:val="20"/>
        </w:rPr>
        <w:t>Echter, h</w:t>
      </w:r>
      <w:r w:rsidR="00932BFB" w:rsidRPr="00371492">
        <w:rPr>
          <w:rFonts w:ascii="Corbel" w:hAnsi="Corbel"/>
          <w:color w:val="000000" w:themeColor="text1"/>
          <w:sz w:val="20"/>
          <w:szCs w:val="20"/>
        </w:rPr>
        <w:t xml:space="preserve">et risico heeft een element in zich wat ingrijpt op </w:t>
      </w:r>
      <w:r w:rsidR="00932BFB" w:rsidRPr="00A76E2A">
        <w:rPr>
          <w:rFonts w:ascii="Corbel" w:hAnsi="Corbel"/>
          <w:i/>
          <w:color w:val="000000" w:themeColor="text1"/>
          <w:sz w:val="20"/>
          <w:szCs w:val="20"/>
        </w:rPr>
        <w:t>eventueel onherstelbare schade aan het biologisch evenwicht.</w:t>
      </w:r>
      <w:r w:rsidR="00932BFB" w:rsidRPr="00371492">
        <w:rPr>
          <w:rFonts w:ascii="Corbel" w:hAnsi="Corbel"/>
          <w:color w:val="000000" w:themeColor="text1"/>
          <w:sz w:val="20"/>
          <w:szCs w:val="20"/>
        </w:rPr>
        <w:t xml:space="preserve"> </w:t>
      </w:r>
      <w:r w:rsidR="00F32B25" w:rsidRPr="00371492">
        <w:rPr>
          <w:rFonts w:ascii="Corbel" w:hAnsi="Corbel"/>
          <w:color w:val="000000" w:themeColor="text1"/>
          <w:sz w:val="20"/>
          <w:szCs w:val="20"/>
        </w:rPr>
        <w:t xml:space="preserve">Dit ‘eventueel’ is een belangrijk aspect. Door de hoge mate van onzekerheid die schuilgaat achter de kwantificering van dit risico doen andere ethische overwegingen zich voor. De uitwerking van het risico (zeker bezien de opkomst van </w:t>
      </w:r>
      <w:proofErr w:type="spellStart"/>
      <w:r w:rsidR="00F32B25" w:rsidRPr="00371492">
        <w:rPr>
          <w:rFonts w:ascii="Corbel" w:hAnsi="Corbel"/>
          <w:color w:val="000000" w:themeColor="text1"/>
          <w:sz w:val="20"/>
          <w:szCs w:val="20"/>
        </w:rPr>
        <w:t>CRISPr</w:t>
      </w:r>
      <w:proofErr w:type="spellEnd"/>
      <w:r w:rsidR="00F32B25" w:rsidRPr="00371492">
        <w:rPr>
          <w:rFonts w:ascii="Corbel" w:hAnsi="Corbel"/>
          <w:color w:val="000000" w:themeColor="text1"/>
          <w:sz w:val="20"/>
          <w:szCs w:val="20"/>
        </w:rPr>
        <w:t xml:space="preserve">/Cas9 en andere ontwikkelingen op GGO-gebied) is onzeker en de schade potentieel groot. </w:t>
      </w:r>
    </w:p>
    <w:p w14:paraId="5C20DBD6" w14:textId="44EA961B" w:rsidR="00E958F4" w:rsidRPr="00371492" w:rsidRDefault="00F32B25" w:rsidP="009C0F2A">
      <w:pPr>
        <w:spacing w:line="360" w:lineRule="auto"/>
        <w:ind w:firstLine="360"/>
        <w:jc w:val="both"/>
        <w:rPr>
          <w:rFonts w:ascii="Corbel" w:hAnsi="Corbel"/>
          <w:color w:val="000000" w:themeColor="text1"/>
          <w:sz w:val="20"/>
          <w:szCs w:val="20"/>
        </w:rPr>
      </w:pPr>
      <w:r w:rsidRPr="00371492">
        <w:rPr>
          <w:rFonts w:ascii="Corbel" w:hAnsi="Corbel"/>
          <w:color w:val="000000" w:themeColor="text1"/>
          <w:sz w:val="20"/>
          <w:szCs w:val="20"/>
        </w:rPr>
        <w:t xml:space="preserve">De overweging om uit voorzorg te anticiperen </w:t>
      </w:r>
      <w:r w:rsidR="009C0F2A" w:rsidRPr="00371492">
        <w:rPr>
          <w:rFonts w:ascii="Corbel" w:hAnsi="Corbel"/>
          <w:color w:val="000000" w:themeColor="text1"/>
          <w:sz w:val="20"/>
          <w:szCs w:val="20"/>
        </w:rPr>
        <w:t xml:space="preserve">op dit aspect van het risico </w:t>
      </w:r>
      <w:r w:rsidRPr="00371492">
        <w:rPr>
          <w:rFonts w:ascii="Corbel" w:hAnsi="Corbel"/>
          <w:color w:val="000000" w:themeColor="text1"/>
          <w:sz w:val="20"/>
          <w:szCs w:val="20"/>
        </w:rPr>
        <w:t>kan onderbouwd worden met zowel deontolo</w:t>
      </w:r>
      <w:r w:rsidR="003A1C1D" w:rsidRPr="00371492">
        <w:rPr>
          <w:rFonts w:ascii="Corbel" w:hAnsi="Corbel"/>
          <w:color w:val="000000" w:themeColor="text1"/>
          <w:sz w:val="20"/>
          <w:szCs w:val="20"/>
        </w:rPr>
        <w:t>gische argumenten als deugdethische argumenten. Op basis van plichtsgetrouw (</w:t>
      </w:r>
      <w:r w:rsidR="001C5EA9" w:rsidRPr="00371492">
        <w:rPr>
          <w:rFonts w:ascii="Corbel" w:hAnsi="Corbel"/>
          <w:color w:val="000000" w:themeColor="text1"/>
          <w:sz w:val="20"/>
          <w:szCs w:val="20"/>
        </w:rPr>
        <w:t xml:space="preserve">principes of procedures centraal stellend) handelen kan ervoor gekozen worden om dit risico prioriteit te geven boven andere risico’s die qua onderbouwing louter in utilistische termen een even groot risico blijken te zijn. Hierbij vormt dus de deontologie de onderbouwing en niet de gekwantificeerde argumentatie die volgt uit de utiliteit. </w:t>
      </w:r>
      <w:r w:rsidR="008604BF">
        <w:rPr>
          <w:rFonts w:ascii="Corbel" w:hAnsi="Corbel"/>
          <w:color w:val="000000" w:themeColor="text1"/>
          <w:sz w:val="20"/>
          <w:szCs w:val="20"/>
        </w:rPr>
        <w:t>Zie het volgende schema:</w:t>
      </w:r>
    </w:p>
    <w:tbl>
      <w:tblPr>
        <w:tblStyle w:val="Tabelraster"/>
        <w:tblW w:w="9054" w:type="dxa"/>
        <w:tblLook w:val="04A0" w:firstRow="1" w:lastRow="0" w:firstColumn="1" w:lastColumn="0" w:noHBand="0" w:noVBand="1"/>
      </w:tblPr>
      <w:tblGrid>
        <w:gridCol w:w="2141"/>
        <w:gridCol w:w="6913"/>
      </w:tblGrid>
      <w:tr w:rsidR="00E958F4" w:rsidRPr="00D46DC7" w14:paraId="1650528A" w14:textId="77777777" w:rsidTr="009D4480">
        <w:tc>
          <w:tcPr>
            <w:tcW w:w="2141" w:type="dxa"/>
          </w:tcPr>
          <w:p w14:paraId="739E843E" w14:textId="77777777" w:rsidR="00E958F4" w:rsidRPr="00D46DC7" w:rsidRDefault="00E958F4" w:rsidP="009D4480">
            <w:pPr>
              <w:spacing w:line="360" w:lineRule="auto"/>
              <w:jc w:val="both"/>
              <w:rPr>
                <w:rFonts w:ascii="Corbel" w:eastAsia="Tahoma" w:hAnsi="Corbel" w:cs="Tahoma"/>
                <w:color w:val="000000" w:themeColor="text1"/>
                <w:sz w:val="20"/>
              </w:rPr>
            </w:pPr>
            <w:r w:rsidRPr="00D46DC7">
              <w:rPr>
                <w:rFonts w:ascii="Corbel" w:eastAsia="Tahoma" w:hAnsi="Corbel" w:cs="Tahoma"/>
                <w:i/>
                <w:color w:val="000000" w:themeColor="text1"/>
                <w:sz w:val="20"/>
              </w:rPr>
              <w:t>Logica</w:t>
            </w:r>
          </w:p>
        </w:tc>
        <w:tc>
          <w:tcPr>
            <w:tcW w:w="6913" w:type="dxa"/>
          </w:tcPr>
          <w:p w14:paraId="0D6928D6" w14:textId="27A7FAD3" w:rsidR="00E958F4" w:rsidRPr="00D46DC7" w:rsidRDefault="008604BF" w:rsidP="009D4480">
            <w:pPr>
              <w:spacing w:line="360" w:lineRule="auto"/>
              <w:jc w:val="both"/>
              <w:rPr>
                <w:rFonts w:ascii="Corbel" w:eastAsia="Tahoma" w:hAnsi="Corbel" w:cs="Tahoma"/>
                <w:color w:val="000000" w:themeColor="text1"/>
                <w:sz w:val="20"/>
              </w:rPr>
            </w:pPr>
            <w:r w:rsidRPr="00D46DC7">
              <w:rPr>
                <w:rFonts w:ascii="Corbel" w:eastAsia="Tahoma" w:hAnsi="Corbel" w:cs="Tahoma"/>
                <w:color w:val="000000" w:themeColor="text1"/>
                <w:sz w:val="20"/>
              </w:rPr>
              <w:t xml:space="preserve">Men kan op basis van principes dit risico onderbouwen. Door de hoge mate van onzekerheid en de afwezigheid van statistiek kan onderbouwd worden dat deze case een risico is dat ongeacht de gevolgen een hoge prioriteit moet hebben. </w:t>
            </w:r>
            <w:r w:rsidR="00E958F4" w:rsidRPr="00D46DC7">
              <w:rPr>
                <w:rFonts w:ascii="Corbel" w:eastAsia="Tahoma" w:hAnsi="Corbel" w:cs="Tahoma"/>
                <w:color w:val="000000" w:themeColor="text1"/>
                <w:sz w:val="20"/>
              </w:rPr>
              <w:t xml:space="preserve"> </w:t>
            </w:r>
          </w:p>
        </w:tc>
      </w:tr>
      <w:tr w:rsidR="00E958F4" w:rsidRPr="00D46DC7" w14:paraId="3164BC17" w14:textId="77777777" w:rsidTr="009D4480">
        <w:tc>
          <w:tcPr>
            <w:tcW w:w="2141" w:type="dxa"/>
          </w:tcPr>
          <w:p w14:paraId="227B45D6" w14:textId="77777777" w:rsidR="00E958F4" w:rsidRPr="00D46DC7" w:rsidRDefault="00E958F4" w:rsidP="009D4480">
            <w:pPr>
              <w:spacing w:line="360" w:lineRule="auto"/>
              <w:jc w:val="both"/>
              <w:rPr>
                <w:rFonts w:ascii="Corbel" w:eastAsia="Tahoma" w:hAnsi="Corbel" w:cs="Tahoma"/>
                <w:color w:val="000000" w:themeColor="text1"/>
                <w:sz w:val="20"/>
              </w:rPr>
            </w:pPr>
            <w:r w:rsidRPr="00D46DC7">
              <w:rPr>
                <w:rFonts w:ascii="Corbel" w:eastAsia="Tahoma" w:hAnsi="Corbel" w:cs="Tahoma"/>
                <w:i/>
                <w:color w:val="000000" w:themeColor="text1"/>
                <w:sz w:val="20"/>
              </w:rPr>
              <w:t>Focus (waar kijkt de theorie naar?)</w:t>
            </w:r>
          </w:p>
        </w:tc>
        <w:tc>
          <w:tcPr>
            <w:tcW w:w="6913" w:type="dxa"/>
          </w:tcPr>
          <w:p w14:paraId="6E32E414" w14:textId="3F78A1DC" w:rsidR="00E958F4" w:rsidRPr="00D46DC7" w:rsidRDefault="00E958F4" w:rsidP="009D4480">
            <w:pPr>
              <w:spacing w:line="360" w:lineRule="auto"/>
              <w:jc w:val="both"/>
              <w:rPr>
                <w:rFonts w:ascii="Corbel" w:eastAsia="Tahoma" w:hAnsi="Corbel" w:cs="Tahoma"/>
                <w:color w:val="000000" w:themeColor="text1"/>
                <w:sz w:val="20"/>
              </w:rPr>
            </w:pPr>
            <w:r w:rsidRPr="00D46DC7">
              <w:rPr>
                <w:rFonts w:ascii="Corbel" w:eastAsia="Tahoma" w:hAnsi="Corbel" w:cs="Tahoma"/>
                <w:color w:val="000000" w:themeColor="text1"/>
                <w:sz w:val="20"/>
              </w:rPr>
              <w:t>Universele waarden en gedragsregels die voortkomen uit categorische imperatief. Iedereen moet er mee in kunnen stemmen (een outsider</w:t>
            </w:r>
            <w:r w:rsidR="008604BF" w:rsidRPr="00D46DC7">
              <w:rPr>
                <w:rFonts w:ascii="Corbel" w:eastAsia="Tahoma" w:hAnsi="Corbel" w:cs="Tahoma"/>
                <w:color w:val="000000" w:themeColor="text1"/>
                <w:sz w:val="20"/>
              </w:rPr>
              <w:t xml:space="preserve"> perspectief): het risico is zo groot en onzeker dat niemand eraan blootgesteld wil worden. </w:t>
            </w:r>
          </w:p>
        </w:tc>
      </w:tr>
      <w:tr w:rsidR="00E958F4" w:rsidRPr="00D46DC7" w14:paraId="17068AF4" w14:textId="77777777" w:rsidTr="009D4480">
        <w:trPr>
          <w:trHeight w:val="2045"/>
        </w:trPr>
        <w:tc>
          <w:tcPr>
            <w:tcW w:w="2141" w:type="dxa"/>
          </w:tcPr>
          <w:p w14:paraId="00909CB2" w14:textId="77777777" w:rsidR="00E958F4" w:rsidRPr="00D46DC7" w:rsidRDefault="00E958F4" w:rsidP="009D4480">
            <w:pPr>
              <w:spacing w:line="360" w:lineRule="auto"/>
              <w:jc w:val="both"/>
              <w:rPr>
                <w:rFonts w:ascii="Corbel" w:eastAsia="Tahoma" w:hAnsi="Corbel" w:cs="Tahoma"/>
                <w:color w:val="000000" w:themeColor="text1"/>
                <w:sz w:val="20"/>
              </w:rPr>
            </w:pPr>
            <w:r w:rsidRPr="00D46DC7">
              <w:rPr>
                <w:rFonts w:ascii="Corbel" w:eastAsia="Tahoma" w:hAnsi="Corbel" w:cs="Tahoma"/>
                <w:i/>
                <w:color w:val="000000" w:themeColor="text1"/>
                <w:sz w:val="20"/>
              </w:rPr>
              <w:t>Benadering (rationaliseringswijze)</w:t>
            </w:r>
          </w:p>
        </w:tc>
        <w:tc>
          <w:tcPr>
            <w:tcW w:w="6913" w:type="dxa"/>
          </w:tcPr>
          <w:p w14:paraId="5F001C35" w14:textId="661791D7" w:rsidR="00E958F4" w:rsidRPr="00D46DC7" w:rsidRDefault="00E958F4" w:rsidP="009D4480">
            <w:pPr>
              <w:spacing w:line="360" w:lineRule="auto"/>
              <w:jc w:val="both"/>
              <w:rPr>
                <w:rFonts w:ascii="Corbel" w:eastAsia="Tahoma" w:hAnsi="Corbel" w:cs="Tahoma"/>
                <w:color w:val="000000" w:themeColor="text1"/>
                <w:sz w:val="20"/>
              </w:rPr>
            </w:pPr>
            <w:r w:rsidRPr="00D46DC7">
              <w:rPr>
                <w:rFonts w:ascii="Corbel" w:eastAsia="Tahoma" w:hAnsi="Corbel" w:cs="Tahoma"/>
                <w:color w:val="000000" w:themeColor="text1"/>
                <w:sz w:val="20"/>
              </w:rPr>
              <w:t>Rationalisering volgens onderliggende principes. Mensen moeten denkbeeldig of werkelijk kunnen instemmen met de verdeling. Vrije wil v</w:t>
            </w:r>
            <w:r w:rsidR="008604BF" w:rsidRPr="00D46DC7">
              <w:rPr>
                <w:rFonts w:ascii="Corbel" w:eastAsia="Tahoma" w:hAnsi="Corbel" w:cs="Tahoma"/>
                <w:color w:val="000000" w:themeColor="text1"/>
                <w:sz w:val="20"/>
              </w:rPr>
              <w:t xml:space="preserve">an het individu staat centraal. </w:t>
            </w:r>
            <w:r w:rsidRPr="00D46DC7">
              <w:rPr>
                <w:rFonts w:ascii="Corbel" w:eastAsia="Tahoma" w:hAnsi="Corbel" w:cs="Tahoma"/>
                <w:color w:val="000000" w:themeColor="text1"/>
                <w:sz w:val="20"/>
              </w:rPr>
              <w:t xml:space="preserve">Bepaalde procedures moeten gevolgd worden (bijv. gedachte-experiment van </w:t>
            </w:r>
            <w:proofErr w:type="spellStart"/>
            <w:r w:rsidRPr="00D46DC7">
              <w:rPr>
                <w:rFonts w:ascii="Corbel" w:eastAsia="Tahoma" w:hAnsi="Corbel" w:cs="Tahoma"/>
                <w:color w:val="000000" w:themeColor="text1"/>
                <w:sz w:val="20"/>
              </w:rPr>
              <w:t>Rawls</w:t>
            </w:r>
            <w:proofErr w:type="spellEnd"/>
            <w:r w:rsidRPr="00D46DC7">
              <w:rPr>
                <w:rFonts w:ascii="Corbel" w:eastAsia="Tahoma" w:hAnsi="Corbel" w:cs="Tahoma"/>
                <w:color w:val="000000" w:themeColor="text1"/>
                <w:sz w:val="20"/>
              </w:rPr>
              <w:t>) of toepassen van een principe.</w:t>
            </w:r>
            <w:r w:rsidR="008604BF" w:rsidRPr="00D46DC7">
              <w:rPr>
                <w:rFonts w:ascii="Corbel" w:eastAsia="Tahoma" w:hAnsi="Corbel" w:cs="Tahoma"/>
                <w:color w:val="000000" w:themeColor="text1"/>
                <w:sz w:val="20"/>
              </w:rPr>
              <w:t xml:space="preserve"> In deze case zou dit zo kunnen zijn, maar het is moeilijk vast te stellen. Er zijn namelijk ook veel voorstanders van </w:t>
            </w:r>
            <w:proofErr w:type="spellStart"/>
            <w:r w:rsidR="008604BF" w:rsidRPr="00D46DC7">
              <w:rPr>
                <w:rFonts w:ascii="Corbel" w:eastAsia="Tahoma" w:hAnsi="Corbel" w:cs="Tahoma"/>
                <w:color w:val="000000" w:themeColor="text1"/>
                <w:sz w:val="20"/>
              </w:rPr>
              <w:t>GGO’s</w:t>
            </w:r>
            <w:proofErr w:type="spellEnd"/>
            <w:r w:rsidR="008604BF" w:rsidRPr="00D46DC7">
              <w:rPr>
                <w:rFonts w:ascii="Corbel" w:eastAsia="Tahoma" w:hAnsi="Corbel" w:cs="Tahoma"/>
                <w:color w:val="000000" w:themeColor="text1"/>
                <w:sz w:val="20"/>
              </w:rPr>
              <w:t xml:space="preserve"> die wijzen op voordelen die het heeft voor de maatschappij. Dit punt gaat dus niet automatisch op. </w:t>
            </w:r>
          </w:p>
          <w:p w14:paraId="2246F3E0" w14:textId="3142CA7C" w:rsidR="00E958F4" w:rsidRPr="00D46DC7" w:rsidRDefault="00E958F4" w:rsidP="009D4480">
            <w:pPr>
              <w:spacing w:line="360" w:lineRule="auto"/>
              <w:jc w:val="both"/>
              <w:rPr>
                <w:rFonts w:ascii="Corbel" w:eastAsia="Tahoma" w:hAnsi="Corbel" w:cs="Tahoma"/>
                <w:color w:val="000000" w:themeColor="text1"/>
                <w:sz w:val="20"/>
              </w:rPr>
            </w:pPr>
            <w:r w:rsidRPr="00D46DC7">
              <w:rPr>
                <w:rFonts w:ascii="Corbel" w:eastAsia="Tahoma" w:hAnsi="Corbel" w:cs="Tahoma"/>
                <w:color w:val="000000" w:themeColor="text1"/>
                <w:sz w:val="20"/>
              </w:rPr>
              <w:t>In tegenstelling tot het utilisme is de</w:t>
            </w:r>
            <w:r w:rsidR="008604BF" w:rsidRPr="00D46DC7">
              <w:rPr>
                <w:rFonts w:ascii="Corbel" w:eastAsia="Tahoma" w:hAnsi="Corbel" w:cs="Tahoma"/>
                <w:color w:val="000000" w:themeColor="text1"/>
                <w:sz w:val="20"/>
              </w:rPr>
              <w:t>ze</w:t>
            </w:r>
            <w:r w:rsidRPr="00D46DC7">
              <w:rPr>
                <w:rFonts w:ascii="Corbel" w:eastAsia="Tahoma" w:hAnsi="Corbel" w:cs="Tahoma"/>
                <w:color w:val="000000" w:themeColor="text1"/>
                <w:sz w:val="20"/>
              </w:rPr>
              <w:t xml:space="preserve"> waardering incommensurabel (zoals ook bij de deugdethiek het geval is). </w:t>
            </w:r>
          </w:p>
        </w:tc>
      </w:tr>
      <w:tr w:rsidR="00E958F4" w:rsidRPr="00D46DC7" w14:paraId="17A9F91F" w14:textId="77777777" w:rsidTr="009D4480">
        <w:tc>
          <w:tcPr>
            <w:tcW w:w="2141" w:type="dxa"/>
          </w:tcPr>
          <w:p w14:paraId="710D7D6B" w14:textId="77777777" w:rsidR="00E958F4" w:rsidRPr="00D46DC7" w:rsidRDefault="00E958F4" w:rsidP="009D4480">
            <w:pPr>
              <w:tabs>
                <w:tab w:val="left" w:pos="1166"/>
              </w:tabs>
              <w:spacing w:line="360" w:lineRule="auto"/>
              <w:jc w:val="both"/>
              <w:rPr>
                <w:rFonts w:ascii="Corbel" w:eastAsia="Tahoma" w:hAnsi="Corbel" w:cs="Tahoma"/>
                <w:color w:val="000000" w:themeColor="text1"/>
                <w:sz w:val="20"/>
              </w:rPr>
            </w:pPr>
            <w:r w:rsidRPr="00D46DC7">
              <w:rPr>
                <w:rFonts w:ascii="Corbel" w:eastAsia="Tahoma" w:hAnsi="Corbel" w:cs="Tahoma"/>
                <w:i/>
                <w:color w:val="000000" w:themeColor="text1"/>
                <w:sz w:val="20"/>
              </w:rPr>
              <w:t>Kwetsbaarheden (wat wil men beschermen?)</w:t>
            </w:r>
          </w:p>
        </w:tc>
        <w:tc>
          <w:tcPr>
            <w:tcW w:w="6913" w:type="dxa"/>
          </w:tcPr>
          <w:p w14:paraId="2D91565A" w14:textId="6A5EC7AB" w:rsidR="00E958F4" w:rsidRPr="00D46DC7" w:rsidRDefault="00E958F4" w:rsidP="009D4480">
            <w:pPr>
              <w:spacing w:line="360" w:lineRule="auto"/>
              <w:jc w:val="both"/>
              <w:rPr>
                <w:rFonts w:ascii="Corbel" w:eastAsia="Tahoma" w:hAnsi="Corbel" w:cs="Tahoma"/>
                <w:color w:val="000000" w:themeColor="text1"/>
                <w:sz w:val="20"/>
              </w:rPr>
            </w:pPr>
            <w:r w:rsidRPr="00D46DC7">
              <w:rPr>
                <w:rFonts w:ascii="Corbel" w:eastAsia="Tahoma" w:hAnsi="Corbel" w:cs="Tahoma"/>
                <w:color w:val="000000" w:themeColor="text1"/>
                <w:sz w:val="20"/>
              </w:rPr>
              <w:t xml:space="preserve">Principes die voortkomen uit een geslaagde test met de categorische imperatief: redelijkheid, gelijkheid en autonomie bijvoorbeeld. </w:t>
            </w:r>
            <w:r w:rsidR="008604BF" w:rsidRPr="00D46DC7">
              <w:rPr>
                <w:rFonts w:ascii="Corbel" w:eastAsia="Tahoma" w:hAnsi="Corbel" w:cs="Tahoma"/>
                <w:color w:val="000000" w:themeColor="text1"/>
                <w:sz w:val="20"/>
              </w:rPr>
              <w:t>Zoals gezegd is dit een discutabel punt om te beoordelen.</w:t>
            </w:r>
          </w:p>
          <w:p w14:paraId="3BAA8480" w14:textId="77777777" w:rsidR="00E958F4" w:rsidRPr="00D46DC7" w:rsidRDefault="00E958F4" w:rsidP="009D4480">
            <w:pPr>
              <w:spacing w:line="360" w:lineRule="auto"/>
              <w:jc w:val="both"/>
              <w:rPr>
                <w:rFonts w:ascii="Corbel" w:eastAsia="Tahoma" w:hAnsi="Corbel" w:cs="Tahoma"/>
                <w:color w:val="000000" w:themeColor="text1"/>
                <w:sz w:val="20"/>
              </w:rPr>
            </w:pPr>
          </w:p>
        </w:tc>
      </w:tr>
      <w:tr w:rsidR="00E958F4" w:rsidRPr="00D46DC7" w14:paraId="7109C62D" w14:textId="77777777" w:rsidTr="009D4480">
        <w:tc>
          <w:tcPr>
            <w:tcW w:w="2141" w:type="dxa"/>
          </w:tcPr>
          <w:p w14:paraId="4BE05C96" w14:textId="77777777" w:rsidR="00E958F4" w:rsidRPr="00D46DC7" w:rsidRDefault="00E958F4" w:rsidP="009D4480">
            <w:pPr>
              <w:spacing w:line="360" w:lineRule="auto"/>
              <w:jc w:val="both"/>
              <w:rPr>
                <w:rFonts w:ascii="Corbel" w:eastAsia="Tahoma" w:hAnsi="Corbel" w:cs="Tahoma"/>
                <w:color w:val="000000" w:themeColor="text1"/>
                <w:sz w:val="20"/>
              </w:rPr>
            </w:pPr>
            <w:r w:rsidRPr="00D46DC7">
              <w:rPr>
                <w:rFonts w:ascii="Corbel" w:eastAsia="Tahoma" w:hAnsi="Corbel" w:cs="Tahoma"/>
                <w:i/>
                <w:color w:val="000000" w:themeColor="text1"/>
                <w:sz w:val="20"/>
              </w:rPr>
              <w:lastRenderedPageBreak/>
              <w:t>Gremium</w:t>
            </w:r>
          </w:p>
        </w:tc>
        <w:tc>
          <w:tcPr>
            <w:tcW w:w="6913" w:type="dxa"/>
          </w:tcPr>
          <w:p w14:paraId="794CCBA4" w14:textId="77777777" w:rsidR="00E958F4" w:rsidRPr="00D46DC7" w:rsidRDefault="00E958F4" w:rsidP="008604BF">
            <w:pPr>
              <w:pStyle w:val="Lijstalinea"/>
              <w:numPr>
                <w:ilvl w:val="0"/>
                <w:numId w:val="30"/>
              </w:numPr>
              <w:spacing w:line="360" w:lineRule="auto"/>
              <w:jc w:val="both"/>
              <w:rPr>
                <w:rFonts w:ascii="Corbel" w:eastAsia="Tahoma" w:hAnsi="Corbel" w:cs="Tahoma"/>
                <w:color w:val="000000" w:themeColor="text1"/>
                <w:sz w:val="20"/>
              </w:rPr>
            </w:pPr>
            <w:r w:rsidRPr="00D46DC7">
              <w:rPr>
                <w:rFonts w:ascii="Corbel" w:eastAsia="Tahoma" w:hAnsi="Corbel" w:cs="Tahoma"/>
                <w:color w:val="000000" w:themeColor="text1"/>
                <w:sz w:val="20"/>
              </w:rPr>
              <w:t>Vanuit de democratische gedachte: willekeurig panel uit de samenleving (indien je de vrije keuze centraal stelt)</w:t>
            </w:r>
          </w:p>
          <w:p w14:paraId="122D5B07" w14:textId="77777777" w:rsidR="00E958F4" w:rsidRPr="00D46DC7" w:rsidRDefault="00E958F4" w:rsidP="008604BF">
            <w:pPr>
              <w:pStyle w:val="Lijstalinea"/>
              <w:numPr>
                <w:ilvl w:val="0"/>
                <w:numId w:val="30"/>
              </w:numPr>
              <w:spacing w:line="360" w:lineRule="auto"/>
              <w:jc w:val="both"/>
              <w:rPr>
                <w:rFonts w:ascii="Corbel" w:eastAsia="Tahoma" w:hAnsi="Corbel" w:cs="Tahoma"/>
                <w:color w:val="000000" w:themeColor="text1"/>
                <w:sz w:val="20"/>
              </w:rPr>
            </w:pPr>
            <w:r w:rsidRPr="00D46DC7">
              <w:rPr>
                <w:rFonts w:ascii="Corbel" w:eastAsia="Tahoma" w:hAnsi="Corbel" w:cs="Tahoma"/>
                <w:color w:val="000000" w:themeColor="text1"/>
                <w:sz w:val="20"/>
              </w:rPr>
              <w:t>Toepassen van principes: juristenkwestie (indien principes centraal stelt)</w:t>
            </w:r>
          </w:p>
        </w:tc>
      </w:tr>
    </w:tbl>
    <w:p w14:paraId="713A084A" w14:textId="0D8CCDB3" w:rsidR="00A062AC" w:rsidRPr="00371492" w:rsidRDefault="001C5EA9" w:rsidP="00D46DC7">
      <w:pPr>
        <w:spacing w:line="360" w:lineRule="auto"/>
        <w:ind w:firstLine="360"/>
        <w:jc w:val="both"/>
        <w:rPr>
          <w:rFonts w:ascii="Corbel" w:hAnsi="Corbel"/>
          <w:color w:val="000000" w:themeColor="text1"/>
          <w:sz w:val="20"/>
          <w:szCs w:val="20"/>
        </w:rPr>
      </w:pPr>
      <w:r w:rsidRPr="00371492">
        <w:rPr>
          <w:rFonts w:ascii="Corbel" w:hAnsi="Corbel"/>
          <w:color w:val="000000" w:themeColor="text1"/>
          <w:sz w:val="20"/>
          <w:szCs w:val="20"/>
        </w:rPr>
        <w:t xml:space="preserve">Anderzijds kan de deugdethiek ook voorzien in de onderbouwing. Milieubescherming (of abstracter: het milieu/klimaat) zou gezien kunnen worden als een praktijk in deugdethische termen. </w:t>
      </w:r>
      <w:r w:rsidR="00C96367" w:rsidRPr="00371492">
        <w:rPr>
          <w:rFonts w:ascii="Corbel" w:hAnsi="Corbel"/>
          <w:color w:val="000000" w:themeColor="text1"/>
          <w:sz w:val="20"/>
          <w:szCs w:val="20"/>
        </w:rPr>
        <w:t xml:space="preserve">Deugdzaam handelen vindt plaats binnen een dergelijke concrete praktijk, zoals het milieu. Wanneer kwantificering van de effecten onzeker is, kan een onderbouwing gevonden worden in deugdzame praktijken. Mensen die de praktijk kennen en kunnen beoordelen moeten hierin een rol spelen. In de bespreking van de deugdethiek werden zij oordeelkundigen genoemd. </w:t>
      </w:r>
      <w:r w:rsidRPr="00371492">
        <w:rPr>
          <w:rFonts w:ascii="Corbel" w:hAnsi="Corbel"/>
          <w:color w:val="000000" w:themeColor="text1"/>
          <w:sz w:val="20"/>
          <w:szCs w:val="20"/>
        </w:rPr>
        <w:t xml:space="preserve">Dit risico heeft een mondiaal element: </w:t>
      </w:r>
      <w:r w:rsidR="006C74E3" w:rsidRPr="00371492">
        <w:rPr>
          <w:rFonts w:ascii="Corbel" w:hAnsi="Corbel"/>
          <w:color w:val="000000" w:themeColor="text1"/>
          <w:sz w:val="20"/>
          <w:szCs w:val="20"/>
        </w:rPr>
        <w:t xml:space="preserve">ongewenste </w:t>
      </w:r>
      <w:r w:rsidRPr="00371492">
        <w:rPr>
          <w:rFonts w:ascii="Corbel" w:hAnsi="Corbel"/>
          <w:color w:val="000000" w:themeColor="text1"/>
          <w:sz w:val="20"/>
          <w:szCs w:val="20"/>
        </w:rPr>
        <w:t>v</w:t>
      </w:r>
      <w:r w:rsidR="00932BFB" w:rsidRPr="00371492">
        <w:rPr>
          <w:rFonts w:ascii="Corbel" w:hAnsi="Corbel"/>
          <w:color w:val="000000" w:themeColor="text1"/>
          <w:sz w:val="20"/>
          <w:szCs w:val="20"/>
        </w:rPr>
        <w:t>erspreiding</w:t>
      </w:r>
      <w:r w:rsidR="006C74E3" w:rsidRPr="00371492">
        <w:rPr>
          <w:rFonts w:ascii="Corbel" w:hAnsi="Corbel"/>
          <w:color w:val="000000" w:themeColor="text1"/>
          <w:sz w:val="20"/>
          <w:szCs w:val="20"/>
        </w:rPr>
        <w:t xml:space="preserve"> van </w:t>
      </w:r>
      <w:proofErr w:type="spellStart"/>
      <w:r w:rsidR="006C74E3" w:rsidRPr="00371492">
        <w:rPr>
          <w:rFonts w:ascii="Corbel" w:hAnsi="Corbel"/>
          <w:color w:val="000000" w:themeColor="text1"/>
          <w:sz w:val="20"/>
          <w:szCs w:val="20"/>
        </w:rPr>
        <w:t>GGO’s</w:t>
      </w:r>
      <w:proofErr w:type="spellEnd"/>
      <w:r w:rsidR="00932BFB" w:rsidRPr="00371492">
        <w:rPr>
          <w:rFonts w:ascii="Corbel" w:hAnsi="Corbel"/>
          <w:color w:val="000000" w:themeColor="text1"/>
          <w:sz w:val="20"/>
          <w:szCs w:val="20"/>
        </w:rPr>
        <w:t xml:space="preserve"> kan mondiaal plaatsvinden</w:t>
      </w:r>
      <w:r w:rsidRPr="00371492">
        <w:rPr>
          <w:rFonts w:ascii="Corbel" w:hAnsi="Corbel"/>
          <w:color w:val="000000" w:themeColor="text1"/>
          <w:sz w:val="20"/>
          <w:szCs w:val="20"/>
        </w:rPr>
        <w:t xml:space="preserve"> en </w:t>
      </w:r>
      <w:r w:rsidR="006C74E3" w:rsidRPr="00371492">
        <w:rPr>
          <w:rFonts w:ascii="Corbel" w:hAnsi="Corbel"/>
          <w:color w:val="000000" w:themeColor="text1"/>
          <w:sz w:val="20"/>
          <w:szCs w:val="20"/>
        </w:rPr>
        <w:t xml:space="preserve">de nadelen kunnen </w:t>
      </w:r>
      <w:r w:rsidRPr="00371492">
        <w:rPr>
          <w:rFonts w:ascii="Corbel" w:hAnsi="Corbel"/>
          <w:color w:val="000000" w:themeColor="text1"/>
          <w:sz w:val="20"/>
          <w:szCs w:val="20"/>
        </w:rPr>
        <w:t>de gehele wereldbevolking treffen</w:t>
      </w:r>
      <w:r w:rsidR="00932BFB" w:rsidRPr="00371492">
        <w:rPr>
          <w:rFonts w:ascii="Corbel" w:hAnsi="Corbel"/>
          <w:color w:val="000000" w:themeColor="text1"/>
          <w:sz w:val="20"/>
          <w:szCs w:val="20"/>
        </w:rPr>
        <w:t>.</w:t>
      </w:r>
      <w:r w:rsidRPr="00371492">
        <w:rPr>
          <w:rFonts w:ascii="Corbel" w:hAnsi="Corbel"/>
          <w:color w:val="000000" w:themeColor="text1"/>
          <w:sz w:val="20"/>
          <w:szCs w:val="20"/>
        </w:rPr>
        <w:t xml:space="preserve"> ‘Praktijken’ kunnen kapotgaan door onvoldoende toewijding, wanneer het eigenbelang de voorkeur krijgt. </w:t>
      </w:r>
      <w:r w:rsidR="006C74E3" w:rsidRPr="00371492">
        <w:rPr>
          <w:rFonts w:ascii="Corbel" w:hAnsi="Corbel"/>
          <w:color w:val="000000" w:themeColor="text1"/>
          <w:sz w:val="20"/>
          <w:szCs w:val="20"/>
        </w:rPr>
        <w:t>De uitwerking hiervan zou</w:t>
      </w:r>
      <w:r w:rsidRPr="00371492">
        <w:rPr>
          <w:rFonts w:ascii="Corbel" w:hAnsi="Corbel"/>
          <w:color w:val="000000" w:themeColor="text1"/>
          <w:sz w:val="20"/>
          <w:szCs w:val="20"/>
        </w:rPr>
        <w:t xml:space="preserve"> een afname in vertrouwen in de politiek en/of instituties</w:t>
      </w:r>
      <w:r w:rsidR="006C74E3" w:rsidRPr="00371492">
        <w:rPr>
          <w:rFonts w:ascii="Corbel" w:hAnsi="Corbel"/>
          <w:color w:val="000000" w:themeColor="text1"/>
          <w:sz w:val="20"/>
          <w:szCs w:val="20"/>
        </w:rPr>
        <w:t xml:space="preserve"> kunnen zijn</w:t>
      </w:r>
      <w:r w:rsidRPr="00371492">
        <w:rPr>
          <w:rFonts w:ascii="Corbel" w:hAnsi="Corbel"/>
          <w:color w:val="000000" w:themeColor="text1"/>
          <w:sz w:val="20"/>
          <w:szCs w:val="20"/>
        </w:rPr>
        <w:t xml:space="preserve">. In IBRA wordt dit aspect </w:t>
      </w:r>
      <w:r w:rsidR="006C74E3" w:rsidRPr="00371492">
        <w:rPr>
          <w:rFonts w:ascii="Corbel" w:hAnsi="Corbel"/>
          <w:color w:val="000000" w:themeColor="text1"/>
          <w:sz w:val="20"/>
          <w:szCs w:val="20"/>
        </w:rPr>
        <w:t>‘</w:t>
      </w:r>
      <w:r w:rsidRPr="00371492">
        <w:rPr>
          <w:rFonts w:ascii="Corbel" w:hAnsi="Corbel"/>
          <w:color w:val="000000" w:themeColor="text1"/>
          <w:sz w:val="20"/>
          <w:szCs w:val="20"/>
        </w:rPr>
        <w:t>maatschappelijke en economische ontwrichting genoemd</w:t>
      </w:r>
      <w:r w:rsidR="006C74E3" w:rsidRPr="00371492">
        <w:rPr>
          <w:rFonts w:ascii="Corbel" w:hAnsi="Corbel"/>
          <w:color w:val="000000" w:themeColor="text1"/>
          <w:sz w:val="20"/>
          <w:szCs w:val="20"/>
        </w:rPr>
        <w:t>’</w:t>
      </w:r>
      <w:r w:rsidRPr="00371492">
        <w:rPr>
          <w:rFonts w:ascii="Corbel" w:hAnsi="Corbel"/>
          <w:color w:val="000000" w:themeColor="text1"/>
          <w:sz w:val="20"/>
          <w:szCs w:val="20"/>
        </w:rPr>
        <w:t>.</w:t>
      </w:r>
      <w:r w:rsidR="00A062AC" w:rsidRPr="00371492">
        <w:rPr>
          <w:rFonts w:ascii="Corbel" w:hAnsi="Corbel"/>
          <w:color w:val="000000" w:themeColor="text1"/>
          <w:sz w:val="20"/>
          <w:szCs w:val="20"/>
        </w:rPr>
        <w:t xml:space="preserve"> Ontwrichting is namelijk niet te kwantificeren tot een getal. Dit perspectief vraagt om een kwalitatieve waardering, in tegenstelling tot de kwantitatieve waardering die op dit moment aan het gehele risico gehangen wordt. Oordeelkundigen (mensen die de praktijk kennen en beoordelen) zijn in staat om hier een beoordeling aan te geven.</w:t>
      </w:r>
      <w:r w:rsidR="00A062AC" w:rsidRPr="00371492">
        <w:rPr>
          <w:rFonts w:ascii="Corbel" w:hAnsi="Corbel"/>
          <w:i/>
          <w:color w:val="000000" w:themeColor="text1"/>
          <w:sz w:val="20"/>
          <w:szCs w:val="20"/>
        </w:rPr>
        <w:t xml:space="preserve"> </w:t>
      </w:r>
      <w:r w:rsidR="00A062AC" w:rsidRPr="00371492">
        <w:rPr>
          <w:rFonts w:ascii="Corbel" w:hAnsi="Corbel"/>
          <w:color w:val="000000" w:themeColor="text1"/>
          <w:sz w:val="20"/>
          <w:szCs w:val="20"/>
        </w:rPr>
        <w:t xml:space="preserve">De kwalitatieve waardering is noodzakelijk omdat anders niet alle perspectieven van het risico een plek krijgen in de analyse. </w:t>
      </w:r>
    </w:p>
    <w:p w14:paraId="379C75D9" w14:textId="4195E422" w:rsidR="006F4DAE" w:rsidRPr="00371492" w:rsidRDefault="006F4DAE" w:rsidP="0089413D">
      <w:pPr>
        <w:spacing w:line="360" w:lineRule="auto"/>
        <w:ind w:firstLine="360"/>
        <w:jc w:val="both"/>
        <w:rPr>
          <w:rFonts w:ascii="Corbel" w:hAnsi="Corbel"/>
          <w:color w:val="000000" w:themeColor="text1"/>
          <w:sz w:val="20"/>
          <w:szCs w:val="20"/>
        </w:rPr>
      </w:pPr>
      <w:r w:rsidRPr="00371492">
        <w:rPr>
          <w:rFonts w:ascii="Corbel" w:hAnsi="Corbel"/>
          <w:color w:val="000000" w:themeColor="text1"/>
          <w:sz w:val="20"/>
          <w:szCs w:val="20"/>
        </w:rPr>
        <w:t>De ILT ziet toe op markttoelating, klinische trials en veldproeven. Ook daar komen sporadisch incidenten voor, tot nu toe zonder schade (</w:t>
      </w:r>
      <w:r w:rsidR="0037116F">
        <w:rPr>
          <w:rFonts w:ascii="Corbel" w:hAnsi="Corbel"/>
          <w:color w:val="000000" w:themeColor="text1"/>
          <w:sz w:val="20"/>
          <w:szCs w:val="20"/>
        </w:rPr>
        <w:t>ILT, 201</w:t>
      </w:r>
      <w:r w:rsidR="004E2A1D" w:rsidRPr="00371492">
        <w:rPr>
          <w:rFonts w:ascii="Corbel" w:hAnsi="Corbel"/>
          <w:color w:val="000000" w:themeColor="text1"/>
          <w:sz w:val="20"/>
          <w:szCs w:val="20"/>
        </w:rPr>
        <w:t>7</w:t>
      </w:r>
      <w:r w:rsidRPr="00371492">
        <w:rPr>
          <w:rFonts w:ascii="Corbel" w:hAnsi="Corbel"/>
          <w:color w:val="000000" w:themeColor="text1"/>
          <w:sz w:val="20"/>
          <w:szCs w:val="20"/>
        </w:rPr>
        <w:t>).</w:t>
      </w:r>
      <w:r w:rsidR="006C74E3" w:rsidRPr="00371492">
        <w:rPr>
          <w:rFonts w:ascii="Corbel" w:hAnsi="Corbel"/>
          <w:color w:val="000000" w:themeColor="text1"/>
          <w:sz w:val="20"/>
          <w:szCs w:val="20"/>
        </w:rPr>
        <w:t xml:space="preserve"> </w:t>
      </w:r>
      <w:r w:rsidR="0089413D" w:rsidRPr="00371492">
        <w:rPr>
          <w:rFonts w:ascii="Corbel" w:hAnsi="Corbel"/>
          <w:color w:val="000000" w:themeColor="text1"/>
          <w:sz w:val="20"/>
          <w:szCs w:val="20"/>
        </w:rPr>
        <w:t xml:space="preserve">Welke ethische argumentatie is </w:t>
      </w:r>
      <w:r w:rsidR="00737FE4" w:rsidRPr="00371492">
        <w:rPr>
          <w:rFonts w:ascii="Corbel" w:hAnsi="Corbel"/>
          <w:color w:val="000000" w:themeColor="text1"/>
          <w:sz w:val="20"/>
          <w:szCs w:val="20"/>
        </w:rPr>
        <w:t>hiervoor</w:t>
      </w:r>
      <w:r w:rsidR="0089413D" w:rsidRPr="00371492">
        <w:rPr>
          <w:rFonts w:ascii="Corbel" w:hAnsi="Corbel"/>
          <w:color w:val="000000" w:themeColor="text1"/>
          <w:sz w:val="20"/>
          <w:szCs w:val="20"/>
        </w:rPr>
        <w:t xml:space="preserve"> te </w:t>
      </w:r>
      <w:r w:rsidR="004E2A1D" w:rsidRPr="00371492">
        <w:rPr>
          <w:rFonts w:ascii="Corbel" w:hAnsi="Corbel"/>
          <w:color w:val="000000" w:themeColor="text1"/>
          <w:sz w:val="20"/>
          <w:szCs w:val="20"/>
        </w:rPr>
        <w:t>geven</w:t>
      </w:r>
      <w:r w:rsidR="0089413D" w:rsidRPr="00371492">
        <w:rPr>
          <w:rFonts w:ascii="Corbel" w:hAnsi="Corbel"/>
          <w:color w:val="000000" w:themeColor="text1"/>
          <w:sz w:val="20"/>
          <w:szCs w:val="20"/>
        </w:rPr>
        <w:t>?</w:t>
      </w:r>
      <w:r w:rsidR="00737FE4" w:rsidRPr="00371492">
        <w:rPr>
          <w:rFonts w:ascii="Corbel" w:hAnsi="Corbel"/>
          <w:color w:val="000000" w:themeColor="text1"/>
          <w:sz w:val="20"/>
          <w:szCs w:val="20"/>
        </w:rPr>
        <w:t xml:space="preserve"> Doe je dit op basis van de utiliteit, deontologie of deugdethiek?</w:t>
      </w:r>
    </w:p>
    <w:p w14:paraId="07DC3FBC" w14:textId="77777777" w:rsidR="006C74E3" w:rsidRPr="00371492" w:rsidRDefault="006C74E3" w:rsidP="006C74E3">
      <w:pPr>
        <w:spacing w:line="360" w:lineRule="auto"/>
        <w:rPr>
          <w:rFonts w:ascii="Corbel" w:hAnsi="Corbel"/>
          <w:color w:val="FF0000"/>
          <w:sz w:val="20"/>
          <w:szCs w:val="20"/>
        </w:rPr>
      </w:pPr>
    </w:p>
    <w:p w14:paraId="5DA87829" w14:textId="3331E398" w:rsidR="002A42AA" w:rsidRPr="00371492" w:rsidRDefault="002A42AA" w:rsidP="00510131">
      <w:pPr>
        <w:pStyle w:val="Stijl2"/>
      </w:pPr>
      <w:bookmarkStart w:id="52" w:name="_Toc485990892"/>
      <w:r w:rsidRPr="00371492">
        <w:t>Deelconclusie</w:t>
      </w:r>
      <w:bookmarkEnd w:id="52"/>
    </w:p>
    <w:p w14:paraId="4B2452CF" w14:textId="39ED5E0D" w:rsidR="00977C9A" w:rsidRPr="00371492" w:rsidRDefault="004E2A1D" w:rsidP="002A42AA">
      <w:pPr>
        <w:spacing w:line="360" w:lineRule="auto"/>
        <w:jc w:val="both"/>
        <w:rPr>
          <w:rFonts w:ascii="Corbel" w:hAnsi="Corbel"/>
          <w:sz w:val="20"/>
          <w:szCs w:val="20"/>
        </w:rPr>
      </w:pPr>
      <w:r w:rsidRPr="00371492">
        <w:rPr>
          <w:rFonts w:ascii="Corbel" w:hAnsi="Corbel"/>
          <w:sz w:val="20"/>
          <w:szCs w:val="20"/>
        </w:rPr>
        <w:t xml:space="preserve">Na de bespreking van de aanwezige ethische aspecten van het risico ‘Ongewenste verspreiding genetisch gemanipuleerde organismen’ en de mogelijkheden tot uitbreiding van de argumentatie is het tijd om de balans op te maken. Wat zijn de bevindingen voor deze case? Hierbij zal wederom gebruik gemaakt worden van een driedeling in kleuren: </w:t>
      </w:r>
      <w:r w:rsidRPr="00371492">
        <w:rPr>
          <w:rFonts w:ascii="Corbel" w:hAnsi="Corbel"/>
          <w:b/>
          <w:color w:val="70AD47" w:themeColor="accent6"/>
          <w:sz w:val="20"/>
          <w:szCs w:val="20"/>
        </w:rPr>
        <w:t>[expliciet aanwezig</w:t>
      </w:r>
      <w:proofErr w:type="gramStart"/>
      <w:r w:rsidRPr="00371492">
        <w:rPr>
          <w:rFonts w:ascii="Corbel" w:hAnsi="Corbel"/>
          <w:b/>
          <w:color w:val="70AD47" w:themeColor="accent6"/>
          <w:sz w:val="20"/>
          <w:szCs w:val="20"/>
        </w:rPr>
        <w:t xml:space="preserve">] </w:t>
      </w:r>
      <w:r w:rsidRPr="00371492">
        <w:rPr>
          <w:rFonts w:ascii="Corbel" w:hAnsi="Corbel"/>
          <w:b/>
          <w:sz w:val="20"/>
          <w:szCs w:val="20"/>
        </w:rPr>
        <w:t>/</w:t>
      </w:r>
      <w:proofErr w:type="gramEnd"/>
      <w:r w:rsidRPr="00371492">
        <w:rPr>
          <w:rFonts w:ascii="Corbel" w:hAnsi="Corbel"/>
          <w:b/>
          <w:sz w:val="20"/>
          <w:szCs w:val="20"/>
        </w:rPr>
        <w:t xml:space="preserve"> </w:t>
      </w:r>
      <w:r w:rsidRPr="00371492">
        <w:rPr>
          <w:rFonts w:ascii="Corbel" w:hAnsi="Corbel"/>
          <w:b/>
          <w:color w:val="ED7D31" w:themeColor="accent2"/>
          <w:sz w:val="20"/>
          <w:szCs w:val="20"/>
        </w:rPr>
        <w:t xml:space="preserve">[impliciet aanwezig] </w:t>
      </w:r>
      <w:r w:rsidRPr="00371492">
        <w:rPr>
          <w:rFonts w:ascii="Corbel" w:hAnsi="Corbel"/>
          <w:b/>
          <w:sz w:val="20"/>
          <w:szCs w:val="20"/>
        </w:rPr>
        <w:t xml:space="preserve">/ </w:t>
      </w:r>
      <w:r w:rsidRPr="00371492">
        <w:rPr>
          <w:rFonts w:ascii="Corbel" w:hAnsi="Corbel"/>
          <w:b/>
          <w:color w:val="C00000"/>
          <w:sz w:val="20"/>
          <w:szCs w:val="20"/>
        </w:rPr>
        <w:t>[afwezig maar mogelijk zijn]</w:t>
      </w:r>
      <w:r w:rsidRPr="00371492">
        <w:rPr>
          <w:rFonts w:ascii="Corbel" w:hAnsi="Corbel"/>
          <w:sz w:val="20"/>
          <w:szCs w:val="20"/>
        </w:rPr>
        <w:t>.</w:t>
      </w:r>
      <w:r w:rsidR="00A04520" w:rsidRPr="00371492">
        <w:rPr>
          <w:rFonts w:ascii="Corbel" w:hAnsi="Corbel"/>
          <w:sz w:val="20"/>
          <w:szCs w:val="20"/>
        </w:rPr>
        <w:t xml:space="preserve"> </w:t>
      </w:r>
    </w:p>
    <w:p w14:paraId="7DCB7B19" w14:textId="69E3C3BF" w:rsidR="00917157" w:rsidRPr="00371492" w:rsidRDefault="00A04520" w:rsidP="00917157">
      <w:pPr>
        <w:spacing w:line="360" w:lineRule="auto"/>
        <w:jc w:val="both"/>
        <w:rPr>
          <w:rFonts w:ascii="Corbel" w:hAnsi="Corbel"/>
          <w:color w:val="000000" w:themeColor="text1"/>
          <w:sz w:val="20"/>
          <w:szCs w:val="20"/>
        </w:rPr>
      </w:pPr>
      <w:r w:rsidRPr="00371492">
        <w:rPr>
          <w:rFonts w:ascii="Corbel" w:hAnsi="Corbel"/>
          <w:sz w:val="20"/>
          <w:szCs w:val="20"/>
        </w:rPr>
        <w:tab/>
        <w:t xml:space="preserve">Zoals in elke case tot nu toe is vastgesteld is de </w:t>
      </w:r>
      <w:r w:rsidRPr="00371492">
        <w:rPr>
          <w:rFonts w:ascii="Corbel" w:hAnsi="Corbel"/>
          <w:b/>
          <w:color w:val="70AD47" w:themeColor="accent6"/>
          <w:sz w:val="20"/>
          <w:szCs w:val="20"/>
        </w:rPr>
        <w:t>utilitaire onderbouwing expliciet aanwezig</w:t>
      </w:r>
      <w:r w:rsidRPr="00371492">
        <w:rPr>
          <w:rFonts w:ascii="Corbel" w:hAnsi="Corbel"/>
          <w:sz w:val="20"/>
          <w:szCs w:val="20"/>
        </w:rPr>
        <w:t xml:space="preserve">, redenen daarvoor zijn ook al meerdere malen gegeven. Toch blijkt in deze case ook weer dat er aanknopingspunten zijn om het risico vanuit zowel de deontologie als de deugdethiek aan te vliegen. </w:t>
      </w:r>
      <w:r w:rsidR="00280A2A" w:rsidRPr="00371492">
        <w:rPr>
          <w:rFonts w:ascii="Corbel" w:hAnsi="Corbel"/>
          <w:b/>
          <w:color w:val="C00000"/>
          <w:sz w:val="20"/>
          <w:szCs w:val="20"/>
        </w:rPr>
        <w:t>Beide ethische theorieën zijn dan ook afwezig maar</w:t>
      </w:r>
      <w:r w:rsidR="00917157" w:rsidRPr="00371492">
        <w:rPr>
          <w:rFonts w:ascii="Corbel" w:hAnsi="Corbel"/>
          <w:b/>
          <w:color w:val="C00000"/>
          <w:sz w:val="20"/>
          <w:szCs w:val="20"/>
        </w:rPr>
        <w:t xml:space="preserve"> een toepassing is</w:t>
      </w:r>
      <w:r w:rsidR="00280A2A" w:rsidRPr="00371492">
        <w:rPr>
          <w:rFonts w:ascii="Corbel" w:hAnsi="Corbel"/>
          <w:b/>
          <w:color w:val="C00000"/>
          <w:sz w:val="20"/>
          <w:szCs w:val="20"/>
        </w:rPr>
        <w:t xml:space="preserve"> mogelijk.</w:t>
      </w:r>
      <w:r w:rsidR="00917157" w:rsidRPr="00371492">
        <w:rPr>
          <w:rFonts w:ascii="Corbel" w:hAnsi="Corbel"/>
          <w:b/>
          <w:color w:val="C00000"/>
          <w:sz w:val="20"/>
          <w:szCs w:val="20"/>
        </w:rPr>
        <w:t xml:space="preserve"> </w:t>
      </w:r>
      <w:r w:rsidR="00917157" w:rsidRPr="00371492">
        <w:rPr>
          <w:rFonts w:ascii="Corbel" w:hAnsi="Corbel"/>
          <w:color w:val="000000" w:themeColor="text1"/>
          <w:sz w:val="20"/>
          <w:szCs w:val="20"/>
        </w:rPr>
        <w:t xml:space="preserve">Zoals duidelijk werd uit de analyse bestaat er veel onzekerheid over dit risico. De schatting van het schadebedrag draagt deze onzekerheid in zich. In de risicosheet wordt gesteld dat verwacht wordt dat men de effecten van dit risico met een factor 5 tot 10 onderschat. De gevaren kunnen dus hoger zijn dan verwacht. Juist op deze onzekerheid geeft de deontologie en deugdethiek de ruimte om een onderbouwing te bieden. </w:t>
      </w:r>
      <w:r w:rsidR="008C1488">
        <w:rPr>
          <w:rFonts w:ascii="Corbel" w:hAnsi="Corbel"/>
          <w:color w:val="000000" w:themeColor="text1"/>
          <w:sz w:val="20"/>
          <w:szCs w:val="20"/>
        </w:rPr>
        <w:t xml:space="preserve">Beide theorieën bieden aanknopingspunten. </w:t>
      </w:r>
      <w:r w:rsidR="00917157" w:rsidRPr="00371492">
        <w:rPr>
          <w:rFonts w:ascii="Corbel" w:hAnsi="Corbel"/>
          <w:color w:val="000000" w:themeColor="text1"/>
          <w:sz w:val="20"/>
          <w:szCs w:val="20"/>
        </w:rPr>
        <w:t xml:space="preserve">De deontologie kan toegepast worden omdat er </w:t>
      </w:r>
      <w:r w:rsidR="006461F0" w:rsidRPr="00371492">
        <w:rPr>
          <w:rFonts w:ascii="Corbel" w:hAnsi="Corbel"/>
          <w:color w:val="000000" w:themeColor="text1"/>
          <w:sz w:val="20"/>
          <w:szCs w:val="20"/>
        </w:rPr>
        <w:t>gehandeld</w:t>
      </w:r>
      <w:r w:rsidR="00917157" w:rsidRPr="00371492">
        <w:rPr>
          <w:rFonts w:ascii="Corbel" w:hAnsi="Corbel"/>
          <w:color w:val="000000" w:themeColor="text1"/>
          <w:sz w:val="20"/>
          <w:szCs w:val="20"/>
        </w:rPr>
        <w:t xml:space="preserve"> moet worden vanuit een bepaald principe. In het geval van </w:t>
      </w:r>
      <w:proofErr w:type="spellStart"/>
      <w:r w:rsidR="00917157" w:rsidRPr="00371492">
        <w:rPr>
          <w:rFonts w:ascii="Corbel" w:hAnsi="Corbel"/>
          <w:color w:val="000000" w:themeColor="text1"/>
          <w:sz w:val="20"/>
          <w:szCs w:val="20"/>
        </w:rPr>
        <w:t>GGO’s</w:t>
      </w:r>
      <w:proofErr w:type="spellEnd"/>
      <w:r w:rsidR="00917157" w:rsidRPr="00371492">
        <w:rPr>
          <w:rFonts w:ascii="Corbel" w:hAnsi="Corbel"/>
          <w:color w:val="000000" w:themeColor="text1"/>
          <w:sz w:val="20"/>
          <w:szCs w:val="20"/>
        </w:rPr>
        <w:t xml:space="preserve"> kan men denken aan redelijkheid bijvoorbeeld. De invulling daarvan kan gebeuren via de democratische weg: met een willekeurig panel uit de samenleving of via het toepassen van principes door juristen. De invulling kan ook </w:t>
      </w:r>
      <w:r w:rsidR="00917157" w:rsidRPr="00371492">
        <w:rPr>
          <w:rFonts w:ascii="Corbel" w:hAnsi="Corbel"/>
          <w:color w:val="000000" w:themeColor="text1"/>
          <w:sz w:val="20"/>
          <w:szCs w:val="20"/>
        </w:rPr>
        <w:lastRenderedPageBreak/>
        <w:t xml:space="preserve">geschieden via de weg van de deugdethiek. </w:t>
      </w:r>
      <w:r w:rsidR="00D4078E" w:rsidRPr="00371492">
        <w:rPr>
          <w:rFonts w:ascii="Corbel" w:hAnsi="Corbel"/>
          <w:color w:val="000000" w:themeColor="text1"/>
          <w:sz w:val="20"/>
          <w:szCs w:val="20"/>
        </w:rPr>
        <w:t xml:space="preserve">In dat geval staat de bescherming van de praktijk, waar deugdzaam handelen plaatsvindt, centraal. Een ethische commissie zou zich over de zaak kunnen buigen. Belangrijk hierbij is dat de leden van die commissie de praktijk kennen en kunnen beoordelen. </w:t>
      </w:r>
      <w:r w:rsidR="00917157" w:rsidRPr="00371492">
        <w:rPr>
          <w:rFonts w:ascii="Corbel" w:hAnsi="Corbel"/>
          <w:color w:val="000000" w:themeColor="text1"/>
          <w:sz w:val="20"/>
          <w:szCs w:val="20"/>
        </w:rPr>
        <w:t>Hieronder is een schematisch overzicht van de ethische argumentatie in deze casus opgenomen:</w:t>
      </w:r>
    </w:p>
    <w:tbl>
      <w:tblPr>
        <w:tblStyle w:val="Tabelraster"/>
        <w:tblpPr w:leftFromText="141" w:rightFromText="141" w:vertAnchor="text" w:horzAnchor="page" w:tblpX="3070" w:tblpY="386"/>
        <w:tblW w:w="0" w:type="auto"/>
        <w:tblLook w:val="04A0" w:firstRow="1" w:lastRow="0" w:firstColumn="1" w:lastColumn="0" w:noHBand="0" w:noVBand="1"/>
      </w:tblPr>
      <w:tblGrid>
        <w:gridCol w:w="1698"/>
        <w:gridCol w:w="4090"/>
      </w:tblGrid>
      <w:tr w:rsidR="00917157" w:rsidRPr="00371492" w14:paraId="7C02ABB0" w14:textId="77777777" w:rsidTr="00917157">
        <w:tc>
          <w:tcPr>
            <w:tcW w:w="5788" w:type="dxa"/>
            <w:gridSpan w:val="2"/>
          </w:tcPr>
          <w:p w14:paraId="03A214C0" w14:textId="77777777" w:rsidR="00917157" w:rsidRPr="00371492" w:rsidRDefault="00917157" w:rsidP="00917157">
            <w:pPr>
              <w:spacing w:line="360" w:lineRule="auto"/>
              <w:jc w:val="center"/>
              <w:rPr>
                <w:rFonts w:ascii="Corbel" w:hAnsi="Corbel"/>
                <w:i/>
                <w:color w:val="000000" w:themeColor="text1"/>
                <w:sz w:val="20"/>
                <w:szCs w:val="20"/>
              </w:rPr>
            </w:pPr>
            <w:r w:rsidRPr="00371492">
              <w:rPr>
                <w:rFonts w:ascii="Corbel" w:hAnsi="Corbel"/>
                <w:i/>
                <w:color w:val="000000" w:themeColor="text1"/>
                <w:sz w:val="20"/>
                <w:szCs w:val="20"/>
              </w:rPr>
              <w:t>Snapshot ethische argumentatie: casus 3</w:t>
            </w:r>
          </w:p>
        </w:tc>
      </w:tr>
      <w:tr w:rsidR="00917157" w:rsidRPr="00371492" w14:paraId="111CEE4A" w14:textId="77777777" w:rsidTr="00917157">
        <w:tc>
          <w:tcPr>
            <w:tcW w:w="1698" w:type="dxa"/>
          </w:tcPr>
          <w:p w14:paraId="0D818A02" w14:textId="77777777" w:rsidR="00917157" w:rsidRPr="00371492" w:rsidRDefault="00917157" w:rsidP="00917157">
            <w:pPr>
              <w:spacing w:line="360" w:lineRule="auto"/>
              <w:jc w:val="both"/>
              <w:rPr>
                <w:rFonts w:ascii="Corbel" w:hAnsi="Corbel"/>
                <w:b/>
                <w:color w:val="000000" w:themeColor="text1"/>
                <w:sz w:val="20"/>
                <w:szCs w:val="20"/>
              </w:rPr>
            </w:pPr>
            <w:r w:rsidRPr="00371492">
              <w:rPr>
                <w:rFonts w:ascii="Corbel" w:hAnsi="Corbel"/>
                <w:b/>
                <w:color w:val="000000" w:themeColor="text1"/>
                <w:sz w:val="20"/>
                <w:szCs w:val="20"/>
              </w:rPr>
              <w:t>Utiliteit</w:t>
            </w:r>
          </w:p>
        </w:tc>
        <w:tc>
          <w:tcPr>
            <w:tcW w:w="4090" w:type="dxa"/>
          </w:tcPr>
          <w:p w14:paraId="3D982700" w14:textId="77777777" w:rsidR="00917157" w:rsidRPr="00371492" w:rsidRDefault="00917157" w:rsidP="00917157">
            <w:pPr>
              <w:spacing w:line="360" w:lineRule="auto"/>
              <w:jc w:val="both"/>
              <w:rPr>
                <w:rFonts w:ascii="Corbel" w:hAnsi="Corbel"/>
                <w:b/>
                <w:color w:val="FF0000"/>
                <w:sz w:val="20"/>
                <w:szCs w:val="20"/>
              </w:rPr>
            </w:pPr>
            <w:r w:rsidRPr="00371492">
              <w:rPr>
                <w:rFonts w:ascii="Corbel" w:hAnsi="Corbel"/>
                <w:b/>
                <w:color w:val="70AD47" w:themeColor="accent6"/>
                <w:sz w:val="20"/>
                <w:szCs w:val="20"/>
              </w:rPr>
              <w:t>Expliciet aanwezig</w:t>
            </w:r>
          </w:p>
        </w:tc>
      </w:tr>
      <w:tr w:rsidR="00917157" w:rsidRPr="00371492" w14:paraId="0800FEC5" w14:textId="77777777" w:rsidTr="00917157">
        <w:tc>
          <w:tcPr>
            <w:tcW w:w="1698" w:type="dxa"/>
          </w:tcPr>
          <w:p w14:paraId="1DEE44B5" w14:textId="77777777" w:rsidR="00917157" w:rsidRPr="00371492" w:rsidRDefault="00917157" w:rsidP="00917157">
            <w:pPr>
              <w:spacing w:line="360" w:lineRule="auto"/>
              <w:jc w:val="both"/>
              <w:rPr>
                <w:rFonts w:ascii="Corbel" w:hAnsi="Corbel"/>
                <w:b/>
                <w:color w:val="000000" w:themeColor="text1"/>
                <w:sz w:val="20"/>
                <w:szCs w:val="20"/>
              </w:rPr>
            </w:pPr>
            <w:r w:rsidRPr="00371492">
              <w:rPr>
                <w:rFonts w:ascii="Corbel" w:hAnsi="Corbel"/>
                <w:b/>
                <w:color w:val="000000" w:themeColor="text1"/>
                <w:sz w:val="20"/>
                <w:szCs w:val="20"/>
              </w:rPr>
              <w:t>Deontologie</w:t>
            </w:r>
          </w:p>
        </w:tc>
        <w:tc>
          <w:tcPr>
            <w:tcW w:w="4090" w:type="dxa"/>
          </w:tcPr>
          <w:p w14:paraId="58CE9397" w14:textId="77777777" w:rsidR="00917157" w:rsidRPr="00371492" w:rsidRDefault="00917157" w:rsidP="00917157">
            <w:pPr>
              <w:spacing w:line="360" w:lineRule="auto"/>
              <w:jc w:val="both"/>
              <w:rPr>
                <w:rFonts w:ascii="Corbel" w:hAnsi="Corbel"/>
                <w:b/>
                <w:color w:val="FF0000"/>
                <w:sz w:val="20"/>
                <w:szCs w:val="20"/>
              </w:rPr>
            </w:pPr>
            <w:r w:rsidRPr="00371492">
              <w:rPr>
                <w:rFonts w:ascii="Corbel" w:hAnsi="Corbel"/>
                <w:b/>
                <w:color w:val="FF0000"/>
                <w:sz w:val="20"/>
                <w:szCs w:val="20"/>
              </w:rPr>
              <w:t>Afwezig maar mogelijk</w:t>
            </w:r>
          </w:p>
        </w:tc>
      </w:tr>
      <w:tr w:rsidR="00917157" w:rsidRPr="00371492" w14:paraId="0BE442C1" w14:textId="77777777" w:rsidTr="00917157">
        <w:trPr>
          <w:trHeight w:val="323"/>
        </w:trPr>
        <w:tc>
          <w:tcPr>
            <w:tcW w:w="1698" w:type="dxa"/>
          </w:tcPr>
          <w:p w14:paraId="293A8929" w14:textId="77777777" w:rsidR="00917157" w:rsidRPr="00371492" w:rsidRDefault="00917157" w:rsidP="00917157">
            <w:pPr>
              <w:spacing w:line="360" w:lineRule="auto"/>
              <w:jc w:val="both"/>
              <w:rPr>
                <w:rFonts w:ascii="Corbel" w:hAnsi="Corbel"/>
                <w:b/>
                <w:color w:val="000000" w:themeColor="text1"/>
                <w:sz w:val="20"/>
                <w:szCs w:val="20"/>
              </w:rPr>
            </w:pPr>
            <w:r w:rsidRPr="00371492">
              <w:rPr>
                <w:rFonts w:ascii="Corbel" w:hAnsi="Corbel"/>
                <w:b/>
                <w:color w:val="000000" w:themeColor="text1"/>
                <w:sz w:val="20"/>
                <w:szCs w:val="20"/>
              </w:rPr>
              <w:t>Deugdethiek</w:t>
            </w:r>
          </w:p>
        </w:tc>
        <w:tc>
          <w:tcPr>
            <w:tcW w:w="4090" w:type="dxa"/>
          </w:tcPr>
          <w:p w14:paraId="45ACA935" w14:textId="77777777" w:rsidR="00917157" w:rsidRPr="00371492" w:rsidRDefault="00917157" w:rsidP="00917157">
            <w:pPr>
              <w:spacing w:line="360" w:lineRule="auto"/>
              <w:jc w:val="both"/>
              <w:rPr>
                <w:rFonts w:ascii="Corbel" w:hAnsi="Corbel"/>
                <w:b/>
                <w:color w:val="FF0000"/>
                <w:sz w:val="20"/>
                <w:szCs w:val="20"/>
              </w:rPr>
            </w:pPr>
            <w:r w:rsidRPr="00371492">
              <w:rPr>
                <w:rFonts w:ascii="Corbel" w:hAnsi="Corbel"/>
                <w:b/>
                <w:color w:val="FF0000"/>
                <w:sz w:val="20"/>
                <w:szCs w:val="20"/>
              </w:rPr>
              <w:t xml:space="preserve">Afwezig maar mogelijk </w:t>
            </w:r>
          </w:p>
        </w:tc>
      </w:tr>
    </w:tbl>
    <w:p w14:paraId="2125CE95" w14:textId="77777777" w:rsidR="009858BB" w:rsidRPr="00371492" w:rsidRDefault="009858BB" w:rsidP="00885632">
      <w:pPr>
        <w:widowControl w:val="0"/>
        <w:autoSpaceDE w:val="0"/>
        <w:autoSpaceDN w:val="0"/>
        <w:adjustRightInd w:val="0"/>
        <w:spacing w:after="240" w:line="340" w:lineRule="atLeast"/>
        <w:rPr>
          <w:rFonts w:ascii="Corbel" w:hAnsi="Corbel"/>
          <w:sz w:val="20"/>
          <w:szCs w:val="20"/>
        </w:rPr>
      </w:pPr>
    </w:p>
    <w:p w14:paraId="4272DC2E" w14:textId="77777777" w:rsidR="009858BB" w:rsidRPr="00371492" w:rsidRDefault="009858BB" w:rsidP="00885632">
      <w:pPr>
        <w:widowControl w:val="0"/>
        <w:autoSpaceDE w:val="0"/>
        <w:autoSpaceDN w:val="0"/>
        <w:adjustRightInd w:val="0"/>
        <w:spacing w:after="240" w:line="340" w:lineRule="atLeast"/>
        <w:rPr>
          <w:rFonts w:ascii="Corbel" w:hAnsi="Corbel"/>
          <w:sz w:val="20"/>
          <w:szCs w:val="20"/>
        </w:rPr>
      </w:pPr>
    </w:p>
    <w:p w14:paraId="4FF082E9" w14:textId="77777777" w:rsidR="00E161C2" w:rsidRPr="00371492" w:rsidRDefault="00E161C2" w:rsidP="00885632">
      <w:pPr>
        <w:widowControl w:val="0"/>
        <w:autoSpaceDE w:val="0"/>
        <w:autoSpaceDN w:val="0"/>
        <w:adjustRightInd w:val="0"/>
        <w:spacing w:after="240" w:line="340" w:lineRule="atLeast"/>
        <w:rPr>
          <w:rFonts w:ascii="Corbel" w:hAnsi="Corbel"/>
          <w:sz w:val="20"/>
          <w:szCs w:val="20"/>
        </w:rPr>
      </w:pPr>
    </w:p>
    <w:p w14:paraId="684A8FC0" w14:textId="77777777" w:rsidR="00917157" w:rsidRPr="00371492" w:rsidRDefault="00917157" w:rsidP="00885632">
      <w:pPr>
        <w:widowControl w:val="0"/>
        <w:autoSpaceDE w:val="0"/>
        <w:autoSpaceDN w:val="0"/>
        <w:adjustRightInd w:val="0"/>
        <w:spacing w:after="240" w:line="340" w:lineRule="atLeast"/>
        <w:rPr>
          <w:rFonts w:ascii="Corbel" w:hAnsi="Corbel"/>
          <w:sz w:val="20"/>
          <w:szCs w:val="20"/>
        </w:rPr>
      </w:pPr>
    </w:p>
    <w:p w14:paraId="0F79A194" w14:textId="324F431C" w:rsidR="00917157" w:rsidRDefault="00F34675" w:rsidP="00C47C6B">
      <w:pPr>
        <w:pStyle w:val="Stijl2"/>
        <w:numPr>
          <w:ilvl w:val="1"/>
          <w:numId w:val="21"/>
        </w:numPr>
      </w:pPr>
      <w:bookmarkStart w:id="53" w:name="_Toc485990893"/>
      <w:r>
        <w:t>Terugblik cases</w:t>
      </w:r>
      <w:bookmarkEnd w:id="53"/>
    </w:p>
    <w:p w14:paraId="60FFD184" w14:textId="21361481" w:rsidR="008B5F11" w:rsidRPr="006B2020" w:rsidRDefault="00C47C6B" w:rsidP="002D05AA">
      <w:pPr>
        <w:spacing w:line="360" w:lineRule="auto"/>
        <w:jc w:val="both"/>
        <w:rPr>
          <w:rFonts w:ascii="Corbel" w:hAnsi="Corbel"/>
          <w:color w:val="000000" w:themeColor="text1"/>
          <w:sz w:val="20"/>
          <w:szCs w:val="20"/>
        </w:rPr>
      </w:pPr>
      <w:r w:rsidRPr="006B2020">
        <w:rPr>
          <w:rFonts w:ascii="Corbel" w:hAnsi="Corbel"/>
          <w:color w:val="000000" w:themeColor="text1"/>
          <w:sz w:val="20"/>
          <w:szCs w:val="20"/>
        </w:rPr>
        <w:t>Aan de hand van de drie hierboven geanalyseerde cases is aangetoond wat men al doet en wat er nog toegevoegd kan worden aan IBRA. In deze paragraaf wordt teruggeblikt. Valt er in zijn algemeenheid i</w:t>
      </w:r>
      <w:r w:rsidR="00845522" w:rsidRPr="006B2020">
        <w:rPr>
          <w:rFonts w:ascii="Corbel" w:hAnsi="Corbel"/>
          <w:color w:val="000000" w:themeColor="text1"/>
          <w:sz w:val="20"/>
          <w:szCs w:val="20"/>
        </w:rPr>
        <w:t>ets te zeggen over de analyse? Kortom: w</w:t>
      </w:r>
      <w:r w:rsidRPr="006B2020">
        <w:rPr>
          <w:rFonts w:ascii="Corbel" w:hAnsi="Corbel"/>
          <w:color w:val="000000" w:themeColor="text1"/>
          <w:sz w:val="20"/>
          <w:szCs w:val="20"/>
        </w:rPr>
        <w:t>at leren de cases ons tezamen?</w:t>
      </w:r>
      <w:r w:rsidR="008B5F11" w:rsidRPr="006B2020">
        <w:rPr>
          <w:rFonts w:ascii="Corbel" w:hAnsi="Corbel"/>
          <w:color w:val="000000" w:themeColor="text1"/>
          <w:sz w:val="20"/>
          <w:szCs w:val="20"/>
        </w:rPr>
        <w:t xml:space="preserve"> Als we terugblikken op de analyse van de cases zien we grofweg een tweetal zaken.</w:t>
      </w:r>
    </w:p>
    <w:p w14:paraId="32BD5FF9" w14:textId="203BB0DA" w:rsidR="008B5F11" w:rsidRPr="006B2020" w:rsidRDefault="008B5F11" w:rsidP="002D05AA">
      <w:pPr>
        <w:spacing w:line="360" w:lineRule="auto"/>
        <w:ind w:firstLine="709"/>
        <w:jc w:val="both"/>
        <w:rPr>
          <w:rFonts w:ascii="Corbel" w:hAnsi="Corbel"/>
          <w:color w:val="000000" w:themeColor="text1"/>
          <w:sz w:val="20"/>
          <w:szCs w:val="20"/>
        </w:rPr>
      </w:pPr>
      <w:r w:rsidRPr="006B2020">
        <w:rPr>
          <w:rFonts w:ascii="Corbel" w:hAnsi="Corbel"/>
          <w:color w:val="000000" w:themeColor="text1"/>
          <w:sz w:val="20"/>
          <w:szCs w:val="20"/>
        </w:rPr>
        <w:t xml:space="preserve">Ten eerste is bij elke case de uitwerking voornamelijk gemaakt in utilistische termen. Dat dit logisch is, is al eerder aangegeven. Dit is namelijk de insteek van de eerste ronde van de integrale risicoanalyse die de ILT maakt. Veelal kwam de uitwerking goed overeen met de operationalisatie van de utilistische theorie die gemaakt is in dit onderzoek. De kwantitatieve onderbouwing bleek niet altijd even sterk of mogelijk. Juist dit punt geeft de kracht en noodzaak van dit onderzoek aan. Het is namelijk niet altijd mogelijk om alles terug te brengen onder een gecalculeerde noemer, wil je een compleet beeld krijgen van de risico’s waar je als organisatie voor aan de lat staat. </w:t>
      </w:r>
      <w:r w:rsidR="006B2020" w:rsidRPr="006B2020">
        <w:rPr>
          <w:rFonts w:ascii="Corbel" w:hAnsi="Corbel"/>
          <w:color w:val="000000" w:themeColor="text1"/>
          <w:sz w:val="20"/>
          <w:szCs w:val="20"/>
        </w:rPr>
        <w:t xml:space="preserve">Hier grijpt het tweede algemene punt op in. </w:t>
      </w:r>
    </w:p>
    <w:p w14:paraId="483862A9" w14:textId="04889BCD" w:rsidR="00917157" w:rsidRPr="006B2020" w:rsidRDefault="006B2020" w:rsidP="002D05AA">
      <w:pPr>
        <w:spacing w:line="360" w:lineRule="auto"/>
        <w:jc w:val="both"/>
        <w:rPr>
          <w:rFonts w:ascii="Corbel" w:hAnsi="Corbel"/>
          <w:color w:val="000000" w:themeColor="text1"/>
          <w:sz w:val="20"/>
          <w:szCs w:val="20"/>
        </w:rPr>
      </w:pPr>
      <w:r w:rsidRPr="006B2020">
        <w:rPr>
          <w:rFonts w:ascii="Corbel" w:hAnsi="Corbel"/>
          <w:color w:val="000000" w:themeColor="text1"/>
          <w:sz w:val="20"/>
          <w:szCs w:val="20"/>
        </w:rPr>
        <w:tab/>
        <w:t xml:space="preserve">Ten tweede zijn er in alle drie de cases aanknopingspunten gevonden voor een uitbreiding van de bestaande risicoanalyse. Deze aanknopingspunten verschilde van al reeds bestaande uitwerkingen van bijvoorbeeld een zorgplicht (i.e. meer impliciet aanwezig), tot zaken die wellicht anders aangevlogen moeten worden. Concreet betekent dit dat er bijvoorbeeld deugdethische argumentatie mogelijk is maar nog niet voorhanden is in de case. Dit is bijvoorbeeld terug te zien in de analyse van de laatste case omtrent ongewenste verspreiding van </w:t>
      </w:r>
      <w:proofErr w:type="spellStart"/>
      <w:r w:rsidRPr="006B2020">
        <w:rPr>
          <w:rFonts w:ascii="Corbel" w:hAnsi="Corbel"/>
          <w:color w:val="000000" w:themeColor="text1"/>
          <w:sz w:val="20"/>
          <w:szCs w:val="20"/>
        </w:rPr>
        <w:t>GGO’s</w:t>
      </w:r>
      <w:proofErr w:type="spellEnd"/>
      <w:r w:rsidRPr="006B2020">
        <w:rPr>
          <w:rFonts w:ascii="Corbel" w:hAnsi="Corbel"/>
          <w:color w:val="000000" w:themeColor="text1"/>
          <w:sz w:val="20"/>
          <w:szCs w:val="20"/>
        </w:rPr>
        <w:t xml:space="preserve">. Deze case laat het beeld van deze algemene beschouwing mooi zien: er is in de risicoanalyse getracht de effecten van dit risico te kwantificeren en uit te werken op basis van utiliteit. Deze uitwerking is zwak en onzeker waardoor er automatisch meer ruimte komt voor een kwalitatieve benadering. We zagen dat deze kwalitatieve onderbouwing gegeven kan worden met zowel de deontologische als deugdethische theorie. </w:t>
      </w:r>
    </w:p>
    <w:p w14:paraId="4EE19A30" w14:textId="77777777" w:rsidR="00917157" w:rsidRPr="00371492" w:rsidRDefault="00917157" w:rsidP="00885632">
      <w:pPr>
        <w:widowControl w:val="0"/>
        <w:autoSpaceDE w:val="0"/>
        <w:autoSpaceDN w:val="0"/>
        <w:adjustRightInd w:val="0"/>
        <w:spacing w:after="240" w:line="340" w:lineRule="atLeast"/>
        <w:rPr>
          <w:rFonts w:ascii="Corbel" w:hAnsi="Corbel"/>
          <w:sz w:val="20"/>
          <w:szCs w:val="20"/>
        </w:rPr>
      </w:pPr>
    </w:p>
    <w:p w14:paraId="3FE5067E" w14:textId="77777777" w:rsidR="00917157" w:rsidRPr="00371492" w:rsidRDefault="00917157" w:rsidP="00885632">
      <w:pPr>
        <w:widowControl w:val="0"/>
        <w:autoSpaceDE w:val="0"/>
        <w:autoSpaceDN w:val="0"/>
        <w:adjustRightInd w:val="0"/>
        <w:spacing w:after="240" w:line="340" w:lineRule="atLeast"/>
        <w:rPr>
          <w:rFonts w:ascii="Corbel" w:hAnsi="Corbel"/>
          <w:sz w:val="20"/>
          <w:szCs w:val="20"/>
        </w:rPr>
      </w:pPr>
    </w:p>
    <w:p w14:paraId="42FDE017" w14:textId="77777777" w:rsidR="00917157" w:rsidRPr="00371492" w:rsidRDefault="00917157" w:rsidP="00885632">
      <w:pPr>
        <w:widowControl w:val="0"/>
        <w:autoSpaceDE w:val="0"/>
        <w:autoSpaceDN w:val="0"/>
        <w:adjustRightInd w:val="0"/>
        <w:spacing w:after="240" w:line="340" w:lineRule="atLeast"/>
        <w:rPr>
          <w:rFonts w:ascii="Corbel" w:hAnsi="Corbel"/>
          <w:sz w:val="20"/>
          <w:szCs w:val="20"/>
        </w:rPr>
      </w:pPr>
    </w:p>
    <w:p w14:paraId="58DAFA23" w14:textId="3911CE6C" w:rsidR="007564F8" w:rsidRDefault="00413821" w:rsidP="005A6735">
      <w:pPr>
        <w:pStyle w:val="Stijl1"/>
        <w:numPr>
          <w:ilvl w:val="0"/>
          <w:numId w:val="21"/>
        </w:numPr>
        <w:spacing w:line="360" w:lineRule="auto"/>
        <w:jc w:val="both"/>
        <w:rPr>
          <w:rFonts w:eastAsia="Tahoma" w:cs="Tahoma"/>
          <w:szCs w:val="24"/>
        </w:rPr>
      </w:pPr>
      <w:bookmarkStart w:id="54" w:name="_Toc480363483"/>
      <w:bookmarkStart w:id="55" w:name="_Toc485990894"/>
      <w:r w:rsidRPr="00371492">
        <w:rPr>
          <w:rFonts w:eastAsia="Tahoma" w:cs="Tahoma"/>
          <w:szCs w:val="24"/>
        </w:rPr>
        <w:lastRenderedPageBreak/>
        <w:t>Conclusie</w:t>
      </w:r>
      <w:bookmarkEnd w:id="54"/>
      <w:bookmarkEnd w:id="55"/>
    </w:p>
    <w:p w14:paraId="616BA508" w14:textId="77777777" w:rsidR="0032571E" w:rsidRPr="00C431FB" w:rsidRDefault="0032571E" w:rsidP="0032571E">
      <w:pPr>
        <w:spacing w:line="360" w:lineRule="auto"/>
        <w:jc w:val="both"/>
        <w:rPr>
          <w:rFonts w:ascii="Corbel" w:hAnsi="Corbel"/>
          <w:sz w:val="20"/>
          <w:szCs w:val="20"/>
        </w:rPr>
      </w:pPr>
      <w:r w:rsidRPr="00C431FB">
        <w:rPr>
          <w:rFonts w:ascii="Corbel" w:hAnsi="Corbel"/>
          <w:sz w:val="20"/>
          <w:szCs w:val="20"/>
        </w:rPr>
        <w:t xml:space="preserve">In deze scriptie is onderzocht welke aspecten bij een brede risicoanalyse horen en hoe die toegepast kunnen worden. In de vorm van een kwalitatief onderzoek is de ILT-brede risicoanalyse (IBRA) geanalyseerd. De deelvragen in dit onderzoek zijn als volgt behandeld. </w:t>
      </w:r>
    </w:p>
    <w:p w14:paraId="609DDBF1" w14:textId="77777777" w:rsidR="00D812E2" w:rsidRDefault="0032571E" w:rsidP="0032571E">
      <w:pPr>
        <w:spacing w:line="360" w:lineRule="auto"/>
        <w:ind w:firstLine="708"/>
        <w:jc w:val="both"/>
        <w:rPr>
          <w:rFonts w:ascii="Corbel" w:eastAsia="Tahoma" w:hAnsi="Corbel" w:cs="Tahoma"/>
          <w:color w:val="000000" w:themeColor="text1"/>
          <w:sz w:val="20"/>
        </w:rPr>
      </w:pPr>
      <w:r w:rsidRPr="00C431FB">
        <w:rPr>
          <w:rFonts w:ascii="Corbel" w:hAnsi="Corbel"/>
          <w:sz w:val="20"/>
          <w:szCs w:val="20"/>
        </w:rPr>
        <w:t xml:space="preserve">De eerste en de tweede deelvraag bekeken de noodzaak tot een verbreding van een risicoanalyse en gaven een eerste aanzet tot een conceptuele uitwerking van een brede risicoanalyse. </w:t>
      </w:r>
      <w:r>
        <w:rPr>
          <w:rFonts w:ascii="Corbel" w:hAnsi="Corbel"/>
          <w:sz w:val="20"/>
          <w:szCs w:val="20"/>
        </w:rPr>
        <w:t xml:space="preserve">Bij de </w:t>
      </w:r>
      <w:r w:rsidR="001E3000">
        <w:rPr>
          <w:rFonts w:ascii="Corbel" w:hAnsi="Corbel"/>
          <w:sz w:val="20"/>
          <w:szCs w:val="20"/>
        </w:rPr>
        <w:t>behandeling van de probleemanalyse in hoofdstuk twee</w:t>
      </w:r>
      <w:r>
        <w:rPr>
          <w:rFonts w:ascii="Corbel" w:hAnsi="Corbel"/>
          <w:sz w:val="20"/>
          <w:szCs w:val="20"/>
        </w:rPr>
        <w:t xml:space="preserve"> werd duidelijk dat een risicoanalyse meer moet meenemen dan enkel utiliteitsoverwegingen. </w:t>
      </w:r>
      <w:r w:rsidRPr="00371492">
        <w:rPr>
          <w:rFonts w:ascii="Corbel" w:eastAsia="Tahoma" w:hAnsi="Corbel" w:cs="Tahoma"/>
          <w:sz w:val="20"/>
        </w:rPr>
        <w:t>Commentaren lieten zien dat een risicoanalyse meer is dan alleen het naar cijfers vertale</w:t>
      </w:r>
      <w:r w:rsidR="001E3000">
        <w:rPr>
          <w:rFonts w:ascii="Corbel" w:eastAsia="Tahoma" w:hAnsi="Corbel" w:cs="Tahoma"/>
          <w:sz w:val="20"/>
        </w:rPr>
        <w:t xml:space="preserve">n van risico’s. In feite is het doen van uitspraken over risico’s </w:t>
      </w:r>
      <w:r w:rsidRPr="00371492">
        <w:rPr>
          <w:rFonts w:ascii="Corbel" w:eastAsia="Tahoma" w:hAnsi="Corbel" w:cs="Tahoma"/>
          <w:sz w:val="20"/>
        </w:rPr>
        <w:t xml:space="preserve">een normatieve kwestie en ziet men </w:t>
      </w:r>
      <w:r w:rsidR="001E3000">
        <w:rPr>
          <w:rFonts w:ascii="Corbel" w:eastAsia="Tahoma" w:hAnsi="Corbel" w:cs="Tahoma"/>
          <w:sz w:val="20"/>
        </w:rPr>
        <w:t>gewichtige</w:t>
      </w:r>
      <w:r w:rsidRPr="00371492">
        <w:rPr>
          <w:rFonts w:ascii="Corbel" w:eastAsia="Tahoma" w:hAnsi="Corbel" w:cs="Tahoma"/>
          <w:sz w:val="20"/>
        </w:rPr>
        <w:t xml:space="preserve"> argumentatie over het hoofd als er geen aandacht is voor de normatieve implicaties.</w:t>
      </w:r>
      <w:r w:rsidR="001E3000">
        <w:rPr>
          <w:rFonts w:ascii="Corbel" w:eastAsia="Tahoma" w:hAnsi="Corbel" w:cs="Tahoma"/>
          <w:sz w:val="20"/>
        </w:rPr>
        <w:t xml:space="preserve"> We zagen dat kan leiden tot een risicoanalyse dit niet strookt met de realiteit en aan draagvlak in moet boeten.</w:t>
      </w:r>
      <w:r>
        <w:rPr>
          <w:rFonts w:ascii="Corbel" w:eastAsia="Tahoma" w:hAnsi="Corbel" w:cs="Tahoma"/>
          <w:sz w:val="20"/>
        </w:rPr>
        <w:t xml:space="preserve"> Met dit in het achterhoofd zijn de drie hoofdstromingen </w:t>
      </w:r>
      <w:r w:rsidR="001E3000">
        <w:rPr>
          <w:rFonts w:ascii="Corbel" w:eastAsia="Tahoma" w:hAnsi="Corbel" w:cs="Tahoma"/>
          <w:sz w:val="20"/>
        </w:rPr>
        <w:t>van</w:t>
      </w:r>
      <w:r>
        <w:rPr>
          <w:rFonts w:ascii="Corbel" w:eastAsia="Tahoma" w:hAnsi="Corbel" w:cs="Tahoma"/>
          <w:sz w:val="20"/>
        </w:rPr>
        <w:t xml:space="preserve"> de normatieve ethiek besproken: het utilisme, de deontologie en de deugdethiek. De stromingen presenteren elk een andere logica</w:t>
      </w:r>
      <w:r w:rsidR="001E3000">
        <w:rPr>
          <w:rFonts w:ascii="Corbel" w:eastAsia="Tahoma" w:hAnsi="Corbel" w:cs="Tahoma"/>
          <w:sz w:val="20"/>
        </w:rPr>
        <w:t xml:space="preserve"> en bieden op deze manier elk een andere ‘lens’ om naar risico’s te kijken</w:t>
      </w:r>
      <w:r>
        <w:rPr>
          <w:rFonts w:ascii="Corbel" w:eastAsia="Tahoma" w:hAnsi="Corbel" w:cs="Tahoma"/>
          <w:sz w:val="20"/>
        </w:rPr>
        <w:t xml:space="preserve">. </w:t>
      </w:r>
      <w:r w:rsidRPr="00C431FB">
        <w:rPr>
          <w:rFonts w:ascii="Corbel" w:hAnsi="Corbel"/>
          <w:sz w:val="20"/>
          <w:szCs w:val="20"/>
        </w:rPr>
        <w:t>Bij de beantwoording van de derde deelvraag zijn de ethische theorieën toegepast op de praktijk van risicoanalyses. Hiermee werd een ethisch beoordelingskader voor risico</w:t>
      </w:r>
      <w:r>
        <w:rPr>
          <w:rFonts w:ascii="Corbel" w:hAnsi="Corbel"/>
          <w:sz w:val="20"/>
          <w:szCs w:val="20"/>
        </w:rPr>
        <w:t>’</w:t>
      </w:r>
      <w:r w:rsidRPr="00C431FB">
        <w:rPr>
          <w:rFonts w:ascii="Corbel" w:hAnsi="Corbel"/>
          <w:sz w:val="20"/>
          <w:szCs w:val="20"/>
        </w:rPr>
        <w:t>s gevormd</w:t>
      </w:r>
      <w:r>
        <w:rPr>
          <w:rFonts w:ascii="Corbel" w:hAnsi="Corbel"/>
          <w:sz w:val="20"/>
          <w:szCs w:val="20"/>
        </w:rPr>
        <w:t xml:space="preserve"> met als doel te kijken hoe </w:t>
      </w:r>
      <w:r w:rsidRPr="00371492">
        <w:rPr>
          <w:rFonts w:ascii="Corbel" w:hAnsi="Corbel"/>
          <w:sz w:val="20"/>
          <w:szCs w:val="22"/>
        </w:rPr>
        <w:t>de verschillende stromingen aankijken tegen risicoverdeling.</w:t>
      </w:r>
      <w:r>
        <w:rPr>
          <w:rFonts w:ascii="Corbel" w:hAnsi="Corbel"/>
          <w:sz w:val="20"/>
          <w:szCs w:val="22"/>
        </w:rPr>
        <w:t xml:space="preserve"> </w:t>
      </w:r>
      <w:r w:rsidRPr="00C431FB">
        <w:rPr>
          <w:rFonts w:ascii="Corbel" w:eastAsia="Tahoma" w:hAnsi="Corbel" w:cs="Tahoma"/>
          <w:color w:val="000000" w:themeColor="text1"/>
          <w:sz w:val="20"/>
        </w:rPr>
        <w:t>De vierde en vijfde deelvragen werden beantwoord in het analysehoofdstuk van deze scriptie. Hierbij is gekeken hoe de elementen uit het ethisch beoordelingskader terugkomen in specifieke cases uit het IBRA-project. Ten slotte is geanalyseerd hoe een uitbreiding van de bestaande argumentatie in de risicoanalyse mogelijk is</w:t>
      </w:r>
      <w:r>
        <w:rPr>
          <w:rFonts w:ascii="Corbel" w:eastAsia="Tahoma" w:hAnsi="Corbel" w:cs="Tahoma"/>
          <w:color w:val="000000" w:themeColor="text1"/>
          <w:sz w:val="20"/>
        </w:rPr>
        <w:t xml:space="preserve"> bij deze cases. De onderzochte cases zijn respectievelijk: 1. Overstroming in Nederland, 2. Stank en geluidsoverlast door luchtvaart en 3. Ongewenste verspreiding genetisch gemanipuleerde organismen. </w:t>
      </w:r>
      <w:r>
        <w:rPr>
          <w:rFonts w:ascii="Corbel" w:hAnsi="Corbel"/>
          <w:sz w:val="20"/>
          <w:szCs w:val="22"/>
        </w:rPr>
        <w:t xml:space="preserve"> </w:t>
      </w:r>
      <w:r w:rsidRPr="00C431FB">
        <w:rPr>
          <w:rFonts w:ascii="Corbel" w:eastAsia="Tahoma" w:hAnsi="Corbel" w:cs="Tahoma"/>
          <w:color w:val="000000" w:themeColor="text1"/>
          <w:sz w:val="20"/>
        </w:rPr>
        <w:t>Tezamen vormen de deelvragen een antwoord op de ond</w:t>
      </w:r>
      <w:r>
        <w:rPr>
          <w:rFonts w:ascii="Corbel" w:eastAsia="Tahoma" w:hAnsi="Corbel" w:cs="Tahoma"/>
          <w:color w:val="000000" w:themeColor="text1"/>
          <w:sz w:val="20"/>
        </w:rPr>
        <w:t>erzoeksvraag van dit onderzoek.</w:t>
      </w:r>
      <w:r w:rsidR="00D812E2" w:rsidRPr="00D812E2">
        <w:rPr>
          <w:rFonts w:ascii="Corbel" w:eastAsia="Tahoma" w:hAnsi="Corbel" w:cs="Tahoma"/>
          <w:color w:val="000000" w:themeColor="text1"/>
          <w:sz w:val="20"/>
        </w:rPr>
        <w:t xml:space="preserve"> </w:t>
      </w:r>
    </w:p>
    <w:p w14:paraId="79A716B1" w14:textId="1EFAEE5C" w:rsidR="0032571E" w:rsidRDefault="00D812E2" w:rsidP="0032571E">
      <w:pPr>
        <w:spacing w:line="360" w:lineRule="auto"/>
        <w:ind w:firstLine="708"/>
        <w:jc w:val="both"/>
        <w:rPr>
          <w:rFonts w:ascii="Corbel" w:eastAsia="Tahoma" w:hAnsi="Corbel" w:cs="Tahoma"/>
          <w:color w:val="000000" w:themeColor="text1"/>
          <w:sz w:val="20"/>
        </w:rPr>
      </w:pPr>
      <w:r>
        <w:rPr>
          <w:rFonts w:ascii="Corbel" w:eastAsia="Tahoma" w:hAnsi="Corbel" w:cs="Tahoma"/>
          <w:color w:val="000000" w:themeColor="text1"/>
          <w:sz w:val="20"/>
        </w:rPr>
        <w:t xml:space="preserve">Dit onderzoek heeft </w:t>
      </w:r>
      <w:r w:rsidR="008E76C1">
        <w:rPr>
          <w:rFonts w:ascii="Corbel" w:eastAsia="Tahoma" w:hAnsi="Corbel" w:cs="Tahoma"/>
          <w:color w:val="000000" w:themeColor="text1"/>
          <w:sz w:val="20"/>
        </w:rPr>
        <w:t xml:space="preserve">in beginsel </w:t>
      </w:r>
      <w:r>
        <w:rPr>
          <w:rFonts w:ascii="Corbel" w:eastAsia="Tahoma" w:hAnsi="Corbel" w:cs="Tahoma"/>
          <w:color w:val="000000" w:themeColor="text1"/>
          <w:sz w:val="20"/>
        </w:rPr>
        <w:t xml:space="preserve">een drietal zaken uitgewezen. Ten eerste is </w:t>
      </w:r>
      <w:r w:rsidR="00894CC0">
        <w:rPr>
          <w:rFonts w:ascii="Corbel" w:eastAsia="Tahoma" w:hAnsi="Corbel" w:cs="Tahoma"/>
          <w:color w:val="000000" w:themeColor="text1"/>
          <w:sz w:val="20"/>
        </w:rPr>
        <w:t>beargumenteerd</w:t>
      </w:r>
      <w:r>
        <w:rPr>
          <w:rFonts w:ascii="Corbel" w:eastAsia="Tahoma" w:hAnsi="Corbel" w:cs="Tahoma"/>
          <w:color w:val="000000" w:themeColor="text1"/>
          <w:sz w:val="20"/>
        </w:rPr>
        <w:t xml:space="preserve"> waarom een verbreding van het concept risicoanalyse noodzakelijk is. </w:t>
      </w:r>
      <w:r w:rsidR="00894CC0">
        <w:rPr>
          <w:rFonts w:ascii="Corbel" w:eastAsia="Tahoma" w:hAnsi="Corbel" w:cs="Tahoma"/>
          <w:color w:val="000000" w:themeColor="text1"/>
          <w:sz w:val="20"/>
        </w:rPr>
        <w:t>Vanwege</w:t>
      </w:r>
      <w:r>
        <w:rPr>
          <w:rFonts w:ascii="Corbel" w:eastAsia="Tahoma" w:hAnsi="Corbel" w:cs="Tahoma"/>
          <w:color w:val="000000" w:themeColor="text1"/>
          <w:sz w:val="20"/>
        </w:rPr>
        <w:t xml:space="preserve"> de onzekerheid bij het</w:t>
      </w:r>
      <w:r w:rsidR="00894CC0">
        <w:rPr>
          <w:rFonts w:ascii="Corbel" w:eastAsia="Tahoma" w:hAnsi="Corbel" w:cs="Tahoma"/>
          <w:color w:val="000000" w:themeColor="text1"/>
          <w:sz w:val="20"/>
        </w:rPr>
        <w:t xml:space="preserve"> (volledig)</w:t>
      </w:r>
      <w:r>
        <w:rPr>
          <w:rFonts w:ascii="Corbel" w:eastAsia="Tahoma" w:hAnsi="Corbel" w:cs="Tahoma"/>
          <w:color w:val="000000" w:themeColor="text1"/>
          <w:sz w:val="20"/>
        </w:rPr>
        <w:t xml:space="preserve"> kwantificeren van risico’s, de afwezigheid van normatieve houvast bij een risico-baten analyse en de aanwezigheid van niet-kwantificeerbare elementen is een uitbreiding op ethisch vlak een vereiste. Vervolgens is deze veronderstelling uitgewerkt in meer praktische zin.</w:t>
      </w:r>
      <w:r w:rsidR="00894CC0">
        <w:rPr>
          <w:rFonts w:ascii="Corbel" w:eastAsia="Tahoma" w:hAnsi="Corbel" w:cs="Tahoma"/>
          <w:color w:val="000000" w:themeColor="text1"/>
          <w:sz w:val="20"/>
        </w:rPr>
        <w:t xml:space="preserve"> Hiermee biedt dit onderzoek handvatten voor de ILT om alle drie de ethische stromingen toe te passen in haar integrale risicoanalyse.</w:t>
      </w:r>
      <w:r>
        <w:rPr>
          <w:rFonts w:ascii="Corbel" w:eastAsia="Tahoma" w:hAnsi="Corbel" w:cs="Tahoma"/>
          <w:color w:val="000000" w:themeColor="text1"/>
          <w:sz w:val="20"/>
        </w:rPr>
        <w:t xml:space="preserve"> Dit onderzoek heeft laten zien hoe de invulling van een brede risicoanalyse eruitziet en hoe de ethische tradities van het utilisme, deontologie en deugdethiek van toepassing zijn op de praktijk van risicoanalyse. Elke van deze ethische tradities heeft een andere logica, focus, rationaliseringswijze en operationalisatie. Dit zorgt ervoor dat het utilisme, de deontologie en de deugdethiek </w:t>
      </w:r>
      <w:r w:rsidR="00894CC0">
        <w:rPr>
          <w:rFonts w:ascii="Corbel" w:eastAsia="Tahoma" w:hAnsi="Corbel" w:cs="Tahoma"/>
          <w:color w:val="000000" w:themeColor="text1"/>
          <w:sz w:val="20"/>
        </w:rPr>
        <w:t>ieder voor zich</w:t>
      </w:r>
      <w:r>
        <w:rPr>
          <w:rFonts w:ascii="Corbel" w:eastAsia="Tahoma" w:hAnsi="Corbel" w:cs="Tahoma"/>
          <w:color w:val="000000" w:themeColor="text1"/>
          <w:sz w:val="20"/>
        </w:rPr>
        <w:t xml:space="preserve"> andere kwetsbaarheden wil beschermen. Deze elementen zijn uitgewerkt in een serie van schema’s waarin de ethische theorie toepasbaar gemaakt is voor de analyse van risicoanalyses. Ten slotte heeft dit onderzoek dit ethische kader toegepast op elementen uit de risicoanalyse van de ILT. Vanuit het project IBRA zijn drie risico’s geanalyseerd in een case </w:t>
      </w:r>
      <w:proofErr w:type="spellStart"/>
      <w:r>
        <w:rPr>
          <w:rFonts w:ascii="Corbel" w:eastAsia="Tahoma" w:hAnsi="Corbel" w:cs="Tahoma"/>
          <w:color w:val="000000" w:themeColor="text1"/>
          <w:sz w:val="20"/>
        </w:rPr>
        <w:t>study</w:t>
      </w:r>
      <w:proofErr w:type="spellEnd"/>
      <w:r>
        <w:rPr>
          <w:rFonts w:ascii="Corbel" w:eastAsia="Tahoma" w:hAnsi="Corbel" w:cs="Tahoma"/>
          <w:color w:val="000000" w:themeColor="text1"/>
          <w:sz w:val="20"/>
        </w:rPr>
        <w:t xml:space="preserve"> design, waarmee onderzocht is wat het kader aan het licht kan brengen voor de specifieke risico’s.</w:t>
      </w:r>
    </w:p>
    <w:p w14:paraId="58097D56" w14:textId="179D8B0A" w:rsidR="0086447C" w:rsidRDefault="0032571E" w:rsidP="0086447C">
      <w:pPr>
        <w:spacing w:line="360" w:lineRule="auto"/>
        <w:ind w:firstLine="708"/>
        <w:jc w:val="both"/>
        <w:rPr>
          <w:rFonts w:ascii="Corbel" w:eastAsia="Tahoma" w:hAnsi="Corbel" w:cs="Tahoma"/>
          <w:color w:val="000000" w:themeColor="text1"/>
          <w:sz w:val="20"/>
        </w:rPr>
      </w:pPr>
      <w:r>
        <w:rPr>
          <w:rFonts w:ascii="Corbel" w:eastAsia="Tahoma" w:hAnsi="Corbel" w:cs="Tahoma"/>
          <w:color w:val="000000" w:themeColor="text1"/>
          <w:sz w:val="20"/>
        </w:rPr>
        <w:t xml:space="preserve">Wat valt op te merken met betrekking tot de hoofdvraag van dit onderzoek? </w:t>
      </w:r>
      <w:r w:rsidR="001E3000">
        <w:rPr>
          <w:rFonts w:ascii="Corbel" w:eastAsia="Tahoma" w:hAnsi="Corbel" w:cs="Tahoma"/>
          <w:color w:val="000000" w:themeColor="text1"/>
          <w:sz w:val="20"/>
        </w:rPr>
        <w:t>Ten eerste is het</w:t>
      </w:r>
      <w:r>
        <w:rPr>
          <w:rFonts w:ascii="Corbel" w:eastAsia="Tahoma" w:hAnsi="Corbel" w:cs="Tahoma"/>
          <w:color w:val="000000" w:themeColor="text1"/>
          <w:sz w:val="20"/>
        </w:rPr>
        <w:t xml:space="preserve"> duidelijk geworden dat elke risico primair uitgewerkt is vanuit de utiliteit. Dit is niet verwonderlijk, aangezien het IBRA-</w:t>
      </w:r>
      <w:r>
        <w:rPr>
          <w:rFonts w:ascii="Corbel" w:eastAsia="Tahoma" w:hAnsi="Corbel" w:cs="Tahoma"/>
          <w:color w:val="000000" w:themeColor="text1"/>
          <w:sz w:val="20"/>
        </w:rPr>
        <w:lastRenderedPageBreak/>
        <w:t>project zich in de eerste ronde bevindt</w:t>
      </w:r>
      <w:r w:rsidR="007C3E3B">
        <w:rPr>
          <w:rFonts w:ascii="Corbel" w:eastAsia="Tahoma" w:hAnsi="Corbel" w:cs="Tahoma"/>
          <w:color w:val="000000" w:themeColor="text1"/>
          <w:sz w:val="20"/>
        </w:rPr>
        <w:t xml:space="preserve"> waarin dit expliciet de bedoeling is (ILT, 2017)</w:t>
      </w:r>
      <w:r>
        <w:rPr>
          <w:rFonts w:ascii="Corbel" w:eastAsia="Tahoma" w:hAnsi="Corbel" w:cs="Tahoma"/>
          <w:color w:val="000000" w:themeColor="text1"/>
          <w:sz w:val="20"/>
        </w:rPr>
        <w:t>. Dit onderzoek is</w:t>
      </w:r>
      <w:r w:rsidR="00894CC0">
        <w:rPr>
          <w:rFonts w:ascii="Corbel" w:eastAsia="Tahoma" w:hAnsi="Corbel" w:cs="Tahoma"/>
          <w:color w:val="000000" w:themeColor="text1"/>
          <w:sz w:val="20"/>
        </w:rPr>
        <w:t xml:space="preserve"> om die reden dan ook zo</w:t>
      </w:r>
      <w:r>
        <w:rPr>
          <w:rFonts w:ascii="Corbel" w:eastAsia="Tahoma" w:hAnsi="Corbel" w:cs="Tahoma"/>
          <w:color w:val="000000" w:themeColor="text1"/>
          <w:sz w:val="20"/>
        </w:rPr>
        <w:t xml:space="preserve"> opgezet om de mogelijkheden </w:t>
      </w:r>
      <w:r w:rsidR="00894CC0">
        <w:rPr>
          <w:rFonts w:ascii="Corbel" w:eastAsia="Tahoma" w:hAnsi="Corbel" w:cs="Tahoma"/>
          <w:color w:val="000000" w:themeColor="text1"/>
          <w:sz w:val="20"/>
        </w:rPr>
        <w:t xml:space="preserve">te verkennen </w:t>
      </w:r>
      <w:r>
        <w:rPr>
          <w:rFonts w:ascii="Corbel" w:eastAsia="Tahoma" w:hAnsi="Corbel" w:cs="Tahoma"/>
          <w:color w:val="000000" w:themeColor="text1"/>
          <w:sz w:val="20"/>
        </w:rPr>
        <w:t xml:space="preserve">om verder te kijken dan de utiliteit. </w:t>
      </w:r>
      <w:r w:rsidR="00D72B35">
        <w:rPr>
          <w:rFonts w:ascii="Corbel" w:eastAsia="Tahoma" w:hAnsi="Corbel" w:cs="Tahoma"/>
          <w:color w:val="000000" w:themeColor="text1"/>
          <w:sz w:val="20"/>
        </w:rPr>
        <w:t xml:space="preserve">In elke case </w:t>
      </w:r>
      <w:r w:rsidR="00340E7A">
        <w:rPr>
          <w:rFonts w:ascii="Corbel" w:eastAsia="Tahoma" w:hAnsi="Corbel" w:cs="Tahoma"/>
          <w:color w:val="000000" w:themeColor="text1"/>
          <w:sz w:val="20"/>
        </w:rPr>
        <w:t>zijn</w:t>
      </w:r>
      <w:r w:rsidR="00D72B35">
        <w:rPr>
          <w:rFonts w:ascii="Corbel" w:eastAsia="Tahoma" w:hAnsi="Corbel" w:cs="Tahoma"/>
          <w:color w:val="000000" w:themeColor="text1"/>
          <w:sz w:val="20"/>
        </w:rPr>
        <w:t xml:space="preserve"> </w:t>
      </w:r>
      <w:r w:rsidR="00340E7A">
        <w:rPr>
          <w:rFonts w:ascii="Corbel" w:eastAsia="Tahoma" w:hAnsi="Corbel" w:cs="Tahoma"/>
          <w:color w:val="000000" w:themeColor="text1"/>
          <w:sz w:val="20"/>
        </w:rPr>
        <w:t>tevens deontologische en deugdethische elementen te herke</w:t>
      </w:r>
      <w:r w:rsidR="00250B06">
        <w:rPr>
          <w:rFonts w:ascii="Corbel" w:eastAsia="Tahoma" w:hAnsi="Corbel" w:cs="Tahoma"/>
          <w:color w:val="000000" w:themeColor="text1"/>
          <w:sz w:val="20"/>
        </w:rPr>
        <w:t>nnen of uitbreidingen mogelijk.</w:t>
      </w:r>
      <w:r w:rsidR="001E3000">
        <w:rPr>
          <w:rFonts w:ascii="Corbel" w:eastAsia="Tahoma" w:hAnsi="Corbel" w:cs="Tahoma"/>
          <w:color w:val="000000" w:themeColor="text1"/>
          <w:sz w:val="20"/>
        </w:rPr>
        <w:t xml:space="preserve"> Dit betekent dus dat als er </w:t>
      </w:r>
      <w:r w:rsidR="001E3000">
        <w:rPr>
          <w:rFonts w:ascii="Corbel" w:eastAsia="Tahoma" w:hAnsi="Corbel" w:cs="Tahoma"/>
          <w:i/>
          <w:color w:val="000000" w:themeColor="text1"/>
          <w:sz w:val="20"/>
        </w:rPr>
        <w:t xml:space="preserve">enkel </w:t>
      </w:r>
      <w:r w:rsidR="001E3000">
        <w:rPr>
          <w:rFonts w:ascii="Corbel" w:eastAsia="Tahoma" w:hAnsi="Corbel" w:cs="Tahoma"/>
          <w:color w:val="000000" w:themeColor="text1"/>
          <w:sz w:val="20"/>
        </w:rPr>
        <w:t xml:space="preserve">naar utiliteit gekeken zou worden in IBRA, er relevante argumentatie niet meegenomen zou worden. </w:t>
      </w:r>
      <w:r w:rsidR="00FC30E9">
        <w:rPr>
          <w:rFonts w:ascii="Corbel" w:eastAsia="Tahoma" w:hAnsi="Corbel" w:cs="Tahoma"/>
          <w:color w:val="000000" w:themeColor="text1"/>
          <w:sz w:val="20"/>
        </w:rPr>
        <w:t xml:space="preserve"> Dit beeld wordt versterkt door het volgende </w:t>
      </w:r>
      <w:r w:rsidR="00394BF8">
        <w:rPr>
          <w:rFonts w:ascii="Corbel" w:eastAsia="Tahoma" w:hAnsi="Corbel" w:cs="Tahoma"/>
          <w:color w:val="000000" w:themeColor="text1"/>
          <w:sz w:val="20"/>
        </w:rPr>
        <w:t>aandachtspunt: d</w:t>
      </w:r>
      <w:r w:rsidR="00680309">
        <w:rPr>
          <w:rFonts w:ascii="Corbel" w:eastAsia="Tahoma" w:hAnsi="Corbel" w:cs="Tahoma"/>
          <w:color w:val="000000" w:themeColor="text1"/>
          <w:sz w:val="20"/>
        </w:rPr>
        <w:t>e uitwerking in utilitaire termen is in sommige cases zwak gebleken en juist in die gevallen kan een brede ethisch</w:t>
      </w:r>
      <w:r w:rsidR="0086447C">
        <w:rPr>
          <w:rFonts w:ascii="Corbel" w:eastAsia="Tahoma" w:hAnsi="Corbel" w:cs="Tahoma"/>
          <w:color w:val="000000" w:themeColor="text1"/>
          <w:sz w:val="20"/>
        </w:rPr>
        <w:t>e onderbouwing uitkomst bieden.</w:t>
      </w:r>
      <w:r w:rsidR="00894CC0">
        <w:rPr>
          <w:rFonts w:ascii="Corbel" w:eastAsia="Tahoma" w:hAnsi="Corbel" w:cs="Tahoma"/>
          <w:color w:val="000000" w:themeColor="text1"/>
          <w:sz w:val="20"/>
        </w:rPr>
        <w:t xml:space="preserve"> Een uitwerking:</w:t>
      </w:r>
    </w:p>
    <w:p w14:paraId="11EBCA04" w14:textId="010C301F" w:rsidR="00894CC0" w:rsidRDefault="0086447C" w:rsidP="00D812E2">
      <w:pPr>
        <w:spacing w:line="360" w:lineRule="auto"/>
        <w:jc w:val="both"/>
        <w:rPr>
          <w:rFonts w:ascii="Corbel" w:eastAsia="Tahoma" w:hAnsi="Corbel" w:cs="Tahoma"/>
          <w:color w:val="000000" w:themeColor="text1"/>
          <w:sz w:val="20"/>
        </w:rPr>
      </w:pPr>
      <w:r>
        <w:rPr>
          <w:rFonts w:ascii="Corbel" w:eastAsia="Tahoma" w:hAnsi="Corbel" w:cs="Tahoma"/>
          <w:noProof/>
          <w:color w:val="000000" w:themeColor="text1"/>
          <w:sz w:val="20"/>
        </w:rPr>
        <mc:AlternateContent>
          <mc:Choice Requires="wps">
            <w:drawing>
              <wp:inline distT="0" distB="0" distL="0" distR="0" wp14:anchorId="331122A1" wp14:editId="30048C97">
                <wp:extent cx="5756910" cy="1154430"/>
                <wp:effectExtent l="0" t="0" r="34290" b="13970"/>
                <wp:docPr id="15" name="Tekstvak 15"/>
                <wp:cNvGraphicFramePr/>
                <a:graphic xmlns:a="http://schemas.openxmlformats.org/drawingml/2006/main">
                  <a:graphicData uri="http://schemas.microsoft.com/office/word/2010/wordprocessingShape">
                    <wps:wsp>
                      <wps:cNvSpPr txBox="1"/>
                      <wps:spPr>
                        <a:xfrm>
                          <a:off x="0" y="0"/>
                          <a:ext cx="5756910" cy="1154430"/>
                        </a:xfrm>
                        <a:prstGeom prst="rect">
                          <a:avLst/>
                        </a:prstGeom>
                        <a:noFill/>
                        <a:ln>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14:paraId="4CA66A5B" w14:textId="77777777" w:rsidR="009D4480" w:rsidRDefault="009D4480" w:rsidP="0086447C">
                            <w:pPr>
                              <w:spacing w:line="360" w:lineRule="auto"/>
                              <w:jc w:val="both"/>
                              <w:rPr>
                                <w:rFonts w:ascii="Corbel" w:eastAsia="Tahoma" w:hAnsi="Corbel" w:cs="Tahoma"/>
                                <w:color w:val="000000" w:themeColor="text1"/>
                                <w:sz w:val="20"/>
                              </w:rPr>
                            </w:pPr>
                            <w:r>
                              <w:rPr>
                                <w:rFonts w:ascii="Corbel" w:eastAsia="Tahoma" w:hAnsi="Corbel" w:cs="Tahoma"/>
                                <w:color w:val="000000" w:themeColor="text1"/>
                                <w:sz w:val="20"/>
                              </w:rPr>
                              <w:t xml:space="preserve">Dit is bijvoorbeeld terug te zien in de case omtrent </w:t>
                            </w:r>
                            <w:proofErr w:type="spellStart"/>
                            <w:r>
                              <w:rPr>
                                <w:rFonts w:ascii="Corbel" w:eastAsia="Tahoma" w:hAnsi="Corbel" w:cs="Tahoma"/>
                                <w:color w:val="000000" w:themeColor="text1"/>
                                <w:sz w:val="20"/>
                              </w:rPr>
                              <w:t>GGO’s</w:t>
                            </w:r>
                            <w:proofErr w:type="spellEnd"/>
                            <w:r>
                              <w:rPr>
                                <w:rFonts w:ascii="Corbel" w:eastAsia="Tahoma" w:hAnsi="Corbel" w:cs="Tahoma"/>
                                <w:color w:val="000000" w:themeColor="text1"/>
                                <w:sz w:val="20"/>
                              </w:rPr>
                              <w:t xml:space="preserve">, waar er veel onzekerheid is omtrent het potentiële risico (bijvoorbeeld over het cijfermateriaal dat voorhanden is). Om deze reden is het moeilijk je enkel op utilitaire gronden te onderbouwen bij het analyseren van deze casus. Dit leidt ertoe dat een kwantitatieve beoordeling op basis van de utiliteit versterkt kan worden met meer kwalitatieve overwegingen vanuit de plichtsethiek of deugdethiek. </w:t>
                            </w:r>
                          </w:p>
                          <w:p w14:paraId="274B1407" w14:textId="77777777" w:rsidR="009D4480" w:rsidRDefault="009D4480" w:rsidP="0086447C">
                            <w:pPr>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331122A1" id="Tekstvak_x0020_15" o:spid="_x0000_s1031" type="#_x0000_t202" style="width:453.3pt;height:90.9pt;visibility:visible;mso-wrap-style:square;mso-left-percent:-10001;mso-top-percent:-10001;mso-position-horizontal:absolute;mso-position-horizontal-relative:char;mso-position-vertical:absolute;mso-position-vertical-relative:line;mso-left-percent:-10001;mso-top-percent:-10001;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ytYLooCAACRBQAADgAAAGRycy9lMm9Eb2MueG1srFTfT9swEH6ftP/B8vtIw1oYFSnqQEyTEKCV&#10;iWfXsamF4/Psa5Pur9/ZSUvFJk1Me0l8d9+dfd/9OL/oGss2KkQDruLl0Ygz5STUxj1V/PvD9YdP&#10;nEUUrhYWnKr4VkV+MXv/7rz1U3UMK7C1CoyCuDhtfcVXiH5aFFGuVCPiEXjlyKghNAJJDE9FHURL&#10;0RtbHI9GJ0ULofYBpIqRtFe9kc9yfK2VxDuto0JmK05vw/wN+btM32J2LqZPQfiVkcMzxD+8ohHG&#10;0aX7UFcCBVsH81uoxsgAETQeSWgK0NpIlXOgbMrRq2wWK+FVzoXIiX5PU/x/YeXt5j4wU1PtJpw5&#10;0VCNHtRzxI14ZqQiflofpwRbeAJi9xk6wu70kZQp7U6HJv0pIUZ2Ynq7Z1d1yCQpJ6eTk7OSTJJs&#10;ZTkZjz9m/osXdx8iflHQsHSoeKDyZVbF5iYiPYWgO0i6zcG1sTaX0LqkiGBNnXRZSD2kLm1gG0HV&#10;F1Iqh/nlFOYASVLvrXK/DDelrPvs8gm3VqWg1n1TmvjKSf71loxOKE1veovjgE+u/ave4rz3yDeD&#10;w71zYxyEzGgesBdy6ucdMbrHE9cHeacjdssuN8q+KZZQb6knAvRTFb28NlS3GxHxXgQaI6o1rQa8&#10;o4+20FYchhNnKwg//6RPeOpusnLW0lhWPP5Yi6A4s18d9f1ZOR6nOc7CeHJ6TEI4tCwPLW7dXALV&#10;vqQl5GU+Jjza3VEHaB5pg8zTrWQSTtLdFZcYdsIl9uuCdpBU83mG0ex6gTdu4WUKnnhOffnQPYrg&#10;h+ZF6vtb2I2wmL7q4R6bPB3M1wja5AZPTPe8DhWguc99P+yotFgO5Yx62aSzXwAAAP//AwBQSwME&#10;FAAGAAgAAAAhAFqx2UvbAAAABQEAAA8AAABkcnMvZG93bnJldi54bWxMjz1PxDAMhnck/kNkJDYu&#10;7QlVpTQ9IT4HJgo3sKWNaSoap0pyd4Vfj2E5FkvW++rx43qzuEnsMcTRk4J8lYFA6r0ZaVDw9vpw&#10;UYKISZPRkydU8IURNs3pSa0r4w/0gvs2DYIhFCutwKY0V1LG3qLTceVnJM4+fHA68RoGaYI+MNxN&#10;cp1lhXR6JL5g9Yy3FvvPdueYMlzeP22/77bPNu/a8L6WpX+USp2fLTfXIBIu6ViGX31Wh4adOr8j&#10;E8WkgB9Jf5Ozq6woQHRcKvMSZFPL//bNDwAAAP//AwBQSwECLQAUAAYACAAAACEA5JnDwPsAAADh&#10;AQAAEwAAAAAAAAAAAAAAAAAAAAAAW0NvbnRlbnRfVHlwZXNdLnhtbFBLAQItABQABgAIAAAAIQAj&#10;smrh1wAAAJQBAAALAAAAAAAAAAAAAAAAACwBAABfcmVscy8ucmVsc1BLAQItABQABgAIAAAAIQC/&#10;K1guigIAAJEFAAAOAAAAAAAAAAAAAAAAACwCAABkcnMvZTJvRG9jLnhtbFBLAQItABQABgAIAAAA&#10;IQBasdlL2wAAAAUBAAAPAAAAAAAAAAAAAAAAAOIEAABkcnMvZG93bnJldi54bWxQSwUGAAAAAAQA&#10;BADzAAAA6gUAAAAA&#10;" filled="f" strokecolor="#5b9bd5 [3204]">
                <v:textbox>
                  <w:txbxContent>
                    <w:p w14:paraId="4CA66A5B" w14:textId="77777777" w:rsidR="009D4480" w:rsidRDefault="009D4480" w:rsidP="0086447C">
                      <w:pPr>
                        <w:spacing w:line="360" w:lineRule="auto"/>
                        <w:jc w:val="both"/>
                        <w:rPr>
                          <w:rFonts w:ascii="Corbel" w:eastAsia="Tahoma" w:hAnsi="Corbel" w:cs="Tahoma"/>
                          <w:color w:val="000000" w:themeColor="text1"/>
                          <w:sz w:val="20"/>
                        </w:rPr>
                      </w:pPr>
                      <w:r>
                        <w:rPr>
                          <w:rFonts w:ascii="Corbel" w:eastAsia="Tahoma" w:hAnsi="Corbel" w:cs="Tahoma"/>
                          <w:color w:val="000000" w:themeColor="text1"/>
                          <w:sz w:val="20"/>
                        </w:rPr>
                        <w:t xml:space="preserve">Dit is bijvoorbeeld terug te zien in de case omtrent </w:t>
                      </w:r>
                      <w:proofErr w:type="spellStart"/>
                      <w:r>
                        <w:rPr>
                          <w:rFonts w:ascii="Corbel" w:eastAsia="Tahoma" w:hAnsi="Corbel" w:cs="Tahoma"/>
                          <w:color w:val="000000" w:themeColor="text1"/>
                          <w:sz w:val="20"/>
                        </w:rPr>
                        <w:t>GGO’s</w:t>
                      </w:r>
                      <w:proofErr w:type="spellEnd"/>
                      <w:r>
                        <w:rPr>
                          <w:rFonts w:ascii="Corbel" w:eastAsia="Tahoma" w:hAnsi="Corbel" w:cs="Tahoma"/>
                          <w:color w:val="000000" w:themeColor="text1"/>
                          <w:sz w:val="20"/>
                        </w:rPr>
                        <w:t xml:space="preserve">, waar er veel onzekerheid is omtrent het potentiële risico (bijvoorbeeld over het cijfermateriaal dat voorhanden is). Om deze reden is het moeilijk je enkel op utilitaire gronden te onderbouwen bij het analyseren van deze casus. Dit leidt ertoe dat een kwantitatieve beoordeling op basis van de utiliteit versterkt kan worden met meer kwalitatieve overwegingen vanuit de plichtsethiek of deugdethiek. </w:t>
                      </w:r>
                    </w:p>
                    <w:p w14:paraId="274B1407" w14:textId="77777777" w:rsidR="009D4480" w:rsidRDefault="009D4480" w:rsidP="0086447C">
                      <w:pPr>
                        <w:jc w:val="both"/>
                      </w:pPr>
                    </w:p>
                  </w:txbxContent>
                </v:textbox>
                <w10:anchorlock/>
              </v:shape>
            </w:pict>
          </mc:Fallback>
        </mc:AlternateContent>
      </w:r>
    </w:p>
    <w:p w14:paraId="26F031A3" w14:textId="68C0FF46" w:rsidR="00D41CA7" w:rsidRDefault="0006133C" w:rsidP="00D812E2">
      <w:pPr>
        <w:spacing w:line="360" w:lineRule="auto"/>
        <w:jc w:val="both"/>
        <w:rPr>
          <w:rFonts w:ascii="Corbel" w:eastAsia="Tahoma" w:hAnsi="Corbel" w:cs="Tahoma"/>
          <w:color w:val="000000" w:themeColor="text1"/>
          <w:sz w:val="20"/>
        </w:rPr>
      </w:pPr>
      <w:r>
        <w:rPr>
          <w:rFonts w:ascii="Corbel" w:eastAsia="Tahoma" w:hAnsi="Corbel" w:cs="Tahoma"/>
          <w:color w:val="000000" w:themeColor="text1"/>
          <w:sz w:val="20"/>
        </w:rPr>
        <w:t xml:space="preserve">Tevens komen bij alle drie de onderzochte risico’s overwegingen </w:t>
      </w:r>
      <w:r w:rsidR="00EF35ED">
        <w:rPr>
          <w:rFonts w:ascii="Corbel" w:eastAsia="Tahoma" w:hAnsi="Corbel" w:cs="Tahoma"/>
          <w:color w:val="000000" w:themeColor="text1"/>
          <w:sz w:val="20"/>
        </w:rPr>
        <w:t>naar voren</w:t>
      </w:r>
      <w:r>
        <w:rPr>
          <w:rFonts w:ascii="Corbel" w:eastAsia="Tahoma" w:hAnsi="Corbel" w:cs="Tahoma"/>
          <w:color w:val="000000" w:themeColor="text1"/>
          <w:sz w:val="20"/>
        </w:rPr>
        <w:t xml:space="preserve"> die niet te kwantificeren </w:t>
      </w:r>
      <w:r w:rsidR="00EF35ED">
        <w:rPr>
          <w:rFonts w:ascii="Corbel" w:eastAsia="Tahoma" w:hAnsi="Corbel" w:cs="Tahoma"/>
          <w:color w:val="000000" w:themeColor="text1"/>
          <w:sz w:val="20"/>
        </w:rPr>
        <w:t>blijken</w:t>
      </w:r>
      <w:r>
        <w:rPr>
          <w:rFonts w:ascii="Corbel" w:eastAsia="Tahoma" w:hAnsi="Corbel" w:cs="Tahoma"/>
          <w:color w:val="000000" w:themeColor="text1"/>
          <w:sz w:val="20"/>
        </w:rPr>
        <w:t xml:space="preserve">. </w:t>
      </w:r>
      <w:r w:rsidR="00EF35ED">
        <w:rPr>
          <w:rFonts w:ascii="Corbel" w:eastAsia="Tahoma" w:hAnsi="Corbel" w:cs="Tahoma"/>
          <w:color w:val="000000" w:themeColor="text1"/>
          <w:sz w:val="20"/>
        </w:rPr>
        <w:t xml:space="preserve">Deze argumentatie wordt geschaard </w:t>
      </w:r>
      <w:r>
        <w:rPr>
          <w:rFonts w:ascii="Corbel" w:eastAsia="Tahoma" w:hAnsi="Corbel" w:cs="Tahoma"/>
          <w:color w:val="000000" w:themeColor="text1"/>
          <w:sz w:val="20"/>
        </w:rPr>
        <w:t xml:space="preserve">onder </w:t>
      </w:r>
      <w:r w:rsidR="00093AF3">
        <w:rPr>
          <w:rFonts w:ascii="Corbel" w:eastAsia="Tahoma" w:hAnsi="Corbel" w:cs="Tahoma"/>
          <w:color w:val="000000" w:themeColor="text1"/>
          <w:sz w:val="20"/>
        </w:rPr>
        <w:t>de noemer van ‘</w:t>
      </w:r>
      <w:r>
        <w:rPr>
          <w:rFonts w:ascii="Corbel" w:eastAsia="Tahoma" w:hAnsi="Corbel" w:cs="Tahoma"/>
          <w:color w:val="000000" w:themeColor="text1"/>
          <w:sz w:val="20"/>
        </w:rPr>
        <w:t>maatschappelijke ontwrichting</w:t>
      </w:r>
      <w:r w:rsidR="00093AF3">
        <w:rPr>
          <w:rFonts w:ascii="Corbel" w:eastAsia="Tahoma" w:hAnsi="Corbel" w:cs="Tahoma"/>
          <w:color w:val="000000" w:themeColor="text1"/>
          <w:sz w:val="20"/>
        </w:rPr>
        <w:t>’</w:t>
      </w:r>
      <w:r>
        <w:rPr>
          <w:rFonts w:ascii="Corbel" w:eastAsia="Tahoma" w:hAnsi="Corbel" w:cs="Tahoma"/>
          <w:color w:val="000000" w:themeColor="text1"/>
          <w:sz w:val="20"/>
        </w:rPr>
        <w:t xml:space="preserve">. In de analyse is beargumenteerd dat hier zowel een deontologische als deugdethische onderbouwing voor te geven is. In ieder geval schiet de utiliteit in die gevallen te kort, wat leidt tot een versmalling van het risico en afbreuk aan de kwaliteit van de analyse. </w:t>
      </w:r>
      <w:r w:rsidR="005C2A01">
        <w:rPr>
          <w:rFonts w:ascii="Corbel" w:eastAsia="Tahoma" w:hAnsi="Corbel" w:cs="Tahoma"/>
          <w:color w:val="000000" w:themeColor="text1"/>
          <w:sz w:val="20"/>
        </w:rPr>
        <w:t xml:space="preserve">Op basis van dit onderzoek kan geconcludeerd worden dat een risico dat zorgt voor ‘maatschappelijke ontwrichting’ zowel deontologische als deugdethische kenmerken kan hebben. </w:t>
      </w:r>
      <w:r w:rsidR="002E0A94">
        <w:rPr>
          <w:rFonts w:ascii="Corbel" w:eastAsia="Tahoma" w:hAnsi="Corbel" w:cs="Tahoma"/>
          <w:color w:val="000000" w:themeColor="text1"/>
          <w:sz w:val="20"/>
        </w:rPr>
        <w:t xml:space="preserve">Maatschappelijke ontwrichting is een belangrijke factor voor de ILT, aangezien de organisatie de wens heeft ‘om vooral daar actief te zijn waar de risico’s voor het publieke belang het grootste zijn’ (ILT, 2016, p. 5). </w:t>
      </w:r>
      <w:r w:rsidR="00BB68DE">
        <w:rPr>
          <w:rFonts w:ascii="Corbel" w:eastAsia="Tahoma" w:hAnsi="Corbel" w:cs="Tahoma"/>
          <w:color w:val="000000" w:themeColor="text1"/>
          <w:sz w:val="20"/>
        </w:rPr>
        <w:t xml:space="preserve">Het is om die reden dat er meer meegenomen moet worden dan utiliteit en dit onderzoek voorziet in die uitbreiding. Door risico’s ook te analyseren vanuit </w:t>
      </w:r>
      <w:r w:rsidR="00145D9E">
        <w:rPr>
          <w:rFonts w:ascii="Corbel" w:eastAsia="Tahoma" w:hAnsi="Corbel" w:cs="Tahoma"/>
          <w:color w:val="000000" w:themeColor="text1"/>
          <w:sz w:val="20"/>
        </w:rPr>
        <w:t xml:space="preserve">het </w:t>
      </w:r>
      <w:r w:rsidR="00BB68DE">
        <w:rPr>
          <w:rFonts w:ascii="Corbel" w:eastAsia="Tahoma" w:hAnsi="Corbel" w:cs="Tahoma"/>
          <w:color w:val="000000" w:themeColor="text1"/>
          <w:sz w:val="20"/>
        </w:rPr>
        <w:t xml:space="preserve">(praktijkonafhankelijk) plichtsgetrouw handelen op basis van principes die de vrije wil centraal stellen (deontologie) of door te kijken naar deugdzaam handelen binnen een concrete praktijk (deugdethiek) kan men hier een beeld van krijgen. </w:t>
      </w:r>
      <w:r w:rsidR="002667F2">
        <w:rPr>
          <w:rFonts w:ascii="Corbel" w:eastAsia="Tahoma" w:hAnsi="Corbel" w:cs="Tahoma"/>
          <w:color w:val="000000" w:themeColor="text1"/>
          <w:sz w:val="20"/>
        </w:rPr>
        <w:t>Een d</w:t>
      </w:r>
      <w:r w:rsidR="00095512">
        <w:rPr>
          <w:rFonts w:ascii="Corbel" w:eastAsia="Tahoma" w:hAnsi="Corbel" w:cs="Tahoma"/>
          <w:color w:val="000000" w:themeColor="text1"/>
          <w:sz w:val="20"/>
        </w:rPr>
        <w:t>e</w:t>
      </w:r>
      <w:r w:rsidR="002667F2">
        <w:rPr>
          <w:rFonts w:ascii="Corbel" w:eastAsia="Tahoma" w:hAnsi="Corbel" w:cs="Tahoma"/>
          <w:color w:val="000000" w:themeColor="text1"/>
          <w:sz w:val="20"/>
        </w:rPr>
        <w:t>ugdethische onderbouwing kan een grote rol spe</w:t>
      </w:r>
      <w:r w:rsidR="00095512">
        <w:rPr>
          <w:rFonts w:ascii="Corbel" w:eastAsia="Tahoma" w:hAnsi="Corbel" w:cs="Tahoma"/>
          <w:color w:val="000000" w:themeColor="text1"/>
          <w:sz w:val="20"/>
        </w:rPr>
        <w:t xml:space="preserve">len in de argumentatie van het </w:t>
      </w:r>
      <w:r w:rsidR="002667F2">
        <w:rPr>
          <w:rFonts w:ascii="Corbel" w:eastAsia="Tahoma" w:hAnsi="Corbel" w:cs="Tahoma"/>
          <w:color w:val="000000" w:themeColor="text1"/>
          <w:sz w:val="20"/>
        </w:rPr>
        <w:t>perspectief ‘institutionele schade’</w:t>
      </w:r>
      <w:r w:rsidR="00095512">
        <w:rPr>
          <w:rFonts w:ascii="Corbel" w:eastAsia="Tahoma" w:hAnsi="Corbel" w:cs="Tahoma"/>
          <w:color w:val="000000" w:themeColor="text1"/>
          <w:sz w:val="20"/>
        </w:rPr>
        <w:t xml:space="preserve">. Dit perspectief is moeizaam </w:t>
      </w:r>
      <w:r w:rsidR="00D41CA7">
        <w:rPr>
          <w:rFonts w:ascii="Corbel" w:eastAsia="Tahoma" w:hAnsi="Corbel" w:cs="Tahoma"/>
          <w:color w:val="000000" w:themeColor="text1"/>
          <w:sz w:val="20"/>
        </w:rPr>
        <w:t xml:space="preserve">(wellicht onmogelijk) </w:t>
      </w:r>
      <w:r w:rsidR="00095512">
        <w:rPr>
          <w:rFonts w:ascii="Corbel" w:eastAsia="Tahoma" w:hAnsi="Corbel" w:cs="Tahoma"/>
          <w:color w:val="000000" w:themeColor="text1"/>
          <w:sz w:val="20"/>
        </w:rPr>
        <w:t>te kwantificeren</w:t>
      </w:r>
      <w:r w:rsidR="002667F2">
        <w:rPr>
          <w:rFonts w:ascii="Corbel" w:eastAsia="Tahoma" w:hAnsi="Corbel" w:cs="Tahoma"/>
          <w:color w:val="000000" w:themeColor="text1"/>
          <w:sz w:val="20"/>
        </w:rPr>
        <w:t>.</w:t>
      </w:r>
      <w:r w:rsidR="00095512">
        <w:rPr>
          <w:rFonts w:ascii="Corbel" w:eastAsia="Tahoma" w:hAnsi="Corbel" w:cs="Tahoma"/>
          <w:color w:val="000000" w:themeColor="text1"/>
          <w:sz w:val="20"/>
        </w:rPr>
        <w:t xml:space="preserve"> Dit is in de eerste ronde van IBRA ook niet geprobeerd. </w:t>
      </w:r>
      <w:r w:rsidR="00EF35ED">
        <w:rPr>
          <w:rFonts w:ascii="Corbel" w:eastAsia="Tahoma" w:hAnsi="Corbel" w:cs="Tahoma"/>
          <w:color w:val="000000" w:themeColor="text1"/>
          <w:sz w:val="20"/>
        </w:rPr>
        <w:t xml:space="preserve">Op basis van dit onderzoek lijkt het verstandiger dit perspectief te beargumenteren op basis van deugdethische in plaats van </w:t>
      </w:r>
      <w:r w:rsidR="00087A89">
        <w:rPr>
          <w:rFonts w:ascii="Corbel" w:eastAsia="Tahoma" w:hAnsi="Corbel" w:cs="Tahoma"/>
          <w:color w:val="000000" w:themeColor="text1"/>
          <w:sz w:val="20"/>
        </w:rPr>
        <w:t>utilitaire</w:t>
      </w:r>
      <w:r w:rsidR="00EF35ED">
        <w:rPr>
          <w:rFonts w:ascii="Corbel" w:eastAsia="Tahoma" w:hAnsi="Corbel" w:cs="Tahoma"/>
          <w:color w:val="000000" w:themeColor="text1"/>
          <w:sz w:val="20"/>
        </w:rPr>
        <w:t xml:space="preserve"> theorie. </w:t>
      </w:r>
      <w:r w:rsidR="002B7D9F" w:rsidRPr="002B7D9F">
        <w:rPr>
          <w:rFonts w:ascii="Corbel" w:eastAsia="Tahoma" w:hAnsi="Corbel" w:cs="Tahoma"/>
          <w:color w:val="000000" w:themeColor="text1"/>
          <w:sz w:val="20"/>
          <w:szCs w:val="20"/>
        </w:rPr>
        <w:t>Uit de analyse blijkt dat er een kwalitatieve beoordeling noodzakelijk is omdat sommige elementen van een risicoanalyse niet te operationaliseren zijn volgens kwantitatieve wegen.</w:t>
      </w:r>
    </w:p>
    <w:p w14:paraId="3746AC8D" w14:textId="2E7A7D5D" w:rsidR="00366E44" w:rsidRDefault="001C3157" w:rsidP="00E10B3F">
      <w:pPr>
        <w:spacing w:line="360" w:lineRule="auto"/>
        <w:ind w:firstLine="708"/>
        <w:jc w:val="both"/>
        <w:rPr>
          <w:rFonts w:ascii="Corbel" w:eastAsia="Tahoma" w:hAnsi="Corbel" w:cs="Tahoma"/>
          <w:color w:val="000000" w:themeColor="text1"/>
          <w:sz w:val="20"/>
        </w:rPr>
      </w:pPr>
      <w:r w:rsidRPr="00133327">
        <w:rPr>
          <w:rFonts w:ascii="Corbel" w:eastAsia="Tahoma" w:hAnsi="Corbel" w:cs="Tahoma"/>
          <w:color w:val="000000" w:themeColor="text1"/>
          <w:sz w:val="20"/>
        </w:rPr>
        <w:t xml:space="preserve">Geconcludeerd kan worden dat </w:t>
      </w:r>
      <w:r w:rsidR="00133327" w:rsidRPr="00133327">
        <w:rPr>
          <w:rFonts w:ascii="Corbel" w:eastAsia="Tahoma" w:hAnsi="Corbel" w:cs="Tahoma"/>
          <w:color w:val="000000" w:themeColor="text1"/>
          <w:sz w:val="20"/>
        </w:rPr>
        <w:t xml:space="preserve">de resultaten laten zien dat </w:t>
      </w:r>
      <w:r w:rsidR="00087A89">
        <w:rPr>
          <w:rFonts w:ascii="Corbel" w:eastAsia="Tahoma" w:hAnsi="Corbel" w:cs="Tahoma"/>
          <w:color w:val="000000" w:themeColor="text1"/>
          <w:sz w:val="20"/>
        </w:rPr>
        <w:t xml:space="preserve">elk van </w:t>
      </w:r>
      <w:r w:rsidR="00133327" w:rsidRPr="00133327">
        <w:rPr>
          <w:rFonts w:ascii="Corbel" w:eastAsia="Tahoma" w:hAnsi="Corbel" w:cs="Tahoma"/>
          <w:color w:val="000000" w:themeColor="text1"/>
          <w:sz w:val="20"/>
        </w:rPr>
        <w:t>de drie ethische theorieën van toegevoegde waarde zijn voor de risico’s die zijn onderzocht.</w:t>
      </w:r>
      <w:r w:rsidR="001E700A">
        <w:rPr>
          <w:rFonts w:ascii="Corbel" w:eastAsia="Tahoma" w:hAnsi="Corbel" w:cs="Tahoma"/>
          <w:color w:val="000000" w:themeColor="text1"/>
          <w:sz w:val="20"/>
        </w:rPr>
        <w:t xml:space="preserve"> Meer specifiek zijn er zowel impliciet als expliciet deontologische en deugdethische elementen te herkennen, naast de utilistische invalshoek die vanzelfsprekend dominant is. Dit geeft aanknopingspunten voor een verrijking van de argumentatie omtrent een risico op basis</w:t>
      </w:r>
      <w:r w:rsidR="00087A89">
        <w:rPr>
          <w:rFonts w:ascii="Corbel" w:eastAsia="Tahoma" w:hAnsi="Corbel" w:cs="Tahoma"/>
          <w:color w:val="000000" w:themeColor="text1"/>
          <w:sz w:val="20"/>
        </w:rPr>
        <w:t xml:space="preserve"> van niet-utilistische logica:</w:t>
      </w:r>
    </w:p>
    <w:p w14:paraId="0728EEC6" w14:textId="77777777" w:rsidR="008C795C" w:rsidRDefault="008C795C" w:rsidP="008C795C">
      <w:pPr>
        <w:spacing w:line="360" w:lineRule="auto"/>
        <w:jc w:val="both"/>
        <w:rPr>
          <w:rFonts w:ascii="Corbel" w:eastAsia="Tahoma" w:hAnsi="Corbel" w:cs="Tahoma"/>
          <w:color w:val="000000" w:themeColor="text1"/>
          <w:sz w:val="20"/>
        </w:rPr>
      </w:pPr>
    </w:p>
    <w:p w14:paraId="485CDCE6" w14:textId="7AE8E5AF" w:rsidR="008C795C" w:rsidRDefault="008C795C" w:rsidP="008C795C">
      <w:pPr>
        <w:pStyle w:val="Stijl2"/>
        <w:rPr>
          <w:rFonts w:eastAsia="Tahoma"/>
        </w:rPr>
      </w:pPr>
      <w:bookmarkStart w:id="56" w:name="_Toc485990895"/>
      <w:r>
        <w:rPr>
          <w:rFonts w:eastAsia="Tahoma"/>
        </w:rPr>
        <w:lastRenderedPageBreak/>
        <w:t>Praktische handvatten</w:t>
      </w:r>
      <w:r w:rsidR="005564BD">
        <w:rPr>
          <w:rFonts w:eastAsia="Tahoma"/>
        </w:rPr>
        <w:t xml:space="preserve"> ILT</w:t>
      </w:r>
      <w:bookmarkEnd w:id="56"/>
    </w:p>
    <w:p w14:paraId="64876191" w14:textId="01490068" w:rsidR="00BA122C" w:rsidRPr="002472C0" w:rsidRDefault="00BA122C" w:rsidP="00802EDD">
      <w:pPr>
        <w:spacing w:line="360" w:lineRule="auto"/>
        <w:jc w:val="both"/>
        <w:rPr>
          <w:rFonts w:ascii="Corbel" w:eastAsia="Tahoma" w:hAnsi="Corbel" w:cs="Tahoma"/>
          <w:color w:val="000000" w:themeColor="text1"/>
          <w:sz w:val="20"/>
          <w:szCs w:val="20"/>
        </w:rPr>
      </w:pPr>
      <w:r w:rsidRPr="002472C0">
        <w:rPr>
          <w:rFonts w:ascii="Corbel" w:eastAsia="Tahoma" w:hAnsi="Corbel" w:cs="Tahoma"/>
          <w:color w:val="000000" w:themeColor="text1"/>
          <w:sz w:val="20"/>
          <w:szCs w:val="20"/>
        </w:rPr>
        <w:t xml:space="preserve">Dit onderzoek heeft voor de ILT onderzocht hoe </w:t>
      </w:r>
      <w:r w:rsidR="001C5A73" w:rsidRPr="002472C0">
        <w:rPr>
          <w:rFonts w:ascii="Corbel" w:eastAsia="Tahoma" w:hAnsi="Corbel" w:cs="Tahoma"/>
          <w:color w:val="000000" w:themeColor="text1"/>
          <w:sz w:val="20"/>
          <w:szCs w:val="20"/>
        </w:rPr>
        <w:t>een bredere risicoanalyse eruit</w:t>
      </w:r>
      <w:r w:rsidRPr="002472C0">
        <w:rPr>
          <w:rFonts w:ascii="Corbel" w:eastAsia="Tahoma" w:hAnsi="Corbel" w:cs="Tahoma"/>
          <w:color w:val="000000" w:themeColor="text1"/>
          <w:sz w:val="20"/>
          <w:szCs w:val="20"/>
        </w:rPr>
        <w:t xml:space="preserve">ziet en welke aanpassingen gedaan moeten worden om tot een bredere risicoanalyse te komen. </w:t>
      </w:r>
      <w:r w:rsidR="001C5A73" w:rsidRPr="002472C0">
        <w:rPr>
          <w:rFonts w:ascii="Corbel" w:eastAsia="Tahoma" w:hAnsi="Corbel" w:cs="Tahoma"/>
          <w:color w:val="000000" w:themeColor="text1"/>
          <w:sz w:val="20"/>
          <w:szCs w:val="20"/>
        </w:rPr>
        <w:t xml:space="preserve">Deze twee elementen zijn zojuist besproken in het begin van deze conclusie. Een interessante vraag is hoe deze bredere risicoanalyse ingezet kan worden. En welke implicaties heeft dit voor de wens om risicogestuurd te werken bij de ILT? </w:t>
      </w:r>
      <w:r w:rsidR="00570E1D" w:rsidRPr="002472C0">
        <w:rPr>
          <w:rFonts w:ascii="Corbel" w:eastAsia="Tahoma" w:hAnsi="Corbel" w:cs="Tahoma"/>
          <w:color w:val="000000" w:themeColor="text1"/>
          <w:sz w:val="20"/>
          <w:szCs w:val="20"/>
        </w:rPr>
        <w:t>Kortom, wat zijn de praktische handvatten die gegeven kunnen worden op basis van de eerdere presentatie in dit onderzoek?</w:t>
      </w:r>
      <w:r w:rsidR="00251307" w:rsidRPr="002472C0">
        <w:rPr>
          <w:rFonts w:ascii="Corbel" w:eastAsia="Tahoma" w:hAnsi="Corbel" w:cs="Tahoma"/>
          <w:color w:val="000000" w:themeColor="text1"/>
          <w:sz w:val="20"/>
          <w:szCs w:val="20"/>
        </w:rPr>
        <w:t xml:space="preserve"> Met de uitkomsten van dit onderzoek in het achterhoofd </w:t>
      </w:r>
      <w:r w:rsidR="00C37204" w:rsidRPr="002472C0">
        <w:rPr>
          <w:rFonts w:ascii="Corbel" w:eastAsia="Tahoma" w:hAnsi="Corbel" w:cs="Tahoma"/>
          <w:color w:val="000000" w:themeColor="text1"/>
          <w:sz w:val="20"/>
          <w:szCs w:val="20"/>
        </w:rPr>
        <w:t>moet</w:t>
      </w:r>
      <w:r w:rsidR="00251307" w:rsidRPr="002472C0">
        <w:rPr>
          <w:rFonts w:ascii="Corbel" w:eastAsia="Tahoma" w:hAnsi="Corbel" w:cs="Tahoma"/>
          <w:color w:val="000000" w:themeColor="text1"/>
          <w:sz w:val="20"/>
          <w:szCs w:val="20"/>
        </w:rPr>
        <w:t xml:space="preserve"> de risicoanalyse van de ILT uitgebreid worden met de deontologie en deugdethiek. Dit betekent expliciet dat de volgende ronde van IBRA </w:t>
      </w:r>
      <w:r w:rsidR="00C37204" w:rsidRPr="002472C0">
        <w:rPr>
          <w:rFonts w:ascii="Corbel" w:eastAsia="Tahoma" w:hAnsi="Corbel" w:cs="Tahoma"/>
          <w:color w:val="000000" w:themeColor="text1"/>
          <w:sz w:val="20"/>
          <w:szCs w:val="20"/>
        </w:rPr>
        <w:t xml:space="preserve">een verdiepingsslag moet maken </w:t>
      </w:r>
      <w:r w:rsidR="00802EDD" w:rsidRPr="002472C0">
        <w:rPr>
          <w:rFonts w:ascii="Corbel" w:eastAsia="Tahoma" w:hAnsi="Corbel" w:cs="Tahoma"/>
          <w:color w:val="000000" w:themeColor="text1"/>
          <w:sz w:val="20"/>
          <w:szCs w:val="20"/>
        </w:rPr>
        <w:t>op onderstaande punten:</w:t>
      </w:r>
    </w:p>
    <w:p w14:paraId="1730FD06" w14:textId="67D6CAD2" w:rsidR="00F01830" w:rsidRPr="00F01830" w:rsidRDefault="00C378F9" w:rsidP="00F01830">
      <w:pPr>
        <w:pStyle w:val="Lijstalinea"/>
        <w:numPr>
          <w:ilvl w:val="0"/>
          <w:numId w:val="27"/>
        </w:numPr>
        <w:spacing w:line="360" w:lineRule="auto"/>
        <w:jc w:val="both"/>
        <w:rPr>
          <w:rFonts w:ascii="Corbel" w:eastAsia="Tahoma" w:hAnsi="Corbel" w:cs="Tahoma"/>
          <w:color w:val="000000" w:themeColor="text1"/>
          <w:sz w:val="20"/>
          <w:szCs w:val="20"/>
        </w:rPr>
      </w:pPr>
      <w:r w:rsidRPr="002472C0">
        <w:rPr>
          <w:rFonts w:ascii="Corbel" w:eastAsia="Tahoma" w:hAnsi="Corbel" w:cs="Tahoma"/>
          <w:color w:val="000000" w:themeColor="text1"/>
          <w:sz w:val="20"/>
          <w:szCs w:val="20"/>
        </w:rPr>
        <w:t>Afwegingen om de prioriteiten van de ILT te bepalen via de risicoanalyse vindt plaats op basis van drie overwegingen in plaats van één.</w:t>
      </w:r>
      <w:r w:rsidRPr="002472C0">
        <w:rPr>
          <w:rFonts w:ascii="Corbel" w:hAnsi="Corbel"/>
          <w:color w:val="000000" w:themeColor="text1"/>
          <w:sz w:val="20"/>
          <w:szCs w:val="20"/>
        </w:rPr>
        <w:t xml:space="preserve"> </w:t>
      </w:r>
      <w:r w:rsidRPr="002472C0">
        <w:rPr>
          <w:rFonts w:ascii="Corbel" w:eastAsia="Tahoma" w:hAnsi="Corbel" w:cs="Tahoma"/>
          <w:color w:val="000000" w:themeColor="text1"/>
          <w:sz w:val="20"/>
          <w:szCs w:val="20"/>
        </w:rPr>
        <w:t>Ten eerste kijkt de ILT waar de inzet van toezicht het meeste maatschappelijk effect heeft. Ten tweede voert ze taken uit waaraan ze zich heeft gecommitteerd (</w:t>
      </w:r>
      <w:r w:rsidR="00087A89">
        <w:rPr>
          <w:rFonts w:ascii="Corbel" w:eastAsia="Tahoma" w:hAnsi="Corbel" w:cs="Tahoma"/>
          <w:color w:val="000000" w:themeColor="text1"/>
          <w:sz w:val="20"/>
          <w:szCs w:val="20"/>
        </w:rPr>
        <w:t xml:space="preserve">op basis van </w:t>
      </w:r>
      <w:r w:rsidRPr="002472C0">
        <w:rPr>
          <w:rFonts w:ascii="Corbel" w:eastAsia="Tahoma" w:hAnsi="Corbel" w:cs="Tahoma"/>
          <w:color w:val="000000" w:themeColor="text1"/>
          <w:sz w:val="20"/>
          <w:szCs w:val="20"/>
        </w:rPr>
        <w:t xml:space="preserve">principes, bijvoorbeeld in wet- en regelgeving). Op de derde plaats zijn er onderwerpen die politiek of maatschappelijk van belang worden geacht (deugdethiek). Deze overwegingen komen overeen met de drie bestuursethische </w:t>
      </w:r>
      <w:r w:rsidRPr="00902471">
        <w:rPr>
          <w:rFonts w:ascii="Corbel" w:eastAsia="Tahoma" w:hAnsi="Corbel" w:cs="Tahoma"/>
          <w:color w:val="000000" w:themeColor="text1"/>
          <w:sz w:val="20"/>
          <w:szCs w:val="20"/>
        </w:rPr>
        <w:t xml:space="preserve">stromingen. </w:t>
      </w:r>
      <w:r w:rsidR="00F01830" w:rsidRPr="00902471">
        <w:rPr>
          <w:rFonts w:ascii="Corbel" w:eastAsia="Tahoma" w:hAnsi="Corbel" w:cs="Tahoma"/>
          <w:color w:val="000000" w:themeColor="text1"/>
          <w:sz w:val="20"/>
          <w:szCs w:val="20"/>
        </w:rPr>
        <w:t>Het is hierom dat aanbevolen wordt te analyseren welke verplichtingen relevant zijn voor de ILT en welke principes hieraan ten grondslag liggen.</w:t>
      </w:r>
      <w:r w:rsidR="00AF7C72">
        <w:rPr>
          <w:rFonts w:ascii="Corbel" w:eastAsia="Tahoma" w:hAnsi="Corbel" w:cs="Tahoma"/>
          <w:color w:val="000000" w:themeColor="text1"/>
          <w:sz w:val="20"/>
          <w:szCs w:val="20"/>
        </w:rPr>
        <w:t xml:space="preserve"> Het IBRA-team heeft nu expertise opgebouwd met risicoanalisten. Om alle drie de ethische stromingen tot hun recht te laten komen is er kennis nodig die in de organisatie niet of schaars aanwezig is. Dit onderzoek heeft een aantal keer de aanbeveling gedaan om ethische commissies, ervaringsexperts of juristen in te zetten bij de beoordeling van ethische argumentatie in de risicoanalyse. </w:t>
      </w:r>
    </w:p>
    <w:p w14:paraId="4F0E13F8" w14:textId="7C6611F5" w:rsidR="002B7D9F" w:rsidRPr="002B7D9F" w:rsidRDefault="00C378F9" w:rsidP="002B7D9F">
      <w:pPr>
        <w:pStyle w:val="Lijstalinea"/>
        <w:numPr>
          <w:ilvl w:val="0"/>
          <w:numId w:val="27"/>
        </w:numPr>
        <w:spacing w:line="360" w:lineRule="auto"/>
        <w:jc w:val="both"/>
        <w:rPr>
          <w:rFonts w:ascii="Corbel" w:eastAsia="Tahoma" w:hAnsi="Corbel" w:cs="Tahoma"/>
          <w:color w:val="000000" w:themeColor="text1"/>
          <w:sz w:val="20"/>
          <w:szCs w:val="20"/>
        </w:rPr>
      </w:pPr>
      <w:r w:rsidRPr="002472C0">
        <w:rPr>
          <w:rFonts w:ascii="Corbel" w:eastAsia="Tahoma" w:hAnsi="Corbel" w:cs="Tahoma"/>
          <w:color w:val="000000" w:themeColor="text1"/>
          <w:sz w:val="20"/>
          <w:szCs w:val="20"/>
        </w:rPr>
        <w:t xml:space="preserve">De rangschikking op basis van de utiliteit moet verbeterd worden en er moet realistisch nagedacht worden of sommige zaken niet onterecht gekwantificeerd worden. Waar de overtuiging heerst dat alles in cijfers berekend kan worden ligt de valkuil op de loer dat men deze cijfers als de absolute waarheid gaat zien. </w:t>
      </w:r>
      <w:r w:rsidR="00087A89">
        <w:rPr>
          <w:rFonts w:ascii="Corbel" w:eastAsia="Tahoma" w:hAnsi="Corbel" w:cs="Tahoma"/>
          <w:color w:val="000000" w:themeColor="text1"/>
          <w:sz w:val="20"/>
          <w:szCs w:val="20"/>
        </w:rPr>
        <w:t xml:space="preserve">Dit staat in schril contrast met de commentaren die dit onderzoek hierop geleverd heeft. </w:t>
      </w:r>
      <w:r w:rsidR="00C74E66">
        <w:rPr>
          <w:rFonts w:ascii="Corbel" w:eastAsia="Tahoma" w:hAnsi="Corbel" w:cs="Tahoma"/>
          <w:color w:val="000000" w:themeColor="text1"/>
          <w:sz w:val="20"/>
          <w:szCs w:val="20"/>
        </w:rPr>
        <w:t>Bijkomend: d</w:t>
      </w:r>
      <w:r w:rsidRPr="002472C0">
        <w:rPr>
          <w:rFonts w:ascii="Corbel" w:eastAsia="Tahoma" w:hAnsi="Corbel" w:cs="Tahoma"/>
          <w:color w:val="000000" w:themeColor="text1"/>
          <w:sz w:val="20"/>
          <w:szCs w:val="20"/>
        </w:rPr>
        <w:t>it onderzoek heeft de toegevoegde waarde van niet-utilitaire overwegingen aangetoond. Het streven naar een risicoanalyse met draagvlak en voldoende onderbouwing vraagt om de bredere risicoanalyse die in dit onderzoek is gepresenteerd.</w:t>
      </w:r>
      <w:r w:rsidR="002472C0" w:rsidRPr="002472C0">
        <w:rPr>
          <w:rFonts w:ascii="Corbel" w:eastAsia="Tahoma" w:hAnsi="Corbel" w:cs="Tahoma"/>
          <w:color w:val="000000" w:themeColor="text1"/>
          <w:sz w:val="20"/>
          <w:szCs w:val="20"/>
        </w:rPr>
        <w:t xml:space="preserve"> Bij het analyseren van de cases is duidelijk geworden dat risico’s niet louter risicovol zijn omwille van de kosten en baten die ze meebrengen. </w:t>
      </w:r>
      <w:r w:rsidR="00D14F9A">
        <w:rPr>
          <w:rFonts w:ascii="Corbel" w:eastAsia="Tahoma" w:hAnsi="Corbel" w:cs="Tahoma"/>
          <w:color w:val="000000" w:themeColor="text1"/>
          <w:sz w:val="20"/>
          <w:szCs w:val="20"/>
        </w:rPr>
        <w:t>Het is daarom goed te weten dat de ILT ook van mening is dat deze technocratische benadering van risicoanalyses niet houdbaar is</w:t>
      </w:r>
      <w:r w:rsidR="00FB1B57">
        <w:rPr>
          <w:rFonts w:ascii="Corbel" w:eastAsia="Tahoma" w:hAnsi="Corbel" w:cs="Tahoma"/>
          <w:color w:val="000000" w:themeColor="text1"/>
          <w:sz w:val="20"/>
          <w:szCs w:val="20"/>
        </w:rPr>
        <w:t xml:space="preserve"> (ILT, 2016)</w:t>
      </w:r>
      <w:r w:rsidR="00D14F9A">
        <w:rPr>
          <w:rFonts w:ascii="Corbel" w:eastAsia="Tahoma" w:hAnsi="Corbel" w:cs="Tahoma"/>
          <w:color w:val="000000" w:themeColor="text1"/>
          <w:sz w:val="20"/>
          <w:szCs w:val="20"/>
        </w:rPr>
        <w:t xml:space="preserve">. </w:t>
      </w:r>
      <w:r w:rsidR="002472C0" w:rsidRPr="002472C0">
        <w:rPr>
          <w:rFonts w:ascii="Corbel" w:eastAsia="Tahoma" w:hAnsi="Corbel" w:cs="Tahoma"/>
          <w:color w:val="000000" w:themeColor="text1"/>
          <w:sz w:val="20"/>
          <w:szCs w:val="20"/>
        </w:rPr>
        <w:t>Andere overwegingen, zoals de principes van autonomie en gelijkheid, of de afbreuk van de kwaliteit van een praktijk zoals de gezondheidszorg zijn minstens net zo belangrijk.</w:t>
      </w:r>
      <w:r w:rsidR="006143C0">
        <w:rPr>
          <w:rFonts w:ascii="Corbel" w:eastAsia="Tahoma" w:hAnsi="Corbel" w:cs="Tahoma"/>
          <w:color w:val="000000" w:themeColor="text1"/>
          <w:sz w:val="20"/>
          <w:szCs w:val="20"/>
        </w:rPr>
        <w:t xml:space="preserve"> Het is om deze redenen aan te bevelen dat onderzocht wordt welke risico’s nauwelijks te kwantificeren zijn, om daarna te kijken hoe de operationalisatie van de deontologie en deugdethiek wel in argumentatie kan voorzien. </w:t>
      </w:r>
      <w:r w:rsidR="002B7D9F">
        <w:rPr>
          <w:rFonts w:ascii="Corbel" w:eastAsia="Tahoma" w:hAnsi="Corbel" w:cs="Tahoma"/>
          <w:color w:val="000000" w:themeColor="text1"/>
          <w:sz w:val="20"/>
          <w:szCs w:val="20"/>
        </w:rPr>
        <w:t>Zoals aangegeven is hierbij een kwalitatieve onderbouwing noodzakelijk, aangezien gewichtige elementen uit de risicoanalyse (zoals maatschappelijke ontwrichting) niet te operationaliseren zijn volgens kwantitatieve wegen.</w:t>
      </w:r>
      <w:r w:rsidR="00DE2583">
        <w:rPr>
          <w:rFonts w:ascii="Corbel" w:eastAsia="Tahoma" w:hAnsi="Corbel" w:cs="Tahoma"/>
          <w:color w:val="000000" w:themeColor="text1"/>
          <w:sz w:val="20"/>
          <w:szCs w:val="20"/>
        </w:rPr>
        <w:t xml:space="preserve"> Het is per ethische stromingen verschillend hoe deze kwalitatieve weging </w:t>
      </w:r>
      <w:proofErr w:type="gramStart"/>
      <w:r w:rsidR="00DE2583">
        <w:rPr>
          <w:rFonts w:ascii="Corbel" w:eastAsia="Tahoma" w:hAnsi="Corbel" w:cs="Tahoma"/>
          <w:color w:val="000000" w:themeColor="text1"/>
          <w:sz w:val="20"/>
          <w:szCs w:val="20"/>
        </w:rPr>
        <w:t>eruit ziet</w:t>
      </w:r>
      <w:proofErr w:type="gramEnd"/>
      <w:r w:rsidR="00DE2583">
        <w:rPr>
          <w:rFonts w:ascii="Corbel" w:eastAsia="Tahoma" w:hAnsi="Corbel" w:cs="Tahoma"/>
          <w:color w:val="000000" w:themeColor="text1"/>
          <w:sz w:val="20"/>
          <w:szCs w:val="20"/>
        </w:rPr>
        <w:t xml:space="preserve">. Dit onderzoek heeft hier een eerste aanzet toe gedaan, door te stellen dat deontologische wegingen gemaakt kunnen worden door </w:t>
      </w:r>
      <w:r w:rsidR="00DE2583">
        <w:rPr>
          <w:rFonts w:ascii="Corbel" w:eastAsia="Tahoma" w:hAnsi="Corbel" w:cs="Tahoma"/>
          <w:color w:val="000000" w:themeColor="text1"/>
          <w:sz w:val="20"/>
          <w:szCs w:val="20"/>
        </w:rPr>
        <w:lastRenderedPageBreak/>
        <w:t xml:space="preserve">burgerpanels en/of juristen en deugdethische wegingen door oordeelkundigen zoals een ethische commissie. Een praktische aanbeveling voor de uitwerking van het risico omtrent ongewenste verspreiding </w:t>
      </w:r>
      <w:proofErr w:type="spellStart"/>
      <w:r w:rsidR="00DE2583">
        <w:rPr>
          <w:rFonts w:ascii="Corbel" w:eastAsia="Tahoma" w:hAnsi="Corbel" w:cs="Tahoma"/>
          <w:color w:val="000000" w:themeColor="text1"/>
          <w:sz w:val="20"/>
          <w:szCs w:val="20"/>
        </w:rPr>
        <w:t>GGO’s</w:t>
      </w:r>
      <w:proofErr w:type="spellEnd"/>
      <w:r w:rsidR="00DE2583">
        <w:rPr>
          <w:rFonts w:ascii="Corbel" w:eastAsia="Tahoma" w:hAnsi="Corbel" w:cs="Tahoma"/>
          <w:color w:val="000000" w:themeColor="text1"/>
          <w:sz w:val="20"/>
          <w:szCs w:val="20"/>
        </w:rPr>
        <w:t xml:space="preserve"> is om samen te werken met de Commissie Genetische Modificatie (COGEM).</w:t>
      </w:r>
    </w:p>
    <w:p w14:paraId="5A821091" w14:textId="2C507486" w:rsidR="006F4DAE" w:rsidRPr="00662A50" w:rsidRDefault="00BA5337" w:rsidP="00662A50">
      <w:pPr>
        <w:pStyle w:val="Lijstalinea"/>
        <w:numPr>
          <w:ilvl w:val="0"/>
          <w:numId w:val="27"/>
        </w:numPr>
        <w:spacing w:line="360" w:lineRule="auto"/>
        <w:jc w:val="both"/>
        <w:rPr>
          <w:rFonts w:ascii="Corbel" w:eastAsia="Tahoma" w:hAnsi="Corbel" w:cs="Tahoma"/>
          <w:color w:val="000000" w:themeColor="text1"/>
          <w:sz w:val="20"/>
          <w:szCs w:val="20"/>
        </w:rPr>
      </w:pPr>
      <w:r>
        <w:rPr>
          <w:rFonts w:ascii="Corbel" w:eastAsia="Tahoma" w:hAnsi="Corbel" w:cs="Tahoma"/>
          <w:noProof/>
          <w:color w:val="000000" w:themeColor="text1"/>
          <w:sz w:val="20"/>
          <w:szCs w:val="20"/>
          <w:lang w:eastAsia="nl-NL"/>
        </w:rPr>
        <mc:AlternateContent>
          <mc:Choice Requires="wps">
            <w:drawing>
              <wp:anchor distT="0" distB="0" distL="114300" distR="114300" simplePos="0" relativeHeight="251672576" behindDoc="0" locked="0" layoutInCell="1" allowOverlap="1" wp14:anchorId="2592F5AC" wp14:editId="331E1904">
                <wp:simplePos x="0" y="0"/>
                <wp:positionH relativeFrom="column">
                  <wp:posOffset>4638040</wp:posOffset>
                </wp:positionH>
                <wp:positionV relativeFrom="paragraph">
                  <wp:posOffset>927100</wp:posOffset>
                </wp:positionV>
                <wp:extent cx="1714500" cy="1028700"/>
                <wp:effectExtent l="0" t="0" r="38100" b="38100"/>
                <wp:wrapSquare wrapText="bothSides"/>
                <wp:docPr id="18" name="Tekstvak 18"/>
                <wp:cNvGraphicFramePr/>
                <a:graphic xmlns:a="http://schemas.openxmlformats.org/drawingml/2006/main">
                  <a:graphicData uri="http://schemas.microsoft.com/office/word/2010/wordprocessingShape">
                    <wps:wsp>
                      <wps:cNvSpPr txBox="1"/>
                      <wps:spPr>
                        <a:xfrm>
                          <a:off x="0" y="0"/>
                          <a:ext cx="1714500" cy="1028700"/>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025EE223" w14:textId="05631A73" w:rsidR="009D4480" w:rsidRDefault="009D4480">
                            <w:r>
                              <w:rPr>
                                <w:rFonts w:ascii="Corbel" w:hAnsi="Corbel"/>
                                <w:sz w:val="20"/>
                                <w:szCs w:val="22"/>
                              </w:rPr>
                              <w:t xml:space="preserve">Het concrete antwoord op ethische vragen luidt verschillend al naargelang de ‘ethische theorie’ die men aanhangt (van Melle &amp; van </w:t>
                            </w:r>
                            <w:proofErr w:type="spellStart"/>
                            <w:r>
                              <w:rPr>
                                <w:rFonts w:ascii="Corbel" w:hAnsi="Corbel"/>
                                <w:sz w:val="20"/>
                                <w:szCs w:val="22"/>
                              </w:rPr>
                              <w:t>Zilfhout</w:t>
                            </w:r>
                            <w:proofErr w:type="spellEnd"/>
                            <w:r>
                              <w:rPr>
                                <w:rFonts w:ascii="Corbel" w:hAnsi="Corbel"/>
                                <w:sz w:val="20"/>
                                <w:szCs w:val="22"/>
                              </w:rPr>
                              <w:t>, 2008, p.57).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592F5AC" id="Tekstvak_x0020_18" o:spid="_x0000_s1032" type="#_x0000_t202" style="position:absolute;left:0;text-align:left;margin-left:365.2pt;margin-top:73pt;width:135pt;height:81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6NbCXQCAAA1BQAADgAAAGRycy9lMm9Eb2MueG1srFRLb9swDL4P2H8QdF9tB+ljQZ0ia9FhQNEW&#10;a4eeFVlKjMiiJjGxs18/So7drstp2MWWyI/vj7q86hrDdsqHGmzJi5OcM2UlVLVdlfzH8+2nC84C&#10;ClsJA1aVfK8Cv5p//HDZupmawBpMpTwjJzbMWlfyNaKbZVmQa9WIcAJOWVJq8I1AuvpVVnnRkvfG&#10;ZJM8P8ta8JXzIFUIJL3plXye/GutJD5oHRQyU3LKDdPXp+8yfrP5pZitvHDrWh7SEP+QRSNqS0FH&#10;VzcCBdv6+i9XTS09BNB4IqHJQOtaqlQDVVPk76p5WgunUi3UnODGNoX/51be7x49qyuaHU3KioZm&#10;9Kw2AXdiw0hE/WldmBHsyREQuy/QEXaQBxLGsjvtm/inghjpqdP7sbuqQyaj0XkxPc1JJUlX5JOL&#10;c7qQ/+zV3PmAXxU0LB5K7ml8qatidxewhw6QGM3YKIv59XmkE+6N6pXflabKKPIkOUmcUtfGs50g&#10;NggplcVUCWVgLKGjma6NGQ2LY4ZmNDpgo5lKXBsN82OGf0YcLVJUsDgaN7UFf8xBtRnS1T1+qL6v&#10;OZaP3bJL4zwbRrSEak+T89BzPzh5W1N370TAR+GJ7DQRWmB8oI820JYcDifO1uB/HZNHPHGQtJy1&#10;tDwlDz+3wivOzDdL7PxcTKdx29Jleno+oYt/q1m+1dhtcw00kYKeCifTMeLRDEftoXmhPV/EqKQS&#10;VlLskuNwvMZ+pemdkGqxSCDaLyfwzj45GV3HLkfuPHcvwrsDwZC4eQ/DmonZO5712GhpYbFF0HUi&#10;Yexz39VD/2k3E40P70hc/rf3hHp97ea/AQAA//8DAFBLAwQUAAYACAAAACEASDV3aN4AAAAMAQAA&#10;DwAAAGRycy9kb3ducmV2LnhtbEyPzWrDMBCE74W+g9hCb42UOrjBtRxKodBDaUjiB9hY6x9iScZS&#10;HPftuz61x535mJ3Jd7PtxURj6LzTsF4pEOQqbzrXaChPH09bECGiM9h7Rxp+KMCuuL/LMTP+5g40&#10;HWMjOMSFDDW0MQ6ZlKFqyWJY+YEce7UfLUY+x0aaEW8cbnv5rFQqLXaOP7Q40HtL1eV4tRrwFD+T&#10;eqrKr26/r5ESPJTfqdaPD/PbK4hIc/yDYanP1aHgTmd/dSaIXsNLojaMsrFJedRCKLVIZw2J2iqQ&#10;RS7/jyh+AQAA//8DAFBLAQItABQABgAIAAAAIQDkmcPA+wAAAOEBAAATAAAAAAAAAAAAAAAAAAAA&#10;AABbQ29udGVudF9UeXBlc10ueG1sUEsBAi0AFAAGAAgAAAAhACOyauHXAAAAlAEAAAsAAAAAAAAA&#10;AAAAAAAALAEAAF9yZWxzLy5yZWxzUEsBAi0AFAAGAAgAAAAhAIujWwl0AgAANQUAAA4AAAAAAAAA&#10;AAAAAAAALAIAAGRycy9lMm9Eb2MueG1sUEsBAi0AFAAGAAgAAAAhAEg1d2jeAAAADAEAAA8AAAAA&#10;AAAAAAAAAAAAzAQAAGRycy9kb3ducmV2LnhtbFBLBQYAAAAABAAEAPMAAADXBQAAAAA=&#10;" fillcolor="white [3201]" strokecolor="#5b9bd5 [3204]" strokeweight="1pt">
                <v:textbox>
                  <w:txbxContent>
                    <w:p w14:paraId="025EE223" w14:textId="05631A73" w:rsidR="009D4480" w:rsidRDefault="009D4480">
                      <w:r>
                        <w:rPr>
                          <w:rFonts w:ascii="Corbel" w:hAnsi="Corbel"/>
                          <w:sz w:val="20"/>
                          <w:szCs w:val="22"/>
                        </w:rPr>
                        <w:t xml:space="preserve">Het concrete antwoord op ethische vragen luidt verschillend al naargelang de ‘ethische theorie’ die men aanhangt (van Melle &amp; van </w:t>
                      </w:r>
                      <w:proofErr w:type="spellStart"/>
                      <w:r>
                        <w:rPr>
                          <w:rFonts w:ascii="Corbel" w:hAnsi="Corbel"/>
                          <w:sz w:val="20"/>
                          <w:szCs w:val="22"/>
                        </w:rPr>
                        <w:t>Zilfhout</w:t>
                      </w:r>
                      <w:proofErr w:type="spellEnd"/>
                      <w:r>
                        <w:rPr>
                          <w:rFonts w:ascii="Corbel" w:hAnsi="Corbel"/>
                          <w:sz w:val="20"/>
                          <w:szCs w:val="22"/>
                        </w:rPr>
                        <w:t>, 2008, p.57).</w:t>
                      </w:r>
                    </w:p>
                  </w:txbxContent>
                </v:textbox>
                <w10:wrap type="square"/>
              </v:shape>
            </w:pict>
          </mc:Fallback>
        </mc:AlternateContent>
      </w:r>
      <w:r w:rsidR="006143C0">
        <w:rPr>
          <w:rFonts w:ascii="Corbel" w:eastAsia="Tahoma" w:hAnsi="Corbel" w:cs="Tahoma"/>
          <w:color w:val="000000" w:themeColor="text1"/>
          <w:sz w:val="20"/>
          <w:szCs w:val="20"/>
        </w:rPr>
        <w:t xml:space="preserve">De lastige taak hierbij is de drie ethische modellen in overeenstemming te brengen. Hiermee wordt bedoeld dat een </w:t>
      </w:r>
      <w:proofErr w:type="gramStart"/>
      <w:r w:rsidR="006143C0">
        <w:rPr>
          <w:rFonts w:ascii="Corbel" w:eastAsia="Tahoma" w:hAnsi="Corbel" w:cs="Tahoma"/>
          <w:color w:val="000000" w:themeColor="text1"/>
          <w:sz w:val="20"/>
          <w:szCs w:val="20"/>
        </w:rPr>
        <w:t>risico elementen</w:t>
      </w:r>
      <w:proofErr w:type="gramEnd"/>
      <w:r w:rsidR="006143C0">
        <w:rPr>
          <w:rFonts w:ascii="Corbel" w:eastAsia="Tahoma" w:hAnsi="Corbel" w:cs="Tahoma"/>
          <w:color w:val="000000" w:themeColor="text1"/>
          <w:sz w:val="20"/>
          <w:szCs w:val="20"/>
        </w:rPr>
        <w:t xml:space="preserve"> kan behelzen uit meerdere ethische stromingen: hoe verhouden deze zich tot elkaar en hoe kan men tot een prioritering komen?</w:t>
      </w:r>
      <w:r w:rsidR="00662A50">
        <w:rPr>
          <w:rFonts w:ascii="Corbel" w:eastAsia="Tahoma" w:hAnsi="Corbel" w:cs="Tahoma"/>
          <w:color w:val="000000" w:themeColor="text1"/>
          <w:sz w:val="20"/>
          <w:szCs w:val="20"/>
        </w:rPr>
        <w:t xml:space="preserve"> </w:t>
      </w:r>
      <w:r w:rsidR="002472C0" w:rsidRPr="00662A50">
        <w:rPr>
          <w:rFonts w:ascii="Corbel" w:eastAsia="Tahoma" w:hAnsi="Corbel" w:cs="Tahoma"/>
          <w:color w:val="000000" w:themeColor="text1"/>
          <w:sz w:val="20"/>
          <w:szCs w:val="20"/>
        </w:rPr>
        <w:t xml:space="preserve">De overwegingen op basis van de drie ethische modellen zijn </w:t>
      </w:r>
      <w:r w:rsidR="00662A50" w:rsidRPr="00662A50">
        <w:rPr>
          <w:rFonts w:ascii="Corbel" w:eastAsia="Tahoma" w:hAnsi="Corbel" w:cs="Tahoma"/>
          <w:color w:val="000000" w:themeColor="text1"/>
          <w:sz w:val="20"/>
          <w:szCs w:val="20"/>
        </w:rPr>
        <w:t>namelijk</w:t>
      </w:r>
      <w:r w:rsidR="002472C0" w:rsidRPr="00662A50">
        <w:rPr>
          <w:rFonts w:ascii="Corbel" w:eastAsia="Tahoma" w:hAnsi="Corbel" w:cs="Tahoma"/>
          <w:color w:val="000000" w:themeColor="text1"/>
          <w:sz w:val="20"/>
          <w:szCs w:val="20"/>
        </w:rPr>
        <w:t xml:space="preserve"> verschillend van aard. Voor de ILT ligt er de uitdaging om deze</w:t>
      </w:r>
      <w:r w:rsidR="00C378F9" w:rsidRPr="00662A50">
        <w:rPr>
          <w:rFonts w:ascii="Corbel" w:eastAsia="Tahoma" w:hAnsi="Corbel" w:cs="Tahoma"/>
          <w:color w:val="000000" w:themeColor="text1"/>
          <w:sz w:val="20"/>
          <w:szCs w:val="20"/>
        </w:rPr>
        <w:t xml:space="preserve"> </w:t>
      </w:r>
      <w:r w:rsidR="002472C0" w:rsidRPr="00662A50">
        <w:rPr>
          <w:rFonts w:ascii="Corbel" w:eastAsia="Tahoma" w:hAnsi="Corbel" w:cs="Tahoma"/>
          <w:color w:val="000000" w:themeColor="text1"/>
          <w:sz w:val="20"/>
          <w:szCs w:val="20"/>
        </w:rPr>
        <w:t xml:space="preserve">verschillende invalshoeken bij elkaar te brengen om tot een evenwichtige toezichtsallocatie te komen. </w:t>
      </w:r>
      <w:r w:rsidR="002472C0" w:rsidRPr="00662A50">
        <w:rPr>
          <w:rFonts w:ascii="Corbel" w:hAnsi="Corbel" w:cs="Verdana"/>
          <w:color w:val="000000" w:themeColor="text1"/>
          <w:sz w:val="20"/>
          <w:szCs w:val="20"/>
        </w:rPr>
        <w:t xml:space="preserve">Dit onderzoek voorziet niet in </w:t>
      </w:r>
      <w:r w:rsidR="00C74E66" w:rsidRPr="00662A50">
        <w:rPr>
          <w:rFonts w:ascii="Corbel" w:hAnsi="Corbel" w:cs="Verdana"/>
          <w:color w:val="000000" w:themeColor="text1"/>
          <w:sz w:val="20"/>
          <w:szCs w:val="20"/>
        </w:rPr>
        <w:t>de vormgeving van die</w:t>
      </w:r>
      <w:r w:rsidR="002472C0" w:rsidRPr="00662A50">
        <w:rPr>
          <w:rFonts w:ascii="Corbel" w:hAnsi="Corbel" w:cs="Verdana"/>
          <w:color w:val="000000" w:themeColor="text1"/>
          <w:sz w:val="20"/>
          <w:szCs w:val="20"/>
        </w:rPr>
        <w:t xml:space="preserve"> allocatie, maar geeft door de operationalisatie en probleemanalyse wel aan waarom en hoe een verbreding nodig is ten opzichte van de eerste ronde van IBRA.</w:t>
      </w:r>
    </w:p>
    <w:p w14:paraId="10EB0408" w14:textId="77777777" w:rsidR="00F9693D" w:rsidRPr="00BF734F" w:rsidRDefault="00F9693D" w:rsidP="00F9693D">
      <w:pPr>
        <w:pStyle w:val="Lijstalinea"/>
        <w:spacing w:line="360" w:lineRule="auto"/>
        <w:jc w:val="both"/>
        <w:rPr>
          <w:rFonts w:ascii="Corbel" w:eastAsia="Tahoma" w:hAnsi="Corbel" w:cs="Tahoma"/>
          <w:color w:val="000000" w:themeColor="text1"/>
          <w:sz w:val="20"/>
          <w:szCs w:val="20"/>
        </w:rPr>
      </w:pPr>
    </w:p>
    <w:p w14:paraId="4AC27393" w14:textId="58C65CF4" w:rsidR="006F4DAE" w:rsidRDefault="006F4DAE" w:rsidP="00510131">
      <w:pPr>
        <w:pStyle w:val="Stijl2"/>
      </w:pPr>
      <w:bookmarkStart w:id="57" w:name="_Toc485990896"/>
      <w:r w:rsidRPr="00C431FB">
        <w:t>Discussie</w:t>
      </w:r>
      <w:r w:rsidR="0049593C">
        <w:t xml:space="preserve"> en vervolgonderzoek</w:t>
      </w:r>
      <w:bookmarkEnd w:id="57"/>
    </w:p>
    <w:p w14:paraId="37FC43DC" w14:textId="77777777" w:rsidR="00C173DD" w:rsidRDefault="00510131" w:rsidP="00C173DD">
      <w:pPr>
        <w:spacing w:line="360" w:lineRule="auto"/>
        <w:jc w:val="both"/>
        <w:rPr>
          <w:rFonts w:ascii="Corbel" w:eastAsia="Tahoma" w:hAnsi="Corbel" w:cs="Tahoma"/>
          <w:color w:val="000000" w:themeColor="text1"/>
          <w:sz w:val="20"/>
        </w:rPr>
      </w:pPr>
      <w:r w:rsidRPr="00371492">
        <w:rPr>
          <w:rFonts w:ascii="Corbel" w:eastAsia="Tahoma,Tahoma,Times New Roman" w:hAnsi="Corbel" w:cs="Tahoma"/>
          <w:sz w:val="20"/>
        </w:rPr>
        <w:t xml:space="preserve">Het is </w:t>
      </w:r>
      <w:r>
        <w:rPr>
          <w:rFonts w:ascii="Corbel" w:eastAsia="Tahoma,Tahoma,Times New Roman" w:hAnsi="Corbel" w:cs="Tahoma"/>
          <w:sz w:val="20"/>
        </w:rPr>
        <w:t xml:space="preserve">zowel </w:t>
      </w:r>
      <w:r w:rsidRPr="00371492">
        <w:rPr>
          <w:rFonts w:ascii="Corbel" w:eastAsia="Tahoma,Tahoma,Times New Roman" w:hAnsi="Corbel" w:cs="Tahoma"/>
          <w:sz w:val="20"/>
        </w:rPr>
        <w:t>maatschappelijk</w:t>
      </w:r>
      <w:r>
        <w:rPr>
          <w:rFonts w:ascii="Corbel" w:eastAsia="Tahoma,Tahoma,Times New Roman" w:hAnsi="Corbel" w:cs="Tahoma"/>
          <w:sz w:val="20"/>
        </w:rPr>
        <w:t xml:space="preserve"> als wetenschappelijk</w:t>
      </w:r>
      <w:r w:rsidRPr="00371492">
        <w:rPr>
          <w:rFonts w:ascii="Corbel" w:eastAsia="Tahoma,Tahoma,Times New Roman" w:hAnsi="Corbel" w:cs="Tahoma"/>
          <w:sz w:val="20"/>
        </w:rPr>
        <w:t xml:space="preserve"> van belang </w:t>
      </w:r>
      <w:r w:rsidR="00C1203F">
        <w:rPr>
          <w:rFonts w:ascii="Corbel" w:eastAsia="Tahoma,Tahoma,Times New Roman" w:hAnsi="Corbel" w:cs="Tahoma"/>
          <w:sz w:val="20"/>
        </w:rPr>
        <w:t xml:space="preserve">gebleken </w:t>
      </w:r>
      <w:r w:rsidRPr="00371492">
        <w:rPr>
          <w:rFonts w:ascii="Corbel" w:eastAsia="Tahoma,Tahoma,Times New Roman" w:hAnsi="Corbel" w:cs="Tahoma"/>
          <w:sz w:val="20"/>
        </w:rPr>
        <w:t>dat er geleerd wordt risicoanalyses te maken die meer meenemen dan alleen kosten en baten in meetbare zin.</w:t>
      </w:r>
      <w:r w:rsidRPr="00371492">
        <w:rPr>
          <w:rFonts w:ascii="Corbel" w:eastAsia="Tahoma" w:hAnsi="Corbel" w:cs="Tahoma"/>
          <w:sz w:val="20"/>
        </w:rPr>
        <w:t xml:space="preserve"> De conventionele risicoanalyse, met de nadruk op het kwantificeren van kosten en schade, voorziet steeds minder in de gewenste onderbouwing bij bestuurlijke besluitvorming. Om de aanvaardbaarheid van een risico te beoordelen zijn, naast kwantitatieve informatie uit een kosten-batenanalyse, ook ethische overwegingen van noodzaak (</w:t>
      </w:r>
      <w:r>
        <w:rPr>
          <w:rFonts w:ascii="Corbel" w:eastAsia="Tahoma" w:hAnsi="Corbel" w:cs="Tahoma"/>
          <w:sz w:val="20"/>
        </w:rPr>
        <w:t xml:space="preserve">zie </w:t>
      </w:r>
      <w:r w:rsidRPr="00371492">
        <w:rPr>
          <w:rFonts w:ascii="Corbel" w:eastAsia="Tahoma" w:hAnsi="Corbel" w:cs="Tahoma"/>
          <w:sz w:val="20"/>
        </w:rPr>
        <w:t xml:space="preserve">onder andere </w:t>
      </w:r>
      <w:proofErr w:type="spellStart"/>
      <w:r w:rsidRPr="00371492">
        <w:rPr>
          <w:rFonts w:ascii="Corbel" w:eastAsia="Tahoma" w:hAnsi="Corbel" w:cs="Tahoma"/>
          <w:sz w:val="20"/>
        </w:rPr>
        <w:t>Krimsky</w:t>
      </w:r>
      <w:proofErr w:type="spellEnd"/>
      <w:r w:rsidRPr="00371492">
        <w:rPr>
          <w:rFonts w:ascii="Corbel" w:eastAsia="Tahoma" w:hAnsi="Corbel" w:cs="Tahoma"/>
          <w:sz w:val="20"/>
        </w:rPr>
        <w:t xml:space="preserve"> &amp; </w:t>
      </w:r>
      <w:proofErr w:type="spellStart"/>
      <w:r w:rsidRPr="00371492">
        <w:rPr>
          <w:rFonts w:ascii="Corbel" w:eastAsia="Tahoma" w:hAnsi="Corbel" w:cs="Tahoma"/>
          <w:sz w:val="20"/>
        </w:rPr>
        <w:t>Golding</w:t>
      </w:r>
      <w:proofErr w:type="spellEnd"/>
      <w:r w:rsidR="002E0A94">
        <w:rPr>
          <w:rFonts w:ascii="Corbel" w:eastAsia="Tahoma" w:hAnsi="Corbel" w:cs="Tahoma"/>
          <w:sz w:val="20"/>
        </w:rPr>
        <w:t>, 1992;</w:t>
      </w:r>
      <w:r w:rsidRPr="00371492">
        <w:rPr>
          <w:rFonts w:ascii="Corbel" w:eastAsia="Tahoma" w:hAnsi="Corbel" w:cs="Tahoma"/>
          <w:sz w:val="20"/>
        </w:rPr>
        <w:t xml:space="preserve"> </w:t>
      </w:r>
      <w:proofErr w:type="spellStart"/>
      <w:r w:rsidRPr="00371492">
        <w:rPr>
          <w:rFonts w:ascii="Corbel" w:eastAsia="Tahoma" w:hAnsi="Corbel" w:cs="Tahoma"/>
          <w:sz w:val="20"/>
        </w:rPr>
        <w:t>Shrader-Frechette</w:t>
      </w:r>
      <w:proofErr w:type="spellEnd"/>
      <w:r w:rsidR="002E0A94">
        <w:rPr>
          <w:rFonts w:ascii="Corbel" w:eastAsia="Tahoma" w:hAnsi="Corbel" w:cs="Tahoma"/>
          <w:sz w:val="20"/>
        </w:rPr>
        <w:t>, 1991;</w:t>
      </w:r>
      <w:r w:rsidRPr="00371492">
        <w:rPr>
          <w:rFonts w:ascii="Corbel" w:eastAsia="Tahoma" w:hAnsi="Corbel" w:cs="Tahoma"/>
          <w:sz w:val="20"/>
        </w:rPr>
        <w:t xml:space="preserve"> </w:t>
      </w:r>
      <w:proofErr w:type="spellStart"/>
      <w:r w:rsidRPr="00371492">
        <w:rPr>
          <w:rFonts w:ascii="Corbel" w:eastAsia="Tahoma" w:hAnsi="Corbel" w:cs="Tahoma"/>
          <w:sz w:val="20"/>
        </w:rPr>
        <w:t>Hansson</w:t>
      </w:r>
      <w:proofErr w:type="spellEnd"/>
      <w:r w:rsidR="002E0A94">
        <w:rPr>
          <w:rFonts w:ascii="Corbel" w:eastAsia="Tahoma" w:hAnsi="Corbel" w:cs="Tahoma"/>
          <w:sz w:val="20"/>
        </w:rPr>
        <w:t>, 2004 en</w:t>
      </w:r>
      <w:r w:rsidRPr="00371492">
        <w:rPr>
          <w:rFonts w:ascii="Corbel" w:eastAsia="Tahoma" w:hAnsi="Corbel" w:cs="Tahoma"/>
          <w:sz w:val="20"/>
        </w:rPr>
        <w:t xml:space="preserve"> </w:t>
      </w:r>
      <w:proofErr w:type="spellStart"/>
      <w:r w:rsidRPr="00371492">
        <w:rPr>
          <w:rFonts w:ascii="Corbel" w:eastAsia="Tahoma" w:hAnsi="Corbel" w:cs="Tahoma"/>
          <w:sz w:val="20"/>
        </w:rPr>
        <w:t>Roeser</w:t>
      </w:r>
      <w:proofErr w:type="spellEnd"/>
      <w:r w:rsidR="002E0A94">
        <w:rPr>
          <w:rFonts w:ascii="Corbel" w:eastAsia="Tahoma" w:hAnsi="Corbel" w:cs="Tahoma"/>
          <w:sz w:val="20"/>
        </w:rPr>
        <w:t>,</w:t>
      </w:r>
      <w:r w:rsidRPr="00371492">
        <w:rPr>
          <w:rFonts w:ascii="Corbel" w:eastAsia="Tahoma" w:hAnsi="Corbel" w:cs="Tahoma"/>
          <w:sz w:val="20"/>
        </w:rPr>
        <w:t xml:space="preserve"> 2013). </w:t>
      </w:r>
      <w:r w:rsidRPr="00371492">
        <w:rPr>
          <w:rFonts w:ascii="Corbel" w:eastAsia="Tahoma" w:hAnsi="Corbel" w:cs="Tahoma"/>
          <w:color w:val="000000" w:themeColor="text1"/>
          <w:sz w:val="20"/>
        </w:rPr>
        <w:t xml:space="preserve">Dit onderzoek </w:t>
      </w:r>
      <w:r>
        <w:rPr>
          <w:rFonts w:ascii="Corbel" w:eastAsia="Tahoma" w:hAnsi="Corbel" w:cs="Tahoma"/>
          <w:color w:val="000000" w:themeColor="text1"/>
          <w:sz w:val="20"/>
        </w:rPr>
        <w:t>heeft</w:t>
      </w:r>
      <w:r w:rsidRPr="00371492">
        <w:rPr>
          <w:rFonts w:ascii="Corbel" w:eastAsia="Tahoma" w:hAnsi="Corbel" w:cs="Tahoma"/>
          <w:color w:val="000000" w:themeColor="text1"/>
          <w:sz w:val="20"/>
        </w:rPr>
        <w:t xml:space="preserve"> hieraan bij</w:t>
      </w:r>
      <w:r>
        <w:rPr>
          <w:rFonts w:ascii="Corbel" w:eastAsia="Tahoma" w:hAnsi="Corbel" w:cs="Tahoma"/>
          <w:color w:val="000000" w:themeColor="text1"/>
          <w:sz w:val="20"/>
        </w:rPr>
        <w:t>gedragen</w:t>
      </w:r>
      <w:r w:rsidRPr="00371492">
        <w:rPr>
          <w:rFonts w:ascii="Corbel" w:eastAsia="Tahoma" w:hAnsi="Corbel" w:cs="Tahoma"/>
          <w:color w:val="000000" w:themeColor="text1"/>
          <w:sz w:val="20"/>
        </w:rPr>
        <w:t xml:space="preserve"> door in kaart te brengen hoe er invulling gegeven kan worden aan een completer concept van risicoanalyse. </w:t>
      </w:r>
      <w:r>
        <w:rPr>
          <w:rFonts w:ascii="Corbel" w:eastAsia="Tahoma" w:hAnsi="Corbel" w:cs="Tahoma"/>
          <w:color w:val="000000" w:themeColor="text1"/>
          <w:sz w:val="20"/>
        </w:rPr>
        <w:t xml:space="preserve">Dit is vervolgens toegepast op de risicoanalyse van de ILT. </w:t>
      </w:r>
      <w:r w:rsidRPr="00371492">
        <w:rPr>
          <w:rFonts w:ascii="Corbel" w:eastAsia="Tahoma" w:hAnsi="Corbel" w:cs="Tahoma"/>
          <w:sz w:val="20"/>
        </w:rPr>
        <w:t>In de afgelopen jaren is er meer aandacht gekomen voor de rol van overwegingen die moeilijk te kwantificeren zijn (</w:t>
      </w:r>
      <w:r>
        <w:rPr>
          <w:rFonts w:ascii="Corbel" w:eastAsia="Tahoma" w:hAnsi="Corbel" w:cs="Tahoma"/>
          <w:sz w:val="20"/>
        </w:rPr>
        <w:t xml:space="preserve">o.a. </w:t>
      </w:r>
      <w:proofErr w:type="spellStart"/>
      <w:r w:rsidRPr="00371492">
        <w:rPr>
          <w:rFonts w:ascii="Corbel" w:eastAsia="Tahoma" w:hAnsi="Corbel" w:cs="Tahoma"/>
          <w:sz w:val="20"/>
        </w:rPr>
        <w:t>Roeser</w:t>
      </w:r>
      <w:proofErr w:type="spellEnd"/>
      <w:r w:rsidRPr="00371492">
        <w:rPr>
          <w:rFonts w:ascii="Corbel" w:eastAsia="Tahoma" w:hAnsi="Corbel" w:cs="Tahoma"/>
          <w:sz w:val="20"/>
        </w:rPr>
        <w:t xml:space="preserve">, 2013). </w:t>
      </w:r>
      <w:r w:rsidRPr="00371492">
        <w:rPr>
          <w:rFonts w:ascii="Corbel" w:eastAsia="Tahoma" w:hAnsi="Corbel" w:cs="Tahoma"/>
          <w:color w:val="000000" w:themeColor="text1"/>
          <w:sz w:val="20"/>
        </w:rPr>
        <w:t xml:space="preserve">Dit onderzoek draagt hieraan bij door te kijken hoe er in een afwegingskader voor risico’s naast utiliteitsoverwegingen ook andere relevante ethische argumentatie meegenomen kunnen worden. </w:t>
      </w:r>
      <w:r>
        <w:rPr>
          <w:rFonts w:ascii="Corbel" w:eastAsia="Tahoma" w:hAnsi="Corbel" w:cs="Tahoma"/>
          <w:color w:val="000000" w:themeColor="text1"/>
          <w:sz w:val="20"/>
        </w:rPr>
        <w:t xml:space="preserve">Het ethische beoordelingskader dat gebruikt is in dit onderzoek is opgebouwd uit de drie dominante ethische tradities. De toepassing van dit kader in de vorm van een casestudy laat inderdaad zien dat er impliciet en expliciet meer overwegingen te herkennen zijn dan alleen utilitaire elementen. </w:t>
      </w:r>
      <w:r w:rsidR="00C659AF">
        <w:rPr>
          <w:rFonts w:ascii="Corbel" w:eastAsia="Tahoma" w:hAnsi="Corbel" w:cs="Tahoma"/>
          <w:color w:val="000000" w:themeColor="text1"/>
          <w:sz w:val="20"/>
        </w:rPr>
        <w:t xml:space="preserve">Deze deontologische en deugdethische overwegingen bieden aanknopingspunten om de argumentatie bij een risico te vergroten. Op deze manier kunnen niet-kwantificeerbare zaken meegenomen worden. De toepassing heeft plaatsgevonden door een aantal risico’s uit IBRA te analyseren in de vorm van een case </w:t>
      </w:r>
      <w:proofErr w:type="spellStart"/>
      <w:r w:rsidR="00C659AF">
        <w:rPr>
          <w:rFonts w:ascii="Corbel" w:eastAsia="Tahoma" w:hAnsi="Corbel" w:cs="Tahoma"/>
          <w:color w:val="000000" w:themeColor="text1"/>
          <w:sz w:val="20"/>
        </w:rPr>
        <w:t>study</w:t>
      </w:r>
      <w:proofErr w:type="spellEnd"/>
      <w:r w:rsidR="00C659AF">
        <w:rPr>
          <w:rFonts w:ascii="Corbel" w:eastAsia="Tahoma" w:hAnsi="Corbel" w:cs="Tahoma"/>
          <w:color w:val="000000" w:themeColor="text1"/>
          <w:sz w:val="20"/>
        </w:rPr>
        <w:t xml:space="preserve">. Dit heeft tot gevolg dat de resultaten zich vooral concentreren op deze specifieke risico’s. Het zou dus zo kunnen zijn dat andere cases andere resultaten aan het licht brengen. </w:t>
      </w:r>
    </w:p>
    <w:p w14:paraId="47EA18E0" w14:textId="1780B87B" w:rsidR="00F2546C" w:rsidRDefault="00EA6485" w:rsidP="00385755">
      <w:pPr>
        <w:spacing w:line="360" w:lineRule="auto"/>
        <w:ind w:firstLine="709"/>
        <w:jc w:val="both"/>
        <w:rPr>
          <w:rFonts w:ascii="Corbel" w:eastAsia="Tahoma" w:hAnsi="Corbel" w:cs="Tahoma"/>
          <w:color w:val="000000" w:themeColor="text1"/>
          <w:sz w:val="20"/>
        </w:rPr>
      </w:pPr>
      <w:r w:rsidRPr="00C173DD">
        <w:rPr>
          <w:rFonts w:ascii="Corbel" w:eastAsia="Tahoma" w:hAnsi="Corbel" w:cs="Tahoma"/>
          <w:color w:val="000000" w:themeColor="text1"/>
          <w:sz w:val="20"/>
        </w:rPr>
        <w:t xml:space="preserve">Zoals reeds eerder is gesteld, </w:t>
      </w:r>
      <w:r w:rsidR="00994E7D" w:rsidRPr="00C173DD">
        <w:rPr>
          <w:rFonts w:ascii="Corbel" w:eastAsia="Tahoma" w:hAnsi="Corbel" w:cs="Tahoma"/>
          <w:color w:val="000000" w:themeColor="text1"/>
          <w:sz w:val="20"/>
        </w:rPr>
        <w:t xml:space="preserve">heeft dit onderzoek gebruik gemaakt van een case </w:t>
      </w:r>
      <w:proofErr w:type="spellStart"/>
      <w:r w:rsidR="00994E7D" w:rsidRPr="00C173DD">
        <w:rPr>
          <w:rFonts w:ascii="Corbel" w:eastAsia="Tahoma" w:hAnsi="Corbel" w:cs="Tahoma"/>
          <w:color w:val="000000" w:themeColor="text1"/>
          <w:sz w:val="20"/>
        </w:rPr>
        <w:t>study</w:t>
      </w:r>
      <w:proofErr w:type="spellEnd"/>
      <w:r w:rsidR="00994E7D" w:rsidRPr="00C173DD">
        <w:rPr>
          <w:rFonts w:ascii="Corbel" w:eastAsia="Tahoma" w:hAnsi="Corbel" w:cs="Tahoma"/>
          <w:color w:val="000000" w:themeColor="text1"/>
          <w:sz w:val="20"/>
        </w:rPr>
        <w:t xml:space="preserve"> als onderzoeksontwerp. </w:t>
      </w:r>
      <w:r w:rsidR="00F2546C" w:rsidRPr="00C173DD">
        <w:rPr>
          <w:rFonts w:ascii="Corbel" w:eastAsia="Tahoma" w:hAnsi="Corbel" w:cs="Tahoma"/>
          <w:color w:val="000000" w:themeColor="text1"/>
          <w:sz w:val="20"/>
        </w:rPr>
        <w:t xml:space="preserve">Een suggestie voor verder onderzoek met betrekking op het onderzoeksontwerp is om het aantal cases uit te breiden. Eventueel vervolgonderzoek zou zich namelijk kunnen richten op een uitbreiding van het aantal risico’s. In dit onderzoek zijn namelijk slechts drie risico’s uit IBRA geanalyseerd. Hiermee is slechts een deel van de risicoanalyse van de ILT onderzocht. Het is interessant om een gehele risicoanalyse te </w:t>
      </w:r>
      <w:r w:rsidR="00F2546C" w:rsidRPr="00C173DD">
        <w:rPr>
          <w:rFonts w:ascii="Corbel" w:eastAsia="Tahoma" w:hAnsi="Corbel" w:cs="Tahoma"/>
          <w:color w:val="000000" w:themeColor="text1"/>
          <w:sz w:val="20"/>
        </w:rPr>
        <w:lastRenderedPageBreak/>
        <w:t xml:space="preserve">analyseren, omdat op die manier een compleet beeld verkregen kan worden van de risicoanalyse. Dit hangt samen met een tweede suggestie voor vervolgonderzoek. </w:t>
      </w:r>
      <w:r w:rsidR="00C173DD" w:rsidRPr="00C173DD">
        <w:rPr>
          <w:rFonts w:ascii="Corbel" w:hAnsi="Corbel" w:cs="Verdana"/>
          <w:color w:val="000000" w:themeColor="text1"/>
          <w:sz w:val="20"/>
          <w:szCs w:val="20"/>
        </w:rPr>
        <w:t xml:space="preserve">Wat de verdeling van toezicht verder bemoeilijkt is het feit dat </w:t>
      </w:r>
      <w:proofErr w:type="gramStart"/>
      <w:r w:rsidR="00C173DD" w:rsidRPr="00C173DD">
        <w:rPr>
          <w:rFonts w:ascii="Corbel" w:hAnsi="Corbel" w:cs="Verdana"/>
          <w:color w:val="000000" w:themeColor="text1"/>
          <w:sz w:val="20"/>
          <w:szCs w:val="20"/>
        </w:rPr>
        <w:t>er bij</w:t>
      </w:r>
      <w:proofErr w:type="gramEnd"/>
      <w:r w:rsidR="00C173DD" w:rsidRPr="00C173DD">
        <w:rPr>
          <w:rFonts w:ascii="Corbel" w:hAnsi="Corbel" w:cs="Verdana"/>
          <w:color w:val="000000" w:themeColor="text1"/>
          <w:sz w:val="20"/>
          <w:szCs w:val="20"/>
        </w:rPr>
        <w:t xml:space="preserve"> toezichtsallocatie sprake is van een nulsomspel. Waar toezicht op risico X geïntensiveerd wordt, dient ergens anders toezicht te verminderen. Een ‘nulsomspel’</w:t>
      </w:r>
      <w:r w:rsidR="00F2546C" w:rsidRPr="00C173DD">
        <w:rPr>
          <w:rFonts w:ascii="Corbel" w:eastAsia="Tahoma" w:hAnsi="Corbel" w:cs="Tahoma"/>
          <w:color w:val="000000" w:themeColor="text1"/>
          <w:sz w:val="20"/>
        </w:rPr>
        <w:t xml:space="preserve"> is een concept uit de speltheorie, waarbij de winst voor actor A gelijk moet zijn aan het verlies van actor B. In andere woorden: er is enkel één taart te verdelen. Dit geldt ook de toewijzing van toezichtscapaciteit binnen de ILT. Deze is van </w:t>
      </w:r>
      <w:proofErr w:type="spellStart"/>
      <w:r w:rsidR="00F2546C" w:rsidRPr="00C173DD">
        <w:rPr>
          <w:rFonts w:ascii="Corbel" w:eastAsia="Tahoma" w:hAnsi="Corbel" w:cs="Tahoma"/>
          <w:color w:val="000000" w:themeColor="text1"/>
          <w:sz w:val="20"/>
        </w:rPr>
        <w:t>nature</w:t>
      </w:r>
      <w:proofErr w:type="spellEnd"/>
      <w:r w:rsidR="00F2546C" w:rsidRPr="00C173DD">
        <w:rPr>
          <w:rFonts w:ascii="Corbel" w:eastAsia="Tahoma" w:hAnsi="Corbel" w:cs="Tahoma"/>
          <w:color w:val="000000" w:themeColor="text1"/>
          <w:sz w:val="20"/>
        </w:rPr>
        <w:t xml:space="preserve"> beperkt en om risicogestuurd toezicht te implementeren betekent dit dat sommige risico’s minder (tot geen) aandacht krijgen in vergelijking met andere risico’s. Om een overzicht te krijgen van de grootte van deze risico’s is IBRA gestart. Dit onderzoek wijst uit dat non-utilitaire overwegingen een rol spelen bij de risico’s in de catalogus. Dit heeft gevolgen voor de verdeling van toezichtscapaciteit. Een aanbeveling voor verder onderzoek is dan ook om deze gevolgen in kaart te brengen e</w:t>
      </w:r>
      <w:r w:rsidR="00385755">
        <w:rPr>
          <w:rFonts w:ascii="Corbel" w:eastAsia="Tahoma" w:hAnsi="Corbel" w:cs="Tahoma"/>
          <w:color w:val="000000" w:themeColor="text1"/>
          <w:sz w:val="20"/>
        </w:rPr>
        <w:t xml:space="preserve"> </w:t>
      </w:r>
      <w:r w:rsidR="00F2546C" w:rsidRPr="00C173DD">
        <w:rPr>
          <w:rFonts w:ascii="Corbel" w:eastAsia="Tahoma" w:hAnsi="Corbel" w:cs="Tahoma"/>
          <w:color w:val="000000" w:themeColor="text1"/>
          <w:sz w:val="20"/>
        </w:rPr>
        <w:t>n om een omgang te vinden met dit nulsomspel.</w:t>
      </w:r>
    </w:p>
    <w:p w14:paraId="40320387" w14:textId="77777777" w:rsidR="00385755" w:rsidRDefault="00385755" w:rsidP="00385755">
      <w:pPr>
        <w:spacing w:line="360" w:lineRule="auto"/>
        <w:ind w:firstLine="709"/>
        <w:jc w:val="both"/>
        <w:rPr>
          <w:rFonts w:ascii="Corbel" w:eastAsia="Tahoma" w:hAnsi="Corbel" w:cs="Tahoma"/>
          <w:color w:val="000000" w:themeColor="text1"/>
          <w:sz w:val="20"/>
        </w:rPr>
      </w:pPr>
    </w:p>
    <w:p w14:paraId="12F1325F" w14:textId="77777777" w:rsidR="00385755" w:rsidRDefault="00385755" w:rsidP="00385755">
      <w:pPr>
        <w:spacing w:line="360" w:lineRule="auto"/>
        <w:ind w:firstLine="709"/>
        <w:jc w:val="both"/>
        <w:rPr>
          <w:rFonts w:ascii="Corbel" w:eastAsia="Tahoma" w:hAnsi="Corbel" w:cs="Tahoma"/>
          <w:color w:val="000000" w:themeColor="text1"/>
          <w:sz w:val="20"/>
        </w:rPr>
      </w:pPr>
    </w:p>
    <w:p w14:paraId="4A263423" w14:textId="77777777" w:rsidR="00385755" w:rsidRDefault="00385755" w:rsidP="00385755">
      <w:pPr>
        <w:spacing w:line="360" w:lineRule="auto"/>
        <w:ind w:firstLine="709"/>
        <w:jc w:val="both"/>
        <w:rPr>
          <w:rFonts w:ascii="Corbel" w:eastAsia="Tahoma" w:hAnsi="Corbel" w:cs="Tahoma"/>
          <w:color w:val="000000" w:themeColor="text1"/>
          <w:sz w:val="20"/>
        </w:rPr>
      </w:pPr>
    </w:p>
    <w:p w14:paraId="36AB0373" w14:textId="77777777" w:rsidR="00385755" w:rsidRDefault="00385755" w:rsidP="00385755">
      <w:pPr>
        <w:spacing w:line="360" w:lineRule="auto"/>
        <w:ind w:firstLine="709"/>
        <w:jc w:val="both"/>
        <w:rPr>
          <w:rFonts w:ascii="Corbel" w:eastAsia="Tahoma" w:hAnsi="Corbel" w:cs="Tahoma"/>
          <w:color w:val="000000" w:themeColor="text1"/>
          <w:sz w:val="20"/>
        </w:rPr>
      </w:pPr>
    </w:p>
    <w:p w14:paraId="59B0195C" w14:textId="77777777" w:rsidR="00385755" w:rsidRDefault="00385755" w:rsidP="00385755">
      <w:pPr>
        <w:spacing w:line="360" w:lineRule="auto"/>
        <w:ind w:firstLine="709"/>
        <w:jc w:val="both"/>
        <w:rPr>
          <w:rFonts w:ascii="Corbel" w:eastAsia="Tahoma" w:hAnsi="Corbel" w:cs="Tahoma"/>
          <w:color w:val="000000" w:themeColor="text1"/>
          <w:sz w:val="20"/>
        </w:rPr>
      </w:pPr>
    </w:p>
    <w:p w14:paraId="53C9BC4E" w14:textId="77777777" w:rsidR="00385755" w:rsidRDefault="00385755" w:rsidP="00385755">
      <w:pPr>
        <w:spacing w:line="360" w:lineRule="auto"/>
        <w:ind w:firstLine="709"/>
        <w:jc w:val="both"/>
        <w:rPr>
          <w:rFonts w:ascii="Corbel" w:eastAsia="Tahoma" w:hAnsi="Corbel" w:cs="Tahoma"/>
          <w:color w:val="000000" w:themeColor="text1"/>
          <w:sz w:val="20"/>
        </w:rPr>
      </w:pPr>
    </w:p>
    <w:p w14:paraId="7D49ED06" w14:textId="77777777" w:rsidR="00385755" w:rsidRDefault="00385755" w:rsidP="00385755">
      <w:pPr>
        <w:spacing w:line="360" w:lineRule="auto"/>
        <w:ind w:firstLine="709"/>
        <w:jc w:val="both"/>
        <w:rPr>
          <w:rFonts w:ascii="Corbel" w:eastAsia="Tahoma" w:hAnsi="Corbel" w:cs="Tahoma"/>
          <w:color w:val="000000" w:themeColor="text1"/>
          <w:sz w:val="20"/>
        </w:rPr>
      </w:pPr>
    </w:p>
    <w:p w14:paraId="18170694" w14:textId="77777777" w:rsidR="00385755" w:rsidRDefault="00385755" w:rsidP="00385755">
      <w:pPr>
        <w:spacing w:line="360" w:lineRule="auto"/>
        <w:ind w:firstLine="709"/>
        <w:jc w:val="both"/>
        <w:rPr>
          <w:rFonts w:ascii="Corbel" w:eastAsia="Tahoma" w:hAnsi="Corbel" w:cs="Tahoma"/>
          <w:color w:val="000000" w:themeColor="text1"/>
          <w:sz w:val="20"/>
        </w:rPr>
      </w:pPr>
    </w:p>
    <w:p w14:paraId="466417EF" w14:textId="77777777" w:rsidR="00385755" w:rsidRDefault="00385755" w:rsidP="00385755">
      <w:pPr>
        <w:spacing w:line="360" w:lineRule="auto"/>
        <w:ind w:firstLine="709"/>
        <w:jc w:val="both"/>
        <w:rPr>
          <w:rFonts w:ascii="Corbel" w:eastAsia="Tahoma" w:hAnsi="Corbel" w:cs="Tahoma"/>
          <w:color w:val="000000" w:themeColor="text1"/>
          <w:sz w:val="20"/>
        </w:rPr>
      </w:pPr>
    </w:p>
    <w:p w14:paraId="08F70032" w14:textId="77777777" w:rsidR="00385755" w:rsidRDefault="00385755" w:rsidP="00385755">
      <w:pPr>
        <w:spacing w:line="360" w:lineRule="auto"/>
        <w:ind w:firstLine="709"/>
        <w:jc w:val="both"/>
        <w:rPr>
          <w:rFonts w:ascii="Corbel" w:eastAsia="Tahoma" w:hAnsi="Corbel" w:cs="Tahoma"/>
          <w:color w:val="000000" w:themeColor="text1"/>
          <w:sz w:val="20"/>
        </w:rPr>
      </w:pPr>
    </w:p>
    <w:p w14:paraId="06CF45E0" w14:textId="77777777" w:rsidR="00385755" w:rsidRDefault="00385755" w:rsidP="00385755">
      <w:pPr>
        <w:spacing w:line="360" w:lineRule="auto"/>
        <w:ind w:firstLine="709"/>
        <w:jc w:val="both"/>
        <w:rPr>
          <w:rFonts w:ascii="Corbel" w:eastAsia="Tahoma" w:hAnsi="Corbel" w:cs="Tahoma"/>
          <w:color w:val="000000" w:themeColor="text1"/>
          <w:sz w:val="20"/>
        </w:rPr>
      </w:pPr>
    </w:p>
    <w:p w14:paraId="58B84F55" w14:textId="77777777" w:rsidR="00385755" w:rsidRDefault="00385755" w:rsidP="00385755">
      <w:pPr>
        <w:spacing w:line="360" w:lineRule="auto"/>
        <w:ind w:firstLine="709"/>
        <w:jc w:val="both"/>
        <w:rPr>
          <w:rFonts w:ascii="Corbel" w:eastAsia="Tahoma" w:hAnsi="Corbel" w:cs="Tahoma"/>
          <w:color w:val="000000" w:themeColor="text1"/>
          <w:sz w:val="20"/>
        </w:rPr>
      </w:pPr>
    </w:p>
    <w:p w14:paraId="31C8491F" w14:textId="77777777" w:rsidR="00385755" w:rsidRDefault="00385755" w:rsidP="00385755">
      <w:pPr>
        <w:spacing w:line="360" w:lineRule="auto"/>
        <w:ind w:firstLine="709"/>
        <w:jc w:val="both"/>
        <w:rPr>
          <w:rFonts w:ascii="Corbel" w:eastAsia="Tahoma" w:hAnsi="Corbel" w:cs="Tahoma"/>
          <w:color w:val="000000" w:themeColor="text1"/>
          <w:sz w:val="20"/>
        </w:rPr>
      </w:pPr>
    </w:p>
    <w:p w14:paraId="6BA9EA8C" w14:textId="77777777" w:rsidR="00385755" w:rsidRDefault="00385755" w:rsidP="00385755">
      <w:pPr>
        <w:spacing w:line="360" w:lineRule="auto"/>
        <w:ind w:firstLine="709"/>
        <w:jc w:val="both"/>
        <w:rPr>
          <w:rFonts w:ascii="Corbel" w:eastAsia="Tahoma" w:hAnsi="Corbel" w:cs="Tahoma"/>
          <w:color w:val="000000" w:themeColor="text1"/>
          <w:sz w:val="20"/>
        </w:rPr>
      </w:pPr>
    </w:p>
    <w:p w14:paraId="7097F737" w14:textId="77777777" w:rsidR="00385755" w:rsidRDefault="00385755" w:rsidP="00385755">
      <w:pPr>
        <w:spacing w:line="360" w:lineRule="auto"/>
        <w:ind w:firstLine="709"/>
        <w:jc w:val="both"/>
        <w:rPr>
          <w:rFonts w:ascii="Corbel" w:eastAsia="Tahoma" w:hAnsi="Corbel" w:cs="Tahoma"/>
          <w:color w:val="000000" w:themeColor="text1"/>
          <w:sz w:val="20"/>
        </w:rPr>
      </w:pPr>
    </w:p>
    <w:p w14:paraId="10F3EAA6" w14:textId="77777777" w:rsidR="00385755" w:rsidRDefault="00385755" w:rsidP="00385755">
      <w:pPr>
        <w:spacing w:line="360" w:lineRule="auto"/>
        <w:ind w:firstLine="709"/>
        <w:jc w:val="both"/>
        <w:rPr>
          <w:rFonts w:ascii="Corbel" w:eastAsia="Tahoma" w:hAnsi="Corbel" w:cs="Tahoma"/>
          <w:color w:val="000000" w:themeColor="text1"/>
          <w:sz w:val="20"/>
        </w:rPr>
      </w:pPr>
    </w:p>
    <w:p w14:paraId="787DAAE8" w14:textId="77777777" w:rsidR="00385755" w:rsidRDefault="00385755" w:rsidP="00385755">
      <w:pPr>
        <w:spacing w:line="360" w:lineRule="auto"/>
        <w:ind w:firstLine="709"/>
        <w:jc w:val="both"/>
        <w:rPr>
          <w:rFonts w:ascii="Corbel" w:eastAsia="Tahoma" w:hAnsi="Corbel" w:cs="Tahoma"/>
          <w:color w:val="000000" w:themeColor="text1"/>
          <w:sz w:val="20"/>
        </w:rPr>
      </w:pPr>
    </w:p>
    <w:p w14:paraId="081286DD" w14:textId="77777777" w:rsidR="00385755" w:rsidRDefault="00385755" w:rsidP="00385755">
      <w:pPr>
        <w:spacing w:line="360" w:lineRule="auto"/>
        <w:ind w:firstLine="709"/>
        <w:jc w:val="both"/>
        <w:rPr>
          <w:rFonts w:ascii="Corbel" w:eastAsia="Tahoma" w:hAnsi="Corbel" w:cs="Tahoma"/>
          <w:color w:val="000000" w:themeColor="text1"/>
          <w:sz w:val="20"/>
        </w:rPr>
      </w:pPr>
    </w:p>
    <w:p w14:paraId="49CC7412" w14:textId="77777777" w:rsidR="00385755" w:rsidRDefault="00385755" w:rsidP="00385755">
      <w:pPr>
        <w:spacing w:line="360" w:lineRule="auto"/>
        <w:ind w:firstLine="709"/>
        <w:jc w:val="both"/>
        <w:rPr>
          <w:rFonts w:ascii="Corbel" w:eastAsia="Tahoma" w:hAnsi="Corbel" w:cs="Tahoma"/>
          <w:color w:val="000000" w:themeColor="text1"/>
          <w:sz w:val="20"/>
        </w:rPr>
      </w:pPr>
    </w:p>
    <w:p w14:paraId="438DC1B0" w14:textId="77777777" w:rsidR="00385755" w:rsidRDefault="00385755" w:rsidP="00385755">
      <w:pPr>
        <w:spacing w:line="360" w:lineRule="auto"/>
        <w:ind w:firstLine="709"/>
        <w:jc w:val="both"/>
        <w:rPr>
          <w:rFonts w:ascii="Corbel" w:eastAsia="Tahoma" w:hAnsi="Corbel" w:cs="Tahoma"/>
          <w:color w:val="000000" w:themeColor="text1"/>
          <w:sz w:val="20"/>
        </w:rPr>
      </w:pPr>
    </w:p>
    <w:p w14:paraId="304C4D0A" w14:textId="77777777" w:rsidR="00385755" w:rsidRDefault="00385755" w:rsidP="00385755">
      <w:pPr>
        <w:spacing w:line="360" w:lineRule="auto"/>
        <w:ind w:firstLine="709"/>
        <w:jc w:val="both"/>
        <w:rPr>
          <w:rFonts w:ascii="Corbel" w:eastAsia="Tahoma" w:hAnsi="Corbel" w:cs="Tahoma"/>
          <w:color w:val="000000" w:themeColor="text1"/>
          <w:sz w:val="20"/>
        </w:rPr>
      </w:pPr>
    </w:p>
    <w:p w14:paraId="7A3432C6" w14:textId="77777777" w:rsidR="00385755" w:rsidRDefault="00385755" w:rsidP="00385755">
      <w:pPr>
        <w:spacing w:line="360" w:lineRule="auto"/>
        <w:ind w:firstLine="709"/>
        <w:jc w:val="both"/>
        <w:rPr>
          <w:rFonts w:ascii="Corbel" w:eastAsia="Tahoma" w:hAnsi="Corbel" w:cs="Tahoma"/>
          <w:color w:val="000000" w:themeColor="text1"/>
          <w:sz w:val="20"/>
        </w:rPr>
      </w:pPr>
    </w:p>
    <w:p w14:paraId="3F8CD456" w14:textId="77777777" w:rsidR="00385755" w:rsidRDefault="00385755" w:rsidP="00385755">
      <w:pPr>
        <w:spacing w:line="360" w:lineRule="auto"/>
        <w:ind w:firstLine="709"/>
        <w:jc w:val="both"/>
        <w:rPr>
          <w:rFonts w:ascii="Corbel" w:eastAsia="Tahoma" w:hAnsi="Corbel" w:cs="Tahoma"/>
          <w:color w:val="000000" w:themeColor="text1"/>
          <w:sz w:val="20"/>
        </w:rPr>
      </w:pPr>
    </w:p>
    <w:p w14:paraId="18BAAB34" w14:textId="77777777" w:rsidR="00385755" w:rsidRDefault="00385755" w:rsidP="00385755">
      <w:pPr>
        <w:spacing w:line="360" w:lineRule="auto"/>
        <w:ind w:firstLine="709"/>
        <w:jc w:val="both"/>
        <w:rPr>
          <w:rFonts w:ascii="Corbel" w:eastAsia="Tahoma" w:hAnsi="Corbel" w:cs="Tahoma"/>
          <w:color w:val="000000" w:themeColor="text1"/>
          <w:sz w:val="20"/>
        </w:rPr>
      </w:pPr>
    </w:p>
    <w:p w14:paraId="4C46BA10" w14:textId="77777777" w:rsidR="00385755" w:rsidRDefault="00385755" w:rsidP="00385755">
      <w:pPr>
        <w:spacing w:line="360" w:lineRule="auto"/>
        <w:ind w:firstLine="709"/>
        <w:jc w:val="both"/>
        <w:rPr>
          <w:rFonts w:ascii="Corbel" w:eastAsia="Tahoma" w:hAnsi="Corbel" w:cs="Tahoma"/>
          <w:color w:val="000000" w:themeColor="text1"/>
          <w:sz w:val="20"/>
        </w:rPr>
      </w:pPr>
    </w:p>
    <w:p w14:paraId="505CDF4A" w14:textId="77777777" w:rsidR="00385755" w:rsidRPr="007F0506" w:rsidRDefault="00385755" w:rsidP="00385755">
      <w:pPr>
        <w:spacing w:line="360" w:lineRule="auto"/>
        <w:ind w:firstLine="709"/>
        <w:jc w:val="both"/>
        <w:rPr>
          <w:rFonts w:ascii="Corbel" w:eastAsia="Tahoma" w:hAnsi="Corbel" w:cs="Tahoma"/>
          <w:color w:val="000000" w:themeColor="text1"/>
          <w:sz w:val="20"/>
        </w:rPr>
      </w:pPr>
    </w:p>
    <w:p w14:paraId="0939824C" w14:textId="7CC32651" w:rsidR="005418E4" w:rsidRPr="0037116F" w:rsidRDefault="007564F8" w:rsidP="0037116F">
      <w:pPr>
        <w:pStyle w:val="Stijl1"/>
        <w:numPr>
          <w:ilvl w:val="0"/>
          <w:numId w:val="0"/>
        </w:numPr>
        <w:spacing w:line="360" w:lineRule="auto"/>
        <w:jc w:val="both"/>
        <w:rPr>
          <w:rFonts w:eastAsia="Tahoma" w:cs="Tahoma"/>
          <w:szCs w:val="24"/>
        </w:rPr>
      </w:pPr>
      <w:bookmarkStart w:id="58" w:name="_Toc480363484"/>
      <w:bookmarkStart w:id="59" w:name="_Toc485990897"/>
      <w:r w:rsidRPr="00371492">
        <w:rPr>
          <w:rFonts w:eastAsia="Tahoma" w:cs="Tahoma"/>
          <w:szCs w:val="24"/>
        </w:rPr>
        <w:lastRenderedPageBreak/>
        <w:t>Literatuur</w:t>
      </w:r>
      <w:bookmarkEnd w:id="58"/>
      <w:bookmarkEnd w:id="59"/>
    </w:p>
    <w:p w14:paraId="7731D5E0" w14:textId="77777777" w:rsidR="008D0697" w:rsidRPr="00EF2CA2" w:rsidRDefault="008D0697" w:rsidP="00EF2CA2">
      <w:pPr>
        <w:widowControl w:val="0"/>
        <w:autoSpaceDE w:val="0"/>
        <w:autoSpaceDN w:val="0"/>
        <w:adjustRightInd w:val="0"/>
        <w:spacing w:after="240" w:line="360" w:lineRule="auto"/>
        <w:ind w:left="852" w:hanging="851"/>
        <w:contextualSpacing/>
        <w:rPr>
          <w:rFonts w:ascii="Corbel" w:hAnsi="Corbel" w:cs="Times"/>
          <w:sz w:val="20"/>
          <w:szCs w:val="20"/>
          <w:lang w:eastAsia="en-US"/>
        </w:rPr>
      </w:pPr>
      <w:proofErr w:type="spellStart"/>
      <w:r w:rsidRPr="00EF2CA2">
        <w:rPr>
          <w:rFonts w:ascii="Corbel" w:hAnsi="Corbel" w:cs="Times"/>
          <w:sz w:val="20"/>
          <w:szCs w:val="20"/>
          <w:lang w:eastAsia="en-US"/>
        </w:rPr>
        <w:t>Asveld</w:t>
      </w:r>
      <w:proofErr w:type="spellEnd"/>
      <w:r w:rsidRPr="00EF2CA2">
        <w:rPr>
          <w:rFonts w:ascii="Corbel" w:hAnsi="Corbel" w:cs="Times"/>
          <w:sz w:val="20"/>
          <w:szCs w:val="20"/>
          <w:lang w:eastAsia="en-US"/>
        </w:rPr>
        <w:t xml:space="preserve">, L. &amp; </w:t>
      </w:r>
      <w:proofErr w:type="spellStart"/>
      <w:r w:rsidRPr="00EF2CA2">
        <w:rPr>
          <w:rFonts w:ascii="Corbel" w:hAnsi="Corbel" w:cs="Times"/>
          <w:sz w:val="20"/>
          <w:szCs w:val="20"/>
          <w:lang w:eastAsia="en-US"/>
        </w:rPr>
        <w:t>Roeser</w:t>
      </w:r>
      <w:proofErr w:type="spellEnd"/>
      <w:r w:rsidRPr="00EF2CA2">
        <w:rPr>
          <w:rFonts w:ascii="Corbel" w:hAnsi="Corbel" w:cs="Times"/>
          <w:sz w:val="20"/>
          <w:szCs w:val="20"/>
          <w:lang w:eastAsia="en-US"/>
        </w:rPr>
        <w:t xml:space="preserve">, S. (2009), </w:t>
      </w:r>
      <w:r w:rsidRPr="00EF2CA2">
        <w:rPr>
          <w:rFonts w:ascii="Corbel" w:hAnsi="Corbel" w:cs="Times"/>
          <w:i/>
          <w:iCs/>
          <w:sz w:val="20"/>
          <w:szCs w:val="20"/>
          <w:lang w:eastAsia="en-US"/>
        </w:rPr>
        <w:t xml:space="preserve">The </w:t>
      </w:r>
      <w:proofErr w:type="spellStart"/>
      <w:r w:rsidRPr="00EF2CA2">
        <w:rPr>
          <w:rFonts w:ascii="Corbel" w:hAnsi="Corbel" w:cs="Times"/>
          <w:i/>
          <w:iCs/>
          <w:sz w:val="20"/>
          <w:szCs w:val="20"/>
          <w:lang w:eastAsia="en-US"/>
        </w:rPr>
        <w:t>Ethics</w:t>
      </w:r>
      <w:proofErr w:type="spellEnd"/>
      <w:r w:rsidRPr="00EF2CA2">
        <w:rPr>
          <w:rFonts w:ascii="Corbel" w:hAnsi="Corbel" w:cs="Times"/>
          <w:i/>
          <w:iCs/>
          <w:sz w:val="20"/>
          <w:szCs w:val="20"/>
          <w:lang w:eastAsia="en-US"/>
        </w:rPr>
        <w:t xml:space="preserve"> of </w:t>
      </w:r>
      <w:proofErr w:type="spellStart"/>
      <w:r w:rsidRPr="00EF2CA2">
        <w:rPr>
          <w:rFonts w:ascii="Corbel" w:hAnsi="Corbel" w:cs="Times"/>
          <w:i/>
          <w:iCs/>
          <w:sz w:val="20"/>
          <w:szCs w:val="20"/>
          <w:lang w:eastAsia="en-US"/>
        </w:rPr>
        <w:t>Technological</w:t>
      </w:r>
      <w:proofErr w:type="spellEnd"/>
      <w:r w:rsidRPr="00EF2CA2">
        <w:rPr>
          <w:rFonts w:ascii="Corbel" w:hAnsi="Corbel" w:cs="Times"/>
          <w:i/>
          <w:iCs/>
          <w:sz w:val="20"/>
          <w:szCs w:val="20"/>
          <w:lang w:eastAsia="en-US"/>
        </w:rPr>
        <w:t xml:space="preserve"> Risk, </w:t>
      </w:r>
      <w:r w:rsidRPr="00EF2CA2">
        <w:rPr>
          <w:rFonts w:ascii="Corbel" w:hAnsi="Corbel" w:cs="Times"/>
          <w:sz w:val="20"/>
          <w:szCs w:val="20"/>
          <w:lang w:eastAsia="en-US"/>
        </w:rPr>
        <w:t xml:space="preserve">London: Earthscan </w:t>
      </w:r>
    </w:p>
    <w:p w14:paraId="4DE6EEC1" w14:textId="77777777" w:rsidR="008D0697" w:rsidRPr="00EF2CA2" w:rsidRDefault="008D0697" w:rsidP="00EF2CA2">
      <w:pPr>
        <w:spacing w:line="360" w:lineRule="auto"/>
        <w:ind w:left="852" w:hanging="851"/>
        <w:contextualSpacing/>
        <w:rPr>
          <w:rFonts w:ascii="Corbel" w:eastAsia="Tahoma" w:hAnsi="Corbel" w:cs="Tahoma"/>
          <w:sz w:val="20"/>
          <w:szCs w:val="20"/>
        </w:rPr>
      </w:pPr>
      <w:proofErr w:type="spellStart"/>
      <w:r w:rsidRPr="00EF2CA2">
        <w:rPr>
          <w:rFonts w:ascii="Corbel" w:eastAsia="Tahoma" w:hAnsi="Corbel" w:cs="Tahoma"/>
          <w:sz w:val="20"/>
          <w:szCs w:val="20"/>
        </w:rPr>
        <w:t>Athanassoulis</w:t>
      </w:r>
      <w:proofErr w:type="spellEnd"/>
      <w:r w:rsidRPr="00EF2CA2">
        <w:rPr>
          <w:rFonts w:ascii="Corbel" w:eastAsia="Tahoma" w:hAnsi="Corbel" w:cs="Tahoma"/>
          <w:sz w:val="20"/>
          <w:szCs w:val="20"/>
        </w:rPr>
        <w:t xml:space="preserve">, N. &amp; Ross, A. (2010). A </w:t>
      </w:r>
      <w:proofErr w:type="spellStart"/>
      <w:r w:rsidRPr="00EF2CA2">
        <w:rPr>
          <w:rFonts w:ascii="Corbel" w:eastAsia="Tahoma" w:hAnsi="Corbel" w:cs="Tahoma"/>
          <w:sz w:val="20"/>
          <w:szCs w:val="20"/>
        </w:rPr>
        <w:t>virtue</w:t>
      </w:r>
      <w:proofErr w:type="spellEnd"/>
      <w:r w:rsidRPr="00EF2CA2">
        <w:rPr>
          <w:rFonts w:ascii="Corbel" w:eastAsia="Tahoma" w:hAnsi="Corbel" w:cs="Tahoma"/>
          <w:sz w:val="20"/>
          <w:szCs w:val="20"/>
        </w:rPr>
        <w:t xml:space="preserve"> </w:t>
      </w:r>
      <w:proofErr w:type="spellStart"/>
      <w:r w:rsidRPr="00EF2CA2">
        <w:rPr>
          <w:rFonts w:ascii="Corbel" w:eastAsia="Tahoma" w:hAnsi="Corbel" w:cs="Tahoma"/>
          <w:sz w:val="20"/>
          <w:szCs w:val="20"/>
        </w:rPr>
        <w:t>ethical</w:t>
      </w:r>
      <w:proofErr w:type="spellEnd"/>
      <w:r w:rsidRPr="00EF2CA2">
        <w:rPr>
          <w:rFonts w:ascii="Corbel" w:eastAsia="Tahoma" w:hAnsi="Corbel" w:cs="Tahoma"/>
          <w:sz w:val="20"/>
          <w:szCs w:val="20"/>
        </w:rPr>
        <w:t xml:space="preserve"> account of making </w:t>
      </w:r>
      <w:proofErr w:type="spellStart"/>
      <w:r w:rsidRPr="00EF2CA2">
        <w:rPr>
          <w:rFonts w:ascii="Corbel" w:eastAsia="Tahoma" w:hAnsi="Corbel" w:cs="Tahoma"/>
          <w:sz w:val="20"/>
          <w:szCs w:val="20"/>
        </w:rPr>
        <w:t>decisions</w:t>
      </w:r>
      <w:proofErr w:type="spellEnd"/>
      <w:r w:rsidRPr="00EF2CA2">
        <w:rPr>
          <w:rFonts w:ascii="Corbel" w:eastAsia="Tahoma" w:hAnsi="Corbel" w:cs="Tahoma"/>
          <w:sz w:val="20"/>
          <w:szCs w:val="20"/>
        </w:rPr>
        <w:t xml:space="preserve"> </w:t>
      </w:r>
      <w:proofErr w:type="spellStart"/>
      <w:r w:rsidRPr="00EF2CA2">
        <w:rPr>
          <w:rFonts w:ascii="Corbel" w:eastAsia="Tahoma" w:hAnsi="Corbel" w:cs="Tahoma"/>
          <w:sz w:val="20"/>
          <w:szCs w:val="20"/>
        </w:rPr>
        <w:t>about</w:t>
      </w:r>
      <w:proofErr w:type="spellEnd"/>
      <w:r w:rsidRPr="00EF2CA2">
        <w:rPr>
          <w:rFonts w:ascii="Corbel" w:eastAsia="Tahoma" w:hAnsi="Corbel" w:cs="Tahoma"/>
          <w:sz w:val="20"/>
          <w:szCs w:val="20"/>
        </w:rPr>
        <w:t xml:space="preserve"> risk. </w:t>
      </w:r>
      <w:r w:rsidRPr="00EF2CA2">
        <w:rPr>
          <w:rFonts w:ascii="Corbel" w:eastAsia="Tahoma" w:hAnsi="Corbel" w:cs="Tahoma"/>
          <w:i/>
          <w:sz w:val="20"/>
          <w:szCs w:val="20"/>
        </w:rPr>
        <w:t>Journal of Risk Research</w:t>
      </w:r>
      <w:r w:rsidRPr="00EF2CA2">
        <w:rPr>
          <w:rFonts w:ascii="Corbel" w:eastAsia="Tahoma" w:hAnsi="Corbel" w:cs="Tahoma"/>
          <w:sz w:val="20"/>
          <w:szCs w:val="20"/>
        </w:rPr>
        <w:t>, 13(2): 217.</w:t>
      </w:r>
    </w:p>
    <w:p w14:paraId="2F625009" w14:textId="77777777" w:rsidR="008D0697" w:rsidRPr="00EF2CA2" w:rsidRDefault="008D0697" w:rsidP="00EF2CA2">
      <w:pPr>
        <w:spacing w:line="360" w:lineRule="auto"/>
        <w:ind w:left="852" w:hanging="851"/>
        <w:contextualSpacing/>
        <w:rPr>
          <w:rFonts w:ascii="Corbel" w:eastAsia="Tahoma" w:hAnsi="Corbel" w:cs="Tahoma"/>
          <w:sz w:val="20"/>
          <w:szCs w:val="20"/>
        </w:rPr>
      </w:pPr>
      <w:proofErr w:type="spellStart"/>
      <w:r w:rsidRPr="00EF2CA2">
        <w:rPr>
          <w:rFonts w:ascii="Corbel" w:eastAsia="Tahoma" w:hAnsi="Corbel" w:cs="Tahoma"/>
          <w:sz w:val="20"/>
          <w:szCs w:val="20"/>
        </w:rPr>
        <w:t>Aven</w:t>
      </w:r>
      <w:proofErr w:type="spellEnd"/>
      <w:r w:rsidRPr="00EF2CA2">
        <w:rPr>
          <w:rFonts w:ascii="Corbel" w:eastAsia="Tahoma" w:hAnsi="Corbel" w:cs="Tahoma"/>
          <w:sz w:val="20"/>
          <w:szCs w:val="20"/>
        </w:rPr>
        <w:t xml:space="preserve">, T. (2012). The </w:t>
      </w:r>
      <w:proofErr w:type="gramStart"/>
      <w:r w:rsidRPr="00EF2CA2">
        <w:rPr>
          <w:rFonts w:ascii="Corbel" w:eastAsia="Tahoma" w:hAnsi="Corbel" w:cs="Tahoma"/>
          <w:sz w:val="20"/>
          <w:szCs w:val="20"/>
        </w:rPr>
        <w:t>risk concept</w:t>
      </w:r>
      <w:proofErr w:type="gramEnd"/>
      <w:r w:rsidRPr="00EF2CA2">
        <w:rPr>
          <w:rFonts w:ascii="Corbel" w:eastAsia="Tahoma" w:hAnsi="Corbel" w:cs="Tahoma"/>
          <w:sz w:val="20"/>
          <w:szCs w:val="20"/>
        </w:rPr>
        <w:t xml:space="preserve"> – </w:t>
      </w:r>
      <w:proofErr w:type="spellStart"/>
      <w:r w:rsidRPr="00EF2CA2">
        <w:rPr>
          <w:rFonts w:ascii="Corbel" w:eastAsia="Tahoma" w:hAnsi="Corbel" w:cs="Tahoma"/>
          <w:sz w:val="20"/>
          <w:szCs w:val="20"/>
        </w:rPr>
        <w:t>historical</w:t>
      </w:r>
      <w:proofErr w:type="spellEnd"/>
      <w:r w:rsidRPr="00EF2CA2">
        <w:rPr>
          <w:rFonts w:ascii="Corbel" w:eastAsia="Tahoma" w:hAnsi="Corbel" w:cs="Tahoma"/>
          <w:sz w:val="20"/>
          <w:szCs w:val="20"/>
        </w:rPr>
        <w:t xml:space="preserve"> </w:t>
      </w:r>
      <w:proofErr w:type="spellStart"/>
      <w:r w:rsidRPr="00EF2CA2">
        <w:rPr>
          <w:rFonts w:ascii="Corbel" w:eastAsia="Tahoma" w:hAnsi="Corbel" w:cs="Tahoma"/>
          <w:sz w:val="20"/>
          <w:szCs w:val="20"/>
        </w:rPr>
        <w:t>and</w:t>
      </w:r>
      <w:proofErr w:type="spellEnd"/>
      <w:r w:rsidRPr="00EF2CA2">
        <w:rPr>
          <w:rFonts w:ascii="Corbel" w:eastAsia="Tahoma" w:hAnsi="Corbel" w:cs="Tahoma"/>
          <w:sz w:val="20"/>
          <w:szCs w:val="20"/>
        </w:rPr>
        <w:t xml:space="preserve"> recent </w:t>
      </w:r>
      <w:proofErr w:type="spellStart"/>
      <w:r w:rsidRPr="00EF2CA2">
        <w:rPr>
          <w:rFonts w:ascii="Corbel" w:eastAsia="Tahoma" w:hAnsi="Corbel" w:cs="Tahoma"/>
          <w:sz w:val="20"/>
          <w:szCs w:val="20"/>
        </w:rPr>
        <w:t>development</w:t>
      </w:r>
      <w:proofErr w:type="spellEnd"/>
      <w:r w:rsidRPr="00EF2CA2">
        <w:rPr>
          <w:rFonts w:ascii="Corbel" w:eastAsia="Tahoma" w:hAnsi="Corbel" w:cs="Tahoma"/>
          <w:sz w:val="20"/>
          <w:szCs w:val="20"/>
        </w:rPr>
        <w:t xml:space="preserve"> trends. </w:t>
      </w:r>
      <w:proofErr w:type="spellStart"/>
      <w:r w:rsidRPr="00EF2CA2">
        <w:rPr>
          <w:rFonts w:ascii="Corbel" w:eastAsia="Tahoma" w:hAnsi="Corbel" w:cs="Tahoma"/>
          <w:i/>
          <w:sz w:val="20"/>
          <w:szCs w:val="20"/>
        </w:rPr>
        <w:t>Reliability</w:t>
      </w:r>
      <w:proofErr w:type="spellEnd"/>
      <w:r w:rsidRPr="00EF2CA2">
        <w:rPr>
          <w:rFonts w:ascii="Corbel" w:eastAsia="Tahoma" w:hAnsi="Corbel" w:cs="Tahoma"/>
          <w:i/>
          <w:sz w:val="20"/>
          <w:szCs w:val="20"/>
        </w:rPr>
        <w:t xml:space="preserve"> Engineering </w:t>
      </w:r>
      <w:proofErr w:type="spellStart"/>
      <w:r w:rsidRPr="00EF2CA2">
        <w:rPr>
          <w:rFonts w:ascii="Corbel" w:eastAsia="Tahoma" w:hAnsi="Corbel" w:cs="Tahoma"/>
          <w:i/>
          <w:sz w:val="20"/>
          <w:szCs w:val="20"/>
        </w:rPr>
        <w:t>and</w:t>
      </w:r>
      <w:proofErr w:type="spellEnd"/>
      <w:r w:rsidRPr="00EF2CA2">
        <w:rPr>
          <w:rFonts w:ascii="Corbel" w:eastAsia="Tahoma" w:hAnsi="Corbel" w:cs="Tahoma"/>
          <w:i/>
          <w:sz w:val="20"/>
          <w:szCs w:val="20"/>
        </w:rPr>
        <w:t xml:space="preserve"> System Safety</w:t>
      </w:r>
      <w:r w:rsidRPr="00EF2CA2">
        <w:rPr>
          <w:rFonts w:ascii="Corbel" w:eastAsia="Tahoma" w:hAnsi="Corbel" w:cs="Tahoma"/>
          <w:sz w:val="20"/>
          <w:szCs w:val="20"/>
        </w:rPr>
        <w:t>, 99(2012): 33-44.</w:t>
      </w:r>
    </w:p>
    <w:p w14:paraId="69A52EA7" w14:textId="77777777" w:rsidR="008D0697" w:rsidRPr="00EF2CA2" w:rsidRDefault="008D0697" w:rsidP="00EF2CA2">
      <w:pPr>
        <w:spacing w:line="360" w:lineRule="auto"/>
        <w:ind w:left="852" w:hanging="851"/>
        <w:contextualSpacing/>
        <w:rPr>
          <w:rFonts w:ascii="Corbel" w:eastAsia="Tahoma" w:hAnsi="Corbel" w:cs="Tahoma"/>
          <w:sz w:val="20"/>
          <w:szCs w:val="20"/>
        </w:rPr>
      </w:pPr>
      <w:r w:rsidRPr="00EF2CA2">
        <w:rPr>
          <w:rFonts w:ascii="Corbel" w:eastAsia="Tahoma" w:hAnsi="Corbel" w:cs="Tahoma"/>
          <w:sz w:val="20"/>
          <w:szCs w:val="20"/>
        </w:rPr>
        <w:t xml:space="preserve">Becker, M. (2007). </w:t>
      </w:r>
      <w:r w:rsidRPr="00EF2CA2">
        <w:rPr>
          <w:rFonts w:ascii="Corbel" w:eastAsia="Tahoma" w:hAnsi="Corbel" w:cs="Tahoma"/>
          <w:i/>
          <w:iCs/>
          <w:sz w:val="20"/>
          <w:szCs w:val="20"/>
        </w:rPr>
        <w:t>Bestuurlijke</w:t>
      </w:r>
      <w:r w:rsidRPr="00EF2CA2">
        <w:rPr>
          <w:rFonts w:ascii="Corbel" w:eastAsia="Tahoma" w:hAnsi="Corbel" w:cs="Tahoma"/>
          <w:sz w:val="20"/>
          <w:szCs w:val="20"/>
        </w:rPr>
        <w:t xml:space="preserve"> </w:t>
      </w:r>
      <w:r w:rsidRPr="00EF2CA2">
        <w:rPr>
          <w:rFonts w:ascii="Corbel" w:eastAsia="Tahoma" w:hAnsi="Corbel" w:cs="Tahoma"/>
          <w:i/>
          <w:iCs/>
          <w:sz w:val="20"/>
          <w:szCs w:val="20"/>
        </w:rPr>
        <w:t>ethiek</w:t>
      </w:r>
      <w:r w:rsidRPr="00EF2CA2">
        <w:rPr>
          <w:rFonts w:ascii="Corbel" w:eastAsia="Tahoma" w:hAnsi="Corbel" w:cs="Tahoma"/>
          <w:sz w:val="20"/>
          <w:szCs w:val="20"/>
        </w:rPr>
        <w:t xml:space="preserve">. Uitgeverij Van </w:t>
      </w:r>
      <w:proofErr w:type="spellStart"/>
      <w:r w:rsidRPr="00EF2CA2">
        <w:rPr>
          <w:rFonts w:ascii="Corbel" w:eastAsia="Tahoma" w:hAnsi="Corbel" w:cs="Tahoma"/>
          <w:sz w:val="20"/>
          <w:szCs w:val="20"/>
        </w:rPr>
        <w:t>Gorcum</w:t>
      </w:r>
      <w:proofErr w:type="spellEnd"/>
      <w:r w:rsidRPr="00EF2CA2">
        <w:rPr>
          <w:rFonts w:ascii="Corbel" w:eastAsia="Tahoma" w:hAnsi="Corbel" w:cs="Tahoma"/>
          <w:sz w:val="20"/>
          <w:szCs w:val="20"/>
        </w:rPr>
        <w:t>: Assen.</w:t>
      </w:r>
    </w:p>
    <w:p w14:paraId="00FB9E27" w14:textId="77777777" w:rsidR="008D0697" w:rsidRPr="00EF2CA2" w:rsidRDefault="008D0697" w:rsidP="00EF2CA2">
      <w:pPr>
        <w:spacing w:line="360" w:lineRule="auto"/>
        <w:ind w:left="852" w:hanging="851"/>
        <w:contextualSpacing/>
        <w:rPr>
          <w:rFonts w:ascii="Corbel" w:eastAsia="Tahoma" w:hAnsi="Corbel" w:cs="Tahoma"/>
          <w:sz w:val="20"/>
          <w:szCs w:val="20"/>
        </w:rPr>
      </w:pPr>
      <w:proofErr w:type="spellStart"/>
      <w:r w:rsidRPr="00EF2CA2">
        <w:rPr>
          <w:rFonts w:ascii="Corbel" w:eastAsia="Tahoma" w:hAnsi="Corbel" w:cs="Tahoma"/>
          <w:sz w:val="20"/>
          <w:szCs w:val="20"/>
        </w:rPr>
        <w:t>Cimmins</w:t>
      </w:r>
      <w:proofErr w:type="spellEnd"/>
      <w:r w:rsidRPr="00EF2CA2">
        <w:rPr>
          <w:rFonts w:ascii="Corbel" w:eastAsia="Tahoma" w:hAnsi="Corbel" w:cs="Tahoma"/>
          <w:sz w:val="20"/>
          <w:szCs w:val="20"/>
        </w:rPr>
        <w:t xml:space="preserve">, J. (2017). </w:t>
      </w:r>
      <w:r w:rsidRPr="00EF2CA2">
        <w:rPr>
          <w:rFonts w:ascii="Corbel" w:eastAsia="Tahoma" w:hAnsi="Corbel" w:cs="Tahoma"/>
          <w:i/>
          <w:sz w:val="20"/>
          <w:szCs w:val="20"/>
        </w:rPr>
        <w:t xml:space="preserve">Jeremy </w:t>
      </w:r>
      <w:proofErr w:type="spellStart"/>
      <w:r w:rsidRPr="00EF2CA2">
        <w:rPr>
          <w:rFonts w:ascii="Corbel" w:eastAsia="Tahoma" w:hAnsi="Corbel" w:cs="Tahoma"/>
          <w:i/>
          <w:sz w:val="20"/>
          <w:szCs w:val="20"/>
        </w:rPr>
        <w:t>Bentham</w:t>
      </w:r>
      <w:proofErr w:type="spellEnd"/>
      <w:r w:rsidRPr="00EF2CA2">
        <w:rPr>
          <w:rFonts w:ascii="Corbel" w:eastAsia="Tahoma" w:hAnsi="Corbel" w:cs="Tahoma"/>
          <w:i/>
          <w:sz w:val="20"/>
          <w:szCs w:val="20"/>
        </w:rPr>
        <w:t xml:space="preserve">. The Stanford Encyclopedia of </w:t>
      </w:r>
      <w:proofErr w:type="spellStart"/>
      <w:r w:rsidRPr="00EF2CA2">
        <w:rPr>
          <w:rFonts w:ascii="Corbel" w:eastAsia="Tahoma" w:hAnsi="Corbel" w:cs="Tahoma"/>
          <w:i/>
          <w:sz w:val="20"/>
          <w:szCs w:val="20"/>
        </w:rPr>
        <w:t>Philosophy</w:t>
      </w:r>
      <w:proofErr w:type="spellEnd"/>
      <w:r w:rsidRPr="00EF2CA2">
        <w:rPr>
          <w:rFonts w:ascii="Corbel" w:eastAsia="Tahoma" w:hAnsi="Corbel" w:cs="Tahoma"/>
          <w:i/>
          <w:sz w:val="20"/>
          <w:szCs w:val="20"/>
        </w:rPr>
        <w:t xml:space="preserve"> (Spring 2017 Edition), Edward N. </w:t>
      </w:r>
      <w:proofErr w:type="spellStart"/>
      <w:r w:rsidRPr="00EF2CA2">
        <w:rPr>
          <w:rFonts w:ascii="Corbel" w:eastAsia="Tahoma" w:hAnsi="Corbel" w:cs="Tahoma"/>
          <w:i/>
          <w:sz w:val="20"/>
          <w:szCs w:val="20"/>
        </w:rPr>
        <w:t>Zalta</w:t>
      </w:r>
      <w:proofErr w:type="spellEnd"/>
      <w:r w:rsidRPr="00EF2CA2">
        <w:rPr>
          <w:rFonts w:ascii="Corbel" w:eastAsia="Tahoma" w:hAnsi="Corbel" w:cs="Tahoma"/>
          <w:i/>
          <w:sz w:val="20"/>
          <w:szCs w:val="20"/>
        </w:rPr>
        <w:t xml:space="preserve"> (ed.), URL: https://plato.stanford.edu/archives/spr2017/entries/bentham/.</w:t>
      </w:r>
    </w:p>
    <w:p w14:paraId="4FEEFDB5" w14:textId="77777777" w:rsidR="008D0697" w:rsidRPr="00EF2CA2" w:rsidRDefault="008D0697" w:rsidP="00EF2CA2">
      <w:pPr>
        <w:widowControl w:val="0"/>
        <w:autoSpaceDE w:val="0"/>
        <w:autoSpaceDN w:val="0"/>
        <w:adjustRightInd w:val="0"/>
        <w:spacing w:after="240" w:line="360" w:lineRule="auto"/>
        <w:ind w:left="852" w:hanging="851"/>
        <w:contextualSpacing/>
        <w:rPr>
          <w:rFonts w:ascii="Corbel" w:hAnsi="Corbel" w:cs="Times"/>
          <w:sz w:val="20"/>
          <w:szCs w:val="20"/>
          <w:lang w:eastAsia="en-US"/>
        </w:rPr>
      </w:pPr>
      <w:r w:rsidRPr="00EF2CA2">
        <w:rPr>
          <w:rFonts w:ascii="Corbel" w:eastAsia="Tahoma" w:hAnsi="Corbel" w:cs="Tahoma"/>
          <w:sz w:val="20"/>
          <w:szCs w:val="20"/>
        </w:rPr>
        <w:t xml:space="preserve">Fischer, F. (1995). </w:t>
      </w:r>
      <w:proofErr w:type="spellStart"/>
      <w:r w:rsidRPr="00EF2CA2">
        <w:rPr>
          <w:rFonts w:ascii="Corbel" w:eastAsia="Tahoma" w:hAnsi="Corbel" w:cs="Tahoma"/>
          <w:i/>
          <w:sz w:val="20"/>
          <w:szCs w:val="20"/>
        </w:rPr>
        <w:t>Environmental</w:t>
      </w:r>
      <w:proofErr w:type="spellEnd"/>
      <w:r w:rsidRPr="00EF2CA2">
        <w:rPr>
          <w:rFonts w:ascii="Corbel" w:eastAsia="Tahoma" w:hAnsi="Corbel" w:cs="Tahoma"/>
          <w:i/>
          <w:sz w:val="20"/>
          <w:szCs w:val="20"/>
        </w:rPr>
        <w:t xml:space="preserve"> policy </w:t>
      </w:r>
      <w:proofErr w:type="spellStart"/>
      <w:r w:rsidRPr="00EF2CA2">
        <w:rPr>
          <w:rFonts w:ascii="Corbel" w:eastAsia="Tahoma" w:hAnsi="Corbel" w:cs="Tahoma"/>
          <w:i/>
          <w:sz w:val="20"/>
          <w:szCs w:val="20"/>
        </w:rPr>
        <w:t>and</w:t>
      </w:r>
      <w:proofErr w:type="spellEnd"/>
      <w:r w:rsidRPr="00EF2CA2">
        <w:rPr>
          <w:rFonts w:ascii="Corbel" w:eastAsia="Tahoma" w:hAnsi="Corbel" w:cs="Tahoma"/>
          <w:i/>
          <w:sz w:val="20"/>
          <w:szCs w:val="20"/>
        </w:rPr>
        <w:t xml:space="preserve"> risk-benefit analysis: </w:t>
      </w:r>
      <w:proofErr w:type="spellStart"/>
      <w:r w:rsidRPr="00EF2CA2">
        <w:rPr>
          <w:rFonts w:ascii="Corbel" w:eastAsia="Tahoma" w:hAnsi="Corbel" w:cs="Tahoma"/>
          <w:i/>
          <w:sz w:val="20"/>
          <w:szCs w:val="20"/>
        </w:rPr>
        <w:t>the</w:t>
      </w:r>
      <w:proofErr w:type="spellEnd"/>
      <w:r w:rsidRPr="00EF2CA2">
        <w:rPr>
          <w:rFonts w:ascii="Corbel" w:eastAsia="Tahoma" w:hAnsi="Corbel" w:cs="Tahoma"/>
          <w:i/>
          <w:sz w:val="20"/>
          <w:szCs w:val="20"/>
        </w:rPr>
        <w:t xml:space="preserve"> green </w:t>
      </w:r>
      <w:proofErr w:type="spellStart"/>
      <w:r w:rsidRPr="00EF2CA2">
        <w:rPr>
          <w:rFonts w:ascii="Corbel" w:eastAsia="Tahoma" w:hAnsi="Corbel" w:cs="Tahoma"/>
          <w:i/>
          <w:sz w:val="20"/>
          <w:szCs w:val="20"/>
        </w:rPr>
        <w:t>critique</w:t>
      </w:r>
      <w:proofErr w:type="spellEnd"/>
      <w:r w:rsidRPr="00EF2CA2">
        <w:rPr>
          <w:rFonts w:ascii="Corbel" w:eastAsia="Tahoma" w:hAnsi="Corbel" w:cs="Tahoma"/>
          <w:i/>
          <w:sz w:val="20"/>
          <w:szCs w:val="20"/>
        </w:rPr>
        <w:t xml:space="preserve"> of </w:t>
      </w:r>
      <w:proofErr w:type="spellStart"/>
      <w:r w:rsidRPr="00EF2CA2">
        <w:rPr>
          <w:rFonts w:ascii="Corbel" w:eastAsia="Tahoma" w:hAnsi="Corbel" w:cs="Tahoma"/>
          <w:i/>
          <w:sz w:val="20"/>
          <w:szCs w:val="20"/>
        </w:rPr>
        <w:t>technocratic</w:t>
      </w:r>
      <w:proofErr w:type="spellEnd"/>
      <w:r w:rsidRPr="00EF2CA2">
        <w:rPr>
          <w:rFonts w:ascii="Corbel" w:eastAsia="Tahoma" w:hAnsi="Corbel" w:cs="Tahoma"/>
          <w:i/>
          <w:sz w:val="20"/>
          <w:szCs w:val="20"/>
        </w:rPr>
        <w:t xml:space="preserve"> </w:t>
      </w:r>
      <w:proofErr w:type="spellStart"/>
      <w:r w:rsidRPr="00EF2CA2">
        <w:rPr>
          <w:rFonts w:ascii="Corbel" w:eastAsia="Tahoma" w:hAnsi="Corbel" w:cs="Tahoma"/>
          <w:i/>
          <w:sz w:val="20"/>
          <w:szCs w:val="20"/>
        </w:rPr>
        <w:t>ideology</w:t>
      </w:r>
      <w:proofErr w:type="spellEnd"/>
      <w:r w:rsidRPr="00EF2CA2">
        <w:rPr>
          <w:rFonts w:ascii="Corbel" w:eastAsia="Tahoma" w:hAnsi="Corbel" w:cs="Tahoma"/>
          <w:i/>
          <w:sz w:val="20"/>
          <w:szCs w:val="20"/>
        </w:rPr>
        <w:t>.</w:t>
      </w:r>
      <w:r w:rsidRPr="00EF2CA2">
        <w:rPr>
          <w:rFonts w:ascii="Corbel" w:eastAsia="Tahoma" w:hAnsi="Corbel" w:cs="Tahoma"/>
          <w:sz w:val="20"/>
          <w:szCs w:val="20"/>
        </w:rPr>
        <w:t xml:space="preserve"> In: Fischer (Ed.), </w:t>
      </w:r>
      <w:proofErr w:type="spellStart"/>
      <w:r w:rsidRPr="00EF2CA2">
        <w:rPr>
          <w:rFonts w:ascii="Corbel" w:eastAsia="Tahoma" w:hAnsi="Corbel" w:cs="Tahoma"/>
          <w:i/>
          <w:sz w:val="20"/>
          <w:szCs w:val="20"/>
        </w:rPr>
        <w:t>Evaluating</w:t>
      </w:r>
      <w:proofErr w:type="spellEnd"/>
      <w:r w:rsidRPr="00EF2CA2">
        <w:rPr>
          <w:rFonts w:ascii="Corbel" w:eastAsia="Tahoma" w:hAnsi="Corbel" w:cs="Tahoma"/>
          <w:i/>
          <w:sz w:val="20"/>
          <w:szCs w:val="20"/>
        </w:rPr>
        <w:t xml:space="preserve"> Public </w:t>
      </w:r>
      <w:proofErr w:type="spellStart"/>
      <w:r w:rsidRPr="00EF2CA2">
        <w:rPr>
          <w:rFonts w:ascii="Corbel" w:eastAsia="Tahoma" w:hAnsi="Corbel" w:cs="Tahoma"/>
          <w:i/>
          <w:sz w:val="20"/>
          <w:szCs w:val="20"/>
        </w:rPr>
        <w:t>Policy.</w:t>
      </w:r>
      <w:r w:rsidRPr="00EF2CA2">
        <w:rPr>
          <w:rFonts w:ascii="Corbel" w:eastAsia="Tahoma" w:hAnsi="Corbel" w:cs="Tahoma"/>
          <w:sz w:val="20"/>
          <w:szCs w:val="20"/>
        </w:rPr>
        <w:t>Nelson</w:t>
      </w:r>
      <w:proofErr w:type="spellEnd"/>
      <w:r w:rsidRPr="00EF2CA2">
        <w:rPr>
          <w:rFonts w:ascii="Corbel" w:eastAsia="Tahoma" w:hAnsi="Corbel" w:cs="Tahoma"/>
          <w:sz w:val="20"/>
          <w:szCs w:val="20"/>
        </w:rPr>
        <w:t>-Hall, Chicago.</w:t>
      </w:r>
    </w:p>
    <w:p w14:paraId="1E87E3CC" w14:textId="77777777" w:rsidR="008D0697" w:rsidRPr="00EF2CA2" w:rsidRDefault="008D0697" w:rsidP="00EF2CA2">
      <w:pPr>
        <w:spacing w:line="360" w:lineRule="auto"/>
        <w:ind w:left="852" w:hanging="851"/>
        <w:contextualSpacing/>
        <w:rPr>
          <w:rFonts w:ascii="Corbel" w:eastAsia="Tahoma" w:hAnsi="Corbel" w:cs="Tahoma"/>
          <w:sz w:val="20"/>
          <w:szCs w:val="20"/>
        </w:rPr>
      </w:pPr>
      <w:proofErr w:type="spellStart"/>
      <w:r w:rsidRPr="00EF2CA2">
        <w:rPr>
          <w:rFonts w:ascii="Corbel" w:eastAsia="Tahoma" w:hAnsi="Corbel" w:cs="Tahoma"/>
          <w:sz w:val="20"/>
          <w:szCs w:val="20"/>
        </w:rPr>
        <w:t>Functowicz</w:t>
      </w:r>
      <w:proofErr w:type="spellEnd"/>
      <w:r w:rsidRPr="00EF2CA2">
        <w:rPr>
          <w:rFonts w:ascii="Corbel" w:eastAsia="Tahoma" w:hAnsi="Corbel" w:cs="Tahoma"/>
          <w:sz w:val="20"/>
          <w:szCs w:val="20"/>
        </w:rPr>
        <w:t xml:space="preserve">, S. &amp; </w:t>
      </w:r>
      <w:proofErr w:type="spellStart"/>
      <w:r w:rsidRPr="00EF2CA2">
        <w:rPr>
          <w:rFonts w:ascii="Corbel" w:eastAsia="Tahoma" w:hAnsi="Corbel" w:cs="Tahoma"/>
          <w:sz w:val="20"/>
          <w:szCs w:val="20"/>
        </w:rPr>
        <w:t>Ravetz</w:t>
      </w:r>
      <w:proofErr w:type="spellEnd"/>
      <w:r w:rsidRPr="00EF2CA2">
        <w:rPr>
          <w:rFonts w:ascii="Corbel" w:eastAsia="Tahoma" w:hAnsi="Corbel" w:cs="Tahoma"/>
          <w:sz w:val="20"/>
          <w:szCs w:val="20"/>
        </w:rPr>
        <w:t xml:space="preserve">, J. (1992). Three Types of Risk Assessment </w:t>
      </w:r>
      <w:proofErr w:type="spellStart"/>
      <w:r w:rsidRPr="00EF2CA2">
        <w:rPr>
          <w:rFonts w:ascii="Corbel" w:eastAsia="Tahoma" w:hAnsi="Corbel" w:cs="Tahoma"/>
          <w:sz w:val="20"/>
          <w:szCs w:val="20"/>
        </w:rPr>
        <w:t>and</w:t>
      </w:r>
      <w:proofErr w:type="spellEnd"/>
      <w:r w:rsidRPr="00EF2CA2">
        <w:rPr>
          <w:rFonts w:ascii="Corbel" w:eastAsia="Tahoma" w:hAnsi="Corbel" w:cs="Tahoma"/>
          <w:sz w:val="20"/>
          <w:szCs w:val="20"/>
        </w:rPr>
        <w:t xml:space="preserve"> </w:t>
      </w:r>
      <w:proofErr w:type="spellStart"/>
      <w:r w:rsidRPr="00EF2CA2">
        <w:rPr>
          <w:rFonts w:ascii="Corbel" w:eastAsia="Tahoma" w:hAnsi="Corbel" w:cs="Tahoma"/>
          <w:sz w:val="20"/>
          <w:szCs w:val="20"/>
        </w:rPr>
        <w:t>the</w:t>
      </w:r>
      <w:proofErr w:type="spellEnd"/>
      <w:r w:rsidRPr="00EF2CA2">
        <w:rPr>
          <w:rFonts w:ascii="Corbel" w:eastAsia="Tahoma" w:hAnsi="Corbel" w:cs="Tahoma"/>
          <w:sz w:val="20"/>
          <w:szCs w:val="20"/>
        </w:rPr>
        <w:t xml:space="preserve"> </w:t>
      </w:r>
      <w:proofErr w:type="spellStart"/>
      <w:r w:rsidRPr="00EF2CA2">
        <w:rPr>
          <w:rFonts w:ascii="Corbel" w:eastAsia="Tahoma" w:hAnsi="Corbel" w:cs="Tahoma"/>
          <w:sz w:val="20"/>
          <w:szCs w:val="20"/>
        </w:rPr>
        <w:t>Emergence</w:t>
      </w:r>
      <w:proofErr w:type="spellEnd"/>
      <w:r w:rsidRPr="00EF2CA2">
        <w:rPr>
          <w:rFonts w:ascii="Corbel" w:eastAsia="Tahoma" w:hAnsi="Corbel" w:cs="Tahoma"/>
          <w:sz w:val="20"/>
          <w:szCs w:val="20"/>
        </w:rPr>
        <w:t xml:space="preserve"> of Post-</w:t>
      </w:r>
      <w:proofErr w:type="spellStart"/>
      <w:r w:rsidRPr="00EF2CA2">
        <w:rPr>
          <w:rFonts w:ascii="Corbel" w:eastAsia="Tahoma" w:hAnsi="Corbel" w:cs="Tahoma"/>
          <w:sz w:val="20"/>
          <w:szCs w:val="20"/>
        </w:rPr>
        <w:t>Normal</w:t>
      </w:r>
      <w:proofErr w:type="spellEnd"/>
      <w:r w:rsidRPr="00EF2CA2">
        <w:rPr>
          <w:rFonts w:ascii="Corbel" w:eastAsia="Tahoma" w:hAnsi="Corbel" w:cs="Tahoma"/>
          <w:sz w:val="20"/>
          <w:szCs w:val="20"/>
        </w:rPr>
        <w:t xml:space="preserve"> Science. In </w:t>
      </w:r>
      <w:proofErr w:type="spellStart"/>
      <w:r w:rsidRPr="00EF2CA2">
        <w:rPr>
          <w:rFonts w:ascii="Corbel" w:eastAsia="Tahoma" w:hAnsi="Corbel" w:cs="Tahoma"/>
          <w:sz w:val="20"/>
          <w:szCs w:val="20"/>
        </w:rPr>
        <w:t>Social</w:t>
      </w:r>
      <w:proofErr w:type="spellEnd"/>
      <w:r w:rsidRPr="00EF2CA2">
        <w:rPr>
          <w:rFonts w:ascii="Corbel" w:eastAsia="Tahoma" w:hAnsi="Corbel" w:cs="Tahoma"/>
          <w:sz w:val="20"/>
          <w:szCs w:val="20"/>
        </w:rPr>
        <w:t xml:space="preserve"> </w:t>
      </w:r>
      <w:proofErr w:type="spellStart"/>
      <w:r w:rsidRPr="00EF2CA2">
        <w:rPr>
          <w:rFonts w:ascii="Corbel" w:eastAsia="Tahoma" w:hAnsi="Corbel" w:cs="Tahoma"/>
          <w:sz w:val="20"/>
          <w:szCs w:val="20"/>
        </w:rPr>
        <w:t>Theories</w:t>
      </w:r>
      <w:proofErr w:type="spellEnd"/>
      <w:r w:rsidRPr="00EF2CA2">
        <w:rPr>
          <w:rFonts w:ascii="Corbel" w:eastAsia="Tahoma" w:hAnsi="Corbel" w:cs="Tahoma"/>
          <w:sz w:val="20"/>
          <w:szCs w:val="20"/>
        </w:rPr>
        <w:t xml:space="preserve"> of Risk, ed. S. </w:t>
      </w:r>
      <w:proofErr w:type="spellStart"/>
      <w:r w:rsidRPr="00EF2CA2">
        <w:rPr>
          <w:rFonts w:ascii="Corbel" w:eastAsia="Tahoma" w:hAnsi="Corbel" w:cs="Tahoma"/>
          <w:sz w:val="20"/>
          <w:szCs w:val="20"/>
        </w:rPr>
        <w:t>Krimsky</w:t>
      </w:r>
      <w:proofErr w:type="spellEnd"/>
      <w:r w:rsidRPr="00EF2CA2">
        <w:rPr>
          <w:rFonts w:ascii="Corbel" w:eastAsia="Tahoma" w:hAnsi="Corbel" w:cs="Tahoma"/>
          <w:sz w:val="20"/>
          <w:szCs w:val="20"/>
        </w:rPr>
        <w:t xml:space="preserve">, </w:t>
      </w:r>
      <w:proofErr w:type="spellStart"/>
      <w:r w:rsidRPr="00EF2CA2">
        <w:rPr>
          <w:rFonts w:ascii="Corbel" w:eastAsia="Tahoma" w:hAnsi="Corbel" w:cs="Tahoma"/>
          <w:sz w:val="20"/>
          <w:szCs w:val="20"/>
        </w:rPr>
        <w:t>and</w:t>
      </w:r>
      <w:proofErr w:type="spellEnd"/>
      <w:r w:rsidRPr="00EF2CA2">
        <w:rPr>
          <w:rFonts w:ascii="Corbel" w:eastAsia="Tahoma" w:hAnsi="Corbel" w:cs="Tahoma"/>
          <w:sz w:val="20"/>
          <w:szCs w:val="20"/>
        </w:rPr>
        <w:t xml:space="preserve"> D. </w:t>
      </w:r>
      <w:proofErr w:type="spellStart"/>
      <w:r w:rsidRPr="00EF2CA2">
        <w:rPr>
          <w:rFonts w:ascii="Corbel" w:eastAsia="Tahoma" w:hAnsi="Corbel" w:cs="Tahoma"/>
          <w:sz w:val="20"/>
          <w:szCs w:val="20"/>
        </w:rPr>
        <w:t>Golding</w:t>
      </w:r>
      <w:proofErr w:type="spellEnd"/>
      <w:r w:rsidRPr="00EF2CA2">
        <w:rPr>
          <w:rFonts w:ascii="Corbel" w:eastAsia="Tahoma" w:hAnsi="Corbel" w:cs="Tahoma"/>
          <w:sz w:val="20"/>
          <w:szCs w:val="20"/>
        </w:rPr>
        <w:t xml:space="preserve">, 251–173. Westport </w:t>
      </w:r>
      <w:proofErr w:type="spellStart"/>
      <w:r w:rsidRPr="00EF2CA2">
        <w:rPr>
          <w:rFonts w:ascii="Corbel" w:eastAsia="Tahoma" w:hAnsi="Corbel" w:cs="Tahoma"/>
          <w:sz w:val="20"/>
          <w:szCs w:val="20"/>
        </w:rPr>
        <w:t>and</w:t>
      </w:r>
      <w:proofErr w:type="spellEnd"/>
      <w:r w:rsidRPr="00EF2CA2">
        <w:rPr>
          <w:rFonts w:ascii="Corbel" w:eastAsia="Tahoma" w:hAnsi="Corbel" w:cs="Tahoma"/>
          <w:sz w:val="20"/>
          <w:szCs w:val="20"/>
        </w:rPr>
        <w:t xml:space="preserve"> London: </w:t>
      </w:r>
      <w:proofErr w:type="spellStart"/>
      <w:r w:rsidRPr="00EF2CA2">
        <w:rPr>
          <w:rFonts w:ascii="Corbel" w:eastAsia="Tahoma" w:hAnsi="Corbel" w:cs="Tahoma"/>
          <w:sz w:val="20"/>
          <w:szCs w:val="20"/>
        </w:rPr>
        <w:t>Praeger</w:t>
      </w:r>
      <w:proofErr w:type="spellEnd"/>
      <w:r w:rsidRPr="00EF2CA2">
        <w:rPr>
          <w:rFonts w:ascii="Corbel" w:eastAsia="Tahoma" w:hAnsi="Corbel" w:cs="Tahoma"/>
          <w:sz w:val="20"/>
          <w:szCs w:val="20"/>
        </w:rPr>
        <w:t>.</w:t>
      </w:r>
    </w:p>
    <w:p w14:paraId="5E3ABC49" w14:textId="77777777" w:rsidR="008D0697" w:rsidRPr="00EF2CA2" w:rsidRDefault="008D0697" w:rsidP="00EF2CA2">
      <w:pPr>
        <w:spacing w:line="360" w:lineRule="auto"/>
        <w:ind w:left="852" w:hanging="851"/>
        <w:contextualSpacing/>
        <w:rPr>
          <w:rFonts w:ascii="Corbel" w:eastAsia="Times New Roman" w:hAnsi="Corbel" w:cs="Arial"/>
          <w:color w:val="222222"/>
          <w:sz w:val="20"/>
          <w:szCs w:val="20"/>
        </w:rPr>
      </w:pPr>
      <w:proofErr w:type="spellStart"/>
      <w:r w:rsidRPr="00EF2CA2">
        <w:rPr>
          <w:rFonts w:ascii="Corbel" w:eastAsia="Times New Roman" w:hAnsi="Corbel" w:cs="Arial"/>
          <w:color w:val="222222"/>
          <w:sz w:val="20"/>
          <w:szCs w:val="20"/>
        </w:rPr>
        <w:t>Gerring</w:t>
      </w:r>
      <w:proofErr w:type="spellEnd"/>
      <w:r w:rsidRPr="00EF2CA2">
        <w:rPr>
          <w:rFonts w:ascii="Corbel" w:eastAsia="Times New Roman" w:hAnsi="Corbel" w:cs="Arial"/>
          <w:color w:val="222222"/>
          <w:sz w:val="20"/>
          <w:szCs w:val="20"/>
        </w:rPr>
        <w:t xml:space="preserve">, J. (2006). </w:t>
      </w:r>
      <w:r w:rsidRPr="00EF2CA2">
        <w:rPr>
          <w:rFonts w:ascii="Corbel" w:eastAsia="Times New Roman" w:hAnsi="Corbel" w:cs="Arial"/>
          <w:i/>
          <w:iCs/>
          <w:color w:val="222222"/>
          <w:sz w:val="20"/>
          <w:szCs w:val="20"/>
        </w:rPr>
        <w:t xml:space="preserve">Case </w:t>
      </w:r>
      <w:proofErr w:type="spellStart"/>
      <w:r w:rsidRPr="00EF2CA2">
        <w:rPr>
          <w:rFonts w:ascii="Corbel" w:eastAsia="Times New Roman" w:hAnsi="Corbel" w:cs="Arial"/>
          <w:i/>
          <w:iCs/>
          <w:color w:val="222222"/>
          <w:sz w:val="20"/>
          <w:szCs w:val="20"/>
        </w:rPr>
        <w:t>study</w:t>
      </w:r>
      <w:proofErr w:type="spellEnd"/>
      <w:r w:rsidRPr="00EF2CA2">
        <w:rPr>
          <w:rFonts w:ascii="Corbel" w:eastAsia="Times New Roman" w:hAnsi="Corbel" w:cs="Arial"/>
          <w:i/>
          <w:iCs/>
          <w:color w:val="222222"/>
          <w:sz w:val="20"/>
          <w:szCs w:val="20"/>
        </w:rPr>
        <w:t xml:space="preserve"> research: </w:t>
      </w:r>
      <w:proofErr w:type="spellStart"/>
      <w:r w:rsidRPr="00EF2CA2">
        <w:rPr>
          <w:rFonts w:ascii="Corbel" w:eastAsia="Times New Roman" w:hAnsi="Corbel" w:cs="Arial"/>
          <w:i/>
          <w:iCs/>
          <w:color w:val="222222"/>
          <w:sz w:val="20"/>
          <w:szCs w:val="20"/>
        </w:rPr>
        <w:t>Principles</w:t>
      </w:r>
      <w:proofErr w:type="spellEnd"/>
      <w:r w:rsidRPr="00EF2CA2">
        <w:rPr>
          <w:rFonts w:ascii="Corbel" w:eastAsia="Times New Roman" w:hAnsi="Corbel" w:cs="Arial"/>
          <w:i/>
          <w:iCs/>
          <w:color w:val="222222"/>
          <w:sz w:val="20"/>
          <w:szCs w:val="20"/>
        </w:rPr>
        <w:t xml:space="preserve"> </w:t>
      </w:r>
      <w:proofErr w:type="spellStart"/>
      <w:r w:rsidRPr="00EF2CA2">
        <w:rPr>
          <w:rFonts w:ascii="Corbel" w:eastAsia="Times New Roman" w:hAnsi="Corbel" w:cs="Arial"/>
          <w:i/>
          <w:iCs/>
          <w:color w:val="222222"/>
          <w:sz w:val="20"/>
          <w:szCs w:val="20"/>
        </w:rPr>
        <w:t>and</w:t>
      </w:r>
      <w:proofErr w:type="spellEnd"/>
      <w:r w:rsidRPr="00EF2CA2">
        <w:rPr>
          <w:rFonts w:ascii="Corbel" w:eastAsia="Times New Roman" w:hAnsi="Corbel" w:cs="Arial"/>
          <w:i/>
          <w:iCs/>
          <w:color w:val="222222"/>
          <w:sz w:val="20"/>
          <w:szCs w:val="20"/>
        </w:rPr>
        <w:t xml:space="preserve"> </w:t>
      </w:r>
      <w:proofErr w:type="spellStart"/>
      <w:r w:rsidRPr="00EF2CA2">
        <w:rPr>
          <w:rFonts w:ascii="Corbel" w:eastAsia="Times New Roman" w:hAnsi="Corbel" w:cs="Arial"/>
          <w:i/>
          <w:iCs/>
          <w:color w:val="222222"/>
          <w:sz w:val="20"/>
          <w:szCs w:val="20"/>
        </w:rPr>
        <w:t>practices</w:t>
      </w:r>
      <w:proofErr w:type="spellEnd"/>
      <w:r w:rsidRPr="00EF2CA2">
        <w:rPr>
          <w:rFonts w:ascii="Corbel" w:eastAsia="Times New Roman" w:hAnsi="Corbel" w:cs="Arial"/>
          <w:color w:val="222222"/>
          <w:sz w:val="20"/>
          <w:szCs w:val="20"/>
        </w:rPr>
        <w:t>. Cambridge University Press.</w:t>
      </w:r>
    </w:p>
    <w:p w14:paraId="0E5618AF" w14:textId="77777777" w:rsidR="008D0697" w:rsidRPr="00EF2CA2" w:rsidRDefault="008D0697" w:rsidP="00EF2CA2">
      <w:pPr>
        <w:spacing w:line="360" w:lineRule="auto"/>
        <w:ind w:left="852" w:hanging="851"/>
        <w:contextualSpacing/>
        <w:rPr>
          <w:rFonts w:ascii="Corbel" w:eastAsia="Tahoma" w:hAnsi="Corbel" w:cs="Tahoma"/>
          <w:sz w:val="20"/>
          <w:szCs w:val="20"/>
        </w:rPr>
      </w:pPr>
      <w:proofErr w:type="spellStart"/>
      <w:r w:rsidRPr="00EF2CA2">
        <w:rPr>
          <w:rFonts w:ascii="Corbel" w:eastAsia="Tahoma" w:hAnsi="Corbel" w:cs="Tahoma"/>
          <w:sz w:val="20"/>
          <w:szCs w:val="20"/>
        </w:rPr>
        <w:t>Gratt</w:t>
      </w:r>
      <w:proofErr w:type="spellEnd"/>
      <w:r w:rsidRPr="00EF2CA2">
        <w:rPr>
          <w:rFonts w:ascii="Corbel" w:eastAsia="Tahoma" w:hAnsi="Corbel" w:cs="Tahoma"/>
          <w:sz w:val="20"/>
          <w:szCs w:val="20"/>
        </w:rPr>
        <w:t xml:space="preserve">, L. (1987). Risk analysis or risk assessment; a </w:t>
      </w:r>
      <w:proofErr w:type="spellStart"/>
      <w:r w:rsidRPr="00EF2CA2">
        <w:rPr>
          <w:rFonts w:ascii="Corbel" w:eastAsia="Tahoma" w:hAnsi="Corbel" w:cs="Tahoma"/>
          <w:sz w:val="20"/>
          <w:szCs w:val="20"/>
        </w:rPr>
        <w:t>proposal</w:t>
      </w:r>
      <w:proofErr w:type="spellEnd"/>
      <w:r w:rsidRPr="00EF2CA2">
        <w:rPr>
          <w:rFonts w:ascii="Corbel" w:eastAsia="Tahoma" w:hAnsi="Corbel" w:cs="Tahoma"/>
          <w:sz w:val="20"/>
          <w:szCs w:val="20"/>
        </w:rPr>
        <w:t xml:space="preserve"> </w:t>
      </w:r>
      <w:proofErr w:type="spellStart"/>
      <w:r w:rsidRPr="00EF2CA2">
        <w:rPr>
          <w:rFonts w:ascii="Corbel" w:eastAsia="Tahoma" w:hAnsi="Corbel" w:cs="Tahoma"/>
          <w:sz w:val="20"/>
          <w:szCs w:val="20"/>
        </w:rPr>
        <w:t>for</w:t>
      </w:r>
      <w:proofErr w:type="spellEnd"/>
      <w:r w:rsidRPr="00EF2CA2">
        <w:rPr>
          <w:rFonts w:ascii="Corbel" w:eastAsia="Tahoma" w:hAnsi="Corbel" w:cs="Tahoma"/>
          <w:sz w:val="20"/>
          <w:szCs w:val="20"/>
        </w:rPr>
        <w:t xml:space="preserve"> consistent </w:t>
      </w:r>
      <w:proofErr w:type="spellStart"/>
      <w:r w:rsidRPr="00EF2CA2">
        <w:rPr>
          <w:rFonts w:ascii="Corbel" w:eastAsia="Tahoma" w:hAnsi="Corbel" w:cs="Tahoma"/>
          <w:sz w:val="20"/>
          <w:szCs w:val="20"/>
        </w:rPr>
        <w:t>definitions</w:t>
      </w:r>
      <w:proofErr w:type="spellEnd"/>
      <w:r w:rsidRPr="00EF2CA2">
        <w:rPr>
          <w:rFonts w:ascii="Corbel" w:eastAsia="Tahoma" w:hAnsi="Corbel" w:cs="Tahoma"/>
          <w:sz w:val="20"/>
          <w:szCs w:val="20"/>
        </w:rPr>
        <w:t xml:space="preserve">. In: </w:t>
      </w:r>
      <w:proofErr w:type="spellStart"/>
      <w:r w:rsidRPr="00EF2CA2">
        <w:rPr>
          <w:rFonts w:ascii="Corbel" w:eastAsia="Tahoma" w:hAnsi="Corbel" w:cs="Tahoma"/>
          <w:sz w:val="20"/>
          <w:szCs w:val="20"/>
        </w:rPr>
        <w:t>Uncertainty</w:t>
      </w:r>
      <w:proofErr w:type="spellEnd"/>
      <w:r w:rsidRPr="00EF2CA2">
        <w:rPr>
          <w:rFonts w:ascii="Corbel" w:eastAsia="Tahoma" w:hAnsi="Corbel" w:cs="Tahoma"/>
          <w:sz w:val="20"/>
          <w:szCs w:val="20"/>
        </w:rPr>
        <w:t xml:space="preserve"> in risk assessment, </w:t>
      </w:r>
      <w:proofErr w:type="gramStart"/>
      <w:r w:rsidRPr="00EF2CA2">
        <w:rPr>
          <w:rFonts w:ascii="Corbel" w:eastAsia="Tahoma" w:hAnsi="Corbel" w:cs="Tahoma"/>
          <w:sz w:val="20"/>
          <w:szCs w:val="20"/>
        </w:rPr>
        <w:t>risk management</w:t>
      </w:r>
      <w:proofErr w:type="gramEnd"/>
      <w:r w:rsidRPr="00EF2CA2">
        <w:rPr>
          <w:rFonts w:ascii="Corbel" w:eastAsia="Tahoma" w:hAnsi="Corbel" w:cs="Tahoma"/>
          <w:sz w:val="20"/>
          <w:szCs w:val="20"/>
        </w:rPr>
        <w:t xml:space="preserve">, </w:t>
      </w:r>
      <w:proofErr w:type="spellStart"/>
      <w:r w:rsidRPr="00EF2CA2">
        <w:rPr>
          <w:rFonts w:ascii="Corbel" w:eastAsia="Tahoma" w:hAnsi="Corbel" w:cs="Tahoma"/>
          <w:sz w:val="20"/>
          <w:szCs w:val="20"/>
        </w:rPr>
        <w:t>and</w:t>
      </w:r>
      <w:proofErr w:type="spellEnd"/>
      <w:r w:rsidRPr="00EF2CA2">
        <w:rPr>
          <w:rFonts w:ascii="Corbel" w:eastAsia="Tahoma" w:hAnsi="Corbel" w:cs="Tahoma"/>
          <w:sz w:val="20"/>
          <w:szCs w:val="20"/>
        </w:rPr>
        <w:t xml:space="preserve"> </w:t>
      </w:r>
      <w:proofErr w:type="spellStart"/>
      <w:r w:rsidRPr="00EF2CA2">
        <w:rPr>
          <w:rFonts w:ascii="Corbel" w:eastAsia="Tahoma" w:hAnsi="Corbel" w:cs="Tahoma"/>
          <w:sz w:val="20"/>
          <w:szCs w:val="20"/>
        </w:rPr>
        <w:t>decision</w:t>
      </w:r>
      <w:proofErr w:type="spellEnd"/>
      <w:r w:rsidRPr="00EF2CA2">
        <w:rPr>
          <w:rFonts w:ascii="Corbel" w:eastAsia="Tahoma" w:hAnsi="Corbel" w:cs="Tahoma"/>
          <w:sz w:val="20"/>
          <w:szCs w:val="20"/>
        </w:rPr>
        <w:t xml:space="preserve"> making (pp. 241-249). Springer US.</w:t>
      </w:r>
    </w:p>
    <w:p w14:paraId="17FDB516" w14:textId="77777777" w:rsidR="008D0697" w:rsidRPr="00EF2CA2" w:rsidRDefault="008D0697" w:rsidP="00EF2CA2">
      <w:pPr>
        <w:spacing w:line="360" w:lineRule="auto"/>
        <w:ind w:left="852" w:hanging="851"/>
        <w:contextualSpacing/>
        <w:rPr>
          <w:rFonts w:ascii="Corbel" w:eastAsia="Tahoma" w:hAnsi="Corbel" w:cs="Tahoma"/>
          <w:sz w:val="20"/>
          <w:szCs w:val="20"/>
        </w:rPr>
      </w:pPr>
      <w:proofErr w:type="spellStart"/>
      <w:r w:rsidRPr="00EF2CA2">
        <w:rPr>
          <w:rFonts w:ascii="Corbel" w:eastAsia="Tahoma" w:hAnsi="Corbel" w:cs="Tahoma"/>
          <w:sz w:val="20"/>
          <w:szCs w:val="20"/>
        </w:rPr>
        <w:t>Hansson</w:t>
      </w:r>
      <w:proofErr w:type="spellEnd"/>
      <w:r w:rsidRPr="00EF2CA2">
        <w:rPr>
          <w:rFonts w:ascii="Corbel" w:eastAsia="Tahoma" w:hAnsi="Corbel" w:cs="Tahoma"/>
          <w:sz w:val="20"/>
          <w:szCs w:val="20"/>
        </w:rPr>
        <w:t xml:space="preserve">, S. (2004). </w:t>
      </w:r>
      <w:proofErr w:type="spellStart"/>
      <w:r w:rsidRPr="00EF2CA2">
        <w:rPr>
          <w:rFonts w:ascii="Corbel" w:eastAsia="Tahoma" w:hAnsi="Corbel" w:cs="Tahoma"/>
          <w:sz w:val="20"/>
          <w:szCs w:val="20"/>
        </w:rPr>
        <w:t>Philosophical</w:t>
      </w:r>
      <w:proofErr w:type="spellEnd"/>
      <w:r w:rsidRPr="00EF2CA2">
        <w:rPr>
          <w:rFonts w:ascii="Corbel" w:eastAsia="Tahoma" w:hAnsi="Corbel" w:cs="Tahoma"/>
          <w:sz w:val="20"/>
          <w:szCs w:val="20"/>
        </w:rPr>
        <w:t xml:space="preserve"> </w:t>
      </w:r>
      <w:proofErr w:type="spellStart"/>
      <w:r w:rsidRPr="00EF2CA2">
        <w:rPr>
          <w:rFonts w:ascii="Corbel" w:eastAsia="Tahoma" w:hAnsi="Corbel" w:cs="Tahoma"/>
          <w:sz w:val="20"/>
          <w:szCs w:val="20"/>
        </w:rPr>
        <w:t>perspectives</w:t>
      </w:r>
      <w:proofErr w:type="spellEnd"/>
      <w:r w:rsidRPr="00EF2CA2">
        <w:rPr>
          <w:rFonts w:ascii="Corbel" w:eastAsia="Tahoma" w:hAnsi="Corbel" w:cs="Tahoma"/>
          <w:sz w:val="20"/>
          <w:szCs w:val="20"/>
        </w:rPr>
        <w:t xml:space="preserve"> on risk. </w:t>
      </w:r>
      <w:proofErr w:type="spellStart"/>
      <w:r w:rsidRPr="00EF2CA2">
        <w:rPr>
          <w:rFonts w:ascii="Corbel" w:eastAsia="Tahoma" w:hAnsi="Corbel" w:cs="Tahoma"/>
          <w:i/>
          <w:sz w:val="20"/>
          <w:szCs w:val="20"/>
        </w:rPr>
        <w:t>Techne</w:t>
      </w:r>
      <w:proofErr w:type="spellEnd"/>
      <w:r w:rsidRPr="00EF2CA2">
        <w:rPr>
          <w:rFonts w:ascii="Corbel" w:eastAsia="Tahoma" w:hAnsi="Corbel" w:cs="Tahoma"/>
          <w:i/>
          <w:sz w:val="20"/>
          <w:szCs w:val="20"/>
        </w:rPr>
        <w:t>́,</w:t>
      </w:r>
      <w:r w:rsidRPr="00EF2CA2">
        <w:rPr>
          <w:rFonts w:ascii="Corbel" w:eastAsia="Tahoma" w:hAnsi="Corbel" w:cs="Tahoma"/>
          <w:sz w:val="20"/>
          <w:szCs w:val="20"/>
        </w:rPr>
        <w:t xml:space="preserve"> 8, 10-35.</w:t>
      </w:r>
    </w:p>
    <w:p w14:paraId="7B18D9B7" w14:textId="77777777" w:rsidR="008D0697" w:rsidRPr="00EF2CA2" w:rsidRDefault="008D0697" w:rsidP="00EF2CA2">
      <w:pPr>
        <w:spacing w:line="360" w:lineRule="auto"/>
        <w:ind w:left="852" w:hanging="851"/>
        <w:contextualSpacing/>
        <w:rPr>
          <w:rFonts w:ascii="Corbel" w:eastAsia="Tahoma" w:hAnsi="Corbel" w:cs="Tahoma"/>
          <w:sz w:val="20"/>
          <w:szCs w:val="20"/>
        </w:rPr>
      </w:pPr>
      <w:r w:rsidRPr="00EF2CA2">
        <w:rPr>
          <w:rFonts w:ascii="Corbel" w:eastAsia="Tahoma" w:hAnsi="Corbel" w:cs="Tahoma"/>
          <w:sz w:val="20"/>
          <w:szCs w:val="20"/>
        </w:rPr>
        <w:t xml:space="preserve">Helsloot, I. &amp; Scholtens, A. (2014). Risicogebaseerd toezicht: een verdampte </w:t>
      </w:r>
      <w:proofErr w:type="gramStart"/>
      <w:r w:rsidRPr="00EF2CA2">
        <w:rPr>
          <w:rFonts w:ascii="Corbel" w:eastAsia="Tahoma" w:hAnsi="Corbel" w:cs="Tahoma"/>
          <w:sz w:val="20"/>
          <w:szCs w:val="20"/>
        </w:rPr>
        <w:t>belofte?.</w:t>
      </w:r>
      <w:proofErr w:type="gramEnd"/>
      <w:r w:rsidRPr="00EF2CA2">
        <w:rPr>
          <w:rFonts w:ascii="Corbel" w:eastAsia="Tahoma" w:hAnsi="Corbel" w:cs="Tahoma"/>
          <w:sz w:val="20"/>
          <w:szCs w:val="20"/>
        </w:rPr>
        <w:t xml:space="preserve"> In F. Mertens, J. </w:t>
      </w:r>
      <w:proofErr w:type="spellStart"/>
      <w:r w:rsidRPr="00EF2CA2">
        <w:rPr>
          <w:rFonts w:ascii="Corbel" w:eastAsia="Tahoma" w:hAnsi="Corbel" w:cs="Tahoma"/>
          <w:sz w:val="20"/>
          <w:szCs w:val="20"/>
        </w:rPr>
        <w:t>Scherpenisse</w:t>
      </w:r>
      <w:proofErr w:type="spellEnd"/>
      <w:r w:rsidRPr="00EF2CA2">
        <w:rPr>
          <w:rFonts w:ascii="Corbel" w:eastAsia="Tahoma" w:hAnsi="Corbel" w:cs="Tahoma"/>
          <w:sz w:val="20"/>
          <w:szCs w:val="20"/>
        </w:rPr>
        <w:t>, M. Van der Steen (</w:t>
      </w:r>
      <w:proofErr w:type="spellStart"/>
      <w:r w:rsidRPr="00EF2CA2">
        <w:rPr>
          <w:rFonts w:ascii="Corbel" w:eastAsia="Tahoma" w:hAnsi="Corbel" w:cs="Tahoma"/>
          <w:sz w:val="20"/>
          <w:szCs w:val="20"/>
        </w:rPr>
        <w:t>Eds</w:t>
      </w:r>
      <w:proofErr w:type="spellEnd"/>
      <w:r w:rsidRPr="00EF2CA2">
        <w:rPr>
          <w:rFonts w:ascii="Corbel" w:eastAsia="Tahoma" w:hAnsi="Corbel" w:cs="Tahoma"/>
          <w:sz w:val="20"/>
          <w:szCs w:val="20"/>
        </w:rPr>
        <w:t xml:space="preserve">.) </w:t>
      </w:r>
      <w:r w:rsidRPr="00EF2CA2">
        <w:rPr>
          <w:rFonts w:ascii="Corbel" w:eastAsia="Tahoma" w:hAnsi="Corbel" w:cs="Tahoma"/>
          <w:i/>
          <w:iCs/>
          <w:sz w:val="20"/>
          <w:szCs w:val="20"/>
        </w:rPr>
        <w:t>Reflecties op de ontwikkeling en professionalisering van het toezicht</w:t>
      </w:r>
      <w:r w:rsidRPr="00EF2CA2">
        <w:rPr>
          <w:rFonts w:ascii="Corbel" w:eastAsia="Tahoma" w:hAnsi="Corbel" w:cs="Tahoma"/>
          <w:sz w:val="20"/>
          <w:szCs w:val="20"/>
        </w:rPr>
        <w:t xml:space="preserve"> (pp. 29-44). Den Haag: NSOB.</w:t>
      </w:r>
    </w:p>
    <w:p w14:paraId="036541B0" w14:textId="43FE0270" w:rsidR="008D0697" w:rsidRPr="00EF2CA2" w:rsidRDefault="008D0697" w:rsidP="00EF2CA2">
      <w:pPr>
        <w:spacing w:line="360" w:lineRule="auto"/>
        <w:ind w:left="852" w:hanging="851"/>
        <w:contextualSpacing/>
        <w:rPr>
          <w:rFonts w:ascii="Corbel" w:eastAsia="Times New Roman" w:hAnsi="Corbel" w:cs="Arial"/>
          <w:color w:val="222222"/>
          <w:sz w:val="20"/>
          <w:szCs w:val="20"/>
        </w:rPr>
      </w:pPr>
      <w:r w:rsidRPr="00EF2CA2">
        <w:rPr>
          <w:rFonts w:ascii="Corbel" w:eastAsia="Times New Roman" w:hAnsi="Corbel" w:cs="Arial"/>
          <w:color w:val="222222"/>
          <w:sz w:val="20"/>
          <w:szCs w:val="20"/>
        </w:rPr>
        <w:t>ILT-brede risicoanalyse (IBRA), 2017</w:t>
      </w:r>
      <w:r w:rsidRPr="00EF2CA2">
        <w:rPr>
          <w:rFonts w:ascii="Corbel" w:eastAsia="Times New Roman" w:hAnsi="Corbel" w:cs="Arial"/>
          <w:i/>
          <w:color w:val="222222"/>
          <w:sz w:val="20"/>
          <w:szCs w:val="20"/>
        </w:rPr>
        <w:t xml:space="preserve">. Memo </w:t>
      </w:r>
      <w:r w:rsidR="004D302E" w:rsidRPr="00EF2CA2">
        <w:rPr>
          <w:rFonts w:ascii="Corbel" w:eastAsia="Times New Roman" w:hAnsi="Corbel" w:cs="Arial"/>
          <w:i/>
          <w:color w:val="222222"/>
          <w:sz w:val="20"/>
          <w:szCs w:val="20"/>
        </w:rPr>
        <w:t>Inspectie Leefomgeving en Transport -brede risicoanalyse (</w:t>
      </w:r>
      <w:r w:rsidRPr="00EF2CA2">
        <w:rPr>
          <w:rFonts w:ascii="Corbel" w:eastAsia="Times New Roman" w:hAnsi="Corbel" w:cs="Arial"/>
          <w:i/>
          <w:color w:val="222222"/>
          <w:sz w:val="20"/>
          <w:szCs w:val="20"/>
        </w:rPr>
        <w:t>IBRA</w:t>
      </w:r>
      <w:r w:rsidR="004D302E" w:rsidRPr="00EF2CA2">
        <w:rPr>
          <w:rFonts w:ascii="Corbel" w:eastAsia="Times New Roman" w:hAnsi="Corbel" w:cs="Arial"/>
          <w:i/>
          <w:color w:val="222222"/>
          <w:sz w:val="20"/>
          <w:szCs w:val="20"/>
        </w:rPr>
        <w:t>)</w:t>
      </w:r>
      <w:r w:rsidRPr="00EF2CA2">
        <w:rPr>
          <w:rFonts w:ascii="Corbel" w:eastAsia="Times New Roman" w:hAnsi="Corbel" w:cs="Arial"/>
          <w:i/>
          <w:color w:val="222222"/>
          <w:sz w:val="20"/>
          <w:szCs w:val="20"/>
        </w:rPr>
        <w:t xml:space="preserve"> 1.0.</w:t>
      </w:r>
      <w:r w:rsidRPr="00EF2CA2">
        <w:rPr>
          <w:rFonts w:ascii="Corbel" w:eastAsia="Times New Roman" w:hAnsi="Corbel" w:cs="Arial"/>
          <w:color w:val="222222"/>
          <w:sz w:val="20"/>
          <w:szCs w:val="20"/>
        </w:rPr>
        <w:t xml:space="preserve"> ILT: Den Haag</w:t>
      </w:r>
    </w:p>
    <w:p w14:paraId="5E95A852" w14:textId="24937754" w:rsidR="008D0697" w:rsidRPr="00EF2CA2" w:rsidRDefault="008D0697" w:rsidP="00EF2CA2">
      <w:pPr>
        <w:spacing w:line="360" w:lineRule="auto"/>
        <w:ind w:left="852" w:hanging="851"/>
        <w:contextualSpacing/>
        <w:rPr>
          <w:rFonts w:ascii="Corbel" w:eastAsia="Times New Roman" w:hAnsi="Corbel" w:cs="Arial"/>
          <w:color w:val="222222"/>
          <w:sz w:val="20"/>
          <w:szCs w:val="20"/>
        </w:rPr>
      </w:pPr>
      <w:r w:rsidRPr="00EF2CA2">
        <w:rPr>
          <w:rFonts w:ascii="Corbel" w:eastAsia="Times New Roman" w:hAnsi="Corbel" w:cs="Arial"/>
          <w:color w:val="222222"/>
          <w:sz w:val="20"/>
          <w:szCs w:val="20"/>
        </w:rPr>
        <w:t xml:space="preserve">Inspectie Leefomgeving en Transport (ILT), 2016. </w:t>
      </w:r>
      <w:r w:rsidR="004D302E" w:rsidRPr="00EF2CA2">
        <w:rPr>
          <w:rFonts w:ascii="Corbel" w:eastAsia="Times New Roman" w:hAnsi="Corbel" w:cs="Arial"/>
          <w:i/>
          <w:color w:val="222222"/>
          <w:sz w:val="20"/>
          <w:szCs w:val="20"/>
        </w:rPr>
        <w:t>Meerjarenplan Inspectie Leefomgeving en Transport</w:t>
      </w:r>
      <w:r w:rsidRPr="00EF2CA2">
        <w:rPr>
          <w:rFonts w:ascii="Corbel" w:eastAsia="Times New Roman" w:hAnsi="Corbel" w:cs="Arial"/>
          <w:i/>
          <w:color w:val="222222"/>
          <w:sz w:val="20"/>
          <w:szCs w:val="20"/>
        </w:rPr>
        <w:t xml:space="preserve"> 2017 – 2021</w:t>
      </w:r>
      <w:r w:rsidRPr="00EF2CA2">
        <w:rPr>
          <w:rFonts w:ascii="Corbel" w:eastAsia="Times New Roman" w:hAnsi="Corbel" w:cs="Arial"/>
          <w:color w:val="222222"/>
          <w:sz w:val="20"/>
          <w:szCs w:val="20"/>
        </w:rPr>
        <w:t>. ILT: Den Haag</w:t>
      </w:r>
    </w:p>
    <w:p w14:paraId="2E673226" w14:textId="56E44FF4" w:rsidR="008D0697" w:rsidRPr="00EF2CA2" w:rsidRDefault="008D0697" w:rsidP="00EF2CA2">
      <w:pPr>
        <w:spacing w:line="360" w:lineRule="auto"/>
        <w:ind w:left="852" w:hanging="851"/>
        <w:contextualSpacing/>
        <w:rPr>
          <w:rFonts w:ascii="Corbel" w:eastAsia="Times New Roman" w:hAnsi="Corbel" w:cs="Arial"/>
          <w:color w:val="222222"/>
          <w:sz w:val="20"/>
          <w:szCs w:val="20"/>
        </w:rPr>
      </w:pPr>
      <w:r w:rsidRPr="00EF2CA2">
        <w:rPr>
          <w:rFonts w:ascii="Corbel" w:eastAsia="Times New Roman" w:hAnsi="Corbel" w:cs="Arial"/>
          <w:color w:val="222222"/>
          <w:sz w:val="20"/>
          <w:szCs w:val="20"/>
        </w:rPr>
        <w:t xml:space="preserve">Inspectie Leefomgeving en Transport (ILT), 2017. </w:t>
      </w:r>
      <w:r w:rsidR="004D302E" w:rsidRPr="00EF2CA2">
        <w:rPr>
          <w:rFonts w:ascii="Corbel" w:eastAsia="Times New Roman" w:hAnsi="Corbel" w:cs="Arial"/>
          <w:i/>
          <w:color w:val="222222"/>
          <w:sz w:val="20"/>
          <w:szCs w:val="20"/>
        </w:rPr>
        <w:t xml:space="preserve">Inspectie Leefomgeving en Transport </w:t>
      </w:r>
      <w:r w:rsidRPr="00EF2CA2">
        <w:rPr>
          <w:rFonts w:ascii="Corbel" w:eastAsia="Times New Roman" w:hAnsi="Corbel" w:cs="Arial"/>
          <w:i/>
          <w:color w:val="222222"/>
          <w:sz w:val="20"/>
          <w:szCs w:val="20"/>
        </w:rPr>
        <w:t>-brede risicoanalyse (IBRA), versie 1.0</w:t>
      </w:r>
      <w:r w:rsidRPr="00EF2CA2">
        <w:rPr>
          <w:rFonts w:ascii="Corbel" w:eastAsia="Times New Roman" w:hAnsi="Corbel" w:cs="Arial"/>
          <w:color w:val="222222"/>
          <w:sz w:val="20"/>
          <w:szCs w:val="20"/>
        </w:rPr>
        <w:t>. ILT: Den Haag</w:t>
      </w:r>
    </w:p>
    <w:p w14:paraId="47FBA5E9" w14:textId="77777777" w:rsidR="008D0697" w:rsidRPr="00EF2CA2" w:rsidRDefault="008D0697" w:rsidP="00EF2CA2">
      <w:pPr>
        <w:spacing w:line="360" w:lineRule="auto"/>
        <w:ind w:left="852" w:hanging="851"/>
        <w:contextualSpacing/>
        <w:rPr>
          <w:rFonts w:ascii="Corbel" w:eastAsia="Times New Roman" w:hAnsi="Corbel"/>
          <w:sz w:val="20"/>
          <w:szCs w:val="20"/>
        </w:rPr>
      </w:pPr>
      <w:r w:rsidRPr="00EF2CA2">
        <w:rPr>
          <w:rFonts w:ascii="Corbel" w:eastAsia="Times New Roman" w:hAnsi="Corbel"/>
          <w:sz w:val="20"/>
          <w:szCs w:val="20"/>
        </w:rPr>
        <w:t xml:space="preserve">Knight, K. (1998). </w:t>
      </w:r>
      <w:r w:rsidRPr="00EF2CA2">
        <w:rPr>
          <w:rFonts w:ascii="Corbel" w:eastAsia="Times New Roman" w:hAnsi="Corbel"/>
          <w:i/>
          <w:sz w:val="20"/>
          <w:szCs w:val="20"/>
        </w:rPr>
        <w:t xml:space="preserve">The </w:t>
      </w:r>
      <w:proofErr w:type="spellStart"/>
      <w:r w:rsidRPr="00EF2CA2">
        <w:rPr>
          <w:rFonts w:ascii="Corbel" w:eastAsia="Times New Roman" w:hAnsi="Corbel"/>
          <w:i/>
          <w:sz w:val="20"/>
          <w:szCs w:val="20"/>
        </w:rPr>
        <w:t>MacIntyre</w:t>
      </w:r>
      <w:proofErr w:type="spellEnd"/>
      <w:r w:rsidRPr="00EF2CA2">
        <w:rPr>
          <w:rFonts w:ascii="Corbel" w:eastAsia="Times New Roman" w:hAnsi="Corbel"/>
          <w:i/>
          <w:sz w:val="20"/>
          <w:szCs w:val="20"/>
        </w:rPr>
        <w:t xml:space="preserve"> Reader. </w:t>
      </w:r>
      <w:proofErr w:type="spellStart"/>
      <w:r w:rsidRPr="00EF2CA2">
        <w:rPr>
          <w:rFonts w:ascii="Corbel" w:eastAsia="Times New Roman" w:hAnsi="Corbel"/>
          <w:sz w:val="20"/>
          <w:szCs w:val="20"/>
        </w:rPr>
        <w:t>Notre</w:t>
      </w:r>
      <w:proofErr w:type="spellEnd"/>
      <w:r w:rsidRPr="00EF2CA2">
        <w:rPr>
          <w:rFonts w:ascii="Corbel" w:eastAsia="Times New Roman" w:hAnsi="Corbel"/>
          <w:sz w:val="20"/>
          <w:szCs w:val="20"/>
        </w:rPr>
        <w:t xml:space="preserve"> Dame: UND Press</w:t>
      </w:r>
    </w:p>
    <w:p w14:paraId="1C18A7C6" w14:textId="77777777" w:rsidR="008D0697" w:rsidRPr="00EF2CA2" w:rsidRDefault="008D0697" w:rsidP="00EF2CA2">
      <w:pPr>
        <w:spacing w:line="360" w:lineRule="auto"/>
        <w:ind w:left="852" w:hanging="851"/>
        <w:contextualSpacing/>
        <w:rPr>
          <w:rFonts w:ascii="Corbel" w:eastAsia="Tahoma" w:hAnsi="Corbel" w:cs="Tahoma"/>
          <w:sz w:val="20"/>
          <w:szCs w:val="20"/>
        </w:rPr>
      </w:pPr>
      <w:proofErr w:type="spellStart"/>
      <w:r w:rsidRPr="00EF2CA2">
        <w:rPr>
          <w:rFonts w:ascii="Corbel" w:eastAsia="Tahoma" w:hAnsi="Corbel" w:cs="Tahoma"/>
          <w:sz w:val="20"/>
          <w:szCs w:val="20"/>
        </w:rPr>
        <w:t>Krimsky</w:t>
      </w:r>
      <w:proofErr w:type="spellEnd"/>
      <w:r w:rsidRPr="00EF2CA2">
        <w:rPr>
          <w:rFonts w:ascii="Corbel" w:eastAsia="Tahoma" w:hAnsi="Corbel" w:cs="Tahoma"/>
          <w:sz w:val="20"/>
          <w:szCs w:val="20"/>
        </w:rPr>
        <w:t xml:space="preserve">, S. &amp; </w:t>
      </w:r>
      <w:proofErr w:type="spellStart"/>
      <w:r w:rsidRPr="00EF2CA2">
        <w:rPr>
          <w:rFonts w:ascii="Corbel" w:eastAsia="Tahoma" w:hAnsi="Corbel" w:cs="Tahoma"/>
          <w:sz w:val="20"/>
          <w:szCs w:val="20"/>
        </w:rPr>
        <w:t>Golding</w:t>
      </w:r>
      <w:proofErr w:type="spellEnd"/>
      <w:r w:rsidRPr="00EF2CA2">
        <w:rPr>
          <w:rFonts w:ascii="Corbel" w:eastAsia="Tahoma" w:hAnsi="Corbel" w:cs="Tahoma"/>
          <w:sz w:val="20"/>
          <w:szCs w:val="20"/>
        </w:rPr>
        <w:t xml:space="preserve">, D. (1992). </w:t>
      </w:r>
      <w:proofErr w:type="spellStart"/>
      <w:r w:rsidRPr="00EF2CA2">
        <w:rPr>
          <w:rFonts w:ascii="Corbel" w:eastAsia="Tahoma" w:hAnsi="Corbel" w:cs="Tahoma"/>
          <w:i/>
          <w:iCs/>
          <w:sz w:val="20"/>
          <w:szCs w:val="20"/>
        </w:rPr>
        <w:t>Social</w:t>
      </w:r>
      <w:proofErr w:type="spellEnd"/>
      <w:r w:rsidRPr="00EF2CA2">
        <w:rPr>
          <w:rFonts w:ascii="Corbel" w:eastAsia="Tahoma" w:hAnsi="Corbel" w:cs="Tahoma"/>
          <w:i/>
          <w:iCs/>
          <w:sz w:val="20"/>
          <w:szCs w:val="20"/>
        </w:rPr>
        <w:t xml:space="preserve"> </w:t>
      </w:r>
      <w:proofErr w:type="spellStart"/>
      <w:r w:rsidRPr="00EF2CA2">
        <w:rPr>
          <w:rFonts w:ascii="Corbel" w:eastAsia="Tahoma" w:hAnsi="Corbel" w:cs="Tahoma"/>
          <w:i/>
          <w:iCs/>
          <w:sz w:val="20"/>
          <w:szCs w:val="20"/>
        </w:rPr>
        <w:t>theories</w:t>
      </w:r>
      <w:proofErr w:type="spellEnd"/>
      <w:r w:rsidRPr="00EF2CA2">
        <w:rPr>
          <w:rFonts w:ascii="Corbel" w:eastAsia="Tahoma" w:hAnsi="Corbel" w:cs="Tahoma"/>
          <w:i/>
          <w:iCs/>
          <w:sz w:val="20"/>
          <w:szCs w:val="20"/>
        </w:rPr>
        <w:t xml:space="preserve"> of risk</w:t>
      </w:r>
      <w:r w:rsidRPr="00EF2CA2">
        <w:rPr>
          <w:rFonts w:ascii="Corbel" w:eastAsia="Tahoma" w:hAnsi="Corbel" w:cs="Tahoma"/>
          <w:sz w:val="20"/>
          <w:szCs w:val="20"/>
        </w:rPr>
        <w:t xml:space="preserve">. </w:t>
      </w:r>
      <w:proofErr w:type="spellStart"/>
      <w:r w:rsidRPr="00EF2CA2">
        <w:rPr>
          <w:rFonts w:ascii="Corbel" w:eastAsia="Tahoma" w:hAnsi="Corbel" w:cs="Tahoma"/>
          <w:sz w:val="20"/>
          <w:szCs w:val="20"/>
        </w:rPr>
        <w:t>Praeger</w:t>
      </w:r>
      <w:proofErr w:type="spellEnd"/>
      <w:r w:rsidRPr="00EF2CA2">
        <w:rPr>
          <w:rFonts w:ascii="Corbel" w:eastAsia="Tahoma" w:hAnsi="Corbel" w:cs="Tahoma"/>
          <w:sz w:val="20"/>
          <w:szCs w:val="20"/>
        </w:rPr>
        <w:t>: Westport Connecticut.</w:t>
      </w:r>
    </w:p>
    <w:p w14:paraId="78E91F62" w14:textId="77777777" w:rsidR="008D0697" w:rsidRPr="00EF2CA2" w:rsidRDefault="008D0697" w:rsidP="00EF2CA2">
      <w:pPr>
        <w:spacing w:line="360" w:lineRule="auto"/>
        <w:ind w:left="852" w:hanging="851"/>
        <w:contextualSpacing/>
        <w:rPr>
          <w:rFonts w:ascii="Corbel" w:eastAsia="Times New Roman" w:hAnsi="Corbel"/>
          <w:sz w:val="20"/>
          <w:szCs w:val="20"/>
        </w:rPr>
      </w:pPr>
      <w:proofErr w:type="spellStart"/>
      <w:r w:rsidRPr="00EF2CA2">
        <w:rPr>
          <w:rFonts w:ascii="Corbel" w:eastAsia="Times New Roman" w:hAnsi="Corbel"/>
          <w:sz w:val="20"/>
          <w:szCs w:val="20"/>
        </w:rPr>
        <w:t>MacIntyre</w:t>
      </w:r>
      <w:proofErr w:type="spellEnd"/>
      <w:r w:rsidRPr="00EF2CA2">
        <w:rPr>
          <w:rFonts w:ascii="Corbel" w:eastAsia="Times New Roman" w:hAnsi="Corbel"/>
          <w:sz w:val="20"/>
          <w:szCs w:val="20"/>
        </w:rPr>
        <w:t xml:space="preserve">, A. (1981). </w:t>
      </w:r>
      <w:proofErr w:type="spellStart"/>
      <w:r w:rsidRPr="00EF2CA2">
        <w:rPr>
          <w:rFonts w:ascii="Corbel" w:eastAsia="Times New Roman" w:hAnsi="Corbel"/>
          <w:i/>
          <w:iCs/>
          <w:sz w:val="20"/>
          <w:szCs w:val="20"/>
        </w:rPr>
        <w:t>After</w:t>
      </w:r>
      <w:proofErr w:type="spellEnd"/>
      <w:r w:rsidRPr="00EF2CA2">
        <w:rPr>
          <w:rFonts w:ascii="Corbel" w:eastAsia="Times New Roman" w:hAnsi="Corbel"/>
          <w:i/>
          <w:iCs/>
          <w:sz w:val="20"/>
          <w:szCs w:val="20"/>
        </w:rPr>
        <w:t xml:space="preserve"> </w:t>
      </w:r>
      <w:proofErr w:type="spellStart"/>
      <w:r w:rsidRPr="00EF2CA2">
        <w:rPr>
          <w:rFonts w:ascii="Corbel" w:eastAsia="Times New Roman" w:hAnsi="Corbel"/>
          <w:i/>
          <w:iCs/>
          <w:sz w:val="20"/>
          <w:szCs w:val="20"/>
        </w:rPr>
        <w:t>virtue</w:t>
      </w:r>
      <w:proofErr w:type="spellEnd"/>
      <w:r w:rsidRPr="00EF2CA2">
        <w:rPr>
          <w:rFonts w:ascii="Corbel" w:eastAsia="Times New Roman" w:hAnsi="Corbel"/>
          <w:i/>
          <w:iCs/>
          <w:sz w:val="20"/>
          <w:szCs w:val="20"/>
        </w:rPr>
        <w:t xml:space="preserve">: A </w:t>
      </w:r>
      <w:proofErr w:type="spellStart"/>
      <w:r w:rsidRPr="00EF2CA2">
        <w:rPr>
          <w:rFonts w:ascii="Corbel" w:eastAsia="Times New Roman" w:hAnsi="Corbel"/>
          <w:i/>
          <w:iCs/>
          <w:sz w:val="20"/>
          <w:szCs w:val="20"/>
        </w:rPr>
        <w:t>study</w:t>
      </w:r>
      <w:proofErr w:type="spellEnd"/>
      <w:r w:rsidRPr="00EF2CA2">
        <w:rPr>
          <w:rFonts w:ascii="Corbel" w:eastAsia="Times New Roman" w:hAnsi="Corbel"/>
          <w:i/>
          <w:iCs/>
          <w:sz w:val="20"/>
          <w:szCs w:val="20"/>
        </w:rPr>
        <w:t xml:space="preserve"> in </w:t>
      </w:r>
      <w:proofErr w:type="spellStart"/>
      <w:r w:rsidRPr="00EF2CA2">
        <w:rPr>
          <w:rFonts w:ascii="Corbel" w:eastAsia="Times New Roman" w:hAnsi="Corbel"/>
          <w:i/>
          <w:iCs/>
          <w:sz w:val="20"/>
          <w:szCs w:val="20"/>
        </w:rPr>
        <w:t>moral</w:t>
      </w:r>
      <w:proofErr w:type="spellEnd"/>
      <w:r w:rsidRPr="00EF2CA2">
        <w:rPr>
          <w:rFonts w:ascii="Corbel" w:eastAsia="Times New Roman" w:hAnsi="Corbel"/>
          <w:i/>
          <w:iCs/>
          <w:sz w:val="20"/>
          <w:szCs w:val="20"/>
        </w:rPr>
        <w:t xml:space="preserve"> </w:t>
      </w:r>
      <w:proofErr w:type="spellStart"/>
      <w:r w:rsidRPr="00EF2CA2">
        <w:rPr>
          <w:rFonts w:ascii="Corbel" w:eastAsia="Times New Roman" w:hAnsi="Corbel"/>
          <w:i/>
          <w:iCs/>
          <w:sz w:val="20"/>
          <w:szCs w:val="20"/>
        </w:rPr>
        <w:t>theory</w:t>
      </w:r>
      <w:proofErr w:type="spellEnd"/>
      <w:r w:rsidRPr="00EF2CA2">
        <w:rPr>
          <w:rFonts w:ascii="Corbel" w:eastAsia="Times New Roman" w:hAnsi="Corbel"/>
          <w:sz w:val="20"/>
          <w:szCs w:val="20"/>
        </w:rPr>
        <w:t xml:space="preserve">. University of </w:t>
      </w:r>
      <w:proofErr w:type="spellStart"/>
      <w:r w:rsidRPr="00EF2CA2">
        <w:rPr>
          <w:rFonts w:ascii="Corbel" w:eastAsia="Times New Roman" w:hAnsi="Corbel"/>
          <w:sz w:val="20"/>
          <w:szCs w:val="20"/>
        </w:rPr>
        <w:t>Notre</w:t>
      </w:r>
      <w:proofErr w:type="spellEnd"/>
      <w:r w:rsidRPr="00EF2CA2">
        <w:rPr>
          <w:rFonts w:ascii="Corbel" w:eastAsia="Times New Roman" w:hAnsi="Corbel"/>
          <w:sz w:val="20"/>
          <w:szCs w:val="20"/>
        </w:rPr>
        <w:t xml:space="preserve"> Dame </w:t>
      </w:r>
      <w:proofErr w:type="spellStart"/>
      <w:r w:rsidRPr="00EF2CA2">
        <w:rPr>
          <w:rFonts w:ascii="Corbel" w:eastAsia="Times New Roman" w:hAnsi="Corbel"/>
          <w:sz w:val="20"/>
          <w:szCs w:val="20"/>
        </w:rPr>
        <w:t>Pess</w:t>
      </w:r>
      <w:proofErr w:type="spellEnd"/>
      <w:r w:rsidRPr="00EF2CA2">
        <w:rPr>
          <w:rFonts w:ascii="Corbel" w:eastAsia="Times New Roman" w:hAnsi="Corbel"/>
          <w:sz w:val="20"/>
          <w:szCs w:val="20"/>
        </w:rPr>
        <w:t>.</w:t>
      </w:r>
    </w:p>
    <w:p w14:paraId="2265E53E" w14:textId="77777777" w:rsidR="008D0697" w:rsidRPr="00EF2CA2" w:rsidRDefault="008D0697" w:rsidP="00EF2CA2">
      <w:pPr>
        <w:spacing w:line="360" w:lineRule="auto"/>
        <w:ind w:left="852" w:hanging="851"/>
        <w:contextualSpacing/>
        <w:rPr>
          <w:rFonts w:ascii="Corbel" w:eastAsia="Tahoma" w:hAnsi="Corbel" w:cs="Tahoma"/>
          <w:sz w:val="20"/>
          <w:szCs w:val="20"/>
        </w:rPr>
      </w:pPr>
      <w:r w:rsidRPr="00EF2CA2">
        <w:rPr>
          <w:rFonts w:ascii="Corbel" w:eastAsia="Tahoma" w:hAnsi="Corbel" w:cs="Tahoma"/>
          <w:sz w:val="20"/>
          <w:szCs w:val="20"/>
        </w:rPr>
        <w:t>Mertens, F., Muller, E. &amp; Winter, H. (2015). Inleiding. In F. Mertens, E. Muller &amp; H. Winter (</w:t>
      </w:r>
      <w:proofErr w:type="spellStart"/>
      <w:r w:rsidRPr="00EF2CA2">
        <w:rPr>
          <w:rFonts w:ascii="Corbel" w:eastAsia="Tahoma" w:hAnsi="Corbel" w:cs="Tahoma"/>
          <w:sz w:val="20"/>
          <w:szCs w:val="20"/>
        </w:rPr>
        <w:t>Eds</w:t>
      </w:r>
      <w:proofErr w:type="spellEnd"/>
      <w:r w:rsidRPr="00EF2CA2">
        <w:rPr>
          <w:rFonts w:ascii="Corbel" w:eastAsia="Tahoma" w:hAnsi="Corbel" w:cs="Tahoma"/>
          <w:sz w:val="20"/>
          <w:szCs w:val="20"/>
        </w:rPr>
        <w:t xml:space="preserve">.) </w:t>
      </w:r>
      <w:r w:rsidRPr="00EF2CA2">
        <w:rPr>
          <w:rFonts w:ascii="Corbel" w:eastAsia="Tahoma" w:hAnsi="Corbel" w:cs="Tahoma"/>
          <w:i/>
          <w:iCs/>
          <w:sz w:val="20"/>
          <w:szCs w:val="20"/>
        </w:rPr>
        <w:t>Toezicht: Inspecties en autoriteiten in Nederland</w:t>
      </w:r>
      <w:r w:rsidRPr="00EF2CA2">
        <w:rPr>
          <w:rFonts w:ascii="Corbel" w:eastAsia="Tahoma" w:hAnsi="Corbel" w:cs="Tahoma"/>
          <w:sz w:val="20"/>
          <w:szCs w:val="20"/>
        </w:rPr>
        <w:t xml:space="preserve"> (pp. 15-28). Deventer: Wolters-Kluwer.</w:t>
      </w:r>
    </w:p>
    <w:p w14:paraId="3A185211" w14:textId="77777777" w:rsidR="008D0697" w:rsidRPr="00EF2CA2" w:rsidRDefault="008D0697" w:rsidP="00EF2CA2">
      <w:pPr>
        <w:widowControl w:val="0"/>
        <w:autoSpaceDE w:val="0"/>
        <w:autoSpaceDN w:val="0"/>
        <w:adjustRightInd w:val="0"/>
        <w:spacing w:after="240" w:line="360" w:lineRule="auto"/>
        <w:ind w:left="852" w:hanging="851"/>
        <w:contextualSpacing/>
        <w:rPr>
          <w:rFonts w:ascii="Corbel" w:eastAsia="Tahoma" w:hAnsi="Corbel" w:cs="Tahoma"/>
          <w:sz w:val="20"/>
          <w:szCs w:val="20"/>
          <w:lang w:eastAsia="en-US"/>
        </w:rPr>
      </w:pPr>
      <w:proofErr w:type="spellStart"/>
      <w:r w:rsidRPr="00EF2CA2">
        <w:rPr>
          <w:rFonts w:ascii="Corbel" w:eastAsia="Tahoma" w:hAnsi="Corbel" w:cs="Tahoma"/>
          <w:sz w:val="20"/>
          <w:szCs w:val="20"/>
          <w:lang w:eastAsia="en-US"/>
        </w:rPr>
        <w:t>Nutley</w:t>
      </w:r>
      <w:proofErr w:type="spellEnd"/>
      <w:r w:rsidRPr="00EF2CA2">
        <w:rPr>
          <w:rFonts w:ascii="Corbel" w:eastAsia="Tahoma" w:hAnsi="Corbel" w:cs="Tahoma"/>
          <w:sz w:val="20"/>
          <w:szCs w:val="20"/>
          <w:lang w:eastAsia="en-US"/>
        </w:rPr>
        <w:t xml:space="preserve">, S. &amp; Davies, H. (1999). The </w:t>
      </w:r>
      <w:proofErr w:type="spellStart"/>
      <w:r w:rsidRPr="00EF2CA2">
        <w:rPr>
          <w:rFonts w:ascii="Corbel" w:eastAsia="Tahoma" w:hAnsi="Corbel" w:cs="Tahoma"/>
          <w:sz w:val="20"/>
          <w:szCs w:val="20"/>
          <w:lang w:eastAsia="en-US"/>
        </w:rPr>
        <w:t>fall</w:t>
      </w:r>
      <w:proofErr w:type="spellEnd"/>
      <w:r w:rsidRPr="00EF2CA2">
        <w:rPr>
          <w:rFonts w:ascii="Corbel" w:eastAsia="Tahoma" w:hAnsi="Corbel" w:cs="Tahoma"/>
          <w:sz w:val="20"/>
          <w:szCs w:val="20"/>
          <w:lang w:eastAsia="en-US"/>
        </w:rPr>
        <w:t xml:space="preserve"> </w:t>
      </w:r>
      <w:proofErr w:type="spellStart"/>
      <w:r w:rsidRPr="00EF2CA2">
        <w:rPr>
          <w:rFonts w:ascii="Corbel" w:eastAsia="Tahoma" w:hAnsi="Corbel" w:cs="Tahoma"/>
          <w:sz w:val="20"/>
          <w:szCs w:val="20"/>
          <w:lang w:eastAsia="en-US"/>
        </w:rPr>
        <w:t>and</w:t>
      </w:r>
      <w:proofErr w:type="spellEnd"/>
      <w:r w:rsidRPr="00EF2CA2">
        <w:rPr>
          <w:rFonts w:ascii="Corbel" w:eastAsia="Tahoma" w:hAnsi="Corbel" w:cs="Tahoma"/>
          <w:sz w:val="20"/>
          <w:szCs w:val="20"/>
          <w:lang w:eastAsia="en-US"/>
        </w:rPr>
        <w:t xml:space="preserve"> </w:t>
      </w:r>
      <w:proofErr w:type="spellStart"/>
      <w:r w:rsidRPr="00EF2CA2">
        <w:rPr>
          <w:rFonts w:ascii="Corbel" w:eastAsia="Tahoma" w:hAnsi="Corbel" w:cs="Tahoma"/>
          <w:sz w:val="20"/>
          <w:szCs w:val="20"/>
          <w:lang w:eastAsia="en-US"/>
        </w:rPr>
        <w:t>rise</w:t>
      </w:r>
      <w:proofErr w:type="spellEnd"/>
      <w:r w:rsidRPr="00EF2CA2">
        <w:rPr>
          <w:rFonts w:ascii="Corbel" w:eastAsia="Tahoma" w:hAnsi="Corbel" w:cs="Tahoma"/>
          <w:sz w:val="20"/>
          <w:szCs w:val="20"/>
          <w:lang w:eastAsia="en-US"/>
        </w:rPr>
        <w:t xml:space="preserve"> of </w:t>
      </w:r>
      <w:proofErr w:type="spellStart"/>
      <w:r w:rsidRPr="00EF2CA2">
        <w:rPr>
          <w:rFonts w:ascii="Corbel" w:eastAsia="Tahoma" w:hAnsi="Corbel" w:cs="Tahoma"/>
          <w:sz w:val="20"/>
          <w:szCs w:val="20"/>
          <w:lang w:eastAsia="en-US"/>
        </w:rPr>
        <w:t>evidence</w:t>
      </w:r>
      <w:proofErr w:type="spellEnd"/>
      <w:r w:rsidRPr="00EF2CA2">
        <w:rPr>
          <w:rFonts w:ascii="Corbel" w:eastAsia="Tahoma" w:hAnsi="Corbel" w:cs="Tahoma"/>
          <w:sz w:val="20"/>
          <w:szCs w:val="20"/>
          <w:lang w:eastAsia="en-US"/>
        </w:rPr>
        <w:t xml:space="preserve"> in </w:t>
      </w:r>
      <w:proofErr w:type="spellStart"/>
      <w:r w:rsidRPr="00EF2CA2">
        <w:rPr>
          <w:rFonts w:ascii="Corbel" w:eastAsia="Tahoma" w:hAnsi="Corbel" w:cs="Tahoma"/>
          <w:sz w:val="20"/>
          <w:szCs w:val="20"/>
          <w:lang w:eastAsia="en-US"/>
        </w:rPr>
        <w:t>criminal</w:t>
      </w:r>
      <w:proofErr w:type="spellEnd"/>
      <w:r w:rsidRPr="00EF2CA2">
        <w:rPr>
          <w:rFonts w:ascii="Corbel" w:eastAsia="Tahoma" w:hAnsi="Corbel" w:cs="Tahoma"/>
          <w:sz w:val="20"/>
          <w:szCs w:val="20"/>
          <w:lang w:eastAsia="en-US"/>
        </w:rPr>
        <w:t xml:space="preserve"> </w:t>
      </w:r>
      <w:proofErr w:type="spellStart"/>
      <w:r w:rsidRPr="00EF2CA2">
        <w:rPr>
          <w:rFonts w:ascii="Corbel" w:eastAsia="Tahoma" w:hAnsi="Corbel" w:cs="Tahoma"/>
          <w:sz w:val="20"/>
          <w:szCs w:val="20"/>
          <w:lang w:eastAsia="en-US"/>
        </w:rPr>
        <w:t>justice</w:t>
      </w:r>
      <w:proofErr w:type="spellEnd"/>
      <w:r w:rsidRPr="00EF2CA2">
        <w:rPr>
          <w:rFonts w:ascii="Corbel" w:eastAsia="Tahoma" w:hAnsi="Corbel" w:cs="Tahoma"/>
          <w:sz w:val="20"/>
          <w:szCs w:val="20"/>
          <w:lang w:eastAsia="en-US"/>
        </w:rPr>
        <w:t xml:space="preserve">. </w:t>
      </w:r>
      <w:r w:rsidRPr="00EF2CA2">
        <w:rPr>
          <w:rFonts w:ascii="Corbel" w:eastAsia="Tahoma" w:hAnsi="Corbel" w:cs="Tahoma"/>
          <w:i/>
          <w:iCs/>
          <w:sz w:val="20"/>
          <w:szCs w:val="20"/>
          <w:lang w:eastAsia="en-US"/>
        </w:rPr>
        <w:t>Public Money &amp; Management</w:t>
      </w:r>
      <w:r w:rsidRPr="00EF2CA2">
        <w:rPr>
          <w:rFonts w:ascii="Corbel" w:eastAsia="Tahoma" w:hAnsi="Corbel" w:cs="Tahoma"/>
          <w:sz w:val="20"/>
          <w:szCs w:val="20"/>
          <w:lang w:eastAsia="en-US"/>
        </w:rPr>
        <w:t xml:space="preserve">, </w:t>
      </w:r>
      <w:r w:rsidRPr="00EF2CA2">
        <w:rPr>
          <w:rFonts w:ascii="Corbel" w:eastAsia="Tahoma" w:hAnsi="Corbel" w:cs="Tahoma"/>
          <w:i/>
          <w:iCs/>
          <w:sz w:val="20"/>
          <w:szCs w:val="20"/>
          <w:lang w:eastAsia="en-US"/>
        </w:rPr>
        <w:t>19</w:t>
      </w:r>
      <w:r w:rsidRPr="00EF2CA2">
        <w:rPr>
          <w:rFonts w:ascii="Corbel" w:eastAsia="Tahoma" w:hAnsi="Corbel" w:cs="Tahoma"/>
          <w:sz w:val="20"/>
          <w:szCs w:val="20"/>
          <w:lang w:eastAsia="en-US"/>
        </w:rPr>
        <w:t xml:space="preserve"> (1), 47-54.</w:t>
      </w:r>
    </w:p>
    <w:p w14:paraId="2418621C" w14:textId="77777777" w:rsidR="008D0697" w:rsidRPr="00EF2CA2" w:rsidRDefault="008D0697" w:rsidP="00EF2CA2">
      <w:pPr>
        <w:widowControl w:val="0"/>
        <w:autoSpaceDE w:val="0"/>
        <w:autoSpaceDN w:val="0"/>
        <w:adjustRightInd w:val="0"/>
        <w:spacing w:after="240" w:line="360" w:lineRule="auto"/>
        <w:ind w:left="852" w:hanging="851"/>
        <w:contextualSpacing/>
        <w:rPr>
          <w:rFonts w:ascii="Corbel" w:eastAsia="Tahoma" w:hAnsi="Corbel" w:cs="Tahoma"/>
          <w:sz w:val="20"/>
          <w:szCs w:val="20"/>
          <w:lang w:eastAsia="en-US"/>
        </w:rPr>
      </w:pPr>
      <w:proofErr w:type="spellStart"/>
      <w:r w:rsidRPr="00EF2CA2">
        <w:rPr>
          <w:rFonts w:ascii="Corbel" w:eastAsia="Tahoma" w:hAnsi="Corbel" w:cs="Tahoma"/>
          <w:sz w:val="20"/>
          <w:szCs w:val="20"/>
          <w:lang w:eastAsia="en-US"/>
        </w:rPr>
        <w:t>Pawson</w:t>
      </w:r>
      <w:proofErr w:type="spellEnd"/>
      <w:r w:rsidRPr="00EF2CA2">
        <w:rPr>
          <w:rFonts w:ascii="Corbel" w:eastAsia="Tahoma" w:hAnsi="Corbel" w:cs="Tahoma"/>
          <w:sz w:val="20"/>
          <w:szCs w:val="20"/>
          <w:lang w:eastAsia="en-US"/>
        </w:rPr>
        <w:t xml:space="preserve">, R. (2006). </w:t>
      </w:r>
      <w:r w:rsidRPr="00EF2CA2">
        <w:rPr>
          <w:rFonts w:ascii="Corbel" w:eastAsia="Tahoma" w:hAnsi="Corbel" w:cs="Tahoma"/>
          <w:i/>
          <w:iCs/>
          <w:sz w:val="20"/>
          <w:szCs w:val="20"/>
          <w:lang w:eastAsia="en-US"/>
        </w:rPr>
        <w:t xml:space="preserve">Evidence-based Policy. A Realist </w:t>
      </w:r>
      <w:proofErr w:type="spellStart"/>
      <w:r w:rsidRPr="00EF2CA2">
        <w:rPr>
          <w:rFonts w:ascii="Corbel" w:eastAsia="Tahoma" w:hAnsi="Corbel" w:cs="Tahoma"/>
          <w:i/>
          <w:iCs/>
          <w:sz w:val="20"/>
          <w:szCs w:val="20"/>
          <w:lang w:eastAsia="en-US"/>
        </w:rPr>
        <w:t>Perspective</w:t>
      </w:r>
      <w:proofErr w:type="spellEnd"/>
      <w:r w:rsidRPr="00EF2CA2">
        <w:rPr>
          <w:rFonts w:ascii="Corbel" w:eastAsia="Tahoma" w:hAnsi="Corbel" w:cs="Tahoma"/>
          <w:sz w:val="20"/>
          <w:szCs w:val="20"/>
          <w:lang w:eastAsia="en-US"/>
        </w:rPr>
        <w:t>, London: Sage.</w:t>
      </w:r>
      <w:r w:rsidRPr="00EF2CA2">
        <w:rPr>
          <w:rFonts w:ascii="MS Mincho" w:eastAsia="MS Mincho" w:hAnsi="MS Mincho" w:cs="MS Mincho"/>
          <w:sz w:val="20"/>
          <w:szCs w:val="20"/>
          <w:lang w:eastAsia="en-US"/>
        </w:rPr>
        <w:t> </w:t>
      </w:r>
    </w:p>
    <w:p w14:paraId="773E08B3" w14:textId="6AFBEFFD" w:rsidR="008D0697" w:rsidRPr="00EF2CA2" w:rsidRDefault="008D0697" w:rsidP="00EF2CA2">
      <w:pPr>
        <w:widowControl w:val="0"/>
        <w:autoSpaceDE w:val="0"/>
        <w:autoSpaceDN w:val="0"/>
        <w:adjustRightInd w:val="0"/>
        <w:spacing w:after="240" w:line="360" w:lineRule="auto"/>
        <w:ind w:left="852" w:hanging="851"/>
        <w:contextualSpacing/>
        <w:rPr>
          <w:rFonts w:ascii="Corbel" w:eastAsia="Times New Roman" w:hAnsi="Corbel"/>
          <w:sz w:val="20"/>
          <w:szCs w:val="20"/>
        </w:rPr>
      </w:pPr>
      <w:r w:rsidRPr="00EF2CA2">
        <w:rPr>
          <w:rFonts w:ascii="Corbel" w:eastAsia="Times New Roman" w:hAnsi="Corbel"/>
          <w:sz w:val="20"/>
          <w:szCs w:val="20"/>
        </w:rPr>
        <w:t xml:space="preserve">Power, M. (2004). </w:t>
      </w:r>
      <w:r w:rsidRPr="00EF2CA2">
        <w:rPr>
          <w:rFonts w:ascii="Corbel" w:eastAsia="Times New Roman" w:hAnsi="Corbel"/>
          <w:i/>
          <w:iCs/>
          <w:sz w:val="20"/>
          <w:szCs w:val="20"/>
        </w:rPr>
        <w:t xml:space="preserve">The </w:t>
      </w:r>
      <w:proofErr w:type="gramStart"/>
      <w:r w:rsidRPr="00EF2CA2">
        <w:rPr>
          <w:rFonts w:ascii="Corbel" w:eastAsia="Times New Roman" w:hAnsi="Corbel"/>
          <w:i/>
          <w:iCs/>
          <w:sz w:val="20"/>
          <w:szCs w:val="20"/>
        </w:rPr>
        <w:t>risk management</w:t>
      </w:r>
      <w:proofErr w:type="gramEnd"/>
      <w:r w:rsidRPr="00EF2CA2">
        <w:rPr>
          <w:rFonts w:ascii="Corbel" w:eastAsia="Times New Roman" w:hAnsi="Corbel"/>
          <w:i/>
          <w:iCs/>
          <w:sz w:val="20"/>
          <w:szCs w:val="20"/>
        </w:rPr>
        <w:t xml:space="preserve"> of </w:t>
      </w:r>
      <w:proofErr w:type="spellStart"/>
      <w:r w:rsidRPr="00EF2CA2">
        <w:rPr>
          <w:rFonts w:ascii="Corbel" w:eastAsia="Times New Roman" w:hAnsi="Corbel"/>
          <w:i/>
          <w:iCs/>
          <w:sz w:val="20"/>
          <w:szCs w:val="20"/>
        </w:rPr>
        <w:t>everything</w:t>
      </w:r>
      <w:proofErr w:type="spellEnd"/>
      <w:r w:rsidRPr="00EF2CA2">
        <w:rPr>
          <w:rFonts w:ascii="Corbel" w:eastAsia="Times New Roman" w:hAnsi="Corbel"/>
          <w:i/>
          <w:iCs/>
          <w:sz w:val="20"/>
          <w:szCs w:val="20"/>
        </w:rPr>
        <w:t xml:space="preserve">: </w:t>
      </w:r>
      <w:proofErr w:type="spellStart"/>
      <w:r w:rsidRPr="00EF2CA2">
        <w:rPr>
          <w:rFonts w:ascii="Corbel" w:eastAsia="Times New Roman" w:hAnsi="Corbel"/>
          <w:i/>
          <w:iCs/>
          <w:sz w:val="20"/>
          <w:szCs w:val="20"/>
        </w:rPr>
        <w:t>Rethinking</w:t>
      </w:r>
      <w:proofErr w:type="spellEnd"/>
      <w:r w:rsidRPr="00EF2CA2">
        <w:rPr>
          <w:rFonts w:ascii="Corbel" w:eastAsia="Times New Roman" w:hAnsi="Corbel"/>
          <w:i/>
          <w:iCs/>
          <w:sz w:val="20"/>
          <w:szCs w:val="20"/>
        </w:rPr>
        <w:t xml:space="preserve"> </w:t>
      </w:r>
      <w:proofErr w:type="spellStart"/>
      <w:r w:rsidRPr="00EF2CA2">
        <w:rPr>
          <w:rFonts w:ascii="Corbel" w:eastAsia="Times New Roman" w:hAnsi="Corbel"/>
          <w:i/>
          <w:iCs/>
          <w:sz w:val="20"/>
          <w:szCs w:val="20"/>
        </w:rPr>
        <w:t>the</w:t>
      </w:r>
      <w:proofErr w:type="spellEnd"/>
      <w:r w:rsidRPr="00EF2CA2">
        <w:rPr>
          <w:rFonts w:ascii="Corbel" w:eastAsia="Times New Roman" w:hAnsi="Corbel"/>
          <w:i/>
          <w:iCs/>
          <w:sz w:val="20"/>
          <w:szCs w:val="20"/>
        </w:rPr>
        <w:t xml:space="preserve"> politics of </w:t>
      </w:r>
      <w:proofErr w:type="spellStart"/>
      <w:r w:rsidRPr="00EF2CA2">
        <w:rPr>
          <w:rFonts w:ascii="Corbel" w:eastAsia="Times New Roman" w:hAnsi="Corbel"/>
          <w:i/>
          <w:iCs/>
          <w:sz w:val="20"/>
          <w:szCs w:val="20"/>
        </w:rPr>
        <w:t>uncertainty</w:t>
      </w:r>
      <w:proofErr w:type="spellEnd"/>
      <w:r w:rsidRPr="00EF2CA2">
        <w:rPr>
          <w:rFonts w:ascii="Corbel" w:eastAsia="Times New Roman" w:hAnsi="Corbel"/>
          <w:sz w:val="20"/>
          <w:szCs w:val="20"/>
        </w:rPr>
        <w:t xml:space="preserve">. </w:t>
      </w:r>
      <w:proofErr w:type="spellStart"/>
      <w:r w:rsidRPr="00EF2CA2">
        <w:rPr>
          <w:rFonts w:ascii="Corbel" w:eastAsia="Times New Roman" w:hAnsi="Corbel"/>
          <w:sz w:val="20"/>
          <w:szCs w:val="20"/>
        </w:rPr>
        <w:t>Demos</w:t>
      </w:r>
      <w:proofErr w:type="spellEnd"/>
      <w:r w:rsidRPr="00EF2CA2">
        <w:rPr>
          <w:rFonts w:ascii="Corbel" w:eastAsia="Times New Roman" w:hAnsi="Corbel"/>
          <w:sz w:val="20"/>
          <w:szCs w:val="20"/>
        </w:rPr>
        <w:t>.</w:t>
      </w:r>
    </w:p>
    <w:p w14:paraId="21E0C57F" w14:textId="77777777" w:rsidR="008D0697" w:rsidRPr="00EF2CA2" w:rsidRDefault="008D0697" w:rsidP="00EF2CA2">
      <w:pPr>
        <w:spacing w:line="360" w:lineRule="auto"/>
        <w:ind w:left="852" w:hanging="851"/>
        <w:contextualSpacing/>
        <w:rPr>
          <w:rFonts w:ascii="Corbel" w:eastAsia="Tahoma" w:hAnsi="Corbel" w:cs="Tahoma"/>
          <w:sz w:val="20"/>
          <w:szCs w:val="20"/>
        </w:rPr>
      </w:pPr>
      <w:r w:rsidRPr="00EF2CA2">
        <w:rPr>
          <w:rFonts w:ascii="Corbel" w:eastAsia="Tahoma" w:hAnsi="Corbel" w:cs="Tahoma"/>
          <w:sz w:val="20"/>
          <w:szCs w:val="20"/>
        </w:rPr>
        <w:t xml:space="preserve">Rein, M. &amp; </w:t>
      </w:r>
      <w:proofErr w:type="spellStart"/>
      <w:r w:rsidRPr="00EF2CA2">
        <w:rPr>
          <w:rFonts w:ascii="Corbel" w:eastAsia="Tahoma" w:hAnsi="Corbel" w:cs="Tahoma"/>
          <w:sz w:val="20"/>
          <w:szCs w:val="20"/>
        </w:rPr>
        <w:t>Schön</w:t>
      </w:r>
      <w:proofErr w:type="spellEnd"/>
      <w:r w:rsidRPr="00EF2CA2">
        <w:rPr>
          <w:rFonts w:ascii="Corbel" w:eastAsia="Tahoma" w:hAnsi="Corbel" w:cs="Tahoma"/>
          <w:sz w:val="20"/>
          <w:szCs w:val="20"/>
        </w:rPr>
        <w:t xml:space="preserve">, D. (1993). </w:t>
      </w:r>
      <w:proofErr w:type="spellStart"/>
      <w:r w:rsidRPr="00EF2CA2">
        <w:rPr>
          <w:rFonts w:ascii="Corbel" w:eastAsia="Tahoma" w:hAnsi="Corbel" w:cs="Tahoma"/>
          <w:i/>
          <w:sz w:val="20"/>
          <w:szCs w:val="20"/>
        </w:rPr>
        <w:t>Reframing</w:t>
      </w:r>
      <w:proofErr w:type="spellEnd"/>
      <w:r w:rsidRPr="00EF2CA2">
        <w:rPr>
          <w:rFonts w:ascii="Corbel" w:eastAsia="Tahoma" w:hAnsi="Corbel" w:cs="Tahoma"/>
          <w:i/>
          <w:sz w:val="20"/>
          <w:szCs w:val="20"/>
        </w:rPr>
        <w:t xml:space="preserve"> Policy Discourse</w:t>
      </w:r>
      <w:r w:rsidRPr="00EF2CA2">
        <w:rPr>
          <w:rFonts w:ascii="Corbel" w:eastAsia="Tahoma" w:hAnsi="Corbel" w:cs="Tahoma"/>
          <w:sz w:val="20"/>
          <w:szCs w:val="20"/>
        </w:rPr>
        <w:t xml:space="preserve">. In: Fischer, F. &amp; </w:t>
      </w:r>
      <w:proofErr w:type="spellStart"/>
      <w:r w:rsidRPr="00EF2CA2">
        <w:rPr>
          <w:rFonts w:ascii="Corbel" w:eastAsia="Tahoma" w:hAnsi="Corbel" w:cs="Tahoma"/>
          <w:sz w:val="20"/>
          <w:szCs w:val="20"/>
        </w:rPr>
        <w:t>Forrester</w:t>
      </w:r>
      <w:proofErr w:type="spellEnd"/>
      <w:r w:rsidRPr="00EF2CA2">
        <w:rPr>
          <w:rFonts w:ascii="Corbel" w:eastAsia="Tahoma" w:hAnsi="Corbel" w:cs="Tahoma"/>
          <w:sz w:val="20"/>
          <w:szCs w:val="20"/>
        </w:rPr>
        <w:t>, J. (</w:t>
      </w:r>
      <w:proofErr w:type="spellStart"/>
      <w:r w:rsidRPr="00EF2CA2">
        <w:rPr>
          <w:rFonts w:ascii="Corbel" w:eastAsia="Tahoma" w:hAnsi="Corbel" w:cs="Tahoma"/>
          <w:sz w:val="20"/>
          <w:szCs w:val="20"/>
        </w:rPr>
        <w:t>eds</w:t>
      </w:r>
      <w:proofErr w:type="spellEnd"/>
      <w:r w:rsidRPr="00EF2CA2">
        <w:rPr>
          <w:rFonts w:ascii="Corbel" w:eastAsia="Tahoma" w:hAnsi="Corbel" w:cs="Tahoma"/>
          <w:sz w:val="20"/>
          <w:szCs w:val="20"/>
        </w:rPr>
        <w:t xml:space="preserve">), </w:t>
      </w:r>
      <w:r w:rsidRPr="00EF2CA2">
        <w:rPr>
          <w:rFonts w:ascii="Corbel" w:eastAsia="Tahoma" w:hAnsi="Corbel" w:cs="Tahoma"/>
          <w:i/>
          <w:sz w:val="20"/>
          <w:szCs w:val="20"/>
        </w:rPr>
        <w:t xml:space="preserve">The </w:t>
      </w:r>
      <w:proofErr w:type="spellStart"/>
      <w:r w:rsidRPr="00EF2CA2">
        <w:rPr>
          <w:rFonts w:ascii="Corbel" w:eastAsia="Tahoma" w:hAnsi="Corbel" w:cs="Tahoma"/>
          <w:i/>
          <w:sz w:val="20"/>
          <w:szCs w:val="20"/>
        </w:rPr>
        <w:t>Argumentative</w:t>
      </w:r>
      <w:proofErr w:type="spellEnd"/>
      <w:r w:rsidRPr="00EF2CA2">
        <w:rPr>
          <w:rFonts w:ascii="Corbel" w:eastAsia="Tahoma" w:hAnsi="Corbel" w:cs="Tahoma"/>
          <w:i/>
          <w:sz w:val="20"/>
          <w:szCs w:val="20"/>
        </w:rPr>
        <w:t xml:space="preserve"> Turn in Policy Analysis </w:t>
      </w:r>
      <w:proofErr w:type="spellStart"/>
      <w:r w:rsidRPr="00EF2CA2">
        <w:rPr>
          <w:rFonts w:ascii="Corbel" w:eastAsia="Tahoma" w:hAnsi="Corbel" w:cs="Tahoma"/>
          <w:i/>
          <w:sz w:val="20"/>
          <w:szCs w:val="20"/>
        </w:rPr>
        <w:t>and</w:t>
      </w:r>
      <w:proofErr w:type="spellEnd"/>
      <w:r w:rsidRPr="00EF2CA2">
        <w:rPr>
          <w:rFonts w:ascii="Corbel" w:eastAsia="Tahoma" w:hAnsi="Corbel" w:cs="Tahoma"/>
          <w:i/>
          <w:sz w:val="20"/>
          <w:szCs w:val="20"/>
        </w:rPr>
        <w:t xml:space="preserve"> Planning.</w:t>
      </w:r>
      <w:r w:rsidRPr="00EF2CA2">
        <w:rPr>
          <w:rFonts w:ascii="Corbel" w:eastAsia="Tahoma" w:hAnsi="Corbel" w:cs="Tahoma"/>
          <w:sz w:val="20"/>
          <w:szCs w:val="20"/>
        </w:rPr>
        <w:t xml:space="preserve"> Durham NC: Duke University Press, pp. 145-167.</w:t>
      </w:r>
    </w:p>
    <w:p w14:paraId="47056663" w14:textId="77777777" w:rsidR="008D0697" w:rsidRPr="00EF2CA2" w:rsidRDefault="008D0697" w:rsidP="00EF2CA2">
      <w:pPr>
        <w:spacing w:line="360" w:lineRule="auto"/>
        <w:ind w:left="852" w:hanging="851"/>
        <w:contextualSpacing/>
        <w:rPr>
          <w:rFonts w:ascii="Corbel" w:eastAsia="Tahoma" w:hAnsi="Corbel" w:cs="Tahoma"/>
          <w:sz w:val="20"/>
          <w:szCs w:val="20"/>
        </w:rPr>
      </w:pPr>
      <w:proofErr w:type="spellStart"/>
      <w:r w:rsidRPr="00EF2CA2">
        <w:rPr>
          <w:rFonts w:ascii="Corbel" w:eastAsia="Tahoma" w:hAnsi="Corbel" w:cs="Tahoma"/>
          <w:sz w:val="20"/>
          <w:szCs w:val="20"/>
        </w:rPr>
        <w:lastRenderedPageBreak/>
        <w:t>Renn</w:t>
      </w:r>
      <w:proofErr w:type="spellEnd"/>
      <w:r w:rsidRPr="00EF2CA2">
        <w:rPr>
          <w:rFonts w:ascii="Corbel" w:eastAsia="Tahoma" w:hAnsi="Corbel" w:cs="Tahoma"/>
          <w:sz w:val="20"/>
          <w:szCs w:val="20"/>
        </w:rPr>
        <w:t xml:space="preserve">, O. &amp; </w:t>
      </w:r>
      <w:proofErr w:type="spellStart"/>
      <w:r w:rsidRPr="00EF2CA2">
        <w:rPr>
          <w:rFonts w:ascii="Corbel" w:eastAsia="Tahoma" w:hAnsi="Corbel" w:cs="Tahoma"/>
          <w:sz w:val="20"/>
          <w:szCs w:val="20"/>
        </w:rPr>
        <w:t>Schweizer</w:t>
      </w:r>
      <w:proofErr w:type="spellEnd"/>
      <w:r w:rsidRPr="00EF2CA2">
        <w:rPr>
          <w:rFonts w:ascii="Corbel" w:eastAsia="Tahoma" w:hAnsi="Corbel" w:cs="Tahoma"/>
          <w:sz w:val="20"/>
          <w:szCs w:val="20"/>
        </w:rPr>
        <w:t xml:space="preserve">, P. (2009). </w:t>
      </w:r>
      <w:proofErr w:type="spellStart"/>
      <w:r w:rsidRPr="00EF2CA2">
        <w:rPr>
          <w:rFonts w:ascii="Corbel" w:eastAsia="Tahoma" w:hAnsi="Corbel" w:cs="Tahoma"/>
          <w:sz w:val="20"/>
          <w:szCs w:val="20"/>
        </w:rPr>
        <w:t>Inclusive</w:t>
      </w:r>
      <w:proofErr w:type="spellEnd"/>
      <w:r w:rsidRPr="00EF2CA2">
        <w:rPr>
          <w:rFonts w:ascii="Corbel" w:eastAsia="Tahoma" w:hAnsi="Corbel" w:cs="Tahoma"/>
          <w:sz w:val="20"/>
          <w:szCs w:val="20"/>
        </w:rPr>
        <w:t xml:space="preserve"> Risk Governance: </w:t>
      </w:r>
      <w:proofErr w:type="spellStart"/>
      <w:r w:rsidRPr="00EF2CA2">
        <w:rPr>
          <w:rFonts w:ascii="Corbel" w:eastAsia="Tahoma" w:hAnsi="Corbel" w:cs="Tahoma"/>
          <w:sz w:val="20"/>
          <w:szCs w:val="20"/>
        </w:rPr>
        <w:t>Concepts</w:t>
      </w:r>
      <w:proofErr w:type="spellEnd"/>
      <w:r w:rsidRPr="00EF2CA2">
        <w:rPr>
          <w:rFonts w:ascii="Corbel" w:eastAsia="Tahoma" w:hAnsi="Corbel" w:cs="Tahoma"/>
          <w:sz w:val="20"/>
          <w:szCs w:val="20"/>
        </w:rPr>
        <w:t xml:space="preserve"> </w:t>
      </w:r>
      <w:proofErr w:type="spellStart"/>
      <w:r w:rsidRPr="00EF2CA2">
        <w:rPr>
          <w:rFonts w:ascii="Corbel" w:eastAsia="Tahoma" w:hAnsi="Corbel" w:cs="Tahoma"/>
          <w:sz w:val="20"/>
          <w:szCs w:val="20"/>
        </w:rPr>
        <w:t>and</w:t>
      </w:r>
      <w:proofErr w:type="spellEnd"/>
      <w:r w:rsidRPr="00EF2CA2">
        <w:rPr>
          <w:rFonts w:ascii="Corbel" w:eastAsia="Tahoma" w:hAnsi="Corbel" w:cs="Tahoma"/>
          <w:sz w:val="20"/>
          <w:szCs w:val="20"/>
        </w:rPr>
        <w:t xml:space="preserve"> Application </w:t>
      </w:r>
      <w:proofErr w:type="spellStart"/>
      <w:r w:rsidRPr="00EF2CA2">
        <w:rPr>
          <w:rFonts w:ascii="Corbel" w:eastAsia="Tahoma" w:hAnsi="Corbel" w:cs="Tahoma"/>
          <w:sz w:val="20"/>
          <w:szCs w:val="20"/>
        </w:rPr>
        <w:t>to</w:t>
      </w:r>
      <w:proofErr w:type="spellEnd"/>
      <w:r w:rsidRPr="00EF2CA2">
        <w:rPr>
          <w:rFonts w:ascii="Corbel" w:eastAsia="Tahoma" w:hAnsi="Corbel" w:cs="Tahoma"/>
          <w:sz w:val="20"/>
          <w:szCs w:val="20"/>
        </w:rPr>
        <w:t xml:space="preserve"> </w:t>
      </w:r>
      <w:proofErr w:type="spellStart"/>
      <w:r w:rsidRPr="00EF2CA2">
        <w:rPr>
          <w:rFonts w:ascii="Corbel" w:eastAsia="Tahoma" w:hAnsi="Corbel" w:cs="Tahoma"/>
          <w:sz w:val="20"/>
          <w:szCs w:val="20"/>
        </w:rPr>
        <w:t>Environmental</w:t>
      </w:r>
      <w:proofErr w:type="spellEnd"/>
      <w:r w:rsidRPr="00EF2CA2">
        <w:rPr>
          <w:rFonts w:ascii="Corbel" w:eastAsia="Tahoma" w:hAnsi="Corbel" w:cs="Tahoma"/>
          <w:sz w:val="20"/>
          <w:szCs w:val="20"/>
        </w:rPr>
        <w:t xml:space="preserve"> Policy Making. </w:t>
      </w:r>
      <w:proofErr w:type="spellStart"/>
      <w:r w:rsidRPr="00EF2CA2">
        <w:rPr>
          <w:rFonts w:ascii="Corbel" w:eastAsia="Tahoma" w:hAnsi="Corbel" w:cs="Tahoma"/>
          <w:i/>
          <w:sz w:val="20"/>
          <w:szCs w:val="20"/>
        </w:rPr>
        <w:t>Environmental</w:t>
      </w:r>
      <w:proofErr w:type="spellEnd"/>
      <w:r w:rsidRPr="00EF2CA2">
        <w:rPr>
          <w:rFonts w:ascii="Corbel" w:eastAsia="Tahoma" w:hAnsi="Corbel" w:cs="Tahoma"/>
          <w:i/>
          <w:sz w:val="20"/>
          <w:szCs w:val="20"/>
        </w:rPr>
        <w:t xml:space="preserve"> Policy </w:t>
      </w:r>
      <w:proofErr w:type="spellStart"/>
      <w:r w:rsidRPr="00EF2CA2">
        <w:rPr>
          <w:rFonts w:ascii="Corbel" w:eastAsia="Tahoma" w:hAnsi="Corbel" w:cs="Tahoma"/>
          <w:i/>
          <w:sz w:val="20"/>
          <w:szCs w:val="20"/>
        </w:rPr>
        <w:t>and</w:t>
      </w:r>
      <w:proofErr w:type="spellEnd"/>
      <w:r w:rsidRPr="00EF2CA2">
        <w:rPr>
          <w:rFonts w:ascii="Corbel" w:eastAsia="Tahoma" w:hAnsi="Corbel" w:cs="Tahoma"/>
          <w:i/>
          <w:sz w:val="20"/>
          <w:szCs w:val="20"/>
        </w:rPr>
        <w:t xml:space="preserve"> Governance,</w:t>
      </w:r>
      <w:r w:rsidRPr="00EF2CA2">
        <w:rPr>
          <w:rFonts w:ascii="Corbel" w:eastAsia="Tahoma" w:hAnsi="Corbel" w:cs="Tahoma"/>
          <w:sz w:val="20"/>
          <w:szCs w:val="20"/>
        </w:rPr>
        <w:t xml:space="preserve"> 19: 174–185.</w:t>
      </w:r>
    </w:p>
    <w:p w14:paraId="3535C838" w14:textId="77777777" w:rsidR="008D0697" w:rsidRPr="00EF2CA2" w:rsidRDefault="008D0697" w:rsidP="00EF2CA2">
      <w:pPr>
        <w:widowControl w:val="0"/>
        <w:autoSpaceDE w:val="0"/>
        <w:autoSpaceDN w:val="0"/>
        <w:adjustRightInd w:val="0"/>
        <w:spacing w:after="240" w:line="360" w:lineRule="auto"/>
        <w:ind w:left="852" w:hanging="851"/>
        <w:contextualSpacing/>
        <w:rPr>
          <w:rFonts w:ascii="Corbel" w:eastAsia="Tahoma" w:hAnsi="Corbel" w:cs="Tahoma"/>
          <w:sz w:val="20"/>
          <w:szCs w:val="20"/>
          <w:lang w:eastAsia="en-US"/>
        </w:rPr>
      </w:pPr>
      <w:proofErr w:type="spellStart"/>
      <w:r w:rsidRPr="00EF2CA2">
        <w:rPr>
          <w:rFonts w:ascii="Corbel" w:eastAsia="Tahoma" w:hAnsi="Corbel" w:cs="Tahoma"/>
          <w:sz w:val="20"/>
          <w:szCs w:val="20"/>
        </w:rPr>
        <w:t>Renn</w:t>
      </w:r>
      <w:proofErr w:type="spellEnd"/>
      <w:r w:rsidRPr="00EF2CA2">
        <w:rPr>
          <w:rFonts w:ascii="Corbel" w:eastAsia="Tahoma" w:hAnsi="Corbel" w:cs="Tahoma"/>
          <w:sz w:val="20"/>
          <w:szCs w:val="20"/>
        </w:rPr>
        <w:t xml:space="preserve">, O., </w:t>
      </w:r>
      <w:proofErr w:type="spellStart"/>
      <w:r w:rsidRPr="00EF2CA2">
        <w:rPr>
          <w:rFonts w:ascii="Corbel" w:eastAsia="Tahoma" w:hAnsi="Corbel" w:cs="Tahoma"/>
          <w:sz w:val="20"/>
          <w:szCs w:val="20"/>
        </w:rPr>
        <w:t>Klinke</w:t>
      </w:r>
      <w:proofErr w:type="spellEnd"/>
      <w:r w:rsidRPr="00EF2CA2">
        <w:rPr>
          <w:rFonts w:ascii="Corbel" w:eastAsia="Tahoma" w:hAnsi="Corbel" w:cs="Tahoma"/>
          <w:sz w:val="20"/>
          <w:szCs w:val="20"/>
        </w:rPr>
        <w:t xml:space="preserve">, A., &amp; van </w:t>
      </w:r>
      <w:proofErr w:type="spellStart"/>
      <w:r w:rsidRPr="00EF2CA2">
        <w:rPr>
          <w:rFonts w:ascii="Corbel" w:eastAsia="Tahoma" w:hAnsi="Corbel" w:cs="Tahoma"/>
          <w:sz w:val="20"/>
          <w:szCs w:val="20"/>
        </w:rPr>
        <w:t>Asselt</w:t>
      </w:r>
      <w:proofErr w:type="spellEnd"/>
      <w:r w:rsidRPr="00EF2CA2">
        <w:rPr>
          <w:rFonts w:ascii="Corbel" w:eastAsia="Tahoma" w:hAnsi="Corbel" w:cs="Tahoma"/>
          <w:sz w:val="20"/>
          <w:szCs w:val="20"/>
        </w:rPr>
        <w:t xml:space="preserve">, M. (2011). Coping </w:t>
      </w:r>
      <w:proofErr w:type="spellStart"/>
      <w:r w:rsidRPr="00EF2CA2">
        <w:rPr>
          <w:rFonts w:ascii="Corbel" w:eastAsia="Tahoma" w:hAnsi="Corbel" w:cs="Tahoma"/>
          <w:sz w:val="20"/>
          <w:szCs w:val="20"/>
        </w:rPr>
        <w:t>with</w:t>
      </w:r>
      <w:proofErr w:type="spellEnd"/>
      <w:r w:rsidRPr="00EF2CA2">
        <w:rPr>
          <w:rFonts w:ascii="Corbel" w:eastAsia="Tahoma" w:hAnsi="Corbel" w:cs="Tahoma"/>
          <w:sz w:val="20"/>
          <w:szCs w:val="20"/>
        </w:rPr>
        <w:t xml:space="preserve"> </w:t>
      </w:r>
      <w:proofErr w:type="spellStart"/>
      <w:r w:rsidRPr="00EF2CA2">
        <w:rPr>
          <w:rFonts w:ascii="Corbel" w:eastAsia="Tahoma" w:hAnsi="Corbel" w:cs="Tahoma"/>
          <w:sz w:val="20"/>
          <w:szCs w:val="20"/>
        </w:rPr>
        <w:t>complexity</w:t>
      </w:r>
      <w:proofErr w:type="spellEnd"/>
      <w:r w:rsidRPr="00EF2CA2">
        <w:rPr>
          <w:rFonts w:ascii="Corbel" w:eastAsia="Tahoma" w:hAnsi="Corbel" w:cs="Tahoma"/>
          <w:sz w:val="20"/>
          <w:szCs w:val="20"/>
        </w:rPr>
        <w:t xml:space="preserve">, </w:t>
      </w:r>
      <w:proofErr w:type="spellStart"/>
      <w:r w:rsidRPr="00EF2CA2">
        <w:rPr>
          <w:rFonts w:ascii="Corbel" w:eastAsia="Tahoma" w:hAnsi="Corbel" w:cs="Tahoma"/>
          <w:sz w:val="20"/>
          <w:szCs w:val="20"/>
        </w:rPr>
        <w:t>uncertainty</w:t>
      </w:r>
      <w:proofErr w:type="spellEnd"/>
      <w:r w:rsidRPr="00EF2CA2">
        <w:rPr>
          <w:rFonts w:ascii="Corbel" w:eastAsia="Tahoma" w:hAnsi="Corbel" w:cs="Tahoma"/>
          <w:sz w:val="20"/>
          <w:szCs w:val="20"/>
        </w:rPr>
        <w:t xml:space="preserve"> </w:t>
      </w:r>
      <w:proofErr w:type="spellStart"/>
      <w:r w:rsidRPr="00EF2CA2">
        <w:rPr>
          <w:rFonts w:ascii="Corbel" w:eastAsia="Tahoma" w:hAnsi="Corbel" w:cs="Tahoma"/>
          <w:sz w:val="20"/>
          <w:szCs w:val="20"/>
        </w:rPr>
        <w:t>and</w:t>
      </w:r>
      <w:proofErr w:type="spellEnd"/>
      <w:r w:rsidRPr="00EF2CA2">
        <w:rPr>
          <w:rFonts w:ascii="Corbel" w:eastAsia="Tahoma" w:hAnsi="Corbel" w:cs="Tahoma"/>
          <w:sz w:val="20"/>
          <w:szCs w:val="20"/>
        </w:rPr>
        <w:t xml:space="preserve"> </w:t>
      </w:r>
      <w:proofErr w:type="spellStart"/>
      <w:r w:rsidRPr="00EF2CA2">
        <w:rPr>
          <w:rFonts w:ascii="Corbel" w:eastAsia="Tahoma" w:hAnsi="Corbel" w:cs="Tahoma"/>
          <w:sz w:val="20"/>
          <w:szCs w:val="20"/>
        </w:rPr>
        <w:t>ambiguity</w:t>
      </w:r>
      <w:proofErr w:type="spellEnd"/>
      <w:r w:rsidRPr="00EF2CA2">
        <w:rPr>
          <w:rFonts w:ascii="Corbel" w:eastAsia="Tahoma" w:hAnsi="Corbel" w:cs="Tahoma"/>
          <w:sz w:val="20"/>
          <w:szCs w:val="20"/>
        </w:rPr>
        <w:t xml:space="preserve"> in risk governance: a </w:t>
      </w:r>
      <w:proofErr w:type="spellStart"/>
      <w:r w:rsidRPr="00EF2CA2">
        <w:rPr>
          <w:rFonts w:ascii="Corbel" w:eastAsia="Tahoma" w:hAnsi="Corbel" w:cs="Tahoma"/>
          <w:sz w:val="20"/>
          <w:szCs w:val="20"/>
        </w:rPr>
        <w:t>synthesis</w:t>
      </w:r>
      <w:proofErr w:type="spellEnd"/>
      <w:r w:rsidRPr="00EF2CA2">
        <w:rPr>
          <w:rFonts w:ascii="Corbel" w:eastAsia="Tahoma" w:hAnsi="Corbel" w:cs="Tahoma"/>
          <w:sz w:val="20"/>
          <w:szCs w:val="20"/>
        </w:rPr>
        <w:t xml:space="preserve">. </w:t>
      </w:r>
      <w:proofErr w:type="spellStart"/>
      <w:r w:rsidRPr="00EF2CA2">
        <w:rPr>
          <w:rFonts w:ascii="Corbel" w:eastAsia="Tahoma" w:hAnsi="Corbel" w:cs="Tahoma"/>
          <w:i/>
          <w:iCs/>
          <w:sz w:val="20"/>
          <w:szCs w:val="20"/>
        </w:rPr>
        <w:t>Ambio</w:t>
      </w:r>
      <w:proofErr w:type="spellEnd"/>
      <w:r w:rsidRPr="00EF2CA2">
        <w:rPr>
          <w:rFonts w:ascii="Corbel" w:eastAsia="Tahoma" w:hAnsi="Corbel" w:cs="Tahoma"/>
          <w:sz w:val="20"/>
          <w:szCs w:val="20"/>
        </w:rPr>
        <w:t xml:space="preserve">, </w:t>
      </w:r>
      <w:r w:rsidRPr="00EF2CA2">
        <w:rPr>
          <w:rFonts w:ascii="Corbel" w:eastAsia="Tahoma" w:hAnsi="Corbel" w:cs="Tahoma"/>
          <w:i/>
          <w:iCs/>
          <w:sz w:val="20"/>
          <w:szCs w:val="20"/>
        </w:rPr>
        <w:t>40</w:t>
      </w:r>
      <w:r w:rsidRPr="00EF2CA2">
        <w:rPr>
          <w:rFonts w:ascii="Corbel" w:eastAsia="Tahoma" w:hAnsi="Corbel" w:cs="Tahoma"/>
          <w:sz w:val="20"/>
          <w:szCs w:val="20"/>
        </w:rPr>
        <w:t>(2), 231-246.</w:t>
      </w:r>
    </w:p>
    <w:p w14:paraId="6B4EE787" w14:textId="77777777" w:rsidR="008D0697" w:rsidRPr="00EF2CA2" w:rsidRDefault="008D0697" w:rsidP="00EF2CA2">
      <w:pPr>
        <w:widowControl w:val="0"/>
        <w:autoSpaceDE w:val="0"/>
        <w:autoSpaceDN w:val="0"/>
        <w:adjustRightInd w:val="0"/>
        <w:spacing w:after="240" w:line="360" w:lineRule="auto"/>
        <w:ind w:left="852" w:hanging="851"/>
        <w:contextualSpacing/>
        <w:rPr>
          <w:rFonts w:ascii="Corbel" w:eastAsia="Tahoma" w:hAnsi="Corbel" w:cs="Tahoma"/>
          <w:sz w:val="20"/>
          <w:szCs w:val="20"/>
          <w:lang w:eastAsia="en-US"/>
        </w:rPr>
      </w:pPr>
      <w:proofErr w:type="spellStart"/>
      <w:r w:rsidRPr="00EF2CA2">
        <w:rPr>
          <w:rFonts w:ascii="Corbel" w:eastAsia="Tahoma" w:hAnsi="Corbel" w:cs="Tahoma"/>
          <w:sz w:val="20"/>
          <w:szCs w:val="20"/>
        </w:rPr>
        <w:t>Roescher</w:t>
      </w:r>
      <w:proofErr w:type="spellEnd"/>
      <w:r w:rsidRPr="00EF2CA2">
        <w:rPr>
          <w:rFonts w:ascii="Corbel" w:eastAsia="Tahoma" w:hAnsi="Corbel" w:cs="Tahoma"/>
          <w:sz w:val="20"/>
          <w:szCs w:val="20"/>
        </w:rPr>
        <w:t xml:space="preserve">, N. (1983). </w:t>
      </w:r>
      <w:r w:rsidRPr="00EF2CA2">
        <w:rPr>
          <w:rFonts w:ascii="Corbel" w:eastAsia="Tahoma" w:hAnsi="Corbel" w:cs="Tahoma"/>
          <w:i/>
          <w:sz w:val="20"/>
          <w:szCs w:val="20"/>
        </w:rPr>
        <w:t xml:space="preserve">Risk: A </w:t>
      </w:r>
      <w:proofErr w:type="spellStart"/>
      <w:r w:rsidRPr="00EF2CA2">
        <w:rPr>
          <w:rFonts w:ascii="Corbel" w:eastAsia="Tahoma" w:hAnsi="Corbel" w:cs="Tahoma"/>
          <w:i/>
          <w:sz w:val="20"/>
          <w:szCs w:val="20"/>
        </w:rPr>
        <w:t>philosophical</w:t>
      </w:r>
      <w:proofErr w:type="spellEnd"/>
      <w:r w:rsidRPr="00EF2CA2">
        <w:rPr>
          <w:rFonts w:ascii="Corbel" w:eastAsia="Tahoma" w:hAnsi="Corbel" w:cs="Tahoma"/>
          <w:i/>
          <w:sz w:val="20"/>
          <w:szCs w:val="20"/>
        </w:rPr>
        <w:t xml:space="preserve"> </w:t>
      </w:r>
      <w:proofErr w:type="spellStart"/>
      <w:r w:rsidRPr="00EF2CA2">
        <w:rPr>
          <w:rFonts w:ascii="Corbel" w:eastAsia="Tahoma" w:hAnsi="Corbel" w:cs="Tahoma"/>
          <w:i/>
          <w:sz w:val="20"/>
          <w:szCs w:val="20"/>
        </w:rPr>
        <w:t>introduction</w:t>
      </w:r>
      <w:proofErr w:type="spellEnd"/>
      <w:r w:rsidRPr="00EF2CA2">
        <w:rPr>
          <w:rFonts w:ascii="Corbel" w:eastAsia="Tahoma" w:hAnsi="Corbel" w:cs="Tahoma"/>
          <w:i/>
          <w:sz w:val="20"/>
          <w:szCs w:val="20"/>
        </w:rPr>
        <w:t xml:space="preserve">. </w:t>
      </w:r>
      <w:proofErr w:type="spellStart"/>
      <w:r w:rsidRPr="00EF2CA2">
        <w:rPr>
          <w:rFonts w:ascii="Corbel" w:eastAsia="Tahoma" w:hAnsi="Corbel" w:cs="Tahoma"/>
          <w:sz w:val="20"/>
          <w:szCs w:val="20"/>
        </w:rPr>
        <w:t>Lanham</w:t>
      </w:r>
      <w:proofErr w:type="spellEnd"/>
      <w:r w:rsidRPr="00EF2CA2">
        <w:rPr>
          <w:rFonts w:ascii="Corbel" w:eastAsia="Tahoma" w:hAnsi="Corbel" w:cs="Tahoma"/>
          <w:sz w:val="20"/>
          <w:szCs w:val="20"/>
        </w:rPr>
        <w:t>, MD: University Press of America.</w:t>
      </w:r>
    </w:p>
    <w:p w14:paraId="4D15286B" w14:textId="77777777" w:rsidR="008D0697" w:rsidRPr="00EF2CA2" w:rsidRDefault="008D0697" w:rsidP="00EF2CA2">
      <w:pPr>
        <w:spacing w:line="360" w:lineRule="auto"/>
        <w:ind w:left="852" w:hanging="851"/>
        <w:contextualSpacing/>
        <w:rPr>
          <w:rFonts w:ascii="Corbel" w:eastAsia="Tahoma" w:hAnsi="Corbel" w:cs="Tahoma"/>
          <w:sz w:val="20"/>
          <w:szCs w:val="20"/>
        </w:rPr>
      </w:pPr>
      <w:proofErr w:type="spellStart"/>
      <w:r w:rsidRPr="00EF2CA2">
        <w:rPr>
          <w:rFonts w:ascii="Corbel" w:eastAsia="Tahoma" w:hAnsi="Corbel" w:cs="Tahoma"/>
          <w:sz w:val="20"/>
          <w:szCs w:val="20"/>
        </w:rPr>
        <w:t>Roeser</w:t>
      </w:r>
      <w:proofErr w:type="spellEnd"/>
      <w:r w:rsidRPr="00EF2CA2">
        <w:rPr>
          <w:rFonts w:ascii="Corbel" w:eastAsia="Tahoma" w:hAnsi="Corbel" w:cs="Tahoma"/>
          <w:sz w:val="20"/>
          <w:szCs w:val="20"/>
        </w:rPr>
        <w:t xml:space="preserve">, S. (2013). </w:t>
      </w:r>
      <w:r w:rsidRPr="00EF2CA2">
        <w:rPr>
          <w:rFonts w:ascii="Corbel" w:eastAsia="Tahoma" w:hAnsi="Corbel" w:cs="Tahoma"/>
          <w:i/>
          <w:iCs/>
          <w:sz w:val="20"/>
          <w:szCs w:val="20"/>
        </w:rPr>
        <w:t>Risico, ethiek en emoties</w:t>
      </w:r>
      <w:r w:rsidRPr="00EF2CA2">
        <w:rPr>
          <w:rFonts w:ascii="Corbel" w:eastAsia="Tahoma" w:hAnsi="Corbel" w:cs="Tahoma"/>
          <w:sz w:val="20"/>
          <w:szCs w:val="20"/>
        </w:rPr>
        <w:t>. Delft: Delft University of Technology.</w:t>
      </w:r>
    </w:p>
    <w:p w14:paraId="3FBC6CCF" w14:textId="77777777" w:rsidR="008D0697" w:rsidRPr="00EF2CA2" w:rsidRDefault="008D0697" w:rsidP="00EF2CA2">
      <w:pPr>
        <w:spacing w:line="360" w:lineRule="auto"/>
        <w:ind w:left="852" w:hanging="851"/>
        <w:contextualSpacing/>
        <w:rPr>
          <w:rFonts w:ascii="Corbel" w:eastAsia="Times New Roman" w:hAnsi="Corbel" w:cs="Arial"/>
          <w:color w:val="222222"/>
          <w:sz w:val="20"/>
          <w:szCs w:val="20"/>
        </w:rPr>
      </w:pPr>
      <w:r w:rsidRPr="00EF2CA2">
        <w:rPr>
          <w:rFonts w:ascii="Corbel" w:eastAsia="Times New Roman" w:hAnsi="Corbel" w:cs="Arial"/>
          <w:color w:val="222222"/>
          <w:sz w:val="20"/>
          <w:szCs w:val="20"/>
        </w:rPr>
        <w:t xml:space="preserve">Sander, J. &amp; </w:t>
      </w:r>
      <w:proofErr w:type="spellStart"/>
      <w:r w:rsidRPr="00EF2CA2">
        <w:rPr>
          <w:rFonts w:ascii="Corbel" w:eastAsia="Times New Roman" w:hAnsi="Corbel" w:cs="Arial"/>
          <w:color w:val="222222"/>
          <w:sz w:val="20"/>
          <w:szCs w:val="20"/>
        </w:rPr>
        <w:t>Joung</w:t>
      </w:r>
      <w:proofErr w:type="spellEnd"/>
      <w:r w:rsidRPr="00EF2CA2">
        <w:rPr>
          <w:rFonts w:ascii="Corbel" w:eastAsia="Times New Roman" w:hAnsi="Corbel" w:cs="Arial"/>
          <w:color w:val="222222"/>
          <w:sz w:val="20"/>
          <w:szCs w:val="20"/>
        </w:rPr>
        <w:t xml:space="preserve">, J. (2014). CRISPR-Cas systems </w:t>
      </w:r>
      <w:proofErr w:type="spellStart"/>
      <w:r w:rsidRPr="00EF2CA2">
        <w:rPr>
          <w:rFonts w:ascii="Corbel" w:eastAsia="Times New Roman" w:hAnsi="Corbel" w:cs="Arial"/>
          <w:color w:val="222222"/>
          <w:sz w:val="20"/>
          <w:szCs w:val="20"/>
        </w:rPr>
        <w:t>for</w:t>
      </w:r>
      <w:proofErr w:type="spellEnd"/>
      <w:r w:rsidRPr="00EF2CA2">
        <w:rPr>
          <w:rFonts w:ascii="Corbel" w:eastAsia="Times New Roman" w:hAnsi="Corbel" w:cs="Arial"/>
          <w:color w:val="222222"/>
          <w:sz w:val="20"/>
          <w:szCs w:val="20"/>
        </w:rPr>
        <w:t xml:space="preserve"> editing, </w:t>
      </w:r>
      <w:proofErr w:type="spellStart"/>
      <w:r w:rsidRPr="00EF2CA2">
        <w:rPr>
          <w:rFonts w:ascii="Corbel" w:eastAsia="Times New Roman" w:hAnsi="Corbel" w:cs="Arial"/>
          <w:color w:val="222222"/>
          <w:sz w:val="20"/>
          <w:szCs w:val="20"/>
        </w:rPr>
        <w:t>regulating</w:t>
      </w:r>
      <w:proofErr w:type="spellEnd"/>
      <w:r w:rsidRPr="00EF2CA2">
        <w:rPr>
          <w:rFonts w:ascii="Corbel" w:eastAsia="Times New Roman" w:hAnsi="Corbel" w:cs="Arial"/>
          <w:color w:val="222222"/>
          <w:sz w:val="20"/>
          <w:szCs w:val="20"/>
        </w:rPr>
        <w:t xml:space="preserve"> </w:t>
      </w:r>
      <w:proofErr w:type="spellStart"/>
      <w:r w:rsidRPr="00EF2CA2">
        <w:rPr>
          <w:rFonts w:ascii="Corbel" w:eastAsia="Times New Roman" w:hAnsi="Corbel" w:cs="Arial"/>
          <w:color w:val="222222"/>
          <w:sz w:val="20"/>
          <w:szCs w:val="20"/>
        </w:rPr>
        <w:t>and</w:t>
      </w:r>
      <w:proofErr w:type="spellEnd"/>
      <w:r w:rsidRPr="00EF2CA2">
        <w:rPr>
          <w:rFonts w:ascii="Corbel" w:eastAsia="Times New Roman" w:hAnsi="Corbel" w:cs="Arial"/>
          <w:color w:val="222222"/>
          <w:sz w:val="20"/>
          <w:szCs w:val="20"/>
        </w:rPr>
        <w:t xml:space="preserve"> </w:t>
      </w:r>
      <w:proofErr w:type="spellStart"/>
      <w:r w:rsidRPr="00EF2CA2">
        <w:rPr>
          <w:rFonts w:ascii="Corbel" w:eastAsia="Times New Roman" w:hAnsi="Corbel" w:cs="Arial"/>
          <w:color w:val="222222"/>
          <w:sz w:val="20"/>
          <w:szCs w:val="20"/>
        </w:rPr>
        <w:t>targeting</w:t>
      </w:r>
      <w:proofErr w:type="spellEnd"/>
      <w:r w:rsidRPr="00EF2CA2">
        <w:rPr>
          <w:rFonts w:ascii="Corbel" w:eastAsia="Times New Roman" w:hAnsi="Corbel" w:cs="Arial"/>
          <w:color w:val="222222"/>
          <w:sz w:val="20"/>
          <w:szCs w:val="20"/>
        </w:rPr>
        <w:t xml:space="preserve"> </w:t>
      </w:r>
      <w:proofErr w:type="spellStart"/>
      <w:r w:rsidRPr="00EF2CA2">
        <w:rPr>
          <w:rFonts w:ascii="Corbel" w:eastAsia="Times New Roman" w:hAnsi="Corbel" w:cs="Arial"/>
          <w:color w:val="222222"/>
          <w:sz w:val="20"/>
          <w:szCs w:val="20"/>
        </w:rPr>
        <w:t>genomes</w:t>
      </w:r>
      <w:proofErr w:type="spellEnd"/>
      <w:r w:rsidRPr="00EF2CA2">
        <w:rPr>
          <w:rFonts w:ascii="Corbel" w:eastAsia="Times New Roman" w:hAnsi="Corbel" w:cs="Arial"/>
          <w:color w:val="222222"/>
          <w:sz w:val="20"/>
          <w:szCs w:val="20"/>
        </w:rPr>
        <w:t xml:space="preserve">. </w:t>
      </w:r>
      <w:r w:rsidRPr="00EF2CA2">
        <w:rPr>
          <w:rFonts w:ascii="Corbel" w:eastAsia="Times New Roman" w:hAnsi="Corbel" w:cs="Arial"/>
          <w:i/>
          <w:iCs/>
          <w:color w:val="222222"/>
          <w:sz w:val="20"/>
          <w:szCs w:val="20"/>
        </w:rPr>
        <w:t xml:space="preserve">Nature </w:t>
      </w:r>
      <w:proofErr w:type="spellStart"/>
      <w:r w:rsidRPr="00EF2CA2">
        <w:rPr>
          <w:rFonts w:ascii="Corbel" w:eastAsia="Times New Roman" w:hAnsi="Corbel" w:cs="Arial"/>
          <w:i/>
          <w:iCs/>
          <w:color w:val="222222"/>
          <w:sz w:val="20"/>
          <w:szCs w:val="20"/>
        </w:rPr>
        <w:t>biotechnology</w:t>
      </w:r>
      <w:proofErr w:type="spellEnd"/>
      <w:r w:rsidRPr="00EF2CA2">
        <w:rPr>
          <w:rFonts w:ascii="Corbel" w:eastAsia="Times New Roman" w:hAnsi="Corbel" w:cs="Arial"/>
          <w:color w:val="222222"/>
          <w:sz w:val="20"/>
          <w:szCs w:val="20"/>
        </w:rPr>
        <w:t xml:space="preserve">, </w:t>
      </w:r>
      <w:r w:rsidRPr="00EF2CA2">
        <w:rPr>
          <w:rFonts w:ascii="Corbel" w:eastAsia="Times New Roman" w:hAnsi="Corbel" w:cs="Arial"/>
          <w:i/>
          <w:iCs/>
          <w:color w:val="222222"/>
          <w:sz w:val="20"/>
          <w:szCs w:val="20"/>
        </w:rPr>
        <w:t>32</w:t>
      </w:r>
      <w:r w:rsidRPr="00EF2CA2">
        <w:rPr>
          <w:rFonts w:ascii="Corbel" w:eastAsia="Times New Roman" w:hAnsi="Corbel" w:cs="Arial"/>
          <w:color w:val="222222"/>
          <w:sz w:val="20"/>
          <w:szCs w:val="20"/>
        </w:rPr>
        <w:t>(4), 347-355.</w:t>
      </w:r>
    </w:p>
    <w:p w14:paraId="3AA7162B" w14:textId="77777777" w:rsidR="008D0697" w:rsidRPr="00EF2CA2" w:rsidRDefault="008D0697" w:rsidP="00EF2CA2">
      <w:pPr>
        <w:spacing w:line="360" w:lineRule="auto"/>
        <w:ind w:left="852" w:hanging="851"/>
        <w:contextualSpacing/>
        <w:rPr>
          <w:rFonts w:ascii="Corbel" w:eastAsia="Tahoma,Tahoma,Times New Roman" w:hAnsi="Corbel" w:cs="Tahoma"/>
          <w:sz w:val="20"/>
          <w:szCs w:val="20"/>
        </w:rPr>
      </w:pPr>
      <w:r w:rsidRPr="00EF2CA2">
        <w:rPr>
          <w:rFonts w:ascii="Corbel" w:eastAsia="Tahoma,Tahoma,Times New Roman" w:hAnsi="Corbel" w:cs="Tahoma"/>
          <w:sz w:val="20"/>
          <w:szCs w:val="20"/>
        </w:rPr>
        <w:t>Sanderson, I. (2002). Making sense of ‘</w:t>
      </w:r>
      <w:proofErr w:type="spellStart"/>
      <w:r w:rsidRPr="00EF2CA2">
        <w:rPr>
          <w:rFonts w:ascii="Corbel" w:eastAsia="Tahoma,Tahoma,Times New Roman" w:hAnsi="Corbel" w:cs="Tahoma"/>
          <w:sz w:val="20"/>
          <w:szCs w:val="20"/>
        </w:rPr>
        <w:t>what</w:t>
      </w:r>
      <w:proofErr w:type="spellEnd"/>
      <w:r w:rsidRPr="00EF2CA2">
        <w:rPr>
          <w:rFonts w:ascii="Corbel" w:eastAsia="Tahoma,Tahoma,Times New Roman" w:hAnsi="Corbel" w:cs="Tahoma"/>
          <w:sz w:val="20"/>
          <w:szCs w:val="20"/>
        </w:rPr>
        <w:t xml:space="preserve"> </w:t>
      </w:r>
      <w:proofErr w:type="spellStart"/>
      <w:r w:rsidRPr="00EF2CA2">
        <w:rPr>
          <w:rFonts w:ascii="Corbel" w:eastAsia="Tahoma,Tahoma,Times New Roman" w:hAnsi="Corbel" w:cs="Tahoma"/>
          <w:sz w:val="20"/>
          <w:szCs w:val="20"/>
        </w:rPr>
        <w:t>works</w:t>
      </w:r>
      <w:proofErr w:type="spellEnd"/>
      <w:r w:rsidRPr="00EF2CA2">
        <w:rPr>
          <w:rFonts w:ascii="Corbel" w:eastAsia="Tahoma,Tahoma,Times New Roman" w:hAnsi="Corbel" w:cs="Tahoma"/>
          <w:sz w:val="20"/>
          <w:szCs w:val="20"/>
        </w:rPr>
        <w:t xml:space="preserve">’: </w:t>
      </w:r>
      <w:proofErr w:type="spellStart"/>
      <w:r w:rsidRPr="00EF2CA2">
        <w:rPr>
          <w:rFonts w:ascii="Corbel" w:eastAsia="Tahoma,Tahoma,Times New Roman" w:hAnsi="Corbel" w:cs="Tahoma"/>
          <w:sz w:val="20"/>
          <w:szCs w:val="20"/>
        </w:rPr>
        <w:t>evidence</w:t>
      </w:r>
      <w:proofErr w:type="spellEnd"/>
      <w:r w:rsidRPr="00EF2CA2">
        <w:rPr>
          <w:rFonts w:ascii="Corbel" w:eastAsia="Tahoma,Tahoma,Times New Roman" w:hAnsi="Corbel" w:cs="Tahoma"/>
          <w:sz w:val="20"/>
          <w:szCs w:val="20"/>
        </w:rPr>
        <w:t xml:space="preserve"> based policy making as </w:t>
      </w:r>
      <w:proofErr w:type="spellStart"/>
      <w:r w:rsidRPr="00EF2CA2">
        <w:rPr>
          <w:rFonts w:ascii="Corbel" w:eastAsia="Tahoma,Tahoma,Times New Roman" w:hAnsi="Corbel" w:cs="Tahoma"/>
          <w:sz w:val="20"/>
          <w:szCs w:val="20"/>
        </w:rPr>
        <w:t>instrumental</w:t>
      </w:r>
      <w:proofErr w:type="spellEnd"/>
      <w:r w:rsidRPr="00EF2CA2">
        <w:rPr>
          <w:rFonts w:ascii="Corbel" w:eastAsia="Tahoma,Tahoma,Times New Roman" w:hAnsi="Corbel" w:cs="Tahoma"/>
          <w:sz w:val="20"/>
          <w:szCs w:val="20"/>
        </w:rPr>
        <w:t xml:space="preserve"> </w:t>
      </w:r>
      <w:proofErr w:type="spellStart"/>
      <w:proofErr w:type="gramStart"/>
      <w:r w:rsidRPr="00EF2CA2">
        <w:rPr>
          <w:rFonts w:ascii="Corbel" w:eastAsia="Tahoma,Tahoma,Times New Roman" w:hAnsi="Corbel" w:cs="Tahoma"/>
          <w:sz w:val="20"/>
          <w:szCs w:val="20"/>
        </w:rPr>
        <w:t>rationality</w:t>
      </w:r>
      <w:proofErr w:type="spellEnd"/>
      <w:r w:rsidRPr="00EF2CA2">
        <w:rPr>
          <w:rFonts w:ascii="Corbel" w:eastAsia="Tahoma,Tahoma,Times New Roman" w:hAnsi="Corbel" w:cs="Tahoma"/>
          <w:sz w:val="20"/>
          <w:szCs w:val="20"/>
        </w:rPr>
        <w:t>?.</w:t>
      </w:r>
      <w:proofErr w:type="gramEnd"/>
      <w:r w:rsidRPr="00EF2CA2">
        <w:rPr>
          <w:rFonts w:ascii="Corbel" w:eastAsia="Tahoma,Tahoma,Times New Roman" w:hAnsi="Corbel" w:cs="Tahoma"/>
          <w:sz w:val="20"/>
          <w:szCs w:val="20"/>
        </w:rPr>
        <w:t xml:space="preserve"> </w:t>
      </w:r>
      <w:r w:rsidRPr="00EF2CA2">
        <w:rPr>
          <w:rFonts w:ascii="Corbel" w:eastAsia="Tahoma,Tahoma,Times New Roman" w:hAnsi="Corbel" w:cs="Tahoma"/>
          <w:i/>
          <w:iCs/>
          <w:sz w:val="20"/>
          <w:szCs w:val="20"/>
        </w:rPr>
        <w:t xml:space="preserve">Public Policy </w:t>
      </w:r>
      <w:proofErr w:type="spellStart"/>
      <w:r w:rsidRPr="00EF2CA2">
        <w:rPr>
          <w:rFonts w:ascii="Corbel" w:eastAsia="Tahoma,Tahoma,Times New Roman" w:hAnsi="Corbel" w:cs="Tahoma"/>
          <w:i/>
          <w:iCs/>
          <w:sz w:val="20"/>
          <w:szCs w:val="20"/>
        </w:rPr>
        <w:t>and</w:t>
      </w:r>
      <w:proofErr w:type="spellEnd"/>
      <w:r w:rsidRPr="00EF2CA2">
        <w:rPr>
          <w:rFonts w:ascii="Corbel" w:eastAsia="Tahoma,Tahoma,Times New Roman" w:hAnsi="Corbel" w:cs="Tahoma"/>
          <w:i/>
          <w:iCs/>
          <w:sz w:val="20"/>
          <w:szCs w:val="20"/>
        </w:rPr>
        <w:t xml:space="preserve"> Administration</w:t>
      </w:r>
      <w:r w:rsidRPr="00EF2CA2">
        <w:rPr>
          <w:rFonts w:ascii="Corbel" w:eastAsia="Tahoma,Tahoma,Times New Roman" w:hAnsi="Corbel" w:cs="Tahoma"/>
          <w:sz w:val="20"/>
          <w:szCs w:val="20"/>
        </w:rPr>
        <w:t xml:space="preserve">, </w:t>
      </w:r>
      <w:r w:rsidRPr="00EF2CA2">
        <w:rPr>
          <w:rFonts w:ascii="Corbel" w:eastAsia="Tahoma,Tahoma,Times New Roman" w:hAnsi="Corbel" w:cs="Tahoma"/>
          <w:i/>
          <w:iCs/>
          <w:sz w:val="20"/>
          <w:szCs w:val="20"/>
        </w:rPr>
        <w:t>17</w:t>
      </w:r>
      <w:r w:rsidRPr="00EF2CA2">
        <w:rPr>
          <w:rFonts w:ascii="Corbel" w:eastAsia="Tahoma,Tahoma,Times New Roman" w:hAnsi="Corbel" w:cs="Tahoma"/>
          <w:sz w:val="20"/>
          <w:szCs w:val="20"/>
        </w:rPr>
        <w:t>(3), 61-75.</w:t>
      </w:r>
    </w:p>
    <w:p w14:paraId="370A48B6" w14:textId="77777777" w:rsidR="008D0697" w:rsidRPr="00EF2CA2" w:rsidRDefault="008D0697" w:rsidP="00EF2CA2">
      <w:pPr>
        <w:spacing w:line="360" w:lineRule="auto"/>
        <w:ind w:left="852" w:hanging="851"/>
        <w:contextualSpacing/>
        <w:rPr>
          <w:rFonts w:ascii="Corbel" w:eastAsia="Tahoma" w:hAnsi="Corbel" w:cs="Tahoma"/>
          <w:sz w:val="20"/>
          <w:szCs w:val="20"/>
        </w:rPr>
      </w:pPr>
      <w:proofErr w:type="spellStart"/>
      <w:r w:rsidRPr="00EF2CA2">
        <w:rPr>
          <w:rFonts w:ascii="Corbel" w:eastAsia="Tahoma" w:hAnsi="Corbel" w:cs="Tahoma"/>
          <w:sz w:val="20"/>
          <w:szCs w:val="20"/>
        </w:rPr>
        <w:t>Shrader-Frechette</w:t>
      </w:r>
      <w:proofErr w:type="spellEnd"/>
      <w:r w:rsidRPr="00EF2CA2">
        <w:rPr>
          <w:rFonts w:ascii="Corbel" w:eastAsia="Tahoma" w:hAnsi="Corbel" w:cs="Tahoma"/>
          <w:sz w:val="20"/>
          <w:szCs w:val="20"/>
        </w:rPr>
        <w:t>, K. (1991</w:t>
      </w:r>
      <w:r w:rsidRPr="00EF2CA2">
        <w:rPr>
          <w:rFonts w:ascii="Corbel" w:eastAsia="Tahoma" w:hAnsi="Corbel" w:cs="Tahoma"/>
          <w:i/>
          <w:iCs/>
          <w:sz w:val="20"/>
          <w:szCs w:val="20"/>
        </w:rPr>
        <w:t xml:space="preserve">). Risk </w:t>
      </w:r>
      <w:proofErr w:type="spellStart"/>
      <w:r w:rsidRPr="00EF2CA2">
        <w:rPr>
          <w:rFonts w:ascii="Corbel" w:eastAsia="Tahoma" w:hAnsi="Corbel" w:cs="Tahoma"/>
          <w:i/>
          <w:iCs/>
          <w:sz w:val="20"/>
          <w:szCs w:val="20"/>
        </w:rPr>
        <w:t>and</w:t>
      </w:r>
      <w:proofErr w:type="spellEnd"/>
      <w:r w:rsidRPr="00EF2CA2">
        <w:rPr>
          <w:rFonts w:ascii="Corbel" w:eastAsia="Tahoma" w:hAnsi="Corbel" w:cs="Tahoma"/>
          <w:i/>
          <w:iCs/>
          <w:sz w:val="20"/>
          <w:szCs w:val="20"/>
        </w:rPr>
        <w:t xml:space="preserve"> </w:t>
      </w:r>
      <w:proofErr w:type="spellStart"/>
      <w:r w:rsidRPr="00EF2CA2">
        <w:rPr>
          <w:rFonts w:ascii="Corbel" w:eastAsia="Tahoma" w:hAnsi="Corbel" w:cs="Tahoma"/>
          <w:i/>
          <w:iCs/>
          <w:sz w:val="20"/>
          <w:szCs w:val="20"/>
        </w:rPr>
        <w:t>rationality</w:t>
      </w:r>
      <w:proofErr w:type="spellEnd"/>
      <w:r w:rsidRPr="00EF2CA2">
        <w:rPr>
          <w:rFonts w:ascii="Corbel" w:eastAsia="Tahoma" w:hAnsi="Corbel" w:cs="Tahoma"/>
          <w:i/>
          <w:iCs/>
          <w:sz w:val="20"/>
          <w:szCs w:val="20"/>
        </w:rPr>
        <w:t xml:space="preserve">: </w:t>
      </w:r>
      <w:proofErr w:type="spellStart"/>
      <w:r w:rsidRPr="00EF2CA2">
        <w:rPr>
          <w:rFonts w:ascii="Corbel" w:eastAsia="Tahoma" w:hAnsi="Corbel" w:cs="Tahoma"/>
          <w:i/>
          <w:iCs/>
          <w:sz w:val="20"/>
          <w:szCs w:val="20"/>
        </w:rPr>
        <w:t>Philosophical</w:t>
      </w:r>
      <w:proofErr w:type="spellEnd"/>
      <w:r w:rsidRPr="00EF2CA2">
        <w:rPr>
          <w:rFonts w:ascii="Corbel" w:eastAsia="Tahoma" w:hAnsi="Corbel" w:cs="Tahoma"/>
          <w:i/>
          <w:iCs/>
          <w:sz w:val="20"/>
          <w:szCs w:val="20"/>
        </w:rPr>
        <w:t xml:space="preserve"> foundations </w:t>
      </w:r>
      <w:proofErr w:type="spellStart"/>
      <w:r w:rsidRPr="00EF2CA2">
        <w:rPr>
          <w:rFonts w:ascii="Corbel" w:eastAsia="Tahoma" w:hAnsi="Corbel" w:cs="Tahoma"/>
          <w:i/>
          <w:iCs/>
          <w:sz w:val="20"/>
          <w:szCs w:val="20"/>
        </w:rPr>
        <w:t>for</w:t>
      </w:r>
      <w:proofErr w:type="spellEnd"/>
      <w:r w:rsidRPr="00EF2CA2">
        <w:rPr>
          <w:rFonts w:ascii="Corbel" w:eastAsia="Tahoma" w:hAnsi="Corbel" w:cs="Tahoma"/>
          <w:i/>
          <w:iCs/>
          <w:sz w:val="20"/>
          <w:szCs w:val="20"/>
        </w:rPr>
        <w:t xml:space="preserve"> populist </w:t>
      </w:r>
      <w:proofErr w:type="spellStart"/>
      <w:r w:rsidRPr="00EF2CA2">
        <w:rPr>
          <w:rFonts w:ascii="Corbel" w:eastAsia="Tahoma" w:hAnsi="Corbel" w:cs="Tahoma"/>
          <w:i/>
          <w:iCs/>
          <w:sz w:val="20"/>
          <w:szCs w:val="20"/>
        </w:rPr>
        <w:t>reforms</w:t>
      </w:r>
      <w:proofErr w:type="spellEnd"/>
      <w:r w:rsidRPr="00EF2CA2">
        <w:rPr>
          <w:rFonts w:ascii="Corbel" w:eastAsia="Tahoma" w:hAnsi="Corbel" w:cs="Tahoma"/>
          <w:sz w:val="20"/>
          <w:szCs w:val="20"/>
        </w:rPr>
        <w:t>. Berkeley: University of California Press.</w:t>
      </w:r>
    </w:p>
    <w:p w14:paraId="209446D6" w14:textId="77777777" w:rsidR="008D0697" w:rsidRPr="00EF2CA2" w:rsidRDefault="008D0697" w:rsidP="00EF2CA2">
      <w:pPr>
        <w:spacing w:line="360" w:lineRule="auto"/>
        <w:ind w:left="852" w:hanging="851"/>
        <w:contextualSpacing/>
        <w:rPr>
          <w:rFonts w:ascii="Corbel" w:eastAsia="Tahoma" w:hAnsi="Corbel" w:cs="Tahoma"/>
          <w:sz w:val="20"/>
          <w:szCs w:val="20"/>
        </w:rPr>
      </w:pPr>
      <w:proofErr w:type="spellStart"/>
      <w:r w:rsidRPr="00EF2CA2">
        <w:rPr>
          <w:rFonts w:ascii="Corbel" w:eastAsia="Tahoma" w:hAnsi="Corbel" w:cs="Tahoma"/>
          <w:sz w:val="20"/>
          <w:szCs w:val="20"/>
        </w:rPr>
        <w:t>Slovic</w:t>
      </w:r>
      <w:proofErr w:type="spellEnd"/>
      <w:r w:rsidRPr="00EF2CA2">
        <w:rPr>
          <w:rFonts w:ascii="Corbel" w:eastAsia="Tahoma" w:hAnsi="Corbel" w:cs="Tahoma"/>
          <w:sz w:val="20"/>
          <w:szCs w:val="20"/>
        </w:rPr>
        <w:t xml:space="preserve">, P. (1987). </w:t>
      </w:r>
      <w:proofErr w:type="spellStart"/>
      <w:r w:rsidRPr="00EF2CA2">
        <w:rPr>
          <w:rFonts w:ascii="Corbel" w:eastAsia="Tahoma" w:hAnsi="Corbel" w:cs="Tahoma"/>
          <w:sz w:val="20"/>
          <w:szCs w:val="20"/>
        </w:rPr>
        <w:t>Perception</w:t>
      </w:r>
      <w:proofErr w:type="spellEnd"/>
      <w:r w:rsidRPr="00EF2CA2">
        <w:rPr>
          <w:rFonts w:ascii="Corbel" w:eastAsia="Tahoma" w:hAnsi="Corbel" w:cs="Tahoma"/>
          <w:sz w:val="20"/>
          <w:szCs w:val="20"/>
        </w:rPr>
        <w:t xml:space="preserve"> of risk. </w:t>
      </w:r>
      <w:r w:rsidRPr="00EF2CA2">
        <w:rPr>
          <w:rFonts w:ascii="Corbel" w:eastAsia="Tahoma" w:hAnsi="Corbel" w:cs="Tahoma"/>
          <w:i/>
          <w:sz w:val="20"/>
          <w:szCs w:val="20"/>
        </w:rPr>
        <w:t>Science</w:t>
      </w:r>
      <w:r w:rsidRPr="00EF2CA2">
        <w:rPr>
          <w:rFonts w:ascii="Corbel" w:eastAsia="Tahoma" w:hAnsi="Corbel" w:cs="Tahoma"/>
          <w:sz w:val="20"/>
          <w:szCs w:val="20"/>
        </w:rPr>
        <w:t>, (236: 17 April 1987)</w:t>
      </w:r>
    </w:p>
    <w:p w14:paraId="736E359D" w14:textId="77777777" w:rsidR="008D0697" w:rsidRPr="00EF2CA2" w:rsidRDefault="008D0697" w:rsidP="00EF2CA2">
      <w:pPr>
        <w:spacing w:line="360" w:lineRule="auto"/>
        <w:ind w:left="852" w:hanging="851"/>
        <w:contextualSpacing/>
        <w:rPr>
          <w:rFonts w:ascii="Corbel" w:eastAsia="Tahoma" w:hAnsi="Corbel" w:cs="Tahoma"/>
          <w:sz w:val="20"/>
          <w:szCs w:val="20"/>
        </w:rPr>
      </w:pPr>
      <w:proofErr w:type="spellStart"/>
      <w:r w:rsidRPr="00EF2CA2">
        <w:rPr>
          <w:rFonts w:ascii="Corbel" w:eastAsia="Tahoma" w:hAnsi="Corbel" w:cs="Tahoma"/>
          <w:sz w:val="20"/>
          <w:szCs w:val="20"/>
        </w:rPr>
        <w:t>Sparrow</w:t>
      </w:r>
      <w:proofErr w:type="spellEnd"/>
      <w:r w:rsidRPr="00EF2CA2">
        <w:rPr>
          <w:rFonts w:ascii="Corbel" w:eastAsia="Tahoma" w:hAnsi="Corbel" w:cs="Tahoma"/>
          <w:sz w:val="20"/>
          <w:szCs w:val="20"/>
        </w:rPr>
        <w:t xml:space="preserve">, M. (2000). </w:t>
      </w:r>
      <w:r w:rsidRPr="00EF2CA2">
        <w:rPr>
          <w:rFonts w:ascii="Corbel" w:eastAsia="Tahoma" w:hAnsi="Corbel" w:cs="Tahoma"/>
          <w:i/>
          <w:iCs/>
          <w:sz w:val="20"/>
          <w:szCs w:val="20"/>
        </w:rPr>
        <w:t xml:space="preserve">The </w:t>
      </w:r>
      <w:proofErr w:type="spellStart"/>
      <w:r w:rsidRPr="00EF2CA2">
        <w:rPr>
          <w:rFonts w:ascii="Corbel" w:eastAsia="Tahoma" w:hAnsi="Corbel" w:cs="Tahoma"/>
          <w:i/>
          <w:iCs/>
          <w:sz w:val="20"/>
          <w:szCs w:val="20"/>
        </w:rPr>
        <w:t>Regulatory</w:t>
      </w:r>
      <w:proofErr w:type="spellEnd"/>
      <w:r w:rsidRPr="00EF2CA2">
        <w:rPr>
          <w:rFonts w:ascii="Corbel" w:eastAsia="Tahoma" w:hAnsi="Corbel" w:cs="Tahoma"/>
          <w:i/>
          <w:iCs/>
          <w:sz w:val="20"/>
          <w:szCs w:val="20"/>
        </w:rPr>
        <w:t xml:space="preserve"> </w:t>
      </w:r>
      <w:proofErr w:type="spellStart"/>
      <w:r w:rsidRPr="00EF2CA2">
        <w:rPr>
          <w:rFonts w:ascii="Corbel" w:eastAsia="Tahoma" w:hAnsi="Corbel" w:cs="Tahoma"/>
          <w:i/>
          <w:iCs/>
          <w:sz w:val="20"/>
          <w:szCs w:val="20"/>
        </w:rPr>
        <w:t>Craft</w:t>
      </w:r>
      <w:proofErr w:type="spellEnd"/>
      <w:r w:rsidRPr="00EF2CA2">
        <w:rPr>
          <w:rFonts w:ascii="Corbel" w:eastAsia="Tahoma" w:hAnsi="Corbel" w:cs="Tahoma"/>
          <w:sz w:val="20"/>
          <w:szCs w:val="20"/>
        </w:rPr>
        <w:t xml:space="preserve">. Washington: </w:t>
      </w:r>
      <w:proofErr w:type="spellStart"/>
      <w:r w:rsidRPr="00EF2CA2">
        <w:rPr>
          <w:rFonts w:ascii="Corbel" w:eastAsia="Tahoma" w:hAnsi="Corbel" w:cs="Tahoma"/>
          <w:sz w:val="20"/>
          <w:szCs w:val="20"/>
        </w:rPr>
        <w:t>Brookings</w:t>
      </w:r>
      <w:proofErr w:type="spellEnd"/>
      <w:r w:rsidRPr="00EF2CA2">
        <w:rPr>
          <w:rFonts w:ascii="Corbel" w:eastAsia="Tahoma" w:hAnsi="Corbel" w:cs="Tahoma"/>
          <w:sz w:val="20"/>
          <w:szCs w:val="20"/>
        </w:rPr>
        <w:t xml:space="preserve"> </w:t>
      </w:r>
      <w:proofErr w:type="spellStart"/>
      <w:r w:rsidRPr="00EF2CA2">
        <w:rPr>
          <w:rFonts w:ascii="Corbel" w:eastAsia="Tahoma" w:hAnsi="Corbel" w:cs="Tahoma"/>
          <w:sz w:val="20"/>
          <w:szCs w:val="20"/>
        </w:rPr>
        <w:t>Institute</w:t>
      </w:r>
      <w:proofErr w:type="spellEnd"/>
      <w:r w:rsidRPr="00EF2CA2">
        <w:rPr>
          <w:rFonts w:ascii="Corbel" w:eastAsia="Tahoma" w:hAnsi="Corbel" w:cs="Tahoma"/>
          <w:sz w:val="20"/>
          <w:szCs w:val="20"/>
        </w:rPr>
        <w:t>.</w:t>
      </w:r>
    </w:p>
    <w:p w14:paraId="660BB8E0" w14:textId="77777777" w:rsidR="008D0697" w:rsidRPr="00EF2CA2" w:rsidRDefault="008D0697" w:rsidP="00EF2CA2">
      <w:pPr>
        <w:spacing w:line="360" w:lineRule="auto"/>
        <w:ind w:left="852" w:hanging="851"/>
        <w:contextualSpacing/>
        <w:rPr>
          <w:rFonts w:ascii="Corbel" w:eastAsia="Times New Roman" w:hAnsi="Corbel"/>
          <w:sz w:val="20"/>
          <w:szCs w:val="20"/>
        </w:rPr>
      </w:pPr>
      <w:proofErr w:type="spellStart"/>
      <w:r w:rsidRPr="00EF2CA2">
        <w:rPr>
          <w:rFonts w:ascii="Corbel" w:eastAsia="Times New Roman" w:hAnsi="Corbel"/>
          <w:sz w:val="20"/>
          <w:szCs w:val="20"/>
        </w:rPr>
        <w:t>Stake</w:t>
      </w:r>
      <w:proofErr w:type="spellEnd"/>
      <w:r w:rsidRPr="00EF2CA2">
        <w:rPr>
          <w:rFonts w:ascii="Corbel" w:eastAsia="Times New Roman" w:hAnsi="Corbel"/>
          <w:sz w:val="20"/>
          <w:szCs w:val="20"/>
        </w:rPr>
        <w:t xml:space="preserve">, R. (2005). </w:t>
      </w:r>
      <w:proofErr w:type="spellStart"/>
      <w:r w:rsidRPr="00EF2CA2">
        <w:rPr>
          <w:rFonts w:ascii="Corbel" w:eastAsia="Times New Roman" w:hAnsi="Corbel"/>
          <w:i/>
          <w:sz w:val="20"/>
          <w:szCs w:val="20"/>
        </w:rPr>
        <w:t>Qualitative</w:t>
      </w:r>
      <w:proofErr w:type="spellEnd"/>
      <w:r w:rsidRPr="00EF2CA2">
        <w:rPr>
          <w:rFonts w:ascii="Corbel" w:eastAsia="Times New Roman" w:hAnsi="Corbel"/>
          <w:i/>
          <w:sz w:val="20"/>
          <w:szCs w:val="20"/>
        </w:rPr>
        <w:t xml:space="preserve"> </w:t>
      </w:r>
      <w:proofErr w:type="gramStart"/>
      <w:r w:rsidRPr="00EF2CA2">
        <w:rPr>
          <w:rFonts w:ascii="Corbel" w:eastAsia="Times New Roman" w:hAnsi="Corbel"/>
          <w:i/>
          <w:sz w:val="20"/>
          <w:szCs w:val="20"/>
        </w:rPr>
        <w:t>case studies</w:t>
      </w:r>
      <w:proofErr w:type="gramEnd"/>
      <w:r w:rsidRPr="00EF2CA2">
        <w:rPr>
          <w:rFonts w:ascii="Corbel" w:eastAsia="Times New Roman" w:hAnsi="Corbel"/>
          <w:sz w:val="20"/>
          <w:szCs w:val="20"/>
        </w:rPr>
        <w:t>. Thousand Oaks, CA: Sage Publications</w:t>
      </w:r>
    </w:p>
    <w:p w14:paraId="6AC0587E" w14:textId="77777777" w:rsidR="008D0697" w:rsidRPr="00EF2CA2" w:rsidRDefault="008D0697" w:rsidP="00EF2CA2">
      <w:pPr>
        <w:spacing w:line="360" w:lineRule="auto"/>
        <w:ind w:left="852" w:hanging="851"/>
        <w:contextualSpacing/>
        <w:rPr>
          <w:rFonts w:ascii="Corbel" w:eastAsia="Tahoma" w:hAnsi="Corbel" w:cs="Tahoma"/>
          <w:sz w:val="20"/>
          <w:szCs w:val="20"/>
        </w:rPr>
      </w:pPr>
      <w:proofErr w:type="spellStart"/>
      <w:r w:rsidRPr="00EF2CA2">
        <w:rPr>
          <w:rFonts w:ascii="Corbel" w:eastAsia="Tahoma" w:hAnsi="Corbel" w:cs="Tahoma"/>
          <w:sz w:val="20"/>
          <w:szCs w:val="20"/>
        </w:rPr>
        <w:t>Stirling</w:t>
      </w:r>
      <w:proofErr w:type="spellEnd"/>
      <w:r w:rsidRPr="00EF2CA2">
        <w:rPr>
          <w:rFonts w:ascii="Corbel" w:eastAsia="Tahoma" w:hAnsi="Corbel" w:cs="Tahoma"/>
          <w:sz w:val="20"/>
          <w:szCs w:val="20"/>
        </w:rPr>
        <w:t xml:space="preserve">, A. &amp; Mayer, S. (2000). </w:t>
      </w:r>
      <w:proofErr w:type="spellStart"/>
      <w:r w:rsidRPr="00EF2CA2">
        <w:rPr>
          <w:rFonts w:ascii="Corbel" w:eastAsia="Tahoma" w:hAnsi="Corbel" w:cs="Tahoma"/>
          <w:sz w:val="20"/>
          <w:szCs w:val="20"/>
        </w:rPr>
        <w:t>Precautionary</w:t>
      </w:r>
      <w:proofErr w:type="spellEnd"/>
      <w:r w:rsidRPr="00EF2CA2">
        <w:rPr>
          <w:rFonts w:ascii="Corbel" w:eastAsia="Tahoma" w:hAnsi="Corbel" w:cs="Tahoma"/>
          <w:sz w:val="20"/>
          <w:szCs w:val="20"/>
        </w:rPr>
        <w:t xml:space="preserve"> approaches </w:t>
      </w:r>
      <w:proofErr w:type="spellStart"/>
      <w:r w:rsidRPr="00EF2CA2">
        <w:rPr>
          <w:rFonts w:ascii="Corbel" w:eastAsia="Tahoma" w:hAnsi="Corbel" w:cs="Tahoma"/>
          <w:sz w:val="20"/>
          <w:szCs w:val="20"/>
        </w:rPr>
        <w:t>to</w:t>
      </w:r>
      <w:proofErr w:type="spellEnd"/>
      <w:r w:rsidRPr="00EF2CA2">
        <w:rPr>
          <w:rFonts w:ascii="Corbel" w:eastAsia="Tahoma" w:hAnsi="Corbel" w:cs="Tahoma"/>
          <w:sz w:val="20"/>
          <w:szCs w:val="20"/>
        </w:rPr>
        <w:t xml:space="preserve"> </w:t>
      </w:r>
      <w:proofErr w:type="spellStart"/>
      <w:r w:rsidRPr="00EF2CA2">
        <w:rPr>
          <w:rFonts w:ascii="Corbel" w:eastAsia="Tahoma" w:hAnsi="Corbel" w:cs="Tahoma"/>
          <w:sz w:val="20"/>
          <w:szCs w:val="20"/>
        </w:rPr>
        <w:t>the</w:t>
      </w:r>
      <w:proofErr w:type="spellEnd"/>
      <w:r w:rsidRPr="00EF2CA2">
        <w:rPr>
          <w:rFonts w:ascii="Corbel" w:eastAsia="Tahoma" w:hAnsi="Corbel" w:cs="Tahoma"/>
          <w:sz w:val="20"/>
          <w:szCs w:val="20"/>
        </w:rPr>
        <w:t xml:space="preserve"> </w:t>
      </w:r>
      <w:proofErr w:type="spellStart"/>
      <w:r w:rsidRPr="00EF2CA2">
        <w:rPr>
          <w:rFonts w:ascii="Corbel" w:eastAsia="Tahoma" w:hAnsi="Corbel" w:cs="Tahoma"/>
          <w:sz w:val="20"/>
          <w:szCs w:val="20"/>
        </w:rPr>
        <w:t>appraisal</w:t>
      </w:r>
      <w:proofErr w:type="spellEnd"/>
      <w:r w:rsidRPr="00EF2CA2">
        <w:rPr>
          <w:rFonts w:ascii="Corbel" w:eastAsia="Tahoma" w:hAnsi="Corbel" w:cs="Tahoma"/>
          <w:sz w:val="20"/>
          <w:szCs w:val="20"/>
        </w:rPr>
        <w:t xml:space="preserve"> of risk. International Journal of </w:t>
      </w:r>
      <w:proofErr w:type="spellStart"/>
      <w:r w:rsidRPr="00EF2CA2">
        <w:rPr>
          <w:rFonts w:ascii="Corbel" w:eastAsia="Tahoma" w:hAnsi="Corbel" w:cs="Tahoma"/>
          <w:sz w:val="20"/>
          <w:szCs w:val="20"/>
        </w:rPr>
        <w:t>occupation</w:t>
      </w:r>
      <w:proofErr w:type="spellEnd"/>
      <w:r w:rsidRPr="00EF2CA2">
        <w:rPr>
          <w:rFonts w:ascii="Corbel" w:eastAsia="Tahoma" w:hAnsi="Corbel" w:cs="Tahoma"/>
          <w:sz w:val="20"/>
          <w:szCs w:val="20"/>
        </w:rPr>
        <w:t xml:space="preserve">. </w:t>
      </w:r>
      <w:r w:rsidRPr="00EF2CA2">
        <w:rPr>
          <w:rFonts w:ascii="Corbel" w:eastAsia="Tahoma" w:hAnsi="Corbel" w:cs="Tahoma"/>
          <w:i/>
          <w:sz w:val="20"/>
          <w:szCs w:val="20"/>
        </w:rPr>
        <w:t xml:space="preserve">Environment </w:t>
      </w:r>
      <w:proofErr w:type="spellStart"/>
      <w:r w:rsidRPr="00EF2CA2">
        <w:rPr>
          <w:rFonts w:ascii="Corbel" w:eastAsia="Tahoma" w:hAnsi="Corbel" w:cs="Tahoma"/>
          <w:i/>
          <w:sz w:val="20"/>
          <w:szCs w:val="20"/>
        </w:rPr>
        <w:t>and</w:t>
      </w:r>
      <w:proofErr w:type="spellEnd"/>
      <w:r w:rsidRPr="00EF2CA2">
        <w:rPr>
          <w:rFonts w:ascii="Corbel" w:eastAsia="Tahoma" w:hAnsi="Corbel" w:cs="Tahoma"/>
          <w:i/>
          <w:sz w:val="20"/>
          <w:szCs w:val="20"/>
        </w:rPr>
        <w:t xml:space="preserve"> Health</w:t>
      </w:r>
      <w:r w:rsidRPr="00EF2CA2">
        <w:rPr>
          <w:rFonts w:ascii="Corbel" w:eastAsia="Tahoma" w:hAnsi="Corbel" w:cs="Tahoma"/>
          <w:sz w:val="20"/>
          <w:szCs w:val="20"/>
        </w:rPr>
        <w:t>, 6.</w:t>
      </w:r>
    </w:p>
    <w:p w14:paraId="700FC1EC" w14:textId="77777777" w:rsidR="008D0697" w:rsidRPr="00EF2CA2" w:rsidRDefault="008D0697" w:rsidP="00EF2CA2">
      <w:pPr>
        <w:spacing w:line="360" w:lineRule="auto"/>
        <w:ind w:left="852" w:hanging="851"/>
        <w:contextualSpacing/>
        <w:rPr>
          <w:rFonts w:ascii="Corbel" w:eastAsia="Tahoma" w:hAnsi="Corbel" w:cs="Tahoma"/>
          <w:sz w:val="20"/>
          <w:szCs w:val="20"/>
        </w:rPr>
      </w:pPr>
      <w:r w:rsidRPr="00EF2CA2">
        <w:rPr>
          <w:rFonts w:ascii="Corbel" w:eastAsia="Times New Roman" w:hAnsi="Corbel"/>
          <w:sz w:val="20"/>
          <w:szCs w:val="20"/>
        </w:rPr>
        <w:t xml:space="preserve">Van Dorp, R. &amp; Schipper, J. (2013). </w:t>
      </w:r>
      <w:r w:rsidRPr="00EF2CA2">
        <w:rPr>
          <w:rFonts w:ascii="Corbel" w:eastAsia="Times New Roman" w:hAnsi="Corbel"/>
          <w:i/>
          <w:sz w:val="20"/>
          <w:szCs w:val="20"/>
        </w:rPr>
        <w:t xml:space="preserve">De Interventie: hoe los je hardnekkige nalevingsproblemen op? </w:t>
      </w:r>
      <w:r w:rsidRPr="00EF2CA2">
        <w:rPr>
          <w:rFonts w:ascii="Corbel" w:eastAsia="Tahoma" w:hAnsi="Corbel" w:cs="Tahoma"/>
          <w:sz w:val="20"/>
          <w:szCs w:val="20"/>
        </w:rPr>
        <w:t>Den Haag: Inspectieraad.</w:t>
      </w:r>
    </w:p>
    <w:p w14:paraId="278F6702" w14:textId="77777777" w:rsidR="008D0697" w:rsidRPr="00EF2CA2" w:rsidRDefault="008D0697" w:rsidP="00EF2CA2">
      <w:pPr>
        <w:spacing w:line="360" w:lineRule="auto"/>
        <w:ind w:left="852" w:hanging="851"/>
        <w:contextualSpacing/>
        <w:rPr>
          <w:rFonts w:ascii="Corbel" w:eastAsia="Tahoma" w:hAnsi="Corbel" w:cs="Tahoma"/>
          <w:sz w:val="20"/>
          <w:szCs w:val="20"/>
        </w:rPr>
      </w:pPr>
      <w:r w:rsidRPr="00EF2CA2">
        <w:rPr>
          <w:rFonts w:ascii="Corbel" w:eastAsia="Tahoma" w:hAnsi="Corbel" w:cs="Tahoma"/>
          <w:sz w:val="20"/>
          <w:szCs w:val="20"/>
        </w:rPr>
        <w:t xml:space="preserve">Van </w:t>
      </w:r>
      <w:proofErr w:type="spellStart"/>
      <w:r w:rsidRPr="00EF2CA2">
        <w:rPr>
          <w:rFonts w:ascii="Corbel" w:eastAsia="Tahoma" w:hAnsi="Corbel" w:cs="Tahoma"/>
          <w:sz w:val="20"/>
          <w:szCs w:val="20"/>
        </w:rPr>
        <w:t>Eeten</w:t>
      </w:r>
      <w:proofErr w:type="spellEnd"/>
      <w:r w:rsidRPr="00EF2CA2">
        <w:rPr>
          <w:rFonts w:ascii="Corbel" w:eastAsia="Tahoma" w:hAnsi="Corbel" w:cs="Tahoma"/>
          <w:sz w:val="20"/>
          <w:szCs w:val="20"/>
        </w:rPr>
        <w:t xml:space="preserve">, M., </w:t>
      </w:r>
      <w:proofErr w:type="spellStart"/>
      <w:r w:rsidRPr="00EF2CA2">
        <w:rPr>
          <w:rFonts w:ascii="Corbel" w:eastAsia="Tahoma" w:hAnsi="Corbel" w:cs="Tahoma"/>
          <w:sz w:val="20"/>
          <w:szCs w:val="20"/>
        </w:rPr>
        <w:t>Noordegraaf-Eelens</w:t>
      </w:r>
      <w:proofErr w:type="spellEnd"/>
      <w:r w:rsidRPr="00EF2CA2">
        <w:rPr>
          <w:rFonts w:ascii="Corbel" w:eastAsia="Tahoma" w:hAnsi="Corbel" w:cs="Tahoma"/>
          <w:sz w:val="20"/>
          <w:szCs w:val="20"/>
        </w:rPr>
        <w:t xml:space="preserve">, L., </w:t>
      </w:r>
      <w:proofErr w:type="spellStart"/>
      <w:r w:rsidRPr="00EF2CA2">
        <w:rPr>
          <w:rFonts w:ascii="Corbel" w:eastAsia="Tahoma" w:hAnsi="Corbel" w:cs="Tahoma"/>
          <w:sz w:val="20"/>
          <w:szCs w:val="20"/>
        </w:rPr>
        <w:t>Ferket</w:t>
      </w:r>
      <w:proofErr w:type="spellEnd"/>
      <w:r w:rsidRPr="00EF2CA2">
        <w:rPr>
          <w:rFonts w:ascii="Corbel" w:eastAsia="Tahoma" w:hAnsi="Corbel" w:cs="Tahoma"/>
          <w:sz w:val="20"/>
          <w:szCs w:val="20"/>
        </w:rPr>
        <w:t xml:space="preserve">, J., &amp; Februari, M. (2012). </w:t>
      </w:r>
      <w:r w:rsidRPr="00EF2CA2">
        <w:rPr>
          <w:rFonts w:ascii="Corbel" w:eastAsia="Tahoma" w:hAnsi="Corbel" w:cs="Tahoma"/>
          <w:i/>
          <w:sz w:val="20"/>
          <w:szCs w:val="20"/>
        </w:rPr>
        <w:t>Waarom burgers risico’s accepteren en waarom bestuurders dat niet zien.</w:t>
      </w:r>
      <w:r w:rsidRPr="00EF2CA2">
        <w:rPr>
          <w:rFonts w:ascii="Corbel" w:eastAsia="Tahoma" w:hAnsi="Corbel" w:cs="Tahoma"/>
          <w:sz w:val="20"/>
          <w:szCs w:val="20"/>
        </w:rPr>
        <w:t xml:space="preserve"> Ministerie van Binnenlandse Zaken en Koninkrijksrelaties: Den Haag.</w:t>
      </w:r>
    </w:p>
    <w:p w14:paraId="436F7D56" w14:textId="77777777" w:rsidR="008D0697" w:rsidRPr="00EF2CA2" w:rsidRDefault="008D0697" w:rsidP="00EF2CA2">
      <w:pPr>
        <w:spacing w:line="360" w:lineRule="auto"/>
        <w:ind w:left="852" w:hanging="851"/>
        <w:contextualSpacing/>
        <w:rPr>
          <w:rFonts w:ascii="Corbel" w:eastAsia="Tahoma" w:hAnsi="Corbel" w:cs="Tahoma"/>
          <w:sz w:val="20"/>
          <w:szCs w:val="20"/>
        </w:rPr>
      </w:pPr>
      <w:r w:rsidRPr="00EF2CA2">
        <w:rPr>
          <w:rFonts w:ascii="Corbel" w:eastAsia="Tahoma" w:hAnsi="Corbel" w:cs="Tahoma"/>
          <w:sz w:val="20"/>
          <w:szCs w:val="20"/>
        </w:rPr>
        <w:t xml:space="preserve">Van Melle, A. &amp; van </w:t>
      </w:r>
      <w:proofErr w:type="spellStart"/>
      <w:r w:rsidRPr="00EF2CA2">
        <w:rPr>
          <w:rFonts w:ascii="Corbel" w:eastAsia="Tahoma" w:hAnsi="Corbel" w:cs="Tahoma"/>
          <w:sz w:val="20"/>
          <w:szCs w:val="20"/>
        </w:rPr>
        <w:t>Zilfhout</w:t>
      </w:r>
      <w:proofErr w:type="spellEnd"/>
      <w:r w:rsidRPr="00EF2CA2">
        <w:rPr>
          <w:rFonts w:ascii="Corbel" w:eastAsia="Tahoma" w:hAnsi="Corbel" w:cs="Tahoma"/>
          <w:sz w:val="20"/>
          <w:szCs w:val="20"/>
        </w:rPr>
        <w:t xml:space="preserve">, P. (2008). </w:t>
      </w:r>
      <w:r w:rsidRPr="00EF2CA2">
        <w:rPr>
          <w:rFonts w:ascii="Corbel" w:eastAsia="Tahoma" w:hAnsi="Corbel" w:cs="Tahoma"/>
          <w:i/>
          <w:sz w:val="20"/>
          <w:szCs w:val="20"/>
        </w:rPr>
        <w:t>Woorden en daden: een inleiding in de ethiek</w:t>
      </w:r>
      <w:r w:rsidRPr="00EF2CA2">
        <w:rPr>
          <w:rFonts w:ascii="Corbel" w:eastAsia="Tahoma" w:hAnsi="Corbel" w:cs="Tahoma"/>
          <w:sz w:val="20"/>
          <w:szCs w:val="20"/>
        </w:rPr>
        <w:t>. Boom: Amsterdam.</w:t>
      </w:r>
    </w:p>
    <w:p w14:paraId="27281C44" w14:textId="77777777" w:rsidR="008D0697" w:rsidRPr="00EF2CA2" w:rsidRDefault="008D0697" w:rsidP="00EF2CA2">
      <w:pPr>
        <w:spacing w:line="360" w:lineRule="auto"/>
        <w:ind w:left="852" w:hanging="851"/>
        <w:contextualSpacing/>
        <w:rPr>
          <w:rFonts w:ascii="Corbel" w:eastAsia="Tahoma" w:hAnsi="Corbel" w:cs="Tahoma"/>
          <w:sz w:val="20"/>
          <w:szCs w:val="20"/>
        </w:rPr>
      </w:pPr>
      <w:r w:rsidRPr="00EF2CA2">
        <w:rPr>
          <w:rFonts w:ascii="Corbel" w:eastAsia="Tahoma" w:hAnsi="Corbel" w:cs="Tahoma"/>
          <w:sz w:val="20"/>
          <w:szCs w:val="20"/>
        </w:rPr>
        <w:t xml:space="preserve">Velders, R. &amp; Brunia, M. (2013). </w:t>
      </w:r>
      <w:r w:rsidRPr="00EF2CA2">
        <w:rPr>
          <w:rFonts w:ascii="Corbel" w:eastAsia="Tahoma" w:hAnsi="Corbel" w:cs="Tahoma"/>
          <w:i/>
          <w:iCs/>
          <w:sz w:val="20"/>
          <w:szCs w:val="20"/>
        </w:rPr>
        <w:t>Begrippenkader rijksinspecties</w:t>
      </w:r>
      <w:r w:rsidRPr="00EF2CA2">
        <w:rPr>
          <w:rFonts w:ascii="Corbel" w:eastAsia="Tahoma" w:hAnsi="Corbel" w:cs="Tahoma"/>
          <w:sz w:val="20"/>
          <w:szCs w:val="20"/>
        </w:rPr>
        <w:t>. Den Haag: Inspectieraad.</w:t>
      </w:r>
    </w:p>
    <w:p w14:paraId="48D1363E" w14:textId="77777777" w:rsidR="008D0697" w:rsidRPr="00EF2CA2" w:rsidRDefault="008D0697" w:rsidP="00EF2CA2">
      <w:pPr>
        <w:spacing w:line="360" w:lineRule="auto"/>
        <w:ind w:left="852" w:hanging="851"/>
        <w:contextualSpacing/>
        <w:rPr>
          <w:rFonts w:ascii="Corbel" w:eastAsia="Times New Roman" w:hAnsi="Corbel" w:cs="Arial"/>
          <w:color w:val="222222"/>
          <w:sz w:val="20"/>
          <w:szCs w:val="20"/>
        </w:rPr>
      </w:pPr>
      <w:proofErr w:type="spellStart"/>
      <w:r w:rsidRPr="00EF2CA2">
        <w:rPr>
          <w:rFonts w:ascii="Corbel" w:eastAsia="Times New Roman" w:hAnsi="Corbel" w:cs="Arial"/>
          <w:color w:val="222222"/>
          <w:sz w:val="20"/>
          <w:szCs w:val="20"/>
        </w:rPr>
        <w:t>Vennix</w:t>
      </w:r>
      <w:proofErr w:type="spellEnd"/>
      <w:r w:rsidRPr="00EF2CA2">
        <w:rPr>
          <w:rFonts w:ascii="Corbel" w:eastAsia="Times New Roman" w:hAnsi="Corbel" w:cs="Arial"/>
          <w:color w:val="222222"/>
          <w:sz w:val="20"/>
          <w:szCs w:val="20"/>
        </w:rPr>
        <w:t xml:space="preserve">, J. (2009). </w:t>
      </w:r>
      <w:r w:rsidRPr="00EF2CA2">
        <w:rPr>
          <w:rFonts w:ascii="Corbel" w:eastAsia="Times New Roman" w:hAnsi="Corbel" w:cs="Arial"/>
          <w:i/>
          <w:iCs/>
          <w:color w:val="222222"/>
          <w:sz w:val="20"/>
          <w:szCs w:val="20"/>
        </w:rPr>
        <w:t>Theorie en praktijk van empirisch onderzoek</w:t>
      </w:r>
      <w:r w:rsidRPr="00EF2CA2">
        <w:rPr>
          <w:rFonts w:ascii="Corbel" w:eastAsia="Times New Roman" w:hAnsi="Corbel" w:cs="Arial"/>
          <w:color w:val="222222"/>
          <w:sz w:val="20"/>
          <w:szCs w:val="20"/>
        </w:rPr>
        <w:t>. Pearson/</w:t>
      </w:r>
      <w:proofErr w:type="spellStart"/>
      <w:r w:rsidRPr="00EF2CA2">
        <w:rPr>
          <w:rFonts w:ascii="Corbel" w:eastAsia="Times New Roman" w:hAnsi="Corbel" w:cs="Arial"/>
          <w:color w:val="222222"/>
          <w:sz w:val="20"/>
          <w:szCs w:val="20"/>
        </w:rPr>
        <w:t>Custom</w:t>
      </w:r>
      <w:proofErr w:type="spellEnd"/>
      <w:r w:rsidRPr="00EF2CA2">
        <w:rPr>
          <w:rFonts w:ascii="Corbel" w:eastAsia="Times New Roman" w:hAnsi="Corbel" w:cs="Arial"/>
          <w:color w:val="222222"/>
          <w:sz w:val="20"/>
          <w:szCs w:val="20"/>
        </w:rPr>
        <w:t xml:space="preserve"> Publishing.</w:t>
      </w:r>
    </w:p>
    <w:p w14:paraId="1D1AC4B0" w14:textId="77777777" w:rsidR="008D0697" w:rsidRPr="00EF2CA2" w:rsidRDefault="008D0697" w:rsidP="00EF2CA2">
      <w:pPr>
        <w:spacing w:line="360" w:lineRule="auto"/>
        <w:ind w:left="852" w:hanging="851"/>
        <w:contextualSpacing/>
        <w:rPr>
          <w:rFonts w:ascii="Corbel" w:eastAsia="Tahoma" w:hAnsi="Corbel" w:cs="Tahoma"/>
          <w:sz w:val="20"/>
          <w:szCs w:val="20"/>
        </w:rPr>
      </w:pPr>
      <w:r w:rsidRPr="00EF2CA2">
        <w:rPr>
          <w:rFonts w:ascii="Corbel" w:eastAsia="Tahoma" w:hAnsi="Corbel" w:cs="Tahoma"/>
          <w:sz w:val="20"/>
          <w:szCs w:val="20"/>
        </w:rPr>
        <w:t xml:space="preserve">Vlek, C. (1990). </w:t>
      </w:r>
      <w:r w:rsidRPr="00EF2CA2">
        <w:rPr>
          <w:rFonts w:ascii="Corbel" w:eastAsia="Tahoma" w:hAnsi="Corbel" w:cs="Tahoma"/>
          <w:i/>
          <w:iCs/>
          <w:sz w:val="20"/>
          <w:szCs w:val="20"/>
        </w:rPr>
        <w:t>Beslissen over risico-acceptatie: een psychologisch-besliskundige beschouwing over risicodefinities, risicovergelijking en beslissingsregels voor het beoordelen van de aanvaardbaarheid van riskante activiteiten.</w:t>
      </w:r>
      <w:r w:rsidRPr="00EF2CA2">
        <w:rPr>
          <w:rFonts w:ascii="Corbel" w:eastAsia="Tahoma" w:hAnsi="Corbel" w:cs="Tahoma"/>
          <w:sz w:val="20"/>
          <w:szCs w:val="20"/>
        </w:rPr>
        <w:t xml:space="preserve"> Den Haag: Gezondheidsraad.</w:t>
      </w:r>
    </w:p>
    <w:p w14:paraId="26F85773" w14:textId="77777777" w:rsidR="008D0697" w:rsidRPr="00EF2CA2" w:rsidRDefault="008D0697" w:rsidP="00EF2CA2">
      <w:pPr>
        <w:spacing w:line="360" w:lineRule="auto"/>
        <w:ind w:left="852" w:hanging="851"/>
        <w:contextualSpacing/>
        <w:rPr>
          <w:rFonts w:ascii="Corbel" w:eastAsia="Tahoma" w:hAnsi="Corbel" w:cs="Tahoma"/>
          <w:sz w:val="20"/>
          <w:szCs w:val="20"/>
        </w:rPr>
      </w:pPr>
      <w:r w:rsidRPr="00EF2CA2">
        <w:rPr>
          <w:rFonts w:ascii="Corbel" w:eastAsia="Tahoma" w:hAnsi="Corbel" w:cs="Tahoma"/>
          <w:sz w:val="20"/>
          <w:szCs w:val="20"/>
        </w:rPr>
        <w:t xml:space="preserve">Wagenaar, H. (2014). </w:t>
      </w:r>
      <w:proofErr w:type="spellStart"/>
      <w:r w:rsidRPr="00EF2CA2">
        <w:rPr>
          <w:rFonts w:ascii="Corbel" w:eastAsia="Tahoma" w:hAnsi="Corbel" w:cs="Tahoma"/>
          <w:i/>
          <w:sz w:val="20"/>
          <w:szCs w:val="20"/>
        </w:rPr>
        <w:t>Meaning</w:t>
      </w:r>
      <w:proofErr w:type="spellEnd"/>
      <w:r w:rsidRPr="00EF2CA2">
        <w:rPr>
          <w:rFonts w:ascii="Corbel" w:eastAsia="Tahoma" w:hAnsi="Corbel" w:cs="Tahoma"/>
          <w:i/>
          <w:sz w:val="20"/>
          <w:szCs w:val="20"/>
        </w:rPr>
        <w:t xml:space="preserve"> in action: </w:t>
      </w:r>
      <w:proofErr w:type="spellStart"/>
      <w:r w:rsidRPr="00EF2CA2">
        <w:rPr>
          <w:rFonts w:ascii="Corbel" w:eastAsia="Tahoma" w:hAnsi="Corbel" w:cs="Tahoma"/>
          <w:i/>
          <w:sz w:val="20"/>
          <w:szCs w:val="20"/>
        </w:rPr>
        <w:t>Interpretation</w:t>
      </w:r>
      <w:proofErr w:type="spellEnd"/>
      <w:r w:rsidRPr="00EF2CA2">
        <w:rPr>
          <w:rFonts w:ascii="Corbel" w:eastAsia="Tahoma" w:hAnsi="Corbel" w:cs="Tahoma"/>
          <w:i/>
          <w:sz w:val="20"/>
          <w:szCs w:val="20"/>
        </w:rPr>
        <w:t xml:space="preserve"> </w:t>
      </w:r>
      <w:proofErr w:type="spellStart"/>
      <w:r w:rsidRPr="00EF2CA2">
        <w:rPr>
          <w:rFonts w:ascii="Corbel" w:eastAsia="Tahoma" w:hAnsi="Corbel" w:cs="Tahoma"/>
          <w:i/>
          <w:sz w:val="20"/>
          <w:szCs w:val="20"/>
        </w:rPr>
        <w:t>and</w:t>
      </w:r>
      <w:proofErr w:type="spellEnd"/>
      <w:r w:rsidRPr="00EF2CA2">
        <w:rPr>
          <w:rFonts w:ascii="Corbel" w:eastAsia="Tahoma" w:hAnsi="Corbel" w:cs="Tahoma"/>
          <w:i/>
          <w:sz w:val="20"/>
          <w:szCs w:val="20"/>
        </w:rPr>
        <w:t xml:space="preserve"> </w:t>
      </w:r>
      <w:proofErr w:type="spellStart"/>
      <w:r w:rsidRPr="00EF2CA2">
        <w:rPr>
          <w:rFonts w:ascii="Corbel" w:eastAsia="Tahoma" w:hAnsi="Corbel" w:cs="Tahoma"/>
          <w:i/>
          <w:sz w:val="20"/>
          <w:szCs w:val="20"/>
        </w:rPr>
        <w:t>dialogue</w:t>
      </w:r>
      <w:proofErr w:type="spellEnd"/>
      <w:r w:rsidRPr="00EF2CA2">
        <w:rPr>
          <w:rFonts w:ascii="Corbel" w:eastAsia="Tahoma" w:hAnsi="Corbel" w:cs="Tahoma"/>
          <w:i/>
          <w:sz w:val="20"/>
          <w:szCs w:val="20"/>
        </w:rPr>
        <w:t xml:space="preserve"> in policy analysis</w:t>
      </w:r>
      <w:r w:rsidRPr="00EF2CA2">
        <w:rPr>
          <w:rFonts w:ascii="Corbel" w:eastAsia="Tahoma" w:hAnsi="Corbel" w:cs="Tahoma"/>
          <w:sz w:val="20"/>
          <w:szCs w:val="20"/>
        </w:rPr>
        <w:t xml:space="preserve">. </w:t>
      </w:r>
      <w:proofErr w:type="spellStart"/>
      <w:r w:rsidRPr="00EF2CA2">
        <w:rPr>
          <w:rFonts w:ascii="Corbel" w:eastAsia="Tahoma" w:hAnsi="Corbel" w:cs="Tahoma"/>
          <w:sz w:val="20"/>
          <w:szCs w:val="20"/>
        </w:rPr>
        <w:t>Routledge</w:t>
      </w:r>
      <w:proofErr w:type="spellEnd"/>
      <w:r w:rsidRPr="00EF2CA2">
        <w:rPr>
          <w:rFonts w:ascii="Corbel" w:eastAsia="Tahoma" w:hAnsi="Corbel" w:cs="Tahoma"/>
          <w:sz w:val="20"/>
          <w:szCs w:val="20"/>
        </w:rPr>
        <w:t>.</w:t>
      </w:r>
    </w:p>
    <w:p w14:paraId="203FA382" w14:textId="77777777" w:rsidR="008D0697" w:rsidRPr="00EF2CA2" w:rsidRDefault="008D0697" w:rsidP="00EF2CA2">
      <w:pPr>
        <w:spacing w:line="360" w:lineRule="auto"/>
        <w:ind w:left="852" w:hanging="851"/>
        <w:contextualSpacing/>
        <w:rPr>
          <w:rFonts w:ascii="Corbel" w:eastAsia="Tahoma" w:hAnsi="Corbel" w:cs="Tahoma"/>
          <w:sz w:val="20"/>
          <w:szCs w:val="20"/>
        </w:rPr>
      </w:pPr>
      <w:proofErr w:type="spellStart"/>
      <w:r w:rsidRPr="00EF2CA2">
        <w:rPr>
          <w:rFonts w:ascii="Corbel" w:eastAsia="Tahoma" w:hAnsi="Corbel" w:cs="Tahoma"/>
          <w:sz w:val="20"/>
          <w:szCs w:val="20"/>
        </w:rPr>
        <w:t>Wenar</w:t>
      </w:r>
      <w:proofErr w:type="spellEnd"/>
      <w:r w:rsidRPr="00EF2CA2">
        <w:rPr>
          <w:rFonts w:ascii="Corbel" w:eastAsia="Tahoma" w:hAnsi="Corbel" w:cs="Tahoma"/>
          <w:sz w:val="20"/>
          <w:szCs w:val="20"/>
        </w:rPr>
        <w:t xml:space="preserve">, L. (2017). John </w:t>
      </w:r>
      <w:proofErr w:type="spellStart"/>
      <w:r w:rsidRPr="00EF2CA2">
        <w:rPr>
          <w:rFonts w:ascii="Corbel" w:eastAsia="Tahoma" w:hAnsi="Corbel" w:cs="Tahoma"/>
          <w:sz w:val="20"/>
          <w:szCs w:val="20"/>
        </w:rPr>
        <w:t>Rawls</w:t>
      </w:r>
      <w:proofErr w:type="spellEnd"/>
      <w:r w:rsidRPr="00EF2CA2">
        <w:rPr>
          <w:rFonts w:ascii="Corbel" w:eastAsia="Tahoma" w:hAnsi="Corbel" w:cs="Tahoma"/>
          <w:sz w:val="20"/>
          <w:szCs w:val="20"/>
        </w:rPr>
        <w:t xml:space="preserve">. The Stanford Encyclopedia of </w:t>
      </w:r>
      <w:proofErr w:type="spellStart"/>
      <w:r w:rsidRPr="00EF2CA2">
        <w:rPr>
          <w:rFonts w:ascii="Corbel" w:eastAsia="Tahoma" w:hAnsi="Corbel" w:cs="Tahoma"/>
          <w:sz w:val="20"/>
          <w:szCs w:val="20"/>
        </w:rPr>
        <w:t>Philosophy</w:t>
      </w:r>
      <w:proofErr w:type="spellEnd"/>
      <w:r w:rsidRPr="00EF2CA2">
        <w:rPr>
          <w:rFonts w:ascii="Corbel" w:eastAsia="Tahoma" w:hAnsi="Corbel" w:cs="Tahoma"/>
          <w:sz w:val="20"/>
          <w:szCs w:val="20"/>
        </w:rPr>
        <w:t xml:space="preserve"> (Spring 2017 Edition), Edward N. </w:t>
      </w:r>
      <w:proofErr w:type="spellStart"/>
      <w:r w:rsidRPr="00EF2CA2">
        <w:rPr>
          <w:rFonts w:ascii="Corbel" w:eastAsia="Tahoma" w:hAnsi="Corbel" w:cs="Tahoma"/>
          <w:sz w:val="20"/>
          <w:szCs w:val="20"/>
        </w:rPr>
        <w:t>Zalta</w:t>
      </w:r>
      <w:proofErr w:type="spellEnd"/>
      <w:r w:rsidRPr="00EF2CA2">
        <w:rPr>
          <w:rFonts w:ascii="Corbel" w:eastAsia="Tahoma" w:hAnsi="Corbel" w:cs="Tahoma"/>
          <w:sz w:val="20"/>
          <w:szCs w:val="20"/>
        </w:rPr>
        <w:t xml:space="preserve"> (ed.), URL: https://plato.stanford.edu/archives/spr2017/entries/rawls/.</w:t>
      </w:r>
    </w:p>
    <w:p w14:paraId="447065B4" w14:textId="77777777" w:rsidR="008D0697" w:rsidRPr="00EF2CA2" w:rsidRDefault="008D0697" w:rsidP="00EF2CA2">
      <w:pPr>
        <w:spacing w:line="360" w:lineRule="auto"/>
        <w:ind w:left="852" w:hanging="851"/>
        <w:contextualSpacing/>
        <w:rPr>
          <w:rFonts w:ascii="Corbel" w:eastAsia="Times New Roman" w:hAnsi="Corbel"/>
          <w:sz w:val="20"/>
          <w:szCs w:val="20"/>
        </w:rPr>
      </w:pPr>
      <w:r w:rsidRPr="00EF2CA2">
        <w:rPr>
          <w:rFonts w:ascii="Corbel" w:eastAsia="Times New Roman" w:hAnsi="Corbel"/>
          <w:sz w:val="20"/>
          <w:szCs w:val="20"/>
        </w:rPr>
        <w:t xml:space="preserve">Wetenschappelijke raad voor het Regeringsbeleid, W. R. (2011). </w:t>
      </w:r>
      <w:r w:rsidRPr="00EF2CA2">
        <w:rPr>
          <w:rFonts w:ascii="Corbel" w:eastAsia="Times New Roman" w:hAnsi="Corbel"/>
          <w:i/>
          <w:iCs/>
          <w:sz w:val="20"/>
          <w:szCs w:val="20"/>
        </w:rPr>
        <w:t>Evenwichtskunst: Over de verdeling van verantwoordelijkheid voor fysieke veiligheid</w:t>
      </w:r>
      <w:r w:rsidRPr="00EF2CA2">
        <w:rPr>
          <w:rFonts w:ascii="Corbel" w:eastAsia="Times New Roman" w:hAnsi="Corbel"/>
          <w:sz w:val="20"/>
          <w:szCs w:val="20"/>
        </w:rPr>
        <w:t>. Wetenschappelijke Raad voor het Regeringsbeleid: Den Haag.</w:t>
      </w:r>
    </w:p>
    <w:p w14:paraId="26FA7C10" w14:textId="77777777" w:rsidR="008D0697" w:rsidRPr="00EF2CA2" w:rsidRDefault="008D0697" w:rsidP="00EF2CA2">
      <w:pPr>
        <w:spacing w:line="360" w:lineRule="auto"/>
        <w:ind w:left="852" w:hanging="851"/>
        <w:contextualSpacing/>
        <w:rPr>
          <w:rFonts w:ascii="Corbel" w:eastAsia="Times New Roman" w:hAnsi="Corbel" w:cs="Arial"/>
          <w:color w:val="222222"/>
          <w:sz w:val="20"/>
          <w:szCs w:val="20"/>
        </w:rPr>
      </w:pPr>
      <w:r w:rsidRPr="00EF2CA2">
        <w:rPr>
          <w:rFonts w:ascii="Corbel" w:eastAsia="Times New Roman" w:hAnsi="Corbel" w:cs="Arial"/>
          <w:color w:val="222222"/>
          <w:sz w:val="20"/>
          <w:szCs w:val="20"/>
        </w:rPr>
        <w:t xml:space="preserve">Yin, R. (2003). </w:t>
      </w:r>
      <w:proofErr w:type="spellStart"/>
      <w:r w:rsidRPr="00EF2CA2">
        <w:rPr>
          <w:rFonts w:ascii="Corbel" w:eastAsia="Times New Roman" w:hAnsi="Corbel" w:cs="Arial"/>
          <w:i/>
          <w:iCs/>
          <w:color w:val="222222"/>
          <w:sz w:val="20"/>
          <w:szCs w:val="20"/>
        </w:rPr>
        <w:t>Designing</w:t>
      </w:r>
      <w:proofErr w:type="spellEnd"/>
      <w:r w:rsidRPr="00EF2CA2">
        <w:rPr>
          <w:rFonts w:ascii="Corbel" w:eastAsia="Times New Roman" w:hAnsi="Corbel" w:cs="Arial"/>
          <w:i/>
          <w:iCs/>
          <w:color w:val="222222"/>
          <w:sz w:val="20"/>
          <w:szCs w:val="20"/>
        </w:rPr>
        <w:t xml:space="preserve"> </w:t>
      </w:r>
      <w:proofErr w:type="gramStart"/>
      <w:r w:rsidRPr="00EF2CA2">
        <w:rPr>
          <w:rFonts w:ascii="Corbel" w:eastAsia="Times New Roman" w:hAnsi="Corbel" w:cs="Arial"/>
          <w:i/>
          <w:iCs/>
          <w:color w:val="222222"/>
          <w:sz w:val="20"/>
          <w:szCs w:val="20"/>
        </w:rPr>
        <w:t>case studies</w:t>
      </w:r>
      <w:proofErr w:type="gramEnd"/>
      <w:r w:rsidRPr="00EF2CA2">
        <w:rPr>
          <w:rFonts w:ascii="Corbel" w:eastAsia="Times New Roman" w:hAnsi="Corbel" w:cs="Arial"/>
          <w:i/>
          <w:iCs/>
          <w:color w:val="222222"/>
          <w:sz w:val="20"/>
          <w:szCs w:val="20"/>
        </w:rPr>
        <w:t xml:space="preserve">: design </w:t>
      </w:r>
      <w:proofErr w:type="spellStart"/>
      <w:r w:rsidRPr="00EF2CA2">
        <w:rPr>
          <w:rFonts w:ascii="Corbel" w:eastAsia="Times New Roman" w:hAnsi="Corbel" w:cs="Arial"/>
          <w:i/>
          <w:iCs/>
          <w:color w:val="222222"/>
          <w:sz w:val="20"/>
          <w:szCs w:val="20"/>
        </w:rPr>
        <w:t>and</w:t>
      </w:r>
      <w:proofErr w:type="spellEnd"/>
      <w:r w:rsidRPr="00EF2CA2">
        <w:rPr>
          <w:rFonts w:ascii="Corbel" w:eastAsia="Times New Roman" w:hAnsi="Corbel" w:cs="Arial"/>
          <w:i/>
          <w:iCs/>
          <w:color w:val="222222"/>
          <w:sz w:val="20"/>
          <w:szCs w:val="20"/>
        </w:rPr>
        <w:t xml:space="preserve"> </w:t>
      </w:r>
      <w:proofErr w:type="spellStart"/>
      <w:r w:rsidRPr="00EF2CA2">
        <w:rPr>
          <w:rFonts w:ascii="Corbel" w:eastAsia="Times New Roman" w:hAnsi="Corbel" w:cs="Arial"/>
          <w:i/>
          <w:iCs/>
          <w:color w:val="222222"/>
          <w:sz w:val="20"/>
          <w:szCs w:val="20"/>
        </w:rPr>
        <w:t>methods</w:t>
      </w:r>
      <w:proofErr w:type="spellEnd"/>
      <w:r w:rsidRPr="00EF2CA2">
        <w:rPr>
          <w:rFonts w:ascii="Corbel" w:eastAsia="Times New Roman" w:hAnsi="Corbel" w:cs="Arial"/>
          <w:color w:val="222222"/>
          <w:sz w:val="20"/>
          <w:szCs w:val="20"/>
        </w:rPr>
        <w:t>.</w:t>
      </w:r>
      <w:r w:rsidRPr="00EF2CA2">
        <w:rPr>
          <w:rFonts w:ascii="Corbel" w:hAnsi="Corbel"/>
          <w:sz w:val="20"/>
          <w:szCs w:val="20"/>
        </w:rPr>
        <w:t xml:space="preserve"> </w:t>
      </w:r>
      <w:r w:rsidRPr="00EF2CA2">
        <w:rPr>
          <w:rFonts w:ascii="Corbel" w:eastAsia="Times New Roman" w:hAnsi="Corbel" w:cs="Arial"/>
          <w:color w:val="222222"/>
          <w:sz w:val="20"/>
          <w:szCs w:val="20"/>
        </w:rPr>
        <w:t xml:space="preserve">Sage </w:t>
      </w:r>
      <w:proofErr w:type="spellStart"/>
      <w:r w:rsidRPr="00EF2CA2">
        <w:rPr>
          <w:rFonts w:ascii="Corbel" w:eastAsia="Times New Roman" w:hAnsi="Corbel" w:cs="Arial"/>
          <w:color w:val="222222"/>
          <w:sz w:val="20"/>
          <w:szCs w:val="20"/>
        </w:rPr>
        <w:t>publications</w:t>
      </w:r>
      <w:proofErr w:type="spellEnd"/>
      <w:r w:rsidRPr="00EF2CA2">
        <w:rPr>
          <w:rFonts w:ascii="Corbel" w:eastAsia="Times New Roman" w:hAnsi="Corbel" w:cs="Arial"/>
          <w:color w:val="222222"/>
          <w:sz w:val="20"/>
          <w:szCs w:val="20"/>
        </w:rPr>
        <w:t>.</w:t>
      </w:r>
    </w:p>
    <w:p w14:paraId="374A4DE9" w14:textId="77777777" w:rsidR="00F2546C" w:rsidRPr="007D5E23" w:rsidRDefault="00F2546C" w:rsidP="008D0697">
      <w:pPr>
        <w:spacing w:line="360" w:lineRule="auto"/>
        <w:ind w:left="852" w:hanging="851"/>
        <w:contextualSpacing/>
        <w:jc w:val="both"/>
        <w:rPr>
          <w:rFonts w:ascii="Corbel" w:eastAsia="Tahoma" w:hAnsi="Corbel" w:cs="Tahoma"/>
          <w:sz w:val="20"/>
          <w:szCs w:val="20"/>
        </w:rPr>
      </w:pPr>
    </w:p>
    <w:p w14:paraId="389BC4D4" w14:textId="77777777" w:rsidR="00F2546C" w:rsidRDefault="00F2546C" w:rsidP="008D0697">
      <w:pPr>
        <w:spacing w:line="276" w:lineRule="auto"/>
        <w:ind w:left="852" w:hanging="851"/>
        <w:jc w:val="both"/>
        <w:rPr>
          <w:rFonts w:ascii="Corbel" w:eastAsia="Tahoma" w:hAnsi="Corbel" w:cs="Tahoma"/>
          <w:sz w:val="20"/>
          <w:szCs w:val="22"/>
        </w:rPr>
      </w:pPr>
    </w:p>
    <w:p w14:paraId="17C95719" w14:textId="77777777" w:rsidR="00F2546C" w:rsidRDefault="00F2546C" w:rsidP="009B7A09">
      <w:pPr>
        <w:spacing w:line="276" w:lineRule="auto"/>
        <w:jc w:val="both"/>
        <w:rPr>
          <w:rFonts w:ascii="Corbel" w:eastAsia="Tahoma" w:hAnsi="Corbel" w:cs="Tahoma"/>
          <w:sz w:val="20"/>
          <w:szCs w:val="22"/>
        </w:rPr>
      </w:pPr>
    </w:p>
    <w:p w14:paraId="12F0B3A8" w14:textId="77777777" w:rsidR="008D0697" w:rsidRDefault="008D0697" w:rsidP="009B7A09">
      <w:pPr>
        <w:spacing w:line="276" w:lineRule="auto"/>
        <w:jc w:val="both"/>
        <w:rPr>
          <w:rFonts w:ascii="Corbel" w:eastAsia="Tahoma" w:hAnsi="Corbel" w:cs="Tahoma"/>
          <w:sz w:val="20"/>
          <w:szCs w:val="22"/>
        </w:rPr>
      </w:pPr>
    </w:p>
    <w:p w14:paraId="003F06D3" w14:textId="5CE1412E" w:rsidR="00C10C44" w:rsidRPr="00371492" w:rsidRDefault="00C10C44" w:rsidP="00C10C44">
      <w:pPr>
        <w:pStyle w:val="Stijl1"/>
        <w:numPr>
          <w:ilvl w:val="0"/>
          <w:numId w:val="0"/>
        </w:numPr>
        <w:spacing w:line="360" w:lineRule="auto"/>
        <w:jc w:val="both"/>
        <w:rPr>
          <w:rFonts w:eastAsia="Tahoma" w:cs="Tahoma"/>
          <w:szCs w:val="24"/>
        </w:rPr>
      </w:pPr>
      <w:bookmarkStart w:id="60" w:name="_Toc480363485"/>
      <w:bookmarkStart w:id="61" w:name="_Toc485990898"/>
      <w:r w:rsidRPr="00371492">
        <w:rPr>
          <w:rFonts w:eastAsia="Tahoma" w:cs="Tahoma"/>
          <w:szCs w:val="24"/>
        </w:rPr>
        <w:lastRenderedPageBreak/>
        <w:t>Bijlagen</w:t>
      </w:r>
      <w:bookmarkEnd w:id="60"/>
      <w:bookmarkEnd w:id="61"/>
    </w:p>
    <w:p w14:paraId="0CF57378" w14:textId="3477CBAE" w:rsidR="00C10C44" w:rsidRPr="00371492" w:rsidRDefault="006B5C79" w:rsidP="00165179">
      <w:pPr>
        <w:pStyle w:val="Stijl2"/>
        <w:numPr>
          <w:ilvl w:val="0"/>
          <w:numId w:val="6"/>
        </w:numPr>
        <w:jc w:val="both"/>
        <w:rPr>
          <w:rFonts w:eastAsia="Tahoma"/>
        </w:rPr>
      </w:pPr>
      <w:bookmarkStart w:id="62" w:name="_Toc480363486"/>
      <w:bookmarkStart w:id="63" w:name="_Toc485990899"/>
      <w:r w:rsidRPr="00371492">
        <w:rPr>
          <w:rFonts w:eastAsia="Tahoma"/>
        </w:rPr>
        <w:t>Risicolijst risicocatalogus</w:t>
      </w:r>
      <w:r w:rsidR="00C10C44" w:rsidRPr="00371492">
        <w:rPr>
          <w:rFonts w:eastAsia="Tahoma"/>
        </w:rPr>
        <w:t xml:space="preserve"> Inspectie Leefomgeving en Transport</w:t>
      </w:r>
      <w:bookmarkEnd w:id="62"/>
      <w:bookmarkEnd w:id="63"/>
    </w:p>
    <w:tbl>
      <w:tblPr>
        <w:tblW w:w="9066" w:type="dxa"/>
        <w:tblCellMar>
          <w:left w:w="70" w:type="dxa"/>
          <w:right w:w="70" w:type="dxa"/>
        </w:tblCellMar>
        <w:tblLook w:val="04A0" w:firstRow="1" w:lastRow="0" w:firstColumn="1" w:lastColumn="0" w:noHBand="0" w:noVBand="1"/>
      </w:tblPr>
      <w:tblGrid>
        <w:gridCol w:w="9066"/>
      </w:tblGrid>
      <w:tr w:rsidR="00423499" w:rsidRPr="00371492" w14:paraId="3351AAA4" w14:textId="77777777" w:rsidTr="00360551">
        <w:trPr>
          <w:trHeight w:val="320"/>
        </w:trPr>
        <w:tc>
          <w:tcPr>
            <w:tcW w:w="9066" w:type="dxa"/>
            <w:tcBorders>
              <w:top w:val="nil"/>
              <w:left w:val="nil"/>
              <w:bottom w:val="nil"/>
              <w:right w:val="nil"/>
            </w:tcBorders>
            <w:shd w:val="clear" w:color="auto" w:fill="auto"/>
            <w:noWrap/>
            <w:vAlign w:val="center"/>
            <w:hideMark/>
          </w:tcPr>
          <w:p w14:paraId="3F5B7985" w14:textId="7777777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 xml:space="preserve"> Onjuiste verwerking van afvalstoffen</w:t>
            </w:r>
          </w:p>
        </w:tc>
      </w:tr>
      <w:tr w:rsidR="00423499" w:rsidRPr="00371492" w14:paraId="6EC68D19" w14:textId="77777777" w:rsidTr="00360551">
        <w:trPr>
          <w:trHeight w:val="320"/>
        </w:trPr>
        <w:tc>
          <w:tcPr>
            <w:tcW w:w="9066" w:type="dxa"/>
            <w:tcBorders>
              <w:top w:val="nil"/>
              <w:left w:val="nil"/>
              <w:bottom w:val="nil"/>
              <w:right w:val="nil"/>
            </w:tcBorders>
            <w:shd w:val="clear" w:color="auto" w:fill="auto"/>
            <w:noWrap/>
            <w:vAlign w:val="center"/>
            <w:hideMark/>
          </w:tcPr>
          <w:p w14:paraId="5F0C1D22" w14:textId="7777777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Onjuiste uitvoering rijksbeleid top 400 risicovolle bedrijven</w:t>
            </w:r>
          </w:p>
        </w:tc>
      </w:tr>
      <w:tr w:rsidR="00423499" w:rsidRPr="00371492" w14:paraId="2AEA4F4B" w14:textId="77777777" w:rsidTr="00360551">
        <w:trPr>
          <w:trHeight w:val="320"/>
        </w:trPr>
        <w:tc>
          <w:tcPr>
            <w:tcW w:w="9066" w:type="dxa"/>
            <w:tcBorders>
              <w:top w:val="nil"/>
              <w:left w:val="nil"/>
              <w:bottom w:val="nil"/>
              <w:right w:val="nil"/>
            </w:tcBorders>
            <w:shd w:val="clear" w:color="auto" w:fill="auto"/>
            <w:noWrap/>
            <w:vAlign w:val="center"/>
            <w:hideMark/>
          </w:tcPr>
          <w:p w14:paraId="521FD990" w14:textId="7777777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Onveilige infrastructuur buisleidingen</w:t>
            </w:r>
          </w:p>
        </w:tc>
      </w:tr>
      <w:tr w:rsidR="00423499" w:rsidRPr="00371492" w14:paraId="20FF13C9" w14:textId="77777777" w:rsidTr="00360551">
        <w:trPr>
          <w:trHeight w:val="320"/>
        </w:trPr>
        <w:tc>
          <w:tcPr>
            <w:tcW w:w="9066" w:type="dxa"/>
            <w:tcBorders>
              <w:top w:val="nil"/>
              <w:left w:val="nil"/>
              <w:bottom w:val="nil"/>
              <w:right w:val="nil"/>
            </w:tcBorders>
            <w:shd w:val="clear" w:color="auto" w:fill="auto"/>
            <w:noWrap/>
            <w:vAlign w:val="center"/>
            <w:hideMark/>
          </w:tcPr>
          <w:p w14:paraId="79F0ABE3" w14:textId="59B2900B" w:rsidR="00423499" w:rsidRPr="00371492" w:rsidRDefault="00423499" w:rsidP="00165179">
            <w:pPr>
              <w:pStyle w:val="Lijstalinea"/>
              <w:numPr>
                <w:ilvl w:val="1"/>
                <w:numId w:val="14"/>
              </w:numPr>
              <w:jc w:val="both"/>
              <w:rPr>
                <w:rFonts w:ascii="Corbel" w:eastAsia="Times New Roman" w:hAnsi="Corbel" w:cs="Times New Roman"/>
                <w:b/>
                <w:color w:val="000000"/>
                <w:sz w:val="20"/>
                <w:szCs w:val="20"/>
                <w:lang w:eastAsia="nl-NL"/>
              </w:rPr>
            </w:pPr>
            <w:r w:rsidRPr="00371492">
              <w:rPr>
                <w:rFonts w:ascii="Corbel" w:eastAsia="Times New Roman" w:hAnsi="Corbel"/>
                <w:b/>
                <w:color w:val="000000"/>
                <w:sz w:val="20"/>
                <w:szCs w:val="20"/>
              </w:rPr>
              <w:t>Ongewenste verspreiding genetisch gemanipuleerde organismen (</w:t>
            </w:r>
            <w:proofErr w:type="spellStart"/>
            <w:r w:rsidRPr="00371492">
              <w:rPr>
                <w:rFonts w:ascii="Corbel" w:eastAsia="Times New Roman" w:hAnsi="Corbel"/>
                <w:b/>
                <w:color w:val="000000"/>
                <w:sz w:val="20"/>
                <w:szCs w:val="20"/>
              </w:rPr>
              <w:t>GGO’s</w:t>
            </w:r>
            <w:proofErr w:type="spellEnd"/>
            <w:r w:rsidRPr="00371492">
              <w:rPr>
                <w:rFonts w:ascii="Corbel" w:eastAsia="Times New Roman" w:hAnsi="Corbel"/>
                <w:b/>
                <w:color w:val="000000"/>
                <w:sz w:val="20"/>
                <w:szCs w:val="20"/>
              </w:rPr>
              <w:t>)</w:t>
            </w:r>
            <w:r w:rsidR="00281D01" w:rsidRPr="00371492">
              <w:rPr>
                <w:rFonts w:ascii="Corbel" w:eastAsia="Times New Roman" w:hAnsi="Corbel"/>
                <w:b/>
                <w:color w:val="000000"/>
                <w:sz w:val="20"/>
                <w:szCs w:val="20"/>
              </w:rPr>
              <w:t xml:space="preserve"> (CASE 3)</w:t>
            </w:r>
          </w:p>
        </w:tc>
      </w:tr>
      <w:tr w:rsidR="00423499" w:rsidRPr="00371492" w14:paraId="3CC4FC30" w14:textId="77777777" w:rsidTr="00360551">
        <w:trPr>
          <w:trHeight w:val="320"/>
        </w:trPr>
        <w:tc>
          <w:tcPr>
            <w:tcW w:w="9066" w:type="dxa"/>
            <w:tcBorders>
              <w:top w:val="nil"/>
              <w:left w:val="nil"/>
              <w:bottom w:val="nil"/>
              <w:right w:val="nil"/>
            </w:tcBorders>
            <w:shd w:val="clear" w:color="auto" w:fill="auto"/>
            <w:noWrap/>
            <w:vAlign w:val="center"/>
            <w:hideMark/>
          </w:tcPr>
          <w:p w14:paraId="74A6C448" w14:textId="7777777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Onveilige gebouwen Defensie</w:t>
            </w:r>
          </w:p>
        </w:tc>
      </w:tr>
      <w:tr w:rsidR="00423499" w:rsidRPr="00371492" w14:paraId="10F9F006" w14:textId="77777777" w:rsidTr="00360551">
        <w:trPr>
          <w:trHeight w:val="320"/>
        </w:trPr>
        <w:tc>
          <w:tcPr>
            <w:tcW w:w="9066" w:type="dxa"/>
            <w:tcBorders>
              <w:top w:val="nil"/>
              <w:left w:val="nil"/>
              <w:bottom w:val="nil"/>
              <w:right w:val="nil"/>
            </w:tcBorders>
            <w:shd w:val="clear" w:color="auto" w:fill="auto"/>
            <w:noWrap/>
            <w:vAlign w:val="center"/>
            <w:hideMark/>
          </w:tcPr>
          <w:p w14:paraId="6C0B84FE" w14:textId="7777777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Strijdigheid bestemmingsplannen met Besluit algemene regels ruimtelijke ordening (BARRO)</w:t>
            </w:r>
          </w:p>
        </w:tc>
      </w:tr>
      <w:tr w:rsidR="00423499" w:rsidRPr="00371492" w14:paraId="5F64F640" w14:textId="77777777" w:rsidTr="00360551">
        <w:trPr>
          <w:trHeight w:val="320"/>
        </w:trPr>
        <w:tc>
          <w:tcPr>
            <w:tcW w:w="9066" w:type="dxa"/>
            <w:tcBorders>
              <w:top w:val="nil"/>
              <w:left w:val="nil"/>
              <w:bottom w:val="nil"/>
              <w:right w:val="nil"/>
            </w:tcBorders>
            <w:shd w:val="clear" w:color="auto" w:fill="auto"/>
            <w:noWrap/>
            <w:vAlign w:val="center"/>
            <w:hideMark/>
          </w:tcPr>
          <w:p w14:paraId="5F79D172" w14:textId="7777777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Onvoldoende uitvoering milieutaken provincies</w:t>
            </w:r>
          </w:p>
        </w:tc>
      </w:tr>
      <w:tr w:rsidR="00423499" w:rsidRPr="00371492" w14:paraId="459200F8" w14:textId="77777777" w:rsidTr="00360551">
        <w:trPr>
          <w:trHeight w:val="320"/>
        </w:trPr>
        <w:tc>
          <w:tcPr>
            <w:tcW w:w="9066" w:type="dxa"/>
            <w:tcBorders>
              <w:top w:val="nil"/>
              <w:left w:val="nil"/>
              <w:bottom w:val="nil"/>
              <w:right w:val="nil"/>
            </w:tcBorders>
            <w:shd w:val="clear" w:color="auto" w:fill="auto"/>
            <w:noWrap/>
            <w:vAlign w:val="center"/>
            <w:hideMark/>
          </w:tcPr>
          <w:p w14:paraId="3F47EE69" w14:textId="7777777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Legionellabesmetting bij prioritaire instelling waar het risico op besmetting het grootst is</w:t>
            </w:r>
          </w:p>
        </w:tc>
      </w:tr>
      <w:tr w:rsidR="00423499" w:rsidRPr="00371492" w14:paraId="52EE33CE" w14:textId="77777777" w:rsidTr="00360551">
        <w:trPr>
          <w:trHeight w:val="320"/>
        </w:trPr>
        <w:tc>
          <w:tcPr>
            <w:tcW w:w="9066" w:type="dxa"/>
            <w:tcBorders>
              <w:top w:val="nil"/>
              <w:left w:val="nil"/>
              <w:bottom w:val="nil"/>
              <w:right w:val="nil"/>
            </w:tcBorders>
            <w:shd w:val="clear" w:color="auto" w:fill="auto"/>
            <w:noWrap/>
            <w:vAlign w:val="center"/>
            <w:hideMark/>
          </w:tcPr>
          <w:p w14:paraId="0D3C073C" w14:textId="7777777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Vervuiling van drinkwater</w:t>
            </w:r>
          </w:p>
        </w:tc>
      </w:tr>
      <w:tr w:rsidR="00423499" w:rsidRPr="00371492" w14:paraId="7E86D030" w14:textId="77777777" w:rsidTr="00360551">
        <w:trPr>
          <w:trHeight w:val="320"/>
        </w:trPr>
        <w:tc>
          <w:tcPr>
            <w:tcW w:w="9066" w:type="dxa"/>
            <w:tcBorders>
              <w:top w:val="nil"/>
              <w:left w:val="nil"/>
              <w:bottom w:val="nil"/>
              <w:right w:val="nil"/>
            </w:tcBorders>
            <w:shd w:val="clear" w:color="auto" w:fill="auto"/>
            <w:noWrap/>
            <w:vAlign w:val="center"/>
            <w:hideMark/>
          </w:tcPr>
          <w:p w14:paraId="174649B8" w14:textId="6B3E6D33" w:rsidR="00423499" w:rsidRPr="00371492" w:rsidRDefault="00423499" w:rsidP="00165179">
            <w:pPr>
              <w:pStyle w:val="Lijstalinea"/>
              <w:numPr>
                <w:ilvl w:val="1"/>
                <w:numId w:val="14"/>
              </w:numPr>
              <w:jc w:val="both"/>
              <w:rPr>
                <w:rFonts w:ascii="Corbel" w:eastAsia="Times New Roman" w:hAnsi="Corbel" w:cs="Times New Roman"/>
                <w:b/>
                <w:color w:val="000000"/>
                <w:sz w:val="20"/>
                <w:szCs w:val="20"/>
                <w:lang w:eastAsia="nl-NL"/>
              </w:rPr>
            </w:pPr>
            <w:r w:rsidRPr="00371492">
              <w:rPr>
                <w:rFonts w:ascii="Corbel" w:eastAsia="Times New Roman" w:hAnsi="Corbel"/>
                <w:b/>
                <w:color w:val="000000"/>
                <w:sz w:val="20"/>
                <w:szCs w:val="20"/>
              </w:rPr>
              <w:t>Overstroming in Nederland</w:t>
            </w:r>
            <w:r w:rsidR="00281D01" w:rsidRPr="00371492">
              <w:rPr>
                <w:rFonts w:ascii="Corbel" w:eastAsia="Times New Roman" w:hAnsi="Corbel"/>
                <w:b/>
                <w:color w:val="000000"/>
                <w:sz w:val="20"/>
                <w:szCs w:val="20"/>
              </w:rPr>
              <w:t xml:space="preserve"> (CASE 1)</w:t>
            </w:r>
          </w:p>
        </w:tc>
      </w:tr>
      <w:tr w:rsidR="00423499" w:rsidRPr="00371492" w14:paraId="7DD49D39" w14:textId="77777777" w:rsidTr="00360551">
        <w:trPr>
          <w:trHeight w:val="320"/>
        </w:trPr>
        <w:tc>
          <w:tcPr>
            <w:tcW w:w="9066" w:type="dxa"/>
            <w:tcBorders>
              <w:top w:val="nil"/>
              <w:left w:val="nil"/>
              <w:bottom w:val="nil"/>
              <w:right w:val="nil"/>
            </w:tcBorders>
            <w:shd w:val="clear" w:color="auto" w:fill="auto"/>
            <w:noWrap/>
            <w:vAlign w:val="center"/>
            <w:hideMark/>
          </w:tcPr>
          <w:p w14:paraId="14EDB20F" w14:textId="7777777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Aantasting van bodem, grond- en oppervlaktewater</w:t>
            </w:r>
          </w:p>
        </w:tc>
      </w:tr>
      <w:tr w:rsidR="00423499" w:rsidRPr="00371492" w14:paraId="088B63AC" w14:textId="77777777" w:rsidTr="00360551">
        <w:trPr>
          <w:trHeight w:val="320"/>
        </w:trPr>
        <w:tc>
          <w:tcPr>
            <w:tcW w:w="9066" w:type="dxa"/>
            <w:tcBorders>
              <w:top w:val="nil"/>
              <w:left w:val="nil"/>
              <w:bottom w:val="nil"/>
              <w:right w:val="nil"/>
            </w:tcBorders>
            <w:shd w:val="clear" w:color="auto" w:fill="auto"/>
            <w:noWrap/>
            <w:vAlign w:val="center"/>
            <w:hideMark/>
          </w:tcPr>
          <w:p w14:paraId="60A08140" w14:textId="0BCF642F"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Niet voldoen producten aan specificaties va</w:t>
            </w:r>
            <w:r w:rsidR="00F35359" w:rsidRPr="00371492">
              <w:rPr>
                <w:rFonts w:ascii="Corbel" w:eastAsia="Times New Roman" w:hAnsi="Corbel"/>
                <w:color w:val="000000"/>
                <w:sz w:val="20"/>
                <w:szCs w:val="20"/>
              </w:rPr>
              <w:t>n label of ontbreken van label</w:t>
            </w:r>
            <w:r w:rsidRPr="00371492">
              <w:rPr>
                <w:rFonts w:ascii="Corbel" w:eastAsia="Times New Roman" w:hAnsi="Corbel"/>
                <w:color w:val="000000"/>
                <w:sz w:val="20"/>
                <w:szCs w:val="20"/>
              </w:rPr>
              <w:t xml:space="preserve"> (</w:t>
            </w:r>
            <w:proofErr w:type="spellStart"/>
            <w:r w:rsidRPr="00371492">
              <w:rPr>
                <w:rFonts w:ascii="Corbel" w:eastAsia="Times New Roman" w:hAnsi="Corbel"/>
                <w:color w:val="000000"/>
                <w:sz w:val="20"/>
                <w:szCs w:val="20"/>
              </w:rPr>
              <w:t>ecodesign</w:t>
            </w:r>
            <w:proofErr w:type="spellEnd"/>
            <w:r w:rsidRPr="00371492">
              <w:rPr>
                <w:rFonts w:ascii="Corbel" w:eastAsia="Times New Roman" w:hAnsi="Corbel"/>
                <w:color w:val="000000"/>
                <w:sz w:val="20"/>
                <w:szCs w:val="20"/>
              </w:rPr>
              <w:t>)</w:t>
            </w:r>
          </w:p>
        </w:tc>
      </w:tr>
      <w:tr w:rsidR="00423499" w:rsidRPr="00371492" w14:paraId="293BF872" w14:textId="77777777" w:rsidTr="00360551">
        <w:trPr>
          <w:trHeight w:val="320"/>
        </w:trPr>
        <w:tc>
          <w:tcPr>
            <w:tcW w:w="9066" w:type="dxa"/>
            <w:tcBorders>
              <w:top w:val="nil"/>
              <w:left w:val="nil"/>
              <w:bottom w:val="nil"/>
              <w:right w:val="nil"/>
            </w:tcBorders>
            <w:shd w:val="clear" w:color="auto" w:fill="auto"/>
            <w:noWrap/>
            <w:vAlign w:val="center"/>
            <w:hideMark/>
          </w:tcPr>
          <w:p w14:paraId="667B74C8" w14:textId="7777777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Energie-onvriendelijke gebouwen</w:t>
            </w:r>
          </w:p>
        </w:tc>
      </w:tr>
      <w:tr w:rsidR="00423499" w:rsidRPr="00371492" w14:paraId="11CC9AC0" w14:textId="77777777" w:rsidTr="00360551">
        <w:trPr>
          <w:trHeight w:val="320"/>
        </w:trPr>
        <w:tc>
          <w:tcPr>
            <w:tcW w:w="9066" w:type="dxa"/>
            <w:tcBorders>
              <w:top w:val="nil"/>
              <w:left w:val="nil"/>
              <w:bottom w:val="nil"/>
              <w:right w:val="nil"/>
            </w:tcBorders>
            <w:shd w:val="clear" w:color="auto" w:fill="auto"/>
            <w:noWrap/>
            <w:vAlign w:val="center"/>
            <w:hideMark/>
          </w:tcPr>
          <w:p w14:paraId="7CB6F471" w14:textId="7777777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Verspreiding van asbest</w:t>
            </w:r>
          </w:p>
        </w:tc>
      </w:tr>
      <w:tr w:rsidR="00423499" w:rsidRPr="00371492" w14:paraId="0E2E64D9" w14:textId="77777777" w:rsidTr="00360551">
        <w:trPr>
          <w:trHeight w:val="320"/>
        </w:trPr>
        <w:tc>
          <w:tcPr>
            <w:tcW w:w="9066" w:type="dxa"/>
            <w:tcBorders>
              <w:top w:val="nil"/>
              <w:left w:val="nil"/>
              <w:bottom w:val="nil"/>
              <w:right w:val="nil"/>
            </w:tcBorders>
            <w:shd w:val="clear" w:color="auto" w:fill="auto"/>
            <w:noWrap/>
            <w:vAlign w:val="center"/>
            <w:hideMark/>
          </w:tcPr>
          <w:p w14:paraId="7159696D" w14:textId="7777777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Gevaarlijk vuurwerk</w:t>
            </w:r>
          </w:p>
        </w:tc>
      </w:tr>
      <w:tr w:rsidR="00423499" w:rsidRPr="00371492" w14:paraId="325DDE9C" w14:textId="77777777" w:rsidTr="00360551">
        <w:trPr>
          <w:trHeight w:val="320"/>
        </w:trPr>
        <w:tc>
          <w:tcPr>
            <w:tcW w:w="9066" w:type="dxa"/>
            <w:tcBorders>
              <w:top w:val="nil"/>
              <w:left w:val="nil"/>
              <w:bottom w:val="nil"/>
              <w:right w:val="nil"/>
            </w:tcBorders>
            <w:shd w:val="clear" w:color="auto" w:fill="auto"/>
            <w:noWrap/>
            <w:vAlign w:val="center"/>
            <w:hideMark/>
          </w:tcPr>
          <w:p w14:paraId="24DFA230" w14:textId="7777777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Criminele- of terroristische aanslagen</w:t>
            </w:r>
          </w:p>
        </w:tc>
      </w:tr>
      <w:tr w:rsidR="00423499" w:rsidRPr="00371492" w14:paraId="50512C5A" w14:textId="77777777" w:rsidTr="00360551">
        <w:trPr>
          <w:trHeight w:val="320"/>
        </w:trPr>
        <w:tc>
          <w:tcPr>
            <w:tcW w:w="9066" w:type="dxa"/>
            <w:tcBorders>
              <w:top w:val="nil"/>
              <w:left w:val="nil"/>
              <w:bottom w:val="nil"/>
              <w:right w:val="nil"/>
            </w:tcBorders>
            <w:shd w:val="clear" w:color="auto" w:fill="auto"/>
            <w:noWrap/>
            <w:vAlign w:val="center"/>
            <w:hideMark/>
          </w:tcPr>
          <w:p w14:paraId="5631D1F9" w14:textId="7777777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Vrijkomen van ozonafbrekende en klimaatschadelijke stoffen</w:t>
            </w:r>
          </w:p>
        </w:tc>
      </w:tr>
      <w:tr w:rsidR="00423499" w:rsidRPr="00371492" w14:paraId="2CB12ED3" w14:textId="77777777" w:rsidTr="00360551">
        <w:trPr>
          <w:trHeight w:val="320"/>
        </w:trPr>
        <w:tc>
          <w:tcPr>
            <w:tcW w:w="9066" w:type="dxa"/>
            <w:tcBorders>
              <w:top w:val="nil"/>
              <w:left w:val="nil"/>
              <w:bottom w:val="nil"/>
              <w:right w:val="nil"/>
            </w:tcBorders>
            <w:shd w:val="clear" w:color="auto" w:fill="auto"/>
            <w:noWrap/>
            <w:vAlign w:val="center"/>
            <w:hideMark/>
          </w:tcPr>
          <w:p w14:paraId="551F4BF1" w14:textId="7777777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Onjuist toepassen van gevaarlijke chemische stoffen (REACH)</w:t>
            </w:r>
          </w:p>
        </w:tc>
      </w:tr>
      <w:tr w:rsidR="00423499" w:rsidRPr="00371492" w14:paraId="48F44E6F" w14:textId="77777777" w:rsidTr="00360551">
        <w:trPr>
          <w:trHeight w:val="320"/>
        </w:trPr>
        <w:tc>
          <w:tcPr>
            <w:tcW w:w="9066" w:type="dxa"/>
            <w:tcBorders>
              <w:top w:val="nil"/>
              <w:left w:val="nil"/>
              <w:bottom w:val="nil"/>
              <w:right w:val="nil"/>
            </w:tcBorders>
            <w:shd w:val="clear" w:color="auto" w:fill="auto"/>
            <w:noWrap/>
            <w:vAlign w:val="center"/>
            <w:hideMark/>
          </w:tcPr>
          <w:p w14:paraId="245E1910" w14:textId="7777777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Onveilige Nederlandse schepen en onveilige schepen die in Nederlandse wateren varen.</w:t>
            </w:r>
          </w:p>
        </w:tc>
      </w:tr>
      <w:tr w:rsidR="00423499" w:rsidRPr="00371492" w14:paraId="2AEEFA12" w14:textId="77777777" w:rsidTr="00360551">
        <w:trPr>
          <w:trHeight w:val="320"/>
        </w:trPr>
        <w:tc>
          <w:tcPr>
            <w:tcW w:w="9066" w:type="dxa"/>
            <w:tcBorders>
              <w:top w:val="nil"/>
              <w:left w:val="nil"/>
              <w:bottom w:val="nil"/>
              <w:right w:val="nil"/>
            </w:tcBorders>
            <w:shd w:val="clear" w:color="auto" w:fill="auto"/>
            <w:noWrap/>
            <w:vAlign w:val="center"/>
            <w:hideMark/>
          </w:tcPr>
          <w:p w14:paraId="5F71C712" w14:textId="5EA265B2" w:rsidR="00423499" w:rsidRPr="00371492" w:rsidRDefault="006B5C7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U</w:t>
            </w:r>
            <w:r w:rsidR="00423499" w:rsidRPr="00371492">
              <w:rPr>
                <w:rFonts w:ascii="Corbel" w:eastAsia="Times New Roman" w:hAnsi="Corbel"/>
                <w:color w:val="000000"/>
                <w:sz w:val="20"/>
                <w:szCs w:val="20"/>
              </w:rPr>
              <w:t>itstoot en/of lozing van gevaarlijke stoffen door scheepvaart</w:t>
            </w:r>
          </w:p>
        </w:tc>
      </w:tr>
      <w:tr w:rsidR="00423499" w:rsidRPr="00371492" w14:paraId="6816C869" w14:textId="77777777" w:rsidTr="00360551">
        <w:trPr>
          <w:trHeight w:val="320"/>
        </w:trPr>
        <w:tc>
          <w:tcPr>
            <w:tcW w:w="9066" w:type="dxa"/>
            <w:tcBorders>
              <w:top w:val="nil"/>
              <w:left w:val="nil"/>
              <w:bottom w:val="nil"/>
              <w:right w:val="nil"/>
            </w:tcBorders>
            <w:shd w:val="clear" w:color="auto" w:fill="auto"/>
            <w:noWrap/>
            <w:vAlign w:val="center"/>
            <w:hideMark/>
          </w:tcPr>
          <w:p w14:paraId="2CFC5A09" w14:textId="7777777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Terroristische aanslag op schip of haven in Nederland en op Nederlandse schepen in het buitenland</w:t>
            </w:r>
          </w:p>
        </w:tc>
      </w:tr>
      <w:tr w:rsidR="00423499" w:rsidRPr="00371492" w14:paraId="777FAFBB" w14:textId="77777777" w:rsidTr="00360551">
        <w:trPr>
          <w:trHeight w:val="320"/>
        </w:trPr>
        <w:tc>
          <w:tcPr>
            <w:tcW w:w="9066" w:type="dxa"/>
            <w:tcBorders>
              <w:top w:val="nil"/>
              <w:left w:val="nil"/>
              <w:bottom w:val="nil"/>
              <w:right w:val="nil"/>
            </w:tcBorders>
            <w:shd w:val="clear" w:color="auto" w:fill="auto"/>
            <w:noWrap/>
            <w:vAlign w:val="center"/>
            <w:hideMark/>
          </w:tcPr>
          <w:p w14:paraId="4D134660" w14:textId="7777777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Ongevallen als gevolg van onjuist gemarkeerde en/of verpakte gevaarlijke stoffen</w:t>
            </w:r>
          </w:p>
        </w:tc>
      </w:tr>
      <w:tr w:rsidR="00423499" w:rsidRPr="00371492" w14:paraId="3811684F" w14:textId="77777777" w:rsidTr="00360551">
        <w:trPr>
          <w:trHeight w:val="320"/>
        </w:trPr>
        <w:tc>
          <w:tcPr>
            <w:tcW w:w="9066" w:type="dxa"/>
            <w:tcBorders>
              <w:top w:val="nil"/>
              <w:left w:val="nil"/>
              <w:bottom w:val="nil"/>
              <w:right w:val="nil"/>
            </w:tcBorders>
            <w:shd w:val="clear" w:color="auto" w:fill="auto"/>
            <w:noWrap/>
            <w:vAlign w:val="center"/>
            <w:hideMark/>
          </w:tcPr>
          <w:p w14:paraId="7885977C" w14:textId="7777777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Ongevallen met vliegtuigen in Nederland en Nederlands geregistreerde vliegtuigen in het buitenland.</w:t>
            </w:r>
          </w:p>
        </w:tc>
      </w:tr>
      <w:tr w:rsidR="00423499" w:rsidRPr="00371492" w14:paraId="11FFF696" w14:textId="77777777" w:rsidTr="00360551">
        <w:trPr>
          <w:trHeight w:val="320"/>
        </w:trPr>
        <w:tc>
          <w:tcPr>
            <w:tcW w:w="9066" w:type="dxa"/>
            <w:tcBorders>
              <w:top w:val="nil"/>
              <w:left w:val="nil"/>
              <w:bottom w:val="nil"/>
              <w:right w:val="nil"/>
            </w:tcBorders>
            <w:shd w:val="clear" w:color="auto" w:fill="auto"/>
            <w:noWrap/>
            <w:vAlign w:val="center"/>
            <w:hideMark/>
          </w:tcPr>
          <w:p w14:paraId="0EDB66B5" w14:textId="324CDC20" w:rsidR="00423499" w:rsidRPr="00371492" w:rsidRDefault="00423499" w:rsidP="00165179">
            <w:pPr>
              <w:pStyle w:val="Lijstalinea"/>
              <w:numPr>
                <w:ilvl w:val="1"/>
                <w:numId w:val="14"/>
              </w:numPr>
              <w:jc w:val="both"/>
              <w:rPr>
                <w:rFonts w:ascii="Corbel" w:eastAsia="Times New Roman" w:hAnsi="Corbel" w:cs="Times New Roman"/>
                <w:b/>
                <w:color w:val="000000"/>
                <w:sz w:val="20"/>
                <w:szCs w:val="20"/>
                <w:lang w:eastAsia="nl-NL"/>
              </w:rPr>
            </w:pPr>
            <w:r w:rsidRPr="00371492">
              <w:rPr>
                <w:rFonts w:ascii="Corbel" w:eastAsia="Times New Roman" w:hAnsi="Corbel"/>
                <w:b/>
                <w:color w:val="000000"/>
                <w:sz w:val="20"/>
                <w:szCs w:val="20"/>
              </w:rPr>
              <w:t>Stank en geluidsoverlast door luchtvaart</w:t>
            </w:r>
            <w:r w:rsidR="00281D01" w:rsidRPr="00371492">
              <w:rPr>
                <w:rFonts w:ascii="Corbel" w:eastAsia="Times New Roman" w:hAnsi="Corbel"/>
                <w:b/>
                <w:color w:val="000000"/>
                <w:sz w:val="20"/>
                <w:szCs w:val="20"/>
              </w:rPr>
              <w:t xml:space="preserve"> (CASE 2)</w:t>
            </w:r>
          </w:p>
        </w:tc>
      </w:tr>
      <w:tr w:rsidR="00423499" w:rsidRPr="00371492" w14:paraId="576DD609" w14:textId="77777777" w:rsidTr="00360551">
        <w:trPr>
          <w:trHeight w:val="320"/>
        </w:trPr>
        <w:tc>
          <w:tcPr>
            <w:tcW w:w="9066" w:type="dxa"/>
            <w:tcBorders>
              <w:top w:val="nil"/>
              <w:left w:val="nil"/>
              <w:bottom w:val="nil"/>
              <w:right w:val="nil"/>
            </w:tcBorders>
            <w:shd w:val="clear" w:color="auto" w:fill="auto"/>
            <w:noWrap/>
            <w:vAlign w:val="center"/>
            <w:hideMark/>
          </w:tcPr>
          <w:p w14:paraId="23A3A140" w14:textId="7777777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Niet-nakomen van passagiersrechten</w:t>
            </w:r>
          </w:p>
        </w:tc>
      </w:tr>
      <w:tr w:rsidR="00423499" w:rsidRPr="00371492" w14:paraId="73C9B107" w14:textId="77777777" w:rsidTr="00360551">
        <w:trPr>
          <w:trHeight w:val="320"/>
        </w:trPr>
        <w:tc>
          <w:tcPr>
            <w:tcW w:w="9066" w:type="dxa"/>
            <w:tcBorders>
              <w:top w:val="nil"/>
              <w:left w:val="nil"/>
              <w:bottom w:val="nil"/>
              <w:right w:val="nil"/>
            </w:tcBorders>
            <w:shd w:val="clear" w:color="auto" w:fill="auto"/>
            <w:noWrap/>
            <w:vAlign w:val="center"/>
            <w:hideMark/>
          </w:tcPr>
          <w:p w14:paraId="2BB9038B" w14:textId="6557EBAD" w:rsidR="00423499" w:rsidRPr="00371492" w:rsidRDefault="006B5C7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O</w:t>
            </w:r>
            <w:r w:rsidR="00423499" w:rsidRPr="00371492">
              <w:rPr>
                <w:rFonts w:ascii="Corbel" w:eastAsia="Times New Roman" w:hAnsi="Corbel"/>
                <w:color w:val="000000"/>
                <w:sz w:val="20"/>
                <w:szCs w:val="20"/>
              </w:rPr>
              <w:t>nveilig spoorvervoer (hoofdspoor)</w:t>
            </w:r>
          </w:p>
        </w:tc>
      </w:tr>
      <w:tr w:rsidR="00423499" w:rsidRPr="00371492" w14:paraId="6290E31A" w14:textId="77777777" w:rsidTr="00360551">
        <w:trPr>
          <w:trHeight w:val="320"/>
        </w:trPr>
        <w:tc>
          <w:tcPr>
            <w:tcW w:w="9066" w:type="dxa"/>
            <w:tcBorders>
              <w:top w:val="nil"/>
              <w:left w:val="nil"/>
              <w:bottom w:val="nil"/>
              <w:right w:val="nil"/>
            </w:tcBorders>
            <w:shd w:val="clear" w:color="auto" w:fill="auto"/>
            <w:noWrap/>
            <w:vAlign w:val="center"/>
            <w:hideMark/>
          </w:tcPr>
          <w:p w14:paraId="1B9948F7" w14:textId="7777777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Ongeval met kabelbaan</w:t>
            </w:r>
          </w:p>
        </w:tc>
      </w:tr>
      <w:tr w:rsidR="00423499" w:rsidRPr="00371492" w14:paraId="263670CE" w14:textId="77777777" w:rsidTr="00360551">
        <w:trPr>
          <w:trHeight w:val="320"/>
        </w:trPr>
        <w:tc>
          <w:tcPr>
            <w:tcW w:w="9066" w:type="dxa"/>
            <w:tcBorders>
              <w:top w:val="nil"/>
              <w:left w:val="nil"/>
              <w:bottom w:val="nil"/>
              <w:right w:val="nil"/>
            </w:tcBorders>
            <w:shd w:val="clear" w:color="auto" w:fill="auto"/>
            <w:noWrap/>
            <w:vAlign w:val="center"/>
            <w:hideMark/>
          </w:tcPr>
          <w:p w14:paraId="6B653F33" w14:textId="7777777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Onveiligheid en verstoring van het marktevenwicht in het goederenvervoer over de weg.</w:t>
            </w:r>
          </w:p>
        </w:tc>
      </w:tr>
      <w:tr w:rsidR="00423499" w:rsidRPr="00371492" w14:paraId="34377B07" w14:textId="77777777" w:rsidTr="00423499">
        <w:trPr>
          <w:trHeight w:val="277"/>
        </w:trPr>
        <w:tc>
          <w:tcPr>
            <w:tcW w:w="9066" w:type="dxa"/>
            <w:tcBorders>
              <w:top w:val="nil"/>
              <w:left w:val="nil"/>
              <w:bottom w:val="nil"/>
              <w:right w:val="nil"/>
            </w:tcBorders>
            <w:shd w:val="clear" w:color="auto" w:fill="auto"/>
            <w:noWrap/>
            <w:vAlign w:val="center"/>
            <w:hideMark/>
          </w:tcPr>
          <w:p w14:paraId="78F945AE" w14:textId="2C7387D7" w:rsidR="00423499" w:rsidRPr="00371492" w:rsidRDefault="0042349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Onveilig bus- en rolstoelvervoer</w:t>
            </w:r>
          </w:p>
          <w:p w14:paraId="0DF30B64" w14:textId="77777777" w:rsidR="006B5C79" w:rsidRPr="00371492" w:rsidRDefault="006B5C7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Verstoring marktwerking bij taxivervoer</w:t>
            </w:r>
          </w:p>
          <w:p w14:paraId="28D91E7E" w14:textId="77777777" w:rsidR="006B5C79" w:rsidRPr="00371492" w:rsidRDefault="006B5C7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 xml:space="preserve">Onveilige olieopslag op Bonaire en St. </w:t>
            </w:r>
            <w:proofErr w:type="spellStart"/>
            <w:r w:rsidRPr="00371492">
              <w:rPr>
                <w:rFonts w:ascii="Corbel" w:eastAsia="Times New Roman" w:hAnsi="Corbel"/>
                <w:color w:val="000000"/>
                <w:sz w:val="20"/>
                <w:szCs w:val="20"/>
              </w:rPr>
              <w:t>Eustasius</w:t>
            </w:r>
            <w:proofErr w:type="spellEnd"/>
          </w:p>
          <w:p w14:paraId="11924A42" w14:textId="2FDE743F" w:rsidR="006B5C79" w:rsidRPr="00371492" w:rsidRDefault="006B5C79" w:rsidP="00165179">
            <w:pPr>
              <w:pStyle w:val="Lijstalinea"/>
              <w:numPr>
                <w:ilvl w:val="1"/>
                <w:numId w:val="14"/>
              </w:numPr>
              <w:jc w:val="both"/>
              <w:rPr>
                <w:rFonts w:ascii="Corbel" w:eastAsia="Times New Roman" w:hAnsi="Corbel" w:cs="Times New Roman"/>
                <w:color w:val="000000"/>
                <w:sz w:val="20"/>
                <w:szCs w:val="20"/>
                <w:lang w:eastAsia="nl-NL"/>
              </w:rPr>
            </w:pPr>
            <w:r w:rsidRPr="00371492">
              <w:rPr>
                <w:rFonts w:ascii="Corbel" w:eastAsia="Times New Roman" w:hAnsi="Corbel"/>
                <w:color w:val="000000"/>
                <w:sz w:val="20"/>
                <w:szCs w:val="20"/>
              </w:rPr>
              <w:t>Verlies van maatschappelijk gebonden vermogen door beleid en beheer van woningcorporati</w:t>
            </w:r>
            <w:r w:rsidR="003C1E1B" w:rsidRPr="00371492">
              <w:rPr>
                <w:rFonts w:ascii="Corbel" w:eastAsia="Times New Roman" w:hAnsi="Corbel"/>
                <w:color w:val="000000"/>
                <w:sz w:val="20"/>
                <w:szCs w:val="20"/>
              </w:rPr>
              <w:t>e</w:t>
            </w:r>
            <w:r w:rsidRPr="00371492">
              <w:rPr>
                <w:rFonts w:ascii="Corbel" w:eastAsia="Times New Roman" w:hAnsi="Corbel"/>
                <w:color w:val="000000"/>
                <w:sz w:val="20"/>
                <w:szCs w:val="20"/>
              </w:rPr>
              <w:t>s</w:t>
            </w:r>
          </w:p>
        </w:tc>
      </w:tr>
    </w:tbl>
    <w:p w14:paraId="4F778619" w14:textId="77777777" w:rsidR="00457873" w:rsidRPr="00371492" w:rsidRDefault="00457873" w:rsidP="00165179">
      <w:pPr>
        <w:jc w:val="both"/>
        <w:rPr>
          <w:sz w:val="20"/>
          <w:szCs w:val="20"/>
        </w:rPr>
      </w:pPr>
    </w:p>
    <w:p w14:paraId="37603CA8" w14:textId="77777777" w:rsidR="00A97518" w:rsidRPr="00371492" w:rsidRDefault="00A97518" w:rsidP="00D46C2E">
      <w:pPr>
        <w:pStyle w:val="xmsolistparagraph"/>
        <w:spacing w:line="360" w:lineRule="auto"/>
        <w:ind w:hanging="357"/>
        <w:contextualSpacing/>
        <w:rPr>
          <w:rFonts w:ascii="Corbel" w:hAnsi="Corbel"/>
          <w:sz w:val="20"/>
          <w:szCs w:val="20"/>
        </w:rPr>
      </w:pPr>
    </w:p>
    <w:p w14:paraId="6324126E" w14:textId="77777777" w:rsidR="00A97518" w:rsidRPr="00371492" w:rsidRDefault="00A97518" w:rsidP="00457873">
      <w:pPr>
        <w:pStyle w:val="xmsolistparagraph"/>
        <w:spacing w:line="360" w:lineRule="auto"/>
        <w:contextualSpacing/>
        <w:rPr>
          <w:rFonts w:ascii="Corbel" w:hAnsi="Corbel"/>
          <w:sz w:val="22"/>
          <w:szCs w:val="22"/>
        </w:rPr>
      </w:pPr>
    </w:p>
    <w:p w14:paraId="79E3FED1" w14:textId="2609E793" w:rsidR="008D09E3" w:rsidRPr="00371492" w:rsidRDefault="00F2603E" w:rsidP="00510131">
      <w:pPr>
        <w:pStyle w:val="Stijl2"/>
        <w:numPr>
          <w:ilvl w:val="0"/>
          <w:numId w:val="6"/>
        </w:numPr>
        <w:rPr>
          <w:rFonts w:eastAsia="Tahoma"/>
        </w:rPr>
      </w:pPr>
      <w:bookmarkStart w:id="64" w:name="_Toc485990900"/>
      <w:r w:rsidRPr="00371492">
        <w:rPr>
          <w:rFonts w:eastAsia="Tahoma"/>
        </w:rPr>
        <w:lastRenderedPageBreak/>
        <w:t xml:space="preserve">Risicosheet casus 1: </w:t>
      </w:r>
      <w:r w:rsidR="002C024D" w:rsidRPr="00371492">
        <w:rPr>
          <w:rFonts w:eastAsia="Tahoma"/>
        </w:rPr>
        <w:t>overstroming in Nederland</w:t>
      </w:r>
      <w:bookmarkEnd w:id="64"/>
    </w:p>
    <w:p w14:paraId="3AB3979B" w14:textId="6452E854" w:rsidR="00D75A6A" w:rsidRPr="00371492" w:rsidRDefault="00D75A6A" w:rsidP="00165179">
      <w:pPr>
        <w:pStyle w:val="Huisstijl-Kopznr2"/>
        <w:numPr>
          <w:ilvl w:val="0"/>
          <w:numId w:val="0"/>
        </w:numPr>
        <w:pBdr>
          <w:top w:val="single" w:sz="18" w:space="1" w:color="auto" w:shadow="1"/>
          <w:left w:val="single" w:sz="18" w:space="4" w:color="auto" w:shadow="1"/>
          <w:bottom w:val="single" w:sz="18" w:space="1" w:color="auto" w:shadow="1"/>
          <w:right w:val="single" w:sz="18" w:space="4" w:color="auto" w:shadow="1"/>
        </w:pBdr>
        <w:shd w:val="clear" w:color="auto" w:fill="BDD6EE" w:themeFill="accent1" w:themeFillTint="66"/>
        <w:tabs>
          <w:tab w:val="clear" w:pos="0"/>
          <w:tab w:val="left" w:pos="1418"/>
        </w:tabs>
        <w:ind w:left="1418" w:hanging="1418"/>
        <w:jc w:val="both"/>
        <w:outlineLvl w:val="1"/>
        <w:rPr>
          <w:rFonts w:ascii="Corbel" w:hAnsi="Corbel"/>
          <w:sz w:val="20"/>
          <w:szCs w:val="20"/>
        </w:rPr>
      </w:pPr>
    </w:p>
    <w:tbl>
      <w:tblPr>
        <w:tblW w:w="9180" w:type="dxa"/>
        <w:tblBorders>
          <w:insideH w:val="single" w:sz="4" w:space="0" w:color="auto"/>
          <w:insideV w:val="single" w:sz="4" w:space="0" w:color="auto"/>
        </w:tblBorders>
        <w:tblLayout w:type="fixed"/>
        <w:tblLook w:val="04A0" w:firstRow="1" w:lastRow="0" w:firstColumn="1" w:lastColumn="0" w:noHBand="0" w:noVBand="1"/>
      </w:tblPr>
      <w:tblGrid>
        <w:gridCol w:w="2235"/>
        <w:gridCol w:w="6938"/>
        <w:gridCol w:w="7"/>
      </w:tblGrid>
      <w:tr w:rsidR="00D75A6A" w:rsidRPr="00371492" w14:paraId="22A5CAD4" w14:textId="77777777" w:rsidTr="00360551">
        <w:trPr>
          <w:gridAfter w:val="1"/>
          <w:wAfter w:w="7" w:type="dxa"/>
        </w:trPr>
        <w:tc>
          <w:tcPr>
            <w:tcW w:w="2235" w:type="dxa"/>
          </w:tcPr>
          <w:p w14:paraId="16CBDC91" w14:textId="77777777" w:rsidR="00D75A6A" w:rsidRPr="00371492" w:rsidRDefault="00D75A6A" w:rsidP="00165179">
            <w:pPr>
              <w:jc w:val="both"/>
              <w:rPr>
                <w:rFonts w:ascii="Corbel" w:hAnsi="Corbel"/>
                <w:sz w:val="20"/>
                <w:szCs w:val="20"/>
              </w:rPr>
            </w:pPr>
            <w:r w:rsidRPr="00371492">
              <w:rPr>
                <w:rFonts w:ascii="Corbel" w:hAnsi="Corbel"/>
                <w:sz w:val="20"/>
                <w:szCs w:val="20"/>
              </w:rPr>
              <w:t>Domein</w:t>
            </w:r>
          </w:p>
        </w:tc>
        <w:tc>
          <w:tcPr>
            <w:tcW w:w="6938" w:type="dxa"/>
          </w:tcPr>
          <w:p w14:paraId="25D9768D" w14:textId="77777777" w:rsidR="00D75A6A" w:rsidRPr="00371492" w:rsidRDefault="00D75A6A" w:rsidP="00165179">
            <w:pPr>
              <w:jc w:val="both"/>
              <w:rPr>
                <w:rFonts w:ascii="Corbel" w:hAnsi="Corbel"/>
                <w:sz w:val="20"/>
                <w:szCs w:val="20"/>
              </w:rPr>
            </w:pPr>
            <w:r w:rsidRPr="00371492">
              <w:rPr>
                <w:rFonts w:ascii="Corbel" w:hAnsi="Corbel"/>
                <w:sz w:val="20"/>
                <w:szCs w:val="20"/>
              </w:rPr>
              <w:t>Water, Producten en Stoffen</w:t>
            </w:r>
          </w:p>
        </w:tc>
      </w:tr>
      <w:tr w:rsidR="00D75A6A" w:rsidRPr="00371492" w14:paraId="4A8B7263" w14:textId="77777777" w:rsidTr="00360551">
        <w:trPr>
          <w:gridAfter w:val="1"/>
          <w:wAfter w:w="7" w:type="dxa"/>
        </w:trPr>
        <w:tc>
          <w:tcPr>
            <w:tcW w:w="2235" w:type="dxa"/>
          </w:tcPr>
          <w:p w14:paraId="4D62E50E" w14:textId="77777777" w:rsidR="00D75A6A" w:rsidRPr="00371492" w:rsidRDefault="00D75A6A" w:rsidP="00165179">
            <w:pPr>
              <w:jc w:val="both"/>
              <w:rPr>
                <w:rFonts w:ascii="Corbel" w:hAnsi="Corbel"/>
                <w:sz w:val="20"/>
                <w:szCs w:val="20"/>
              </w:rPr>
            </w:pPr>
            <w:r w:rsidRPr="00371492">
              <w:rPr>
                <w:rFonts w:ascii="Corbel" w:hAnsi="Corbel"/>
                <w:sz w:val="20"/>
                <w:szCs w:val="20"/>
              </w:rPr>
              <w:t>Omschrijving risico</w:t>
            </w:r>
          </w:p>
        </w:tc>
        <w:tc>
          <w:tcPr>
            <w:tcW w:w="6938" w:type="dxa"/>
          </w:tcPr>
          <w:p w14:paraId="65FA3335" w14:textId="77777777" w:rsidR="00D75A6A" w:rsidRPr="00371492" w:rsidRDefault="00D75A6A" w:rsidP="00165179">
            <w:pPr>
              <w:ind w:left="33"/>
              <w:jc w:val="both"/>
              <w:rPr>
                <w:rFonts w:ascii="Corbel" w:hAnsi="Corbel"/>
                <w:sz w:val="20"/>
                <w:szCs w:val="20"/>
              </w:rPr>
            </w:pPr>
            <w:r w:rsidRPr="00371492">
              <w:rPr>
                <w:rFonts w:ascii="Corbel" w:hAnsi="Corbel" w:cs="Calibri"/>
                <w:sz w:val="20"/>
                <w:szCs w:val="20"/>
              </w:rPr>
              <w:t>Schade door overstroming als gevolg van een onvoldoende uitgevoerde zorgplicht en/of onjuiste beoordeling van keringen.</w:t>
            </w:r>
          </w:p>
        </w:tc>
      </w:tr>
      <w:tr w:rsidR="00D75A6A" w:rsidRPr="00371492" w14:paraId="41E49454" w14:textId="77777777" w:rsidTr="00360551">
        <w:tc>
          <w:tcPr>
            <w:tcW w:w="2235" w:type="dxa"/>
          </w:tcPr>
          <w:p w14:paraId="62B01CA6" w14:textId="77777777" w:rsidR="00D75A6A" w:rsidRPr="00371492" w:rsidRDefault="00D75A6A" w:rsidP="00165179">
            <w:pPr>
              <w:jc w:val="both"/>
              <w:rPr>
                <w:rFonts w:ascii="Corbel" w:hAnsi="Corbel"/>
                <w:sz w:val="20"/>
                <w:szCs w:val="20"/>
              </w:rPr>
            </w:pPr>
            <w:r w:rsidRPr="00371492">
              <w:rPr>
                <w:rFonts w:ascii="Corbel" w:hAnsi="Corbel"/>
                <w:sz w:val="20"/>
                <w:szCs w:val="20"/>
              </w:rPr>
              <w:t>Populatie</w:t>
            </w:r>
          </w:p>
        </w:tc>
        <w:tc>
          <w:tcPr>
            <w:tcW w:w="6945" w:type="dxa"/>
            <w:gridSpan w:val="2"/>
          </w:tcPr>
          <w:p w14:paraId="19480099" w14:textId="77777777" w:rsidR="00D75A6A" w:rsidRPr="00371492" w:rsidRDefault="00D75A6A" w:rsidP="00165179">
            <w:pPr>
              <w:pStyle w:val="Lijstalinea"/>
              <w:numPr>
                <w:ilvl w:val="0"/>
                <w:numId w:val="12"/>
              </w:numPr>
              <w:autoSpaceDN w:val="0"/>
              <w:jc w:val="both"/>
              <w:textAlignment w:val="baseline"/>
              <w:rPr>
                <w:rFonts w:ascii="Corbel" w:hAnsi="Corbel"/>
                <w:sz w:val="20"/>
                <w:szCs w:val="20"/>
              </w:rPr>
            </w:pPr>
            <w:r w:rsidRPr="00371492">
              <w:rPr>
                <w:rFonts w:ascii="Corbel" w:hAnsi="Corbel"/>
                <w:sz w:val="20"/>
                <w:szCs w:val="20"/>
              </w:rPr>
              <w:t>Alle Nederlanders in overloopgebieden (bij rivieren en kustfundament).</w:t>
            </w:r>
          </w:p>
          <w:p w14:paraId="7A4B9D75" w14:textId="77777777" w:rsidR="00D75A6A" w:rsidRPr="00371492" w:rsidRDefault="00D75A6A" w:rsidP="00165179">
            <w:pPr>
              <w:pStyle w:val="Lijstalinea"/>
              <w:numPr>
                <w:ilvl w:val="0"/>
                <w:numId w:val="12"/>
              </w:numPr>
              <w:autoSpaceDN w:val="0"/>
              <w:jc w:val="both"/>
              <w:textAlignment w:val="baseline"/>
              <w:rPr>
                <w:rFonts w:ascii="Corbel" w:hAnsi="Corbel"/>
                <w:sz w:val="20"/>
                <w:szCs w:val="20"/>
              </w:rPr>
            </w:pPr>
            <w:r w:rsidRPr="00371492">
              <w:rPr>
                <w:rFonts w:ascii="Corbel" w:hAnsi="Corbel"/>
                <w:sz w:val="20"/>
                <w:szCs w:val="20"/>
              </w:rPr>
              <w:t>Industrie in overloopgebieden.</w:t>
            </w:r>
          </w:p>
        </w:tc>
      </w:tr>
      <w:tr w:rsidR="00D75A6A" w:rsidRPr="00371492" w14:paraId="15A4472B" w14:textId="77777777" w:rsidTr="00360551">
        <w:tc>
          <w:tcPr>
            <w:tcW w:w="2235" w:type="dxa"/>
          </w:tcPr>
          <w:p w14:paraId="791B3A0C" w14:textId="77777777" w:rsidR="00D75A6A" w:rsidRPr="00371492" w:rsidRDefault="00D75A6A" w:rsidP="00165179">
            <w:pPr>
              <w:jc w:val="both"/>
              <w:rPr>
                <w:rFonts w:ascii="Corbel" w:hAnsi="Corbel"/>
                <w:sz w:val="20"/>
                <w:szCs w:val="20"/>
              </w:rPr>
            </w:pPr>
            <w:r w:rsidRPr="00371492">
              <w:rPr>
                <w:rFonts w:ascii="Corbel" w:hAnsi="Corbel"/>
                <w:sz w:val="20"/>
                <w:szCs w:val="20"/>
              </w:rPr>
              <w:t>Toezichtsvorm</w:t>
            </w:r>
          </w:p>
        </w:tc>
        <w:tc>
          <w:tcPr>
            <w:tcW w:w="6945" w:type="dxa"/>
            <w:gridSpan w:val="2"/>
          </w:tcPr>
          <w:p w14:paraId="248ECEE7" w14:textId="77777777" w:rsidR="00D75A6A" w:rsidRPr="00371492" w:rsidRDefault="00D75A6A" w:rsidP="00165179">
            <w:pPr>
              <w:jc w:val="both"/>
              <w:rPr>
                <w:rFonts w:ascii="Corbel" w:hAnsi="Corbel"/>
                <w:sz w:val="20"/>
                <w:szCs w:val="20"/>
              </w:rPr>
            </w:pPr>
            <w:r w:rsidRPr="00371492">
              <w:rPr>
                <w:rFonts w:ascii="Corbel" w:hAnsi="Corbel"/>
                <w:sz w:val="20"/>
                <w:szCs w:val="20"/>
              </w:rPr>
              <w:t>Objectgericht, administratiecontroles en systeemtoezicht</w:t>
            </w:r>
          </w:p>
        </w:tc>
      </w:tr>
      <w:tr w:rsidR="00D75A6A" w:rsidRPr="00371492" w14:paraId="2BCCBE8C" w14:textId="77777777" w:rsidTr="00360551">
        <w:tc>
          <w:tcPr>
            <w:tcW w:w="2235" w:type="dxa"/>
          </w:tcPr>
          <w:p w14:paraId="5A4AE887" w14:textId="77777777" w:rsidR="00D75A6A" w:rsidRPr="00371492" w:rsidRDefault="00D75A6A" w:rsidP="00165179">
            <w:pPr>
              <w:jc w:val="both"/>
              <w:rPr>
                <w:rFonts w:ascii="Corbel" w:hAnsi="Corbel"/>
                <w:sz w:val="20"/>
                <w:szCs w:val="20"/>
              </w:rPr>
            </w:pPr>
            <w:r w:rsidRPr="00371492">
              <w:rPr>
                <w:rFonts w:ascii="Corbel" w:hAnsi="Corbel"/>
                <w:sz w:val="20"/>
                <w:szCs w:val="20"/>
              </w:rPr>
              <w:t>Bijzonderheden</w:t>
            </w:r>
          </w:p>
        </w:tc>
        <w:tc>
          <w:tcPr>
            <w:tcW w:w="6945" w:type="dxa"/>
            <w:gridSpan w:val="2"/>
          </w:tcPr>
          <w:p w14:paraId="06C76DD2" w14:textId="77777777" w:rsidR="00D75A6A" w:rsidRPr="00371492" w:rsidRDefault="00D75A6A" w:rsidP="00165179">
            <w:pPr>
              <w:jc w:val="both"/>
              <w:rPr>
                <w:rFonts w:ascii="Corbel" w:hAnsi="Corbel"/>
                <w:sz w:val="20"/>
                <w:szCs w:val="20"/>
              </w:rPr>
            </w:pPr>
            <w:r w:rsidRPr="00371492">
              <w:rPr>
                <w:rFonts w:ascii="Corbel" w:hAnsi="Corbel"/>
                <w:sz w:val="20"/>
                <w:szCs w:val="20"/>
              </w:rPr>
              <w:t>Geen</w:t>
            </w:r>
          </w:p>
        </w:tc>
      </w:tr>
      <w:tr w:rsidR="00D75A6A" w:rsidRPr="00371492" w14:paraId="76B43298" w14:textId="77777777" w:rsidTr="00360551">
        <w:tc>
          <w:tcPr>
            <w:tcW w:w="2235" w:type="dxa"/>
          </w:tcPr>
          <w:p w14:paraId="68B6CF9B" w14:textId="77777777" w:rsidR="00D75A6A" w:rsidRPr="00371492" w:rsidRDefault="00D75A6A" w:rsidP="00165179">
            <w:pPr>
              <w:jc w:val="both"/>
              <w:rPr>
                <w:rFonts w:ascii="Corbel" w:hAnsi="Corbel"/>
                <w:sz w:val="20"/>
                <w:szCs w:val="20"/>
              </w:rPr>
            </w:pPr>
            <w:r w:rsidRPr="00371492">
              <w:rPr>
                <w:rFonts w:ascii="Corbel" w:hAnsi="Corbel"/>
                <w:sz w:val="20"/>
                <w:szCs w:val="20"/>
              </w:rPr>
              <w:t xml:space="preserve">Termijn </w:t>
            </w:r>
          </w:p>
        </w:tc>
        <w:tc>
          <w:tcPr>
            <w:tcW w:w="6945" w:type="dxa"/>
            <w:gridSpan w:val="2"/>
          </w:tcPr>
          <w:p w14:paraId="484769D7" w14:textId="77777777" w:rsidR="00D75A6A" w:rsidRPr="00371492" w:rsidRDefault="00D75A6A" w:rsidP="00165179">
            <w:pPr>
              <w:jc w:val="both"/>
              <w:rPr>
                <w:rFonts w:ascii="Corbel" w:hAnsi="Corbel"/>
                <w:sz w:val="20"/>
                <w:szCs w:val="20"/>
              </w:rPr>
            </w:pPr>
            <w:r w:rsidRPr="00371492">
              <w:rPr>
                <w:rFonts w:ascii="Corbel" w:hAnsi="Corbel"/>
                <w:sz w:val="20"/>
                <w:szCs w:val="20"/>
              </w:rPr>
              <w:t>Nu en later</w:t>
            </w:r>
          </w:p>
        </w:tc>
      </w:tr>
      <w:tr w:rsidR="00D75A6A" w:rsidRPr="00371492" w14:paraId="54CB32A4" w14:textId="77777777" w:rsidTr="00360551">
        <w:tc>
          <w:tcPr>
            <w:tcW w:w="2235" w:type="dxa"/>
          </w:tcPr>
          <w:p w14:paraId="7A05FB15" w14:textId="77777777" w:rsidR="00D75A6A" w:rsidRPr="00371492" w:rsidRDefault="00D75A6A" w:rsidP="00165179">
            <w:pPr>
              <w:jc w:val="both"/>
              <w:rPr>
                <w:rFonts w:ascii="Corbel" w:hAnsi="Corbel"/>
                <w:sz w:val="20"/>
                <w:szCs w:val="20"/>
              </w:rPr>
            </w:pPr>
            <w:r w:rsidRPr="00371492">
              <w:rPr>
                <w:rFonts w:ascii="Corbel" w:hAnsi="Corbel"/>
                <w:sz w:val="20"/>
                <w:szCs w:val="20"/>
              </w:rPr>
              <w:t xml:space="preserve">Locatie </w:t>
            </w:r>
          </w:p>
        </w:tc>
        <w:tc>
          <w:tcPr>
            <w:tcW w:w="6945" w:type="dxa"/>
            <w:gridSpan w:val="2"/>
          </w:tcPr>
          <w:p w14:paraId="527E5D39" w14:textId="77777777" w:rsidR="00D75A6A" w:rsidRPr="00371492" w:rsidRDefault="00D75A6A" w:rsidP="00165179">
            <w:pPr>
              <w:jc w:val="both"/>
              <w:rPr>
                <w:rFonts w:ascii="Corbel" w:hAnsi="Corbel"/>
                <w:sz w:val="20"/>
                <w:szCs w:val="20"/>
              </w:rPr>
            </w:pPr>
            <w:r w:rsidRPr="00371492">
              <w:rPr>
                <w:rFonts w:ascii="Corbel" w:hAnsi="Corbel"/>
                <w:sz w:val="20"/>
                <w:szCs w:val="20"/>
              </w:rPr>
              <w:t>Nederland</w:t>
            </w:r>
          </w:p>
        </w:tc>
      </w:tr>
      <w:tr w:rsidR="00D75A6A" w:rsidRPr="00371492" w14:paraId="3463CD20" w14:textId="77777777" w:rsidTr="00360551">
        <w:tc>
          <w:tcPr>
            <w:tcW w:w="2235" w:type="dxa"/>
          </w:tcPr>
          <w:p w14:paraId="12629CBD" w14:textId="77777777" w:rsidR="00D75A6A" w:rsidRPr="00371492" w:rsidRDefault="00D75A6A" w:rsidP="00165179">
            <w:pPr>
              <w:jc w:val="both"/>
              <w:rPr>
                <w:rFonts w:ascii="Corbel" w:hAnsi="Corbel"/>
                <w:sz w:val="20"/>
                <w:szCs w:val="20"/>
              </w:rPr>
            </w:pPr>
            <w:r w:rsidRPr="00371492">
              <w:rPr>
                <w:rFonts w:ascii="Corbel" w:hAnsi="Corbel"/>
                <w:sz w:val="20"/>
                <w:szCs w:val="20"/>
              </w:rPr>
              <w:t>Soort schade</w:t>
            </w:r>
          </w:p>
        </w:tc>
        <w:tc>
          <w:tcPr>
            <w:tcW w:w="6945" w:type="dxa"/>
            <w:gridSpan w:val="2"/>
          </w:tcPr>
          <w:p w14:paraId="6C23CC5C" w14:textId="77777777" w:rsidR="00D75A6A" w:rsidRPr="00371492" w:rsidRDefault="00D75A6A" w:rsidP="00165179">
            <w:pPr>
              <w:jc w:val="both"/>
              <w:rPr>
                <w:rFonts w:ascii="Corbel" w:hAnsi="Corbel"/>
                <w:sz w:val="20"/>
                <w:szCs w:val="20"/>
              </w:rPr>
            </w:pPr>
            <w:r w:rsidRPr="00371492">
              <w:rPr>
                <w:rFonts w:ascii="Corbel" w:hAnsi="Corbel"/>
                <w:sz w:val="20"/>
                <w:szCs w:val="20"/>
              </w:rPr>
              <w:t>Materieel en immaterieel</w:t>
            </w:r>
          </w:p>
        </w:tc>
      </w:tr>
      <w:tr w:rsidR="00D75A6A" w:rsidRPr="00371492" w14:paraId="73EB4591" w14:textId="77777777" w:rsidTr="00360551">
        <w:tc>
          <w:tcPr>
            <w:tcW w:w="2235" w:type="dxa"/>
          </w:tcPr>
          <w:p w14:paraId="73C10715" w14:textId="77777777" w:rsidR="00D75A6A" w:rsidRPr="00371492" w:rsidRDefault="00D75A6A" w:rsidP="00165179">
            <w:pPr>
              <w:jc w:val="both"/>
              <w:rPr>
                <w:rFonts w:ascii="Corbel" w:hAnsi="Corbel"/>
                <w:sz w:val="20"/>
                <w:szCs w:val="20"/>
              </w:rPr>
            </w:pPr>
            <w:r w:rsidRPr="00371492">
              <w:rPr>
                <w:rFonts w:ascii="Corbel" w:hAnsi="Corbel"/>
                <w:sz w:val="20"/>
                <w:szCs w:val="20"/>
              </w:rPr>
              <w:t>Frequentie</w:t>
            </w:r>
          </w:p>
        </w:tc>
        <w:tc>
          <w:tcPr>
            <w:tcW w:w="6945" w:type="dxa"/>
            <w:gridSpan w:val="2"/>
          </w:tcPr>
          <w:p w14:paraId="4F39B540" w14:textId="77777777" w:rsidR="00D75A6A" w:rsidRPr="00371492" w:rsidRDefault="00D75A6A" w:rsidP="00165179">
            <w:pPr>
              <w:jc w:val="both"/>
              <w:rPr>
                <w:rFonts w:ascii="Corbel" w:hAnsi="Corbel"/>
                <w:sz w:val="20"/>
                <w:szCs w:val="20"/>
              </w:rPr>
            </w:pPr>
            <w:r w:rsidRPr="00371492">
              <w:rPr>
                <w:rFonts w:ascii="Corbel" w:hAnsi="Corbel" w:cs="Calibri"/>
                <w:sz w:val="20"/>
                <w:szCs w:val="20"/>
              </w:rPr>
              <w:t>Kansen op overstroming komen overeen met de wettelijke veiligheidsnormen die op 1 januari 2017 van kracht zijn geworden.</w:t>
            </w:r>
          </w:p>
        </w:tc>
      </w:tr>
      <w:tr w:rsidR="00D75A6A" w:rsidRPr="00371492" w14:paraId="0F636283" w14:textId="77777777" w:rsidTr="00360551">
        <w:tc>
          <w:tcPr>
            <w:tcW w:w="2235" w:type="dxa"/>
            <w:shd w:val="clear" w:color="auto" w:fill="DEEAF6" w:themeFill="accent1" w:themeFillTint="33"/>
          </w:tcPr>
          <w:p w14:paraId="23D8CC68" w14:textId="77777777" w:rsidR="00D75A6A" w:rsidRPr="00371492" w:rsidRDefault="00D75A6A" w:rsidP="00165179">
            <w:pPr>
              <w:jc w:val="both"/>
              <w:rPr>
                <w:rFonts w:ascii="Corbel" w:hAnsi="Corbel"/>
                <w:sz w:val="20"/>
                <w:szCs w:val="20"/>
              </w:rPr>
            </w:pPr>
            <w:r w:rsidRPr="00371492">
              <w:rPr>
                <w:rFonts w:ascii="Corbel" w:hAnsi="Corbel"/>
                <w:sz w:val="20"/>
                <w:szCs w:val="20"/>
              </w:rPr>
              <w:t>IBRA-conclusie frequentie</w:t>
            </w:r>
          </w:p>
        </w:tc>
        <w:tc>
          <w:tcPr>
            <w:tcW w:w="6945" w:type="dxa"/>
            <w:gridSpan w:val="2"/>
            <w:shd w:val="clear" w:color="auto" w:fill="DEEAF6" w:themeFill="accent1" w:themeFillTint="33"/>
          </w:tcPr>
          <w:p w14:paraId="4F2667A7" w14:textId="77777777" w:rsidR="00D75A6A" w:rsidRPr="00371492" w:rsidRDefault="00D75A6A" w:rsidP="00165179">
            <w:pPr>
              <w:jc w:val="both"/>
              <w:rPr>
                <w:rFonts w:ascii="Corbel" w:hAnsi="Corbel"/>
                <w:sz w:val="20"/>
                <w:szCs w:val="20"/>
              </w:rPr>
            </w:pPr>
            <w:r w:rsidRPr="00371492">
              <w:rPr>
                <w:rFonts w:ascii="Corbel" w:hAnsi="Corbel"/>
                <w:sz w:val="20"/>
                <w:szCs w:val="20"/>
              </w:rPr>
              <w:t xml:space="preserve">1x/10.000jaar </w:t>
            </w:r>
          </w:p>
        </w:tc>
      </w:tr>
      <w:tr w:rsidR="00D75A6A" w:rsidRPr="00371492" w14:paraId="7EC57363" w14:textId="77777777" w:rsidTr="00360551">
        <w:tc>
          <w:tcPr>
            <w:tcW w:w="2235" w:type="dxa"/>
          </w:tcPr>
          <w:p w14:paraId="72C70431" w14:textId="77777777" w:rsidR="00D75A6A" w:rsidRPr="00371492" w:rsidRDefault="00D75A6A" w:rsidP="00165179">
            <w:pPr>
              <w:jc w:val="both"/>
              <w:rPr>
                <w:rFonts w:ascii="Corbel" w:hAnsi="Corbel"/>
                <w:sz w:val="20"/>
                <w:szCs w:val="20"/>
              </w:rPr>
            </w:pPr>
            <w:r w:rsidRPr="00371492">
              <w:rPr>
                <w:rFonts w:ascii="Corbel" w:hAnsi="Corbel"/>
                <w:sz w:val="20"/>
                <w:szCs w:val="20"/>
              </w:rPr>
              <w:t>Grootheden die de schade bepalen</w:t>
            </w:r>
          </w:p>
        </w:tc>
        <w:tc>
          <w:tcPr>
            <w:tcW w:w="6945" w:type="dxa"/>
            <w:gridSpan w:val="2"/>
          </w:tcPr>
          <w:p w14:paraId="57F8CC60" w14:textId="77777777" w:rsidR="00D75A6A" w:rsidRPr="00371492" w:rsidRDefault="00D75A6A" w:rsidP="00165179">
            <w:pPr>
              <w:jc w:val="both"/>
              <w:rPr>
                <w:rFonts w:ascii="Corbel" w:hAnsi="Corbel"/>
                <w:sz w:val="20"/>
                <w:szCs w:val="20"/>
              </w:rPr>
            </w:pPr>
            <w:r w:rsidRPr="00371492">
              <w:rPr>
                <w:rFonts w:ascii="Corbel" w:hAnsi="Corbel"/>
                <w:sz w:val="20"/>
                <w:szCs w:val="20"/>
              </w:rPr>
              <w:t>Doden, gewonden, materiële schade, economische en maatschappelijke ontwrichting.</w:t>
            </w:r>
          </w:p>
        </w:tc>
      </w:tr>
      <w:tr w:rsidR="00D75A6A" w:rsidRPr="00371492" w14:paraId="4651372D" w14:textId="77777777" w:rsidTr="00360551">
        <w:tc>
          <w:tcPr>
            <w:tcW w:w="2235" w:type="dxa"/>
          </w:tcPr>
          <w:p w14:paraId="77E8881C" w14:textId="77777777" w:rsidR="00D75A6A" w:rsidRPr="00371492" w:rsidRDefault="00D75A6A" w:rsidP="00165179">
            <w:pPr>
              <w:jc w:val="both"/>
              <w:rPr>
                <w:rFonts w:ascii="Corbel" w:hAnsi="Corbel"/>
                <w:sz w:val="20"/>
                <w:szCs w:val="20"/>
              </w:rPr>
            </w:pPr>
            <w:r w:rsidRPr="00371492">
              <w:rPr>
                <w:rFonts w:ascii="Corbel" w:hAnsi="Corbel"/>
                <w:sz w:val="20"/>
                <w:szCs w:val="20"/>
              </w:rPr>
              <w:t>Effecten van het risico</w:t>
            </w:r>
          </w:p>
        </w:tc>
        <w:tc>
          <w:tcPr>
            <w:tcW w:w="6945" w:type="dxa"/>
            <w:gridSpan w:val="2"/>
          </w:tcPr>
          <w:p w14:paraId="2EBA90C9" w14:textId="77777777" w:rsidR="00D75A6A" w:rsidRPr="00371492" w:rsidRDefault="00D75A6A" w:rsidP="00165179">
            <w:pPr>
              <w:jc w:val="both"/>
              <w:rPr>
                <w:rFonts w:ascii="Corbel" w:hAnsi="Corbel"/>
                <w:sz w:val="20"/>
                <w:szCs w:val="20"/>
              </w:rPr>
            </w:pPr>
            <w:r w:rsidRPr="00371492">
              <w:rPr>
                <w:rFonts w:ascii="Corbel" w:hAnsi="Corbel" w:cs="Calibri"/>
                <w:sz w:val="20"/>
                <w:szCs w:val="20"/>
              </w:rPr>
              <w:t>Het maatschappelijk belang is zeer groot. Circa 60 % van Nederland ligt zo laag dat het kwetsbaar is voor overstroming vanuit zee, de grote rivieren of de grote meren. In dit gebied wonen circa 9 miljoen mensen en het grootste deel van het BNP wordt hier verdiend.</w:t>
            </w:r>
          </w:p>
        </w:tc>
      </w:tr>
      <w:tr w:rsidR="00D75A6A" w:rsidRPr="00371492" w14:paraId="4B604AC2" w14:textId="77777777" w:rsidTr="00360551">
        <w:tc>
          <w:tcPr>
            <w:tcW w:w="2235" w:type="dxa"/>
            <w:shd w:val="clear" w:color="auto" w:fill="DEEAF6" w:themeFill="accent1" w:themeFillTint="33"/>
          </w:tcPr>
          <w:p w14:paraId="34BE901E" w14:textId="77777777" w:rsidR="00D75A6A" w:rsidRPr="00371492" w:rsidRDefault="00D75A6A" w:rsidP="00165179">
            <w:pPr>
              <w:jc w:val="both"/>
              <w:rPr>
                <w:rFonts w:ascii="Corbel" w:hAnsi="Corbel"/>
                <w:sz w:val="20"/>
                <w:szCs w:val="20"/>
              </w:rPr>
            </w:pPr>
            <w:r w:rsidRPr="00371492">
              <w:rPr>
                <w:rFonts w:ascii="Corbel" w:hAnsi="Corbel"/>
                <w:sz w:val="20"/>
                <w:szCs w:val="20"/>
              </w:rPr>
              <w:t xml:space="preserve">IBRA-conclusie effecten [ *€ </w:t>
            </w:r>
            <w:proofErr w:type="spellStart"/>
            <w:r w:rsidRPr="00371492">
              <w:rPr>
                <w:rFonts w:ascii="Corbel" w:hAnsi="Corbel"/>
                <w:sz w:val="20"/>
                <w:szCs w:val="20"/>
              </w:rPr>
              <w:t>mln</w:t>
            </w:r>
            <w:proofErr w:type="spellEnd"/>
            <w:r w:rsidRPr="00371492">
              <w:rPr>
                <w:rFonts w:ascii="Corbel" w:hAnsi="Corbel"/>
                <w:sz w:val="20"/>
                <w:szCs w:val="20"/>
              </w:rPr>
              <w:t>/jaar]</w:t>
            </w:r>
          </w:p>
        </w:tc>
        <w:tc>
          <w:tcPr>
            <w:tcW w:w="6945" w:type="dxa"/>
            <w:gridSpan w:val="2"/>
            <w:shd w:val="clear" w:color="auto" w:fill="DEEAF6" w:themeFill="accent1" w:themeFillTint="33"/>
          </w:tcPr>
          <w:p w14:paraId="0DAB8F6A" w14:textId="77777777" w:rsidR="00D75A6A" w:rsidRPr="00371492" w:rsidRDefault="00D75A6A" w:rsidP="00165179">
            <w:pPr>
              <w:jc w:val="both"/>
              <w:rPr>
                <w:rFonts w:ascii="Corbel" w:hAnsi="Corbel" w:cs="Calibri"/>
                <w:sz w:val="20"/>
                <w:szCs w:val="20"/>
              </w:rPr>
            </w:pPr>
            <w:r w:rsidRPr="00371492">
              <w:rPr>
                <w:rFonts w:ascii="Corbel" w:hAnsi="Corbel" w:cs="Calibri"/>
                <w:sz w:val="20"/>
                <w:szCs w:val="20"/>
              </w:rPr>
              <w:t xml:space="preserve">Kostenschatting uitvoering Deltaprogramma €26 miljard, +/- 50%. Het gaat om 207 (primaire?) dijktrajecten. Gemiddelde economische schade per dijktraject bij overstroming: € 4 miljard. Dit is € 0,04 </w:t>
            </w:r>
            <w:proofErr w:type="spellStart"/>
            <w:r w:rsidRPr="00371492">
              <w:rPr>
                <w:rFonts w:ascii="Corbel" w:hAnsi="Corbel" w:cs="Calibri"/>
                <w:sz w:val="20"/>
                <w:szCs w:val="20"/>
              </w:rPr>
              <w:t>mln</w:t>
            </w:r>
            <w:proofErr w:type="spellEnd"/>
            <w:r w:rsidRPr="00371492">
              <w:rPr>
                <w:rFonts w:ascii="Corbel" w:hAnsi="Corbel" w:cs="Calibri"/>
                <w:sz w:val="20"/>
                <w:szCs w:val="20"/>
              </w:rPr>
              <w:t xml:space="preserve">/jaar. Gemiddeld aantal dodelijke slachtoffers per dijktraject bij overstroming: 200. Als we voor VOSL (Value of a Statistical Life) €6,7 miljoen per dodelijk slachtoffer hanteren, dan gaat het om €1,34 miljard aan immateriële schade. Dat is € 0,01 </w:t>
            </w:r>
            <w:proofErr w:type="spellStart"/>
            <w:r w:rsidRPr="00371492">
              <w:rPr>
                <w:rFonts w:ascii="Corbel" w:hAnsi="Corbel" w:cs="Calibri"/>
                <w:sz w:val="20"/>
                <w:szCs w:val="20"/>
              </w:rPr>
              <w:t>mln</w:t>
            </w:r>
            <w:proofErr w:type="spellEnd"/>
            <w:r w:rsidRPr="00371492">
              <w:rPr>
                <w:rFonts w:ascii="Corbel" w:hAnsi="Corbel" w:cs="Calibri"/>
                <w:sz w:val="20"/>
                <w:szCs w:val="20"/>
              </w:rPr>
              <w:t>/jaar bij bezwijken van 1 dijktraject. De totale geaccepteerde schade bij overstroming van de primaire waterkeringen in Nederland bedraagt dan:</w:t>
            </w:r>
          </w:p>
          <w:p w14:paraId="09A9980C" w14:textId="77777777" w:rsidR="00D75A6A" w:rsidRPr="00371492" w:rsidRDefault="00D75A6A" w:rsidP="00165179">
            <w:pPr>
              <w:jc w:val="both"/>
              <w:rPr>
                <w:rFonts w:ascii="Corbel" w:hAnsi="Corbel" w:cs="Calibri"/>
                <w:sz w:val="20"/>
                <w:szCs w:val="20"/>
              </w:rPr>
            </w:pPr>
            <w:r w:rsidRPr="00371492">
              <w:rPr>
                <w:rFonts w:ascii="Corbel" w:hAnsi="Corbel" w:cs="Calibri"/>
                <w:sz w:val="20"/>
                <w:szCs w:val="20"/>
              </w:rPr>
              <w:t xml:space="preserve">(207 x 4) + (207 x 1,34) = € 1105 miljard </w:t>
            </w:r>
          </w:p>
          <w:p w14:paraId="4A3AC339" w14:textId="77777777" w:rsidR="00D75A6A" w:rsidRPr="00371492" w:rsidRDefault="00D75A6A" w:rsidP="00165179">
            <w:pPr>
              <w:jc w:val="both"/>
              <w:rPr>
                <w:rFonts w:ascii="Corbel" w:hAnsi="Corbel"/>
                <w:sz w:val="20"/>
                <w:szCs w:val="20"/>
              </w:rPr>
            </w:pPr>
            <w:r w:rsidRPr="00371492">
              <w:rPr>
                <w:rFonts w:ascii="Corbel" w:hAnsi="Corbel"/>
                <w:sz w:val="20"/>
                <w:szCs w:val="20"/>
              </w:rPr>
              <w:t>Nog te bepalen voor de omvang van dit risico: welk aantal dijken gelijktijdig bezwijken.</w:t>
            </w:r>
          </w:p>
        </w:tc>
      </w:tr>
      <w:tr w:rsidR="00D75A6A" w:rsidRPr="00371492" w14:paraId="65CF62CC" w14:textId="77777777" w:rsidTr="00360551">
        <w:trPr>
          <w:gridAfter w:val="1"/>
          <w:wAfter w:w="7" w:type="dxa"/>
        </w:trPr>
        <w:tc>
          <w:tcPr>
            <w:tcW w:w="2235" w:type="dxa"/>
            <w:shd w:val="clear" w:color="auto" w:fill="DEEAF6" w:themeFill="accent1" w:themeFillTint="33"/>
          </w:tcPr>
          <w:p w14:paraId="4820C147" w14:textId="77777777" w:rsidR="00D75A6A" w:rsidRPr="00371492" w:rsidRDefault="00D75A6A" w:rsidP="00165179">
            <w:pPr>
              <w:jc w:val="both"/>
              <w:rPr>
                <w:rFonts w:ascii="Corbel" w:hAnsi="Corbel"/>
                <w:sz w:val="20"/>
                <w:szCs w:val="20"/>
              </w:rPr>
            </w:pPr>
          </w:p>
        </w:tc>
        <w:tc>
          <w:tcPr>
            <w:tcW w:w="6938" w:type="dxa"/>
            <w:shd w:val="clear" w:color="auto" w:fill="DEEAF6" w:themeFill="accent1" w:themeFillTint="33"/>
          </w:tcPr>
          <w:tbl>
            <w:tblPr>
              <w:tblStyle w:val="Tabelraster"/>
              <w:tblW w:w="0" w:type="auto"/>
              <w:tblLayout w:type="fixed"/>
              <w:tblLook w:val="04A0" w:firstRow="1" w:lastRow="0" w:firstColumn="1" w:lastColumn="0" w:noHBand="0" w:noVBand="1"/>
            </w:tblPr>
            <w:tblGrid>
              <w:gridCol w:w="1446"/>
              <w:gridCol w:w="1276"/>
            </w:tblGrid>
            <w:tr w:rsidR="00D75A6A" w:rsidRPr="00371492" w14:paraId="7AE507E6" w14:textId="77777777" w:rsidTr="00360551">
              <w:tc>
                <w:tcPr>
                  <w:tcW w:w="1446" w:type="dxa"/>
                </w:tcPr>
                <w:p w14:paraId="2BA3A19A" w14:textId="77777777" w:rsidR="00D75A6A" w:rsidRPr="00371492" w:rsidRDefault="00D75A6A" w:rsidP="00165179">
                  <w:pPr>
                    <w:jc w:val="both"/>
                    <w:rPr>
                      <w:rFonts w:ascii="Corbel" w:hAnsi="Corbel"/>
                      <w:sz w:val="20"/>
                      <w:szCs w:val="20"/>
                    </w:rPr>
                  </w:pPr>
                  <w:r w:rsidRPr="00371492">
                    <w:rPr>
                      <w:rFonts w:ascii="Corbel" w:hAnsi="Corbel"/>
                      <w:sz w:val="20"/>
                      <w:szCs w:val="20"/>
                    </w:rPr>
                    <w:t>Fysieke schade</w:t>
                  </w:r>
                </w:p>
              </w:tc>
              <w:tc>
                <w:tcPr>
                  <w:tcW w:w="1276" w:type="dxa"/>
                </w:tcPr>
                <w:p w14:paraId="3F7B5E7F" w14:textId="77777777" w:rsidR="00D75A6A" w:rsidRPr="00371492" w:rsidRDefault="00D75A6A" w:rsidP="00165179">
                  <w:pPr>
                    <w:jc w:val="both"/>
                    <w:rPr>
                      <w:rFonts w:ascii="Corbel" w:hAnsi="Corbel"/>
                      <w:sz w:val="20"/>
                      <w:szCs w:val="20"/>
                    </w:rPr>
                  </w:pPr>
                  <w:r w:rsidRPr="00371492">
                    <w:rPr>
                      <w:rFonts w:ascii="Corbel" w:hAnsi="Corbel"/>
                      <w:sz w:val="20"/>
                      <w:szCs w:val="20"/>
                    </w:rPr>
                    <w:t>#</w:t>
                  </w:r>
                </w:p>
              </w:tc>
            </w:tr>
            <w:tr w:rsidR="00D75A6A" w:rsidRPr="00371492" w14:paraId="72A64326" w14:textId="77777777" w:rsidTr="00360551">
              <w:tc>
                <w:tcPr>
                  <w:tcW w:w="1446" w:type="dxa"/>
                </w:tcPr>
                <w:p w14:paraId="3F6CF39F" w14:textId="77777777" w:rsidR="00D75A6A" w:rsidRPr="00371492" w:rsidRDefault="00D75A6A" w:rsidP="00165179">
                  <w:pPr>
                    <w:jc w:val="both"/>
                    <w:rPr>
                      <w:rFonts w:ascii="Corbel" w:hAnsi="Corbel"/>
                      <w:sz w:val="20"/>
                      <w:szCs w:val="20"/>
                    </w:rPr>
                  </w:pPr>
                  <w:r w:rsidRPr="00371492">
                    <w:rPr>
                      <w:rFonts w:ascii="Corbel" w:hAnsi="Corbel"/>
                      <w:sz w:val="20"/>
                      <w:szCs w:val="20"/>
                    </w:rPr>
                    <w:t>Gezondheid</w:t>
                  </w:r>
                </w:p>
              </w:tc>
              <w:tc>
                <w:tcPr>
                  <w:tcW w:w="1276" w:type="dxa"/>
                </w:tcPr>
                <w:p w14:paraId="51CAF859" w14:textId="77777777" w:rsidR="00D75A6A" w:rsidRPr="00371492" w:rsidRDefault="00D75A6A" w:rsidP="00165179">
                  <w:pPr>
                    <w:jc w:val="both"/>
                    <w:rPr>
                      <w:rFonts w:ascii="Corbel" w:hAnsi="Corbel"/>
                      <w:sz w:val="20"/>
                      <w:szCs w:val="20"/>
                    </w:rPr>
                  </w:pPr>
                </w:p>
              </w:tc>
            </w:tr>
            <w:tr w:rsidR="00D75A6A" w:rsidRPr="00371492" w14:paraId="2B1CE6D2" w14:textId="77777777" w:rsidTr="00360551">
              <w:tc>
                <w:tcPr>
                  <w:tcW w:w="1446" w:type="dxa"/>
                </w:tcPr>
                <w:p w14:paraId="6F6AFA52" w14:textId="77777777" w:rsidR="00D75A6A" w:rsidRPr="00371492" w:rsidRDefault="00D75A6A" w:rsidP="00165179">
                  <w:pPr>
                    <w:jc w:val="both"/>
                    <w:rPr>
                      <w:rFonts w:ascii="Corbel" w:hAnsi="Corbel"/>
                      <w:sz w:val="20"/>
                      <w:szCs w:val="20"/>
                    </w:rPr>
                  </w:pPr>
                  <w:r w:rsidRPr="00371492">
                    <w:rPr>
                      <w:rFonts w:ascii="Corbel" w:hAnsi="Corbel"/>
                      <w:sz w:val="20"/>
                      <w:szCs w:val="20"/>
                    </w:rPr>
                    <w:t>Milieu</w:t>
                  </w:r>
                </w:p>
              </w:tc>
              <w:tc>
                <w:tcPr>
                  <w:tcW w:w="1276" w:type="dxa"/>
                </w:tcPr>
                <w:p w14:paraId="7611FCD1" w14:textId="77777777" w:rsidR="00D75A6A" w:rsidRPr="00371492" w:rsidRDefault="00D75A6A" w:rsidP="00165179">
                  <w:pPr>
                    <w:jc w:val="both"/>
                    <w:rPr>
                      <w:rFonts w:ascii="Corbel" w:hAnsi="Corbel"/>
                      <w:sz w:val="20"/>
                      <w:szCs w:val="20"/>
                    </w:rPr>
                  </w:pPr>
                </w:p>
              </w:tc>
            </w:tr>
            <w:tr w:rsidR="00D75A6A" w:rsidRPr="00371492" w14:paraId="49551BA8" w14:textId="77777777" w:rsidTr="00360551">
              <w:tc>
                <w:tcPr>
                  <w:tcW w:w="1446" w:type="dxa"/>
                </w:tcPr>
                <w:p w14:paraId="0ECFDABD" w14:textId="77777777" w:rsidR="00D75A6A" w:rsidRPr="00371492" w:rsidRDefault="00D75A6A" w:rsidP="00165179">
                  <w:pPr>
                    <w:jc w:val="both"/>
                    <w:rPr>
                      <w:rFonts w:ascii="Corbel" w:hAnsi="Corbel"/>
                      <w:sz w:val="20"/>
                      <w:szCs w:val="20"/>
                    </w:rPr>
                  </w:pPr>
                  <w:r w:rsidRPr="00371492">
                    <w:rPr>
                      <w:rFonts w:ascii="Corbel" w:hAnsi="Corbel"/>
                      <w:sz w:val="20"/>
                      <w:szCs w:val="20"/>
                    </w:rPr>
                    <w:t>Transportnet</w:t>
                  </w:r>
                </w:p>
              </w:tc>
              <w:tc>
                <w:tcPr>
                  <w:tcW w:w="1276" w:type="dxa"/>
                </w:tcPr>
                <w:p w14:paraId="57072CF8" w14:textId="77777777" w:rsidR="00D75A6A" w:rsidRPr="00371492" w:rsidRDefault="00D75A6A" w:rsidP="00165179">
                  <w:pPr>
                    <w:jc w:val="both"/>
                    <w:rPr>
                      <w:rFonts w:ascii="Corbel" w:hAnsi="Corbel"/>
                      <w:sz w:val="20"/>
                      <w:szCs w:val="20"/>
                    </w:rPr>
                  </w:pPr>
                </w:p>
              </w:tc>
            </w:tr>
            <w:tr w:rsidR="00D75A6A" w:rsidRPr="00371492" w14:paraId="1711DE4B" w14:textId="77777777" w:rsidTr="00360551">
              <w:tc>
                <w:tcPr>
                  <w:tcW w:w="1446" w:type="dxa"/>
                </w:tcPr>
                <w:p w14:paraId="6112D5A5" w14:textId="77777777" w:rsidR="00D75A6A" w:rsidRPr="00371492" w:rsidRDefault="00D75A6A" w:rsidP="00165179">
                  <w:pPr>
                    <w:jc w:val="both"/>
                    <w:rPr>
                      <w:rFonts w:ascii="Corbel" w:hAnsi="Corbel"/>
                      <w:sz w:val="20"/>
                      <w:szCs w:val="20"/>
                    </w:rPr>
                  </w:pPr>
                  <w:r w:rsidRPr="00371492">
                    <w:rPr>
                      <w:rFonts w:ascii="Corbel" w:hAnsi="Corbel"/>
                      <w:sz w:val="20"/>
                      <w:szCs w:val="20"/>
                    </w:rPr>
                    <w:t>Economie</w:t>
                  </w:r>
                </w:p>
              </w:tc>
              <w:tc>
                <w:tcPr>
                  <w:tcW w:w="1276" w:type="dxa"/>
                </w:tcPr>
                <w:p w14:paraId="2A9AFE13" w14:textId="77777777" w:rsidR="00D75A6A" w:rsidRPr="00371492" w:rsidRDefault="00D75A6A" w:rsidP="00165179">
                  <w:pPr>
                    <w:jc w:val="both"/>
                    <w:rPr>
                      <w:rFonts w:ascii="Corbel" w:hAnsi="Corbel"/>
                      <w:sz w:val="20"/>
                      <w:szCs w:val="20"/>
                    </w:rPr>
                  </w:pPr>
                  <w:r w:rsidRPr="00371492">
                    <w:rPr>
                      <w:rFonts w:ascii="Corbel" w:hAnsi="Corbel"/>
                      <w:sz w:val="20"/>
                      <w:szCs w:val="20"/>
                    </w:rPr>
                    <w:t>#</w:t>
                  </w:r>
                </w:p>
              </w:tc>
            </w:tr>
            <w:tr w:rsidR="00D75A6A" w:rsidRPr="00371492" w14:paraId="343AEFBC" w14:textId="77777777" w:rsidTr="00360551">
              <w:tc>
                <w:tcPr>
                  <w:tcW w:w="1446" w:type="dxa"/>
                </w:tcPr>
                <w:p w14:paraId="2389B059" w14:textId="77777777" w:rsidR="00D75A6A" w:rsidRPr="00371492" w:rsidRDefault="00D75A6A" w:rsidP="00165179">
                  <w:pPr>
                    <w:jc w:val="both"/>
                    <w:rPr>
                      <w:rFonts w:ascii="Corbel" w:hAnsi="Corbel"/>
                      <w:sz w:val="20"/>
                      <w:szCs w:val="20"/>
                    </w:rPr>
                  </w:pPr>
                  <w:r w:rsidRPr="00371492">
                    <w:rPr>
                      <w:rFonts w:ascii="Corbel" w:hAnsi="Corbel"/>
                      <w:sz w:val="20"/>
                      <w:szCs w:val="20"/>
                    </w:rPr>
                    <w:t>Instituties</w:t>
                  </w:r>
                </w:p>
              </w:tc>
              <w:tc>
                <w:tcPr>
                  <w:tcW w:w="1276" w:type="dxa"/>
                </w:tcPr>
                <w:p w14:paraId="743F1CA6" w14:textId="77777777" w:rsidR="00D75A6A" w:rsidRPr="00371492" w:rsidRDefault="00D75A6A" w:rsidP="00165179">
                  <w:pPr>
                    <w:jc w:val="both"/>
                    <w:rPr>
                      <w:rFonts w:ascii="Corbel" w:hAnsi="Corbel"/>
                      <w:sz w:val="20"/>
                      <w:szCs w:val="20"/>
                    </w:rPr>
                  </w:pPr>
                </w:p>
              </w:tc>
            </w:tr>
          </w:tbl>
          <w:p w14:paraId="540BDAA2" w14:textId="77777777" w:rsidR="00D75A6A" w:rsidRPr="00371492" w:rsidDel="0064446A" w:rsidRDefault="00D75A6A" w:rsidP="00165179">
            <w:pPr>
              <w:jc w:val="both"/>
              <w:rPr>
                <w:rFonts w:ascii="Corbel" w:eastAsia="Times New Roman" w:hAnsi="Corbel" w:cs="Calibri"/>
                <w:sz w:val="20"/>
                <w:szCs w:val="20"/>
              </w:rPr>
            </w:pPr>
          </w:p>
        </w:tc>
      </w:tr>
      <w:tr w:rsidR="00D75A6A" w:rsidRPr="00371492" w14:paraId="04CE7CA8" w14:textId="77777777" w:rsidTr="00360551">
        <w:tc>
          <w:tcPr>
            <w:tcW w:w="2235" w:type="dxa"/>
          </w:tcPr>
          <w:p w14:paraId="600E262A" w14:textId="77777777" w:rsidR="00D75A6A" w:rsidRPr="00371492" w:rsidRDefault="00D75A6A" w:rsidP="00165179">
            <w:pPr>
              <w:jc w:val="both"/>
              <w:rPr>
                <w:rFonts w:ascii="Corbel" w:hAnsi="Corbel"/>
                <w:sz w:val="20"/>
                <w:szCs w:val="20"/>
              </w:rPr>
            </w:pPr>
            <w:r w:rsidRPr="00371492">
              <w:rPr>
                <w:rFonts w:ascii="Corbel" w:hAnsi="Corbel"/>
                <w:sz w:val="20"/>
                <w:szCs w:val="20"/>
              </w:rPr>
              <w:t>Verwijzingen</w:t>
            </w:r>
          </w:p>
        </w:tc>
        <w:tc>
          <w:tcPr>
            <w:tcW w:w="6945" w:type="dxa"/>
            <w:gridSpan w:val="2"/>
          </w:tcPr>
          <w:p w14:paraId="19DB1557" w14:textId="77777777" w:rsidR="00D75A6A" w:rsidRPr="00371492" w:rsidRDefault="00D75A6A" w:rsidP="00165179">
            <w:pPr>
              <w:jc w:val="both"/>
              <w:rPr>
                <w:rFonts w:ascii="Corbel" w:hAnsi="Corbel"/>
                <w:sz w:val="20"/>
                <w:szCs w:val="20"/>
              </w:rPr>
            </w:pPr>
            <w:r w:rsidRPr="00371492">
              <w:rPr>
                <w:rFonts w:ascii="Corbel" w:hAnsi="Corbel"/>
                <w:sz w:val="20"/>
                <w:szCs w:val="20"/>
              </w:rPr>
              <w:t>http://www.helpdeskwater.nl/publish/pages/37002/normering_primaire_waterkeringen_hoofdrapport_28juni2016.pdf</w:t>
            </w:r>
          </w:p>
        </w:tc>
      </w:tr>
      <w:tr w:rsidR="00D75A6A" w:rsidRPr="00371492" w14:paraId="70A44CBD" w14:textId="77777777" w:rsidTr="00360551">
        <w:tc>
          <w:tcPr>
            <w:tcW w:w="2235" w:type="dxa"/>
          </w:tcPr>
          <w:p w14:paraId="0090E88A" w14:textId="77777777" w:rsidR="00D75A6A" w:rsidRPr="00371492" w:rsidRDefault="00D75A6A" w:rsidP="00165179">
            <w:pPr>
              <w:jc w:val="both"/>
              <w:rPr>
                <w:rFonts w:ascii="Corbel" w:hAnsi="Corbel"/>
                <w:sz w:val="20"/>
                <w:szCs w:val="20"/>
              </w:rPr>
            </w:pPr>
            <w:r w:rsidRPr="00371492">
              <w:rPr>
                <w:rFonts w:ascii="Corbel" w:hAnsi="Corbel"/>
                <w:sz w:val="20"/>
                <w:szCs w:val="20"/>
              </w:rPr>
              <w:t>Handelingsperspectief</w:t>
            </w:r>
          </w:p>
        </w:tc>
        <w:tc>
          <w:tcPr>
            <w:tcW w:w="6945" w:type="dxa"/>
            <w:gridSpan w:val="2"/>
          </w:tcPr>
          <w:p w14:paraId="5235AFC0" w14:textId="77777777" w:rsidR="00D75A6A" w:rsidRPr="00371492" w:rsidRDefault="00D75A6A" w:rsidP="00165179">
            <w:pPr>
              <w:jc w:val="both"/>
              <w:rPr>
                <w:rFonts w:ascii="Corbel" w:hAnsi="Corbel"/>
                <w:sz w:val="20"/>
                <w:szCs w:val="20"/>
              </w:rPr>
            </w:pPr>
            <w:r w:rsidRPr="00371492">
              <w:rPr>
                <w:rFonts w:ascii="Corbel" w:hAnsi="Corbel"/>
                <w:sz w:val="20"/>
                <w:szCs w:val="20"/>
              </w:rPr>
              <w:t>Wordt in volgende fase ingevuld</w:t>
            </w:r>
          </w:p>
        </w:tc>
      </w:tr>
      <w:tr w:rsidR="00D75A6A" w:rsidRPr="00371492" w14:paraId="7E7BD095" w14:textId="77777777" w:rsidTr="00360551">
        <w:tc>
          <w:tcPr>
            <w:tcW w:w="2235" w:type="dxa"/>
          </w:tcPr>
          <w:p w14:paraId="6A20DADB" w14:textId="77777777" w:rsidR="00D75A6A" w:rsidRPr="00371492" w:rsidRDefault="00D75A6A" w:rsidP="00165179">
            <w:pPr>
              <w:jc w:val="both"/>
              <w:rPr>
                <w:rFonts w:ascii="Corbel" w:hAnsi="Corbel"/>
                <w:sz w:val="20"/>
                <w:szCs w:val="20"/>
              </w:rPr>
            </w:pPr>
            <w:r w:rsidRPr="00371492">
              <w:rPr>
                <w:rFonts w:ascii="Corbel" w:hAnsi="Corbel"/>
                <w:sz w:val="20"/>
                <w:szCs w:val="20"/>
              </w:rPr>
              <w:t>Perspectieven</w:t>
            </w:r>
          </w:p>
        </w:tc>
        <w:tc>
          <w:tcPr>
            <w:tcW w:w="6945" w:type="dxa"/>
            <w:gridSpan w:val="2"/>
          </w:tcPr>
          <w:p w14:paraId="0978E87E" w14:textId="77777777" w:rsidR="00D75A6A" w:rsidRPr="00371492" w:rsidRDefault="00D75A6A" w:rsidP="00165179">
            <w:pPr>
              <w:jc w:val="both"/>
              <w:rPr>
                <w:rFonts w:ascii="Corbel" w:hAnsi="Corbel"/>
                <w:sz w:val="20"/>
                <w:szCs w:val="20"/>
              </w:rPr>
            </w:pPr>
            <w:r w:rsidRPr="00371492">
              <w:rPr>
                <w:rFonts w:ascii="Corbel" w:hAnsi="Corbel"/>
                <w:sz w:val="20"/>
                <w:szCs w:val="20"/>
              </w:rPr>
              <w:t>Fysieke schade, instituties</w:t>
            </w:r>
          </w:p>
        </w:tc>
      </w:tr>
    </w:tbl>
    <w:p w14:paraId="6EFDE7C6" w14:textId="77777777" w:rsidR="00D75A6A" w:rsidRPr="00371492" w:rsidRDefault="00D75A6A" w:rsidP="00165179">
      <w:pPr>
        <w:jc w:val="both"/>
        <w:rPr>
          <w:rFonts w:ascii="Corbel" w:hAnsi="Corbel"/>
          <w:sz w:val="20"/>
          <w:szCs w:val="20"/>
        </w:rPr>
      </w:pPr>
    </w:p>
    <w:p w14:paraId="1DB19CAE" w14:textId="77777777" w:rsidR="00D75A6A" w:rsidRPr="00371492" w:rsidRDefault="00D75A6A" w:rsidP="00165179">
      <w:pPr>
        <w:jc w:val="both"/>
        <w:rPr>
          <w:rFonts w:ascii="Corbel" w:hAnsi="Corbel"/>
          <w:sz w:val="20"/>
          <w:szCs w:val="20"/>
        </w:rPr>
      </w:pPr>
    </w:p>
    <w:p w14:paraId="41D47B87" w14:textId="77777777" w:rsidR="00D75A6A" w:rsidRPr="00371492" w:rsidRDefault="00D75A6A" w:rsidP="00165179">
      <w:pPr>
        <w:jc w:val="both"/>
        <w:rPr>
          <w:rFonts w:ascii="Corbel" w:hAnsi="Corbel"/>
          <w:sz w:val="20"/>
          <w:szCs w:val="20"/>
        </w:rPr>
      </w:pPr>
    </w:p>
    <w:p w14:paraId="0F93CC5A" w14:textId="77777777" w:rsidR="008D09E3" w:rsidRPr="00371492" w:rsidRDefault="008D09E3" w:rsidP="00165179">
      <w:pPr>
        <w:jc w:val="both"/>
        <w:rPr>
          <w:rFonts w:ascii="Corbel" w:hAnsi="Corbel"/>
          <w:sz w:val="20"/>
          <w:szCs w:val="20"/>
        </w:rPr>
      </w:pPr>
    </w:p>
    <w:p w14:paraId="34135829" w14:textId="1C688291" w:rsidR="00D75A6A" w:rsidRPr="00371492" w:rsidRDefault="00400AF1" w:rsidP="00165179">
      <w:pPr>
        <w:pStyle w:val="Stijl2"/>
        <w:numPr>
          <w:ilvl w:val="0"/>
          <w:numId w:val="6"/>
        </w:numPr>
        <w:jc w:val="both"/>
        <w:rPr>
          <w:rFonts w:eastAsia="Tahoma"/>
        </w:rPr>
      </w:pPr>
      <w:bookmarkStart w:id="65" w:name="_Toc485990901"/>
      <w:r w:rsidRPr="00371492">
        <w:rPr>
          <w:rFonts w:eastAsia="Tahoma"/>
        </w:rPr>
        <w:lastRenderedPageBreak/>
        <w:t xml:space="preserve">Risicosheet casus 2: </w:t>
      </w:r>
      <w:r w:rsidR="00322EEB">
        <w:rPr>
          <w:rFonts w:eastAsia="Tahoma"/>
        </w:rPr>
        <w:t>o</w:t>
      </w:r>
      <w:r w:rsidR="002C024D" w:rsidRPr="00371492">
        <w:rPr>
          <w:rFonts w:eastAsia="Tahoma"/>
        </w:rPr>
        <w:t>ngewenste verspreiding genet</w:t>
      </w:r>
      <w:r w:rsidR="00A25BFC" w:rsidRPr="00371492">
        <w:rPr>
          <w:rFonts w:eastAsia="Tahoma"/>
        </w:rPr>
        <w:t>isch gemanipuleerde organismen</w:t>
      </w:r>
      <w:bookmarkEnd w:id="65"/>
    </w:p>
    <w:p w14:paraId="6529F0F6" w14:textId="7912E11C" w:rsidR="00D75A6A" w:rsidRPr="00371492" w:rsidRDefault="00D75A6A" w:rsidP="00165179">
      <w:pPr>
        <w:pStyle w:val="Huisstijl-Kopznr2"/>
        <w:numPr>
          <w:ilvl w:val="0"/>
          <w:numId w:val="0"/>
        </w:numPr>
        <w:pBdr>
          <w:top w:val="single" w:sz="18" w:space="1" w:color="auto" w:shadow="1"/>
          <w:left w:val="single" w:sz="18" w:space="4" w:color="auto" w:shadow="1"/>
          <w:bottom w:val="single" w:sz="18" w:space="1" w:color="auto" w:shadow="1"/>
          <w:right w:val="single" w:sz="18" w:space="4" w:color="auto" w:shadow="1"/>
        </w:pBdr>
        <w:shd w:val="clear" w:color="auto" w:fill="DEEAF6" w:themeFill="accent1" w:themeFillTint="33"/>
        <w:tabs>
          <w:tab w:val="clear" w:pos="0"/>
          <w:tab w:val="left" w:pos="1418"/>
        </w:tabs>
        <w:ind w:left="2127" w:hanging="2127"/>
        <w:jc w:val="both"/>
        <w:outlineLvl w:val="1"/>
        <w:rPr>
          <w:rFonts w:ascii="Corbel" w:hAnsi="Corbel"/>
          <w:sz w:val="20"/>
          <w:szCs w:val="20"/>
        </w:rPr>
      </w:pPr>
    </w:p>
    <w:tbl>
      <w:tblPr>
        <w:tblW w:w="0" w:type="auto"/>
        <w:tblBorders>
          <w:insideH w:val="single" w:sz="4" w:space="0" w:color="auto"/>
          <w:insideV w:val="single" w:sz="4" w:space="0" w:color="auto"/>
        </w:tblBorders>
        <w:tblLook w:val="04A0" w:firstRow="1" w:lastRow="0" w:firstColumn="1" w:lastColumn="0" w:noHBand="0" w:noVBand="1"/>
      </w:tblPr>
      <w:tblGrid>
        <w:gridCol w:w="2463"/>
        <w:gridCol w:w="6603"/>
      </w:tblGrid>
      <w:tr w:rsidR="00D75A6A" w:rsidRPr="00371492" w14:paraId="47C1CDA9" w14:textId="77777777" w:rsidTr="00360551">
        <w:tc>
          <w:tcPr>
            <w:tcW w:w="2547" w:type="dxa"/>
          </w:tcPr>
          <w:p w14:paraId="150E05EE" w14:textId="77777777" w:rsidR="00D75A6A" w:rsidRPr="00371492" w:rsidRDefault="00D75A6A" w:rsidP="00165179">
            <w:pPr>
              <w:jc w:val="both"/>
              <w:rPr>
                <w:rFonts w:ascii="Corbel" w:hAnsi="Corbel"/>
                <w:sz w:val="20"/>
                <w:szCs w:val="20"/>
              </w:rPr>
            </w:pPr>
            <w:r w:rsidRPr="00371492">
              <w:rPr>
                <w:rFonts w:ascii="Corbel" w:hAnsi="Corbel"/>
                <w:sz w:val="20"/>
                <w:szCs w:val="20"/>
              </w:rPr>
              <w:t>Domein</w:t>
            </w:r>
          </w:p>
        </w:tc>
        <w:tc>
          <w:tcPr>
            <w:tcW w:w="6626" w:type="dxa"/>
          </w:tcPr>
          <w:p w14:paraId="560638E7" w14:textId="77777777" w:rsidR="00D75A6A" w:rsidRPr="00371492" w:rsidRDefault="00D75A6A" w:rsidP="00165179">
            <w:pPr>
              <w:jc w:val="both"/>
              <w:rPr>
                <w:rFonts w:ascii="Corbel" w:hAnsi="Corbel"/>
                <w:sz w:val="20"/>
                <w:szCs w:val="20"/>
              </w:rPr>
            </w:pPr>
            <w:r w:rsidRPr="00371492">
              <w:rPr>
                <w:rFonts w:ascii="Corbel" w:hAnsi="Corbel"/>
                <w:sz w:val="20"/>
                <w:szCs w:val="20"/>
              </w:rPr>
              <w:t>Afval, Industrie en Bedrijven</w:t>
            </w:r>
          </w:p>
        </w:tc>
      </w:tr>
      <w:tr w:rsidR="00D75A6A" w:rsidRPr="00371492" w14:paraId="1FD314CA" w14:textId="77777777" w:rsidTr="00360551">
        <w:tc>
          <w:tcPr>
            <w:tcW w:w="2547" w:type="dxa"/>
          </w:tcPr>
          <w:p w14:paraId="70FB9AC4" w14:textId="77777777" w:rsidR="00D75A6A" w:rsidRPr="00371492" w:rsidRDefault="00D75A6A" w:rsidP="00165179">
            <w:pPr>
              <w:jc w:val="both"/>
              <w:rPr>
                <w:rFonts w:ascii="Corbel" w:hAnsi="Corbel"/>
                <w:sz w:val="20"/>
                <w:szCs w:val="20"/>
              </w:rPr>
            </w:pPr>
            <w:r w:rsidRPr="00371492">
              <w:rPr>
                <w:rFonts w:ascii="Corbel" w:hAnsi="Corbel"/>
                <w:sz w:val="20"/>
                <w:szCs w:val="20"/>
              </w:rPr>
              <w:t>Omschrijving risico</w:t>
            </w:r>
          </w:p>
        </w:tc>
        <w:tc>
          <w:tcPr>
            <w:tcW w:w="6626" w:type="dxa"/>
          </w:tcPr>
          <w:p w14:paraId="7F6D5141" w14:textId="77777777" w:rsidR="00D75A6A" w:rsidRPr="00371492" w:rsidRDefault="00D75A6A" w:rsidP="00165179">
            <w:pPr>
              <w:jc w:val="both"/>
              <w:rPr>
                <w:rFonts w:ascii="Corbel" w:hAnsi="Corbel"/>
                <w:sz w:val="20"/>
                <w:szCs w:val="20"/>
              </w:rPr>
            </w:pPr>
            <w:r w:rsidRPr="00371492">
              <w:rPr>
                <w:rFonts w:ascii="Corbel" w:hAnsi="Corbel"/>
                <w:sz w:val="20"/>
                <w:szCs w:val="20"/>
              </w:rPr>
              <w:t>Schade aan het milieu en gezondheid door de ongecontroleerde verspreiding van genetisch gemodificeerde organismen.</w:t>
            </w:r>
          </w:p>
        </w:tc>
      </w:tr>
      <w:tr w:rsidR="00D75A6A" w:rsidRPr="00371492" w14:paraId="5329540B" w14:textId="77777777" w:rsidTr="00360551">
        <w:tc>
          <w:tcPr>
            <w:tcW w:w="2547" w:type="dxa"/>
          </w:tcPr>
          <w:p w14:paraId="7FD14BB1" w14:textId="77777777" w:rsidR="00D75A6A" w:rsidRPr="00371492" w:rsidRDefault="00D75A6A" w:rsidP="00165179">
            <w:pPr>
              <w:jc w:val="both"/>
              <w:rPr>
                <w:rFonts w:ascii="Corbel" w:hAnsi="Corbel"/>
                <w:sz w:val="20"/>
                <w:szCs w:val="20"/>
              </w:rPr>
            </w:pPr>
            <w:r w:rsidRPr="00371492">
              <w:rPr>
                <w:rFonts w:ascii="Corbel" w:hAnsi="Corbel"/>
                <w:sz w:val="20"/>
                <w:szCs w:val="20"/>
              </w:rPr>
              <w:t>Populatie</w:t>
            </w:r>
          </w:p>
        </w:tc>
        <w:tc>
          <w:tcPr>
            <w:tcW w:w="6626" w:type="dxa"/>
          </w:tcPr>
          <w:p w14:paraId="1B51BBFD" w14:textId="77777777" w:rsidR="00D75A6A" w:rsidRPr="00371492" w:rsidRDefault="00D75A6A" w:rsidP="00165179">
            <w:pPr>
              <w:pStyle w:val="Lijstalinea"/>
              <w:numPr>
                <w:ilvl w:val="0"/>
                <w:numId w:val="13"/>
              </w:numPr>
              <w:autoSpaceDN w:val="0"/>
              <w:spacing w:line="240" w:lineRule="exact"/>
              <w:jc w:val="both"/>
              <w:textAlignment w:val="baseline"/>
              <w:rPr>
                <w:rFonts w:ascii="Corbel" w:hAnsi="Corbel"/>
                <w:sz w:val="20"/>
                <w:szCs w:val="20"/>
              </w:rPr>
            </w:pPr>
            <w:r w:rsidRPr="00371492">
              <w:rPr>
                <w:rFonts w:ascii="Corbel" w:hAnsi="Corbel"/>
                <w:sz w:val="20"/>
                <w:szCs w:val="20"/>
              </w:rPr>
              <w:t xml:space="preserve">Gehele </w:t>
            </w:r>
            <w:r w:rsidR="00625FCF" w:rsidRPr="00371492">
              <w:rPr>
                <w:rFonts w:ascii="Corbel" w:hAnsi="Corbel"/>
                <w:sz w:val="20"/>
                <w:szCs w:val="20"/>
              </w:rPr>
              <w:t>wereldbevolking (</w:t>
            </w:r>
            <w:r w:rsidRPr="00371492">
              <w:rPr>
                <w:rFonts w:ascii="Corbel" w:hAnsi="Corbel"/>
                <w:sz w:val="20"/>
                <w:szCs w:val="20"/>
              </w:rPr>
              <w:t>omvang afhankelijk van effectschaalgrootte).</w:t>
            </w:r>
          </w:p>
          <w:p w14:paraId="29A5A7F6" w14:textId="77777777" w:rsidR="00D75A6A" w:rsidRPr="00371492" w:rsidRDefault="00D75A6A" w:rsidP="00165179">
            <w:pPr>
              <w:pStyle w:val="Lijstalinea"/>
              <w:numPr>
                <w:ilvl w:val="0"/>
                <w:numId w:val="13"/>
              </w:numPr>
              <w:autoSpaceDN w:val="0"/>
              <w:spacing w:line="240" w:lineRule="exact"/>
              <w:jc w:val="both"/>
              <w:textAlignment w:val="baseline"/>
              <w:rPr>
                <w:rFonts w:ascii="Corbel" w:hAnsi="Corbel"/>
                <w:sz w:val="20"/>
                <w:szCs w:val="20"/>
              </w:rPr>
            </w:pPr>
            <w:r w:rsidRPr="00371492">
              <w:rPr>
                <w:rFonts w:ascii="Corbel" w:hAnsi="Corbel"/>
                <w:sz w:val="20"/>
                <w:szCs w:val="20"/>
              </w:rPr>
              <w:t>Industrie (agrarische schade door dominant gewas).</w:t>
            </w:r>
          </w:p>
        </w:tc>
      </w:tr>
      <w:tr w:rsidR="00D75A6A" w:rsidRPr="00371492" w14:paraId="2001CE3B" w14:textId="77777777" w:rsidTr="00360551">
        <w:tc>
          <w:tcPr>
            <w:tcW w:w="2547" w:type="dxa"/>
          </w:tcPr>
          <w:p w14:paraId="738A155E" w14:textId="77777777" w:rsidR="00D75A6A" w:rsidRPr="00371492" w:rsidRDefault="00D75A6A" w:rsidP="00165179">
            <w:pPr>
              <w:jc w:val="both"/>
              <w:rPr>
                <w:rFonts w:ascii="Corbel" w:hAnsi="Corbel"/>
                <w:sz w:val="20"/>
                <w:szCs w:val="20"/>
              </w:rPr>
            </w:pPr>
            <w:r w:rsidRPr="00371492">
              <w:rPr>
                <w:rFonts w:ascii="Corbel" w:hAnsi="Corbel"/>
                <w:sz w:val="20"/>
                <w:szCs w:val="20"/>
              </w:rPr>
              <w:t>Toezichtsvorm</w:t>
            </w:r>
          </w:p>
        </w:tc>
        <w:tc>
          <w:tcPr>
            <w:tcW w:w="6626" w:type="dxa"/>
          </w:tcPr>
          <w:p w14:paraId="13629C28" w14:textId="77777777" w:rsidR="00D75A6A" w:rsidRPr="00371492" w:rsidRDefault="00D75A6A" w:rsidP="00165179">
            <w:pPr>
              <w:jc w:val="both"/>
              <w:rPr>
                <w:rFonts w:ascii="Corbel" w:hAnsi="Corbel"/>
                <w:sz w:val="20"/>
                <w:szCs w:val="20"/>
              </w:rPr>
            </w:pPr>
            <w:r w:rsidRPr="00371492">
              <w:rPr>
                <w:rFonts w:ascii="Corbel" w:hAnsi="Corbel"/>
                <w:sz w:val="20"/>
                <w:szCs w:val="20"/>
              </w:rPr>
              <w:t>Objecttoezicht.</w:t>
            </w:r>
          </w:p>
          <w:p w14:paraId="490D5850" w14:textId="77777777" w:rsidR="00D75A6A" w:rsidRPr="00371492" w:rsidRDefault="00D75A6A" w:rsidP="00165179">
            <w:pPr>
              <w:jc w:val="both"/>
              <w:rPr>
                <w:rFonts w:ascii="Corbel" w:hAnsi="Corbel"/>
                <w:sz w:val="20"/>
                <w:szCs w:val="20"/>
              </w:rPr>
            </w:pPr>
            <w:r w:rsidRPr="00371492">
              <w:rPr>
                <w:rFonts w:ascii="Corbel" w:hAnsi="Corbel"/>
                <w:sz w:val="20"/>
                <w:szCs w:val="20"/>
              </w:rPr>
              <w:t>Systeemtoezicht.</w:t>
            </w:r>
          </w:p>
        </w:tc>
      </w:tr>
      <w:tr w:rsidR="00D75A6A" w:rsidRPr="00371492" w14:paraId="1E90EC4A" w14:textId="77777777" w:rsidTr="00360551">
        <w:tc>
          <w:tcPr>
            <w:tcW w:w="2547" w:type="dxa"/>
          </w:tcPr>
          <w:p w14:paraId="005166C2" w14:textId="77777777" w:rsidR="00D75A6A" w:rsidRPr="00371492" w:rsidRDefault="00D75A6A" w:rsidP="00165179">
            <w:pPr>
              <w:jc w:val="both"/>
              <w:rPr>
                <w:rFonts w:ascii="Corbel" w:hAnsi="Corbel"/>
                <w:sz w:val="20"/>
                <w:szCs w:val="20"/>
              </w:rPr>
            </w:pPr>
            <w:r w:rsidRPr="00371492">
              <w:rPr>
                <w:rFonts w:ascii="Corbel" w:hAnsi="Corbel"/>
                <w:sz w:val="20"/>
                <w:szCs w:val="20"/>
              </w:rPr>
              <w:t>Bijzonderheden</w:t>
            </w:r>
          </w:p>
        </w:tc>
        <w:tc>
          <w:tcPr>
            <w:tcW w:w="6626" w:type="dxa"/>
          </w:tcPr>
          <w:p w14:paraId="4DDFD23A" w14:textId="77777777" w:rsidR="00D75A6A" w:rsidRPr="00371492" w:rsidRDefault="00D75A6A" w:rsidP="00165179">
            <w:pPr>
              <w:jc w:val="both"/>
              <w:rPr>
                <w:rFonts w:ascii="Corbel" w:hAnsi="Corbel"/>
                <w:sz w:val="20"/>
                <w:szCs w:val="20"/>
              </w:rPr>
            </w:pPr>
            <w:r w:rsidRPr="00371492">
              <w:rPr>
                <w:rFonts w:ascii="Corbel" w:hAnsi="Corbel"/>
                <w:sz w:val="20"/>
                <w:szCs w:val="20"/>
              </w:rPr>
              <w:t>Geen</w:t>
            </w:r>
          </w:p>
        </w:tc>
      </w:tr>
      <w:tr w:rsidR="00D75A6A" w:rsidRPr="00371492" w14:paraId="511E81FA" w14:textId="77777777" w:rsidTr="00360551">
        <w:tc>
          <w:tcPr>
            <w:tcW w:w="2547" w:type="dxa"/>
          </w:tcPr>
          <w:p w14:paraId="38C5A65B" w14:textId="77777777" w:rsidR="00D75A6A" w:rsidRPr="00371492" w:rsidRDefault="00D75A6A" w:rsidP="00165179">
            <w:pPr>
              <w:jc w:val="both"/>
              <w:rPr>
                <w:rFonts w:ascii="Corbel" w:hAnsi="Corbel"/>
                <w:sz w:val="20"/>
                <w:szCs w:val="20"/>
              </w:rPr>
            </w:pPr>
            <w:r w:rsidRPr="00371492">
              <w:rPr>
                <w:rFonts w:ascii="Corbel" w:hAnsi="Corbel"/>
                <w:sz w:val="20"/>
                <w:szCs w:val="20"/>
              </w:rPr>
              <w:t xml:space="preserve">Termijn </w:t>
            </w:r>
          </w:p>
        </w:tc>
        <w:tc>
          <w:tcPr>
            <w:tcW w:w="6626" w:type="dxa"/>
          </w:tcPr>
          <w:p w14:paraId="118BB1E0" w14:textId="77777777" w:rsidR="00D75A6A" w:rsidRPr="00371492" w:rsidRDefault="00D75A6A" w:rsidP="00165179">
            <w:pPr>
              <w:jc w:val="both"/>
              <w:rPr>
                <w:rFonts w:ascii="Corbel" w:hAnsi="Corbel"/>
                <w:sz w:val="20"/>
                <w:szCs w:val="20"/>
              </w:rPr>
            </w:pPr>
            <w:r w:rsidRPr="00371492">
              <w:rPr>
                <w:rFonts w:ascii="Corbel" w:hAnsi="Corbel"/>
                <w:sz w:val="20"/>
                <w:szCs w:val="20"/>
              </w:rPr>
              <w:t>Nu: bij ongewenste verspreiding treedt schade direct op.</w:t>
            </w:r>
          </w:p>
          <w:p w14:paraId="3733966C" w14:textId="77777777" w:rsidR="00D75A6A" w:rsidRPr="00371492" w:rsidRDefault="00D75A6A" w:rsidP="00165179">
            <w:pPr>
              <w:jc w:val="both"/>
              <w:rPr>
                <w:rFonts w:ascii="Corbel" w:hAnsi="Corbel"/>
                <w:sz w:val="20"/>
                <w:szCs w:val="20"/>
              </w:rPr>
            </w:pPr>
            <w:r w:rsidRPr="00371492">
              <w:rPr>
                <w:rFonts w:ascii="Corbel" w:hAnsi="Corbel"/>
                <w:sz w:val="20"/>
                <w:szCs w:val="20"/>
              </w:rPr>
              <w:t xml:space="preserve">Later: grote vrees is dat effecten onherstelbaar ingrijpen in biologisch evenwicht. </w:t>
            </w:r>
          </w:p>
        </w:tc>
      </w:tr>
      <w:tr w:rsidR="00D75A6A" w:rsidRPr="00371492" w14:paraId="13C0051F" w14:textId="77777777" w:rsidTr="00360551">
        <w:tc>
          <w:tcPr>
            <w:tcW w:w="2547" w:type="dxa"/>
          </w:tcPr>
          <w:p w14:paraId="1A6D3E5F" w14:textId="77777777" w:rsidR="00D75A6A" w:rsidRPr="00371492" w:rsidRDefault="00D75A6A" w:rsidP="00165179">
            <w:pPr>
              <w:jc w:val="both"/>
              <w:rPr>
                <w:rFonts w:ascii="Corbel" w:hAnsi="Corbel"/>
                <w:sz w:val="20"/>
                <w:szCs w:val="20"/>
              </w:rPr>
            </w:pPr>
            <w:r w:rsidRPr="00371492">
              <w:rPr>
                <w:rFonts w:ascii="Corbel" w:hAnsi="Corbel"/>
                <w:sz w:val="20"/>
                <w:szCs w:val="20"/>
              </w:rPr>
              <w:t xml:space="preserve">Locatie </w:t>
            </w:r>
          </w:p>
        </w:tc>
        <w:tc>
          <w:tcPr>
            <w:tcW w:w="6626" w:type="dxa"/>
          </w:tcPr>
          <w:p w14:paraId="6BFE8139" w14:textId="77777777" w:rsidR="00D75A6A" w:rsidRPr="00371492" w:rsidRDefault="00D75A6A" w:rsidP="00165179">
            <w:pPr>
              <w:jc w:val="both"/>
              <w:rPr>
                <w:rFonts w:ascii="Corbel" w:hAnsi="Corbel"/>
                <w:sz w:val="20"/>
                <w:szCs w:val="20"/>
              </w:rPr>
            </w:pPr>
            <w:r w:rsidRPr="00371492">
              <w:rPr>
                <w:rFonts w:ascii="Corbel" w:hAnsi="Corbel"/>
                <w:sz w:val="20"/>
                <w:szCs w:val="20"/>
              </w:rPr>
              <w:t>In Nederland.</w:t>
            </w:r>
          </w:p>
          <w:p w14:paraId="1DB0692F" w14:textId="77777777" w:rsidR="00D75A6A" w:rsidRPr="00371492" w:rsidRDefault="00D75A6A" w:rsidP="00165179">
            <w:pPr>
              <w:jc w:val="both"/>
              <w:rPr>
                <w:rFonts w:ascii="Corbel" w:hAnsi="Corbel"/>
                <w:sz w:val="20"/>
                <w:szCs w:val="20"/>
              </w:rPr>
            </w:pPr>
            <w:r w:rsidRPr="00371492">
              <w:rPr>
                <w:rFonts w:ascii="Corbel" w:hAnsi="Corbel"/>
                <w:sz w:val="20"/>
                <w:szCs w:val="20"/>
              </w:rPr>
              <w:t>Buiten Nederland: verspreiding van bijvoorbeeld een virus kan snel (zelfs mondiaal) plaatsvinden.</w:t>
            </w:r>
          </w:p>
        </w:tc>
      </w:tr>
      <w:tr w:rsidR="00D75A6A" w:rsidRPr="00371492" w14:paraId="11763032" w14:textId="77777777" w:rsidTr="00360551">
        <w:tc>
          <w:tcPr>
            <w:tcW w:w="2547" w:type="dxa"/>
          </w:tcPr>
          <w:p w14:paraId="48912FF5" w14:textId="77777777" w:rsidR="00D75A6A" w:rsidRPr="00371492" w:rsidRDefault="00D75A6A" w:rsidP="00165179">
            <w:pPr>
              <w:jc w:val="both"/>
              <w:rPr>
                <w:rFonts w:ascii="Corbel" w:hAnsi="Corbel"/>
                <w:sz w:val="20"/>
                <w:szCs w:val="20"/>
              </w:rPr>
            </w:pPr>
            <w:r w:rsidRPr="00371492">
              <w:rPr>
                <w:rFonts w:ascii="Corbel" w:hAnsi="Corbel"/>
                <w:sz w:val="20"/>
                <w:szCs w:val="20"/>
              </w:rPr>
              <w:t>Soort schade</w:t>
            </w:r>
          </w:p>
        </w:tc>
        <w:tc>
          <w:tcPr>
            <w:tcW w:w="6626" w:type="dxa"/>
          </w:tcPr>
          <w:p w14:paraId="04E99E9A" w14:textId="77777777" w:rsidR="00D75A6A" w:rsidRPr="00371492" w:rsidRDefault="00D75A6A" w:rsidP="00165179">
            <w:pPr>
              <w:jc w:val="both"/>
              <w:rPr>
                <w:rFonts w:ascii="Corbel" w:hAnsi="Corbel"/>
                <w:sz w:val="20"/>
                <w:szCs w:val="20"/>
              </w:rPr>
            </w:pPr>
            <w:r w:rsidRPr="00371492">
              <w:rPr>
                <w:rFonts w:ascii="Corbel" w:hAnsi="Corbel"/>
                <w:sz w:val="20"/>
                <w:szCs w:val="20"/>
              </w:rPr>
              <w:t>Materieel en immaterieel</w:t>
            </w:r>
          </w:p>
        </w:tc>
      </w:tr>
      <w:tr w:rsidR="00D75A6A" w:rsidRPr="00371492" w14:paraId="5EFF5DA7" w14:textId="77777777" w:rsidTr="00360551">
        <w:tc>
          <w:tcPr>
            <w:tcW w:w="2547" w:type="dxa"/>
          </w:tcPr>
          <w:p w14:paraId="7E23B51E" w14:textId="77777777" w:rsidR="00D75A6A" w:rsidRPr="00371492" w:rsidRDefault="00D75A6A" w:rsidP="00165179">
            <w:pPr>
              <w:jc w:val="both"/>
              <w:rPr>
                <w:rFonts w:ascii="Corbel" w:hAnsi="Corbel"/>
                <w:sz w:val="20"/>
                <w:szCs w:val="20"/>
              </w:rPr>
            </w:pPr>
            <w:r w:rsidRPr="00371492">
              <w:rPr>
                <w:rFonts w:ascii="Corbel" w:hAnsi="Corbel"/>
                <w:sz w:val="20"/>
                <w:szCs w:val="20"/>
              </w:rPr>
              <w:t>Frequentie</w:t>
            </w:r>
          </w:p>
        </w:tc>
        <w:tc>
          <w:tcPr>
            <w:tcW w:w="6626" w:type="dxa"/>
          </w:tcPr>
          <w:p w14:paraId="3AE840A0" w14:textId="77777777" w:rsidR="00D75A6A" w:rsidRPr="00371492" w:rsidRDefault="00D75A6A" w:rsidP="00165179">
            <w:pPr>
              <w:autoSpaceDE w:val="0"/>
              <w:adjustRightInd w:val="0"/>
              <w:jc w:val="both"/>
              <w:rPr>
                <w:rFonts w:ascii="Corbel" w:hAnsi="Corbel"/>
                <w:sz w:val="20"/>
                <w:szCs w:val="20"/>
              </w:rPr>
            </w:pPr>
            <w:r w:rsidRPr="00371492">
              <w:rPr>
                <w:rFonts w:ascii="Corbel" w:hAnsi="Corbel"/>
                <w:sz w:val="20"/>
                <w:szCs w:val="20"/>
              </w:rPr>
              <w:t xml:space="preserve">Betrouwbare statistiek voor </w:t>
            </w:r>
            <w:proofErr w:type="spellStart"/>
            <w:r w:rsidRPr="00371492">
              <w:rPr>
                <w:rFonts w:ascii="Corbel" w:hAnsi="Corbel"/>
                <w:sz w:val="20"/>
                <w:szCs w:val="20"/>
              </w:rPr>
              <w:t>ggo</w:t>
            </w:r>
            <w:proofErr w:type="spellEnd"/>
            <w:r w:rsidRPr="00371492">
              <w:rPr>
                <w:rFonts w:ascii="Corbel" w:hAnsi="Corbel"/>
                <w:sz w:val="20"/>
                <w:szCs w:val="20"/>
              </w:rPr>
              <w:t xml:space="preserve">-calamiteiten (ingeperkt gebruik, veldproeven, klinische trials en markttoelating) ontbreekt. Er zijn in Nederland nog geen ernstige calamiteiten geweest. Bij vergunningverlening wordt uitgegaan van verwaarloosbaar risico (max. 10 </w:t>
            </w:r>
            <w:r w:rsidRPr="00371492">
              <w:rPr>
                <w:rFonts w:ascii="Corbel" w:hAnsi="Corbel"/>
                <w:sz w:val="20"/>
                <w:szCs w:val="20"/>
                <w:vertAlign w:val="superscript"/>
              </w:rPr>
              <w:t>-8</w:t>
            </w:r>
            <w:r w:rsidRPr="00371492">
              <w:rPr>
                <w:rFonts w:ascii="Corbel" w:hAnsi="Corbel"/>
                <w:sz w:val="20"/>
                <w:szCs w:val="20"/>
              </w:rPr>
              <w:t>) (kans op voorkomen van het risico is 1/100mln). Inzet is erop gericht dit gevaar absoluut te voorkomen, gezien de grote potentiële effecten.</w:t>
            </w:r>
          </w:p>
          <w:p w14:paraId="7B04165C" w14:textId="77777777" w:rsidR="00D75A6A" w:rsidRPr="00371492" w:rsidRDefault="00D75A6A" w:rsidP="00165179">
            <w:pPr>
              <w:autoSpaceDE w:val="0"/>
              <w:adjustRightInd w:val="0"/>
              <w:jc w:val="both"/>
              <w:rPr>
                <w:rFonts w:ascii="Corbel" w:hAnsi="Corbel"/>
                <w:sz w:val="20"/>
                <w:szCs w:val="20"/>
              </w:rPr>
            </w:pPr>
          </w:p>
          <w:p w14:paraId="66DAB843" w14:textId="77777777" w:rsidR="00D75A6A" w:rsidRPr="00371492" w:rsidRDefault="00D75A6A" w:rsidP="00165179">
            <w:pPr>
              <w:autoSpaceDE w:val="0"/>
              <w:adjustRightInd w:val="0"/>
              <w:jc w:val="both"/>
              <w:rPr>
                <w:rFonts w:ascii="Corbel" w:hAnsi="Corbel"/>
                <w:sz w:val="20"/>
                <w:szCs w:val="20"/>
              </w:rPr>
            </w:pPr>
            <w:r w:rsidRPr="00371492">
              <w:rPr>
                <w:rFonts w:ascii="Corbel" w:hAnsi="Corbel"/>
                <w:sz w:val="20"/>
                <w:szCs w:val="20"/>
              </w:rPr>
              <w:t xml:space="preserve">Cijfers uit het toezicht van de ILT laten zien dat zich wel incidenten voordoen (bij markttoelating blijkt bijvoorbeeld 2% van de importmaïs te zijn besmet met </w:t>
            </w:r>
            <w:proofErr w:type="spellStart"/>
            <w:r w:rsidRPr="00371492">
              <w:rPr>
                <w:rFonts w:ascii="Corbel" w:hAnsi="Corbel"/>
                <w:sz w:val="20"/>
                <w:szCs w:val="20"/>
              </w:rPr>
              <w:t>ggo</w:t>
            </w:r>
            <w:proofErr w:type="spellEnd"/>
            <w:r w:rsidRPr="00371492">
              <w:rPr>
                <w:rFonts w:ascii="Corbel" w:hAnsi="Corbel"/>
                <w:sz w:val="20"/>
                <w:szCs w:val="20"/>
              </w:rPr>
              <w:t>).</w:t>
            </w:r>
          </w:p>
          <w:p w14:paraId="6FDBD175" w14:textId="77777777" w:rsidR="00D75A6A" w:rsidRPr="00371492" w:rsidRDefault="00D75A6A" w:rsidP="00165179">
            <w:pPr>
              <w:autoSpaceDE w:val="0"/>
              <w:adjustRightInd w:val="0"/>
              <w:jc w:val="both"/>
              <w:rPr>
                <w:rFonts w:ascii="Corbel" w:eastAsia="Times New Roman" w:hAnsi="Corbel" w:cs="Calibri"/>
                <w:b/>
                <w:sz w:val="20"/>
                <w:szCs w:val="20"/>
              </w:rPr>
            </w:pPr>
          </w:p>
        </w:tc>
      </w:tr>
      <w:tr w:rsidR="00D75A6A" w:rsidRPr="00371492" w14:paraId="7F2B32D3" w14:textId="77777777" w:rsidTr="00360551">
        <w:tc>
          <w:tcPr>
            <w:tcW w:w="2547" w:type="dxa"/>
            <w:shd w:val="clear" w:color="auto" w:fill="DEEAF6" w:themeFill="accent1" w:themeFillTint="33"/>
          </w:tcPr>
          <w:p w14:paraId="05B8BC18" w14:textId="77777777" w:rsidR="00D75A6A" w:rsidRPr="00371492" w:rsidRDefault="00D75A6A" w:rsidP="00165179">
            <w:pPr>
              <w:jc w:val="both"/>
              <w:rPr>
                <w:rFonts w:ascii="Corbel" w:hAnsi="Corbel"/>
                <w:sz w:val="20"/>
                <w:szCs w:val="20"/>
              </w:rPr>
            </w:pPr>
            <w:r w:rsidRPr="00371492">
              <w:rPr>
                <w:rFonts w:ascii="Corbel" w:hAnsi="Corbel"/>
                <w:sz w:val="20"/>
                <w:szCs w:val="20"/>
              </w:rPr>
              <w:t>IBRA-conclusie frequentie</w:t>
            </w:r>
          </w:p>
        </w:tc>
        <w:tc>
          <w:tcPr>
            <w:tcW w:w="6626" w:type="dxa"/>
            <w:shd w:val="clear" w:color="auto" w:fill="DEEAF6" w:themeFill="accent1" w:themeFillTint="33"/>
          </w:tcPr>
          <w:p w14:paraId="1B1491D4" w14:textId="77777777" w:rsidR="00D75A6A" w:rsidRPr="00371492" w:rsidRDefault="00D75A6A" w:rsidP="00165179">
            <w:pPr>
              <w:jc w:val="both"/>
              <w:rPr>
                <w:rFonts w:ascii="Corbel" w:eastAsia="Times New Roman" w:hAnsi="Corbel" w:cs="Calibri"/>
                <w:b/>
                <w:color w:val="C00000"/>
                <w:sz w:val="20"/>
                <w:szCs w:val="20"/>
              </w:rPr>
            </w:pPr>
            <w:r w:rsidRPr="00371492">
              <w:rPr>
                <w:rFonts w:ascii="Corbel" w:eastAsia="Times New Roman" w:hAnsi="Corbel" w:cs="Calibri"/>
                <w:sz w:val="20"/>
                <w:szCs w:val="20"/>
              </w:rPr>
              <w:t xml:space="preserve">Oud regiem: frequentiebenadering. 2500 vergunningen worden elk getoetst op 10 </w:t>
            </w:r>
            <w:r w:rsidRPr="00371492">
              <w:rPr>
                <w:rFonts w:ascii="Corbel" w:eastAsia="Times New Roman" w:hAnsi="Corbel" w:cs="Calibri"/>
                <w:sz w:val="20"/>
                <w:szCs w:val="20"/>
                <w:vertAlign w:val="superscript"/>
              </w:rPr>
              <w:t>-8</w:t>
            </w:r>
            <w:r w:rsidRPr="00371492">
              <w:rPr>
                <w:rFonts w:ascii="Corbel" w:eastAsia="Times New Roman" w:hAnsi="Corbel" w:cs="Calibri"/>
                <w:sz w:val="20"/>
                <w:szCs w:val="20"/>
              </w:rPr>
              <w:t xml:space="preserve">. Frequentie is zeer laag: 2500 x 10 </w:t>
            </w:r>
            <w:r w:rsidRPr="00371492">
              <w:rPr>
                <w:rFonts w:ascii="Corbel" w:eastAsia="Times New Roman" w:hAnsi="Corbel" w:cs="Calibri"/>
                <w:sz w:val="20"/>
                <w:szCs w:val="20"/>
                <w:vertAlign w:val="superscript"/>
              </w:rPr>
              <w:t>-8</w:t>
            </w:r>
          </w:p>
        </w:tc>
      </w:tr>
      <w:tr w:rsidR="00D75A6A" w:rsidRPr="00371492" w14:paraId="21392B28" w14:textId="77777777" w:rsidTr="00360551">
        <w:tc>
          <w:tcPr>
            <w:tcW w:w="2547" w:type="dxa"/>
          </w:tcPr>
          <w:p w14:paraId="3749CD6D" w14:textId="77777777" w:rsidR="00D75A6A" w:rsidRPr="00371492" w:rsidRDefault="00D75A6A" w:rsidP="00165179">
            <w:pPr>
              <w:jc w:val="both"/>
              <w:rPr>
                <w:rFonts w:ascii="Corbel" w:hAnsi="Corbel"/>
                <w:sz w:val="20"/>
                <w:szCs w:val="20"/>
              </w:rPr>
            </w:pPr>
            <w:r w:rsidRPr="00371492">
              <w:rPr>
                <w:rFonts w:ascii="Corbel" w:hAnsi="Corbel"/>
                <w:sz w:val="20"/>
                <w:szCs w:val="20"/>
              </w:rPr>
              <w:t>Grootheden die de schade bepalen</w:t>
            </w:r>
          </w:p>
        </w:tc>
        <w:tc>
          <w:tcPr>
            <w:tcW w:w="6626" w:type="dxa"/>
          </w:tcPr>
          <w:p w14:paraId="255AA358" w14:textId="77777777" w:rsidR="00D75A6A" w:rsidRPr="00371492" w:rsidRDefault="00D75A6A" w:rsidP="00165179">
            <w:pPr>
              <w:jc w:val="both"/>
              <w:rPr>
                <w:rFonts w:ascii="Corbel" w:eastAsia="Times New Roman" w:hAnsi="Corbel" w:cs="Calibri"/>
                <w:b/>
                <w:sz w:val="20"/>
                <w:szCs w:val="20"/>
              </w:rPr>
            </w:pPr>
            <w:r w:rsidRPr="00371492">
              <w:rPr>
                <w:rFonts w:ascii="Corbel" w:eastAsia="Times New Roman" w:hAnsi="Corbel" w:cs="Calibri"/>
                <w:sz w:val="20"/>
                <w:szCs w:val="20"/>
              </w:rPr>
              <w:t>Doden, zieken, herstelschade, ecologische schade.</w:t>
            </w:r>
          </w:p>
        </w:tc>
      </w:tr>
      <w:tr w:rsidR="00D75A6A" w:rsidRPr="00371492" w14:paraId="46CAE965" w14:textId="77777777" w:rsidTr="00360551">
        <w:tc>
          <w:tcPr>
            <w:tcW w:w="2547" w:type="dxa"/>
          </w:tcPr>
          <w:p w14:paraId="29395C3F" w14:textId="77777777" w:rsidR="00D75A6A" w:rsidRPr="00371492" w:rsidRDefault="00D75A6A" w:rsidP="00165179">
            <w:pPr>
              <w:jc w:val="both"/>
              <w:rPr>
                <w:rFonts w:ascii="Corbel" w:hAnsi="Corbel"/>
                <w:sz w:val="20"/>
                <w:szCs w:val="20"/>
              </w:rPr>
            </w:pPr>
            <w:r w:rsidRPr="00371492">
              <w:rPr>
                <w:rFonts w:ascii="Corbel" w:hAnsi="Corbel"/>
                <w:sz w:val="20"/>
                <w:szCs w:val="20"/>
              </w:rPr>
              <w:t>Effecten van het risico</w:t>
            </w:r>
          </w:p>
        </w:tc>
        <w:tc>
          <w:tcPr>
            <w:tcW w:w="6626" w:type="dxa"/>
          </w:tcPr>
          <w:p w14:paraId="1894B801" w14:textId="77777777" w:rsidR="00D75A6A" w:rsidRPr="00371492" w:rsidRDefault="00D75A6A" w:rsidP="00165179">
            <w:pPr>
              <w:autoSpaceDE w:val="0"/>
              <w:adjustRightInd w:val="0"/>
              <w:jc w:val="both"/>
              <w:rPr>
                <w:rFonts w:ascii="Corbel" w:hAnsi="Corbel"/>
                <w:sz w:val="20"/>
                <w:szCs w:val="20"/>
              </w:rPr>
            </w:pPr>
            <w:r w:rsidRPr="00371492">
              <w:rPr>
                <w:rFonts w:ascii="Corbel" w:hAnsi="Corbel"/>
                <w:sz w:val="20"/>
                <w:szCs w:val="20"/>
              </w:rPr>
              <w:t xml:space="preserve">Zoals opgemerkt hebben zich in Nederland geen grote calamiteiten voorgedaan. Onderstaande voorbeelden geven een indruk van calamiteiten die zich zouden kunnen voordoen. </w:t>
            </w:r>
          </w:p>
          <w:p w14:paraId="1C63AD0C" w14:textId="77777777" w:rsidR="00D75A6A" w:rsidRPr="00371492" w:rsidRDefault="00D75A6A" w:rsidP="00165179">
            <w:pPr>
              <w:autoSpaceDE w:val="0"/>
              <w:adjustRightInd w:val="0"/>
              <w:jc w:val="both"/>
              <w:rPr>
                <w:rFonts w:ascii="Corbel" w:hAnsi="Corbel"/>
                <w:sz w:val="20"/>
                <w:szCs w:val="20"/>
              </w:rPr>
            </w:pPr>
          </w:p>
          <w:p w14:paraId="36F25F0E" w14:textId="77777777" w:rsidR="00D75A6A" w:rsidRPr="00371492" w:rsidRDefault="00D75A6A" w:rsidP="00165179">
            <w:pPr>
              <w:autoSpaceDE w:val="0"/>
              <w:adjustRightInd w:val="0"/>
              <w:jc w:val="both"/>
              <w:rPr>
                <w:rFonts w:ascii="Corbel" w:hAnsi="Corbel"/>
                <w:i/>
                <w:sz w:val="20"/>
                <w:szCs w:val="20"/>
              </w:rPr>
            </w:pPr>
            <w:r w:rsidRPr="00371492">
              <w:rPr>
                <w:rFonts w:ascii="Corbel" w:hAnsi="Corbel"/>
                <w:sz w:val="20"/>
                <w:szCs w:val="20"/>
              </w:rPr>
              <w:t xml:space="preserve">Voorbeeld 1: </w:t>
            </w:r>
            <w:r w:rsidRPr="00371492">
              <w:rPr>
                <w:rFonts w:ascii="Corbel" w:hAnsi="Corbel"/>
                <w:i/>
                <w:sz w:val="20"/>
                <w:szCs w:val="20"/>
              </w:rPr>
              <w:t>Lokale uitbraak van een virus.</w:t>
            </w:r>
          </w:p>
          <w:p w14:paraId="0B3570AF" w14:textId="77777777" w:rsidR="00D75A6A" w:rsidRPr="00371492" w:rsidRDefault="00D75A6A" w:rsidP="00165179">
            <w:pPr>
              <w:autoSpaceDE w:val="0"/>
              <w:adjustRightInd w:val="0"/>
              <w:ind w:left="709"/>
              <w:jc w:val="both"/>
              <w:rPr>
                <w:rFonts w:ascii="Corbel" w:hAnsi="Corbel"/>
                <w:sz w:val="20"/>
                <w:szCs w:val="20"/>
              </w:rPr>
            </w:pPr>
            <w:r w:rsidRPr="00371492">
              <w:rPr>
                <w:rFonts w:ascii="Corbel" w:hAnsi="Corbel"/>
                <w:sz w:val="20"/>
                <w:szCs w:val="20"/>
              </w:rPr>
              <w:t xml:space="preserve">De </w:t>
            </w:r>
            <w:proofErr w:type="spellStart"/>
            <w:r w:rsidRPr="00371492">
              <w:rPr>
                <w:rFonts w:ascii="Corbel" w:hAnsi="Corbel"/>
                <w:sz w:val="20"/>
                <w:szCs w:val="20"/>
              </w:rPr>
              <w:t>MKZ-crisis</w:t>
            </w:r>
            <w:proofErr w:type="spellEnd"/>
            <w:r w:rsidRPr="00371492">
              <w:rPr>
                <w:rFonts w:ascii="Corbel" w:hAnsi="Corbel"/>
                <w:sz w:val="20"/>
                <w:szCs w:val="20"/>
              </w:rPr>
              <w:t xml:space="preserve"> in het Verenigd Koninkrijk in 2007 was het gevolg van een onderzoekslab (IG) dat niet voldeed aan de eisen voor inperking. </w:t>
            </w:r>
          </w:p>
          <w:p w14:paraId="1C309FD3" w14:textId="77777777" w:rsidR="00D75A6A" w:rsidRPr="00371492" w:rsidRDefault="00D75A6A" w:rsidP="00165179">
            <w:pPr>
              <w:autoSpaceDE w:val="0"/>
              <w:adjustRightInd w:val="0"/>
              <w:ind w:left="709"/>
              <w:jc w:val="both"/>
              <w:rPr>
                <w:rFonts w:ascii="Corbel" w:hAnsi="Corbel"/>
                <w:sz w:val="20"/>
                <w:szCs w:val="20"/>
              </w:rPr>
            </w:pPr>
            <w:r w:rsidRPr="00371492">
              <w:rPr>
                <w:rFonts w:ascii="Corbel" w:hAnsi="Corbel"/>
                <w:sz w:val="20"/>
                <w:szCs w:val="20"/>
              </w:rPr>
              <w:t>Schade: 160 miljoen pond door het ruimen van 6 bedrijven, maatschappelijke onrust, internationale handelsbeperkingen etc.</w:t>
            </w:r>
          </w:p>
          <w:p w14:paraId="1070289D" w14:textId="77777777" w:rsidR="00D75A6A" w:rsidRPr="00371492" w:rsidRDefault="00D75A6A" w:rsidP="00165179">
            <w:pPr>
              <w:autoSpaceDE w:val="0"/>
              <w:adjustRightInd w:val="0"/>
              <w:jc w:val="both"/>
              <w:rPr>
                <w:rFonts w:ascii="Corbel" w:hAnsi="Corbel"/>
                <w:sz w:val="20"/>
                <w:szCs w:val="20"/>
              </w:rPr>
            </w:pPr>
          </w:p>
          <w:p w14:paraId="39D2C309" w14:textId="77777777" w:rsidR="00D75A6A" w:rsidRPr="00371492" w:rsidRDefault="00D75A6A" w:rsidP="00165179">
            <w:pPr>
              <w:autoSpaceDE w:val="0"/>
              <w:adjustRightInd w:val="0"/>
              <w:ind w:left="1281" w:hanging="1281"/>
              <w:jc w:val="both"/>
              <w:rPr>
                <w:rFonts w:ascii="Corbel" w:hAnsi="Corbel"/>
                <w:sz w:val="20"/>
                <w:szCs w:val="20"/>
              </w:rPr>
            </w:pPr>
            <w:r w:rsidRPr="00371492">
              <w:rPr>
                <w:rFonts w:ascii="Corbel" w:hAnsi="Corbel"/>
                <w:sz w:val="20"/>
                <w:szCs w:val="20"/>
              </w:rPr>
              <w:t xml:space="preserve">Voorbeeld 2: </w:t>
            </w:r>
            <w:r w:rsidRPr="00371492">
              <w:rPr>
                <w:rFonts w:ascii="Corbel" w:hAnsi="Corbel"/>
                <w:i/>
                <w:sz w:val="20"/>
                <w:szCs w:val="20"/>
              </w:rPr>
              <w:t>Ongecontroleerde mondiale uitbraak van een agressief virus.</w:t>
            </w:r>
          </w:p>
          <w:p w14:paraId="65910C5B" w14:textId="77777777" w:rsidR="00D75A6A" w:rsidRPr="00371492" w:rsidRDefault="00D75A6A" w:rsidP="00165179">
            <w:pPr>
              <w:autoSpaceDE w:val="0"/>
              <w:adjustRightInd w:val="0"/>
              <w:ind w:left="709"/>
              <w:jc w:val="both"/>
              <w:rPr>
                <w:rFonts w:ascii="Corbel" w:hAnsi="Corbel"/>
                <w:sz w:val="20"/>
                <w:szCs w:val="20"/>
              </w:rPr>
            </w:pPr>
            <w:r w:rsidRPr="00371492">
              <w:rPr>
                <w:rFonts w:ascii="Corbel" w:hAnsi="Corbel"/>
                <w:sz w:val="20"/>
                <w:szCs w:val="20"/>
              </w:rPr>
              <w:t xml:space="preserve">De SARS-uitbraak in China in 2013. </w:t>
            </w:r>
          </w:p>
          <w:p w14:paraId="0893E1F8" w14:textId="77777777" w:rsidR="00D75A6A" w:rsidRPr="00371492" w:rsidRDefault="00D75A6A" w:rsidP="00165179">
            <w:pPr>
              <w:autoSpaceDE w:val="0"/>
              <w:adjustRightInd w:val="0"/>
              <w:ind w:left="709"/>
              <w:jc w:val="both"/>
              <w:rPr>
                <w:rFonts w:ascii="Corbel" w:hAnsi="Corbel"/>
                <w:sz w:val="20"/>
                <w:szCs w:val="20"/>
              </w:rPr>
            </w:pPr>
            <w:r w:rsidRPr="00371492">
              <w:rPr>
                <w:rFonts w:ascii="Corbel" w:hAnsi="Corbel"/>
                <w:sz w:val="20"/>
                <w:szCs w:val="20"/>
              </w:rPr>
              <w:t>Schade: 600-700 doden en 33 miljard euro aan kosten.</w:t>
            </w:r>
          </w:p>
          <w:p w14:paraId="2C509194" w14:textId="77777777" w:rsidR="00D75A6A" w:rsidRPr="00371492" w:rsidRDefault="00D75A6A" w:rsidP="00165179">
            <w:pPr>
              <w:autoSpaceDE w:val="0"/>
              <w:adjustRightInd w:val="0"/>
              <w:jc w:val="both"/>
              <w:rPr>
                <w:rFonts w:ascii="Corbel" w:hAnsi="Corbel"/>
                <w:sz w:val="20"/>
                <w:szCs w:val="20"/>
              </w:rPr>
            </w:pPr>
          </w:p>
          <w:p w14:paraId="29EDB43B" w14:textId="77777777" w:rsidR="00D75A6A" w:rsidRPr="00371492" w:rsidRDefault="00D75A6A" w:rsidP="00165179">
            <w:pPr>
              <w:spacing w:line="249" w:lineRule="auto"/>
              <w:ind w:left="1281" w:right="440" w:hanging="1276"/>
              <w:jc w:val="both"/>
              <w:rPr>
                <w:rFonts w:ascii="Corbel" w:hAnsi="Corbel"/>
                <w:sz w:val="20"/>
                <w:szCs w:val="20"/>
              </w:rPr>
            </w:pPr>
            <w:r w:rsidRPr="00371492">
              <w:rPr>
                <w:rFonts w:ascii="Corbel" w:hAnsi="Corbel"/>
                <w:sz w:val="20"/>
                <w:szCs w:val="20"/>
              </w:rPr>
              <w:t xml:space="preserve">Voorbeeld 3: </w:t>
            </w:r>
            <w:r w:rsidRPr="00371492">
              <w:rPr>
                <w:rFonts w:ascii="Corbel" w:hAnsi="Corbel"/>
                <w:i/>
                <w:sz w:val="20"/>
                <w:szCs w:val="20"/>
              </w:rPr>
              <w:t>Ongecontroleerde verspreiding van een ongewenst gewas</w:t>
            </w:r>
            <w:r w:rsidRPr="00371492">
              <w:rPr>
                <w:rFonts w:ascii="Corbel" w:hAnsi="Corbel"/>
                <w:sz w:val="20"/>
                <w:szCs w:val="20"/>
              </w:rPr>
              <w:t>.</w:t>
            </w:r>
          </w:p>
          <w:p w14:paraId="1F2810A1" w14:textId="4C88531C" w:rsidR="00D75A6A" w:rsidRPr="00371492" w:rsidRDefault="00D75A6A" w:rsidP="00165179">
            <w:pPr>
              <w:spacing w:line="249" w:lineRule="auto"/>
              <w:ind w:left="709" w:right="440"/>
              <w:jc w:val="both"/>
              <w:rPr>
                <w:rFonts w:ascii="Corbel" w:eastAsia="Arial" w:hAnsi="Corbel"/>
                <w:sz w:val="20"/>
                <w:szCs w:val="20"/>
              </w:rPr>
            </w:pPr>
            <w:r w:rsidRPr="00371492">
              <w:rPr>
                <w:rFonts w:ascii="Corbel" w:hAnsi="Corbel"/>
                <w:sz w:val="20"/>
                <w:szCs w:val="20"/>
              </w:rPr>
              <w:t xml:space="preserve">Om </w:t>
            </w:r>
            <w:r w:rsidRPr="00371492">
              <w:rPr>
                <w:rFonts w:ascii="Corbel" w:eastAsia="Arial" w:hAnsi="Corbel"/>
                <w:sz w:val="20"/>
                <w:szCs w:val="20"/>
              </w:rPr>
              <w:t xml:space="preserve">verspreiding van invasieve exoten te voorkomen is sinds 3 augustus 2016 een EU-verordening (1143/2014) van kracht. Op de lijst exoten staat onder andere de grote waternavel, een plant die de doorstroming van vaarwegen belemmert. De kosten voor </w:t>
            </w:r>
            <w:r w:rsidRPr="00371492">
              <w:rPr>
                <w:rFonts w:ascii="Corbel" w:eastAsia="Arial" w:hAnsi="Corbel"/>
                <w:sz w:val="20"/>
                <w:szCs w:val="20"/>
              </w:rPr>
              <w:lastRenderedPageBreak/>
              <w:t>het opruimen van deze plant werden in 2000 voor Nederland geschat op €1 miljoen</w:t>
            </w:r>
            <w:r w:rsidR="006C74E3" w:rsidRPr="00371492">
              <w:rPr>
                <w:rFonts w:ascii="Corbel" w:eastAsia="Arial" w:hAnsi="Corbel"/>
                <w:sz w:val="20"/>
                <w:szCs w:val="20"/>
              </w:rPr>
              <w:t xml:space="preserve"> </w:t>
            </w:r>
            <w:r w:rsidRPr="00371492">
              <w:rPr>
                <w:rFonts w:ascii="Corbel" w:eastAsia="Arial" w:hAnsi="Corbel"/>
                <w:sz w:val="20"/>
                <w:szCs w:val="20"/>
              </w:rPr>
              <w:t xml:space="preserve">(noot 10). </w:t>
            </w:r>
          </w:p>
          <w:p w14:paraId="5F12B81E" w14:textId="77777777" w:rsidR="00D75A6A" w:rsidRPr="00371492" w:rsidRDefault="00D75A6A" w:rsidP="00165179">
            <w:pPr>
              <w:jc w:val="both"/>
              <w:rPr>
                <w:rFonts w:ascii="Corbel" w:hAnsi="Corbel"/>
                <w:sz w:val="20"/>
                <w:szCs w:val="20"/>
              </w:rPr>
            </w:pPr>
            <w:r w:rsidRPr="00371492">
              <w:rPr>
                <w:rFonts w:ascii="Corbel" w:hAnsi="Corbel"/>
                <w:sz w:val="20"/>
                <w:szCs w:val="20"/>
              </w:rPr>
              <w:t xml:space="preserve">BOV constateert: dit risico valt in de categorie nieuwe biotechnologie. Schade aan mens en milieu is tot op heden niet aangetoond. </w:t>
            </w:r>
          </w:p>
          <w:p w14:paraId="6C2E499C" w14:textId="77777777" w:rsidR="00D75A6A" w:rsidRPr="00371492" w:rsidRDefault="00D75A6A" w:rsidP="00165179">
            <w:pPr>
              <w:autoSpaceDE w:val="0"/>
              <w:adjustRightInd w:val="0"/>
              <w:jc w:val="both"/>
              <w:rPr>
                <w:rFonts w:ascii="Corbel" w:hAnsi="Corbel"/>
                <w:sz w:val="20"/>
                <w:szCs w:val="20"/>
              </w:rPr>
            </w:pPr>
          </w:p>
        </w:tc>
      </w:tr>
      <w:tr w:rsidR="00D75A6A" w:rsidRPr="00371492" w14:paraId="20D7B117" w14:textId="77777777" w:rsidTr="00360551">
        <w:trPr>
          <w:trHeight w:val="2966"/>
        </w:trPr>
        <w:tc>
          <w:tcPr>
            <w:tcW w:w="2547" w:type="dxa"/>
            <w:shd w:val="clear" w:color="auto" w:fill="DEEAF6" w:themeFill="accent1" w:themeFillTint="33"/>
          </w:tcPr>
          <w:p w14:paraId="7168AE1E" w14:textId="77777777" w:rsidR="00D75A6A" w:rsidRPr="00371492" w:rsidRDefault="00D75A6A" w:rsidP="00165179">
            <w:pPr>
              <w:jc w:val="both"/>
              <w:rPr>
                <w:rFonts w:ascii="Corbel" w:hAnsi="Corbel"/>
                <w:sz w:val="20"/>
                <w:szCs w:val="20"/>
              </w:rPr>
            </w:pPr>
            <w:r w:rsidRPr="00371492">
              <w:rPr>
                <w:rFonts w:ascii="Corbel" w:hAnsi="Corbel"/>
                <w:sz w:val="20"/>
                <w:szCs w:val="20"/>
              </w:rPr>
              <w:lastRenderedPageBreak/>
              <w:t>IBRA-conclusie effecten</w:t>
            </w:r>
          </w:p>
          <w:p w14:paraId="57EC9A5A" w14:textId="77777777" w:rsidR="00D75A6A" w:rsidRPr="00371492" w:rsidRDefault="00D75A6A" w:rsidP="00165179">
            <w:pPr>
              <w:jc w:val="both"/>
              <w:rPr>
                <w:rFonts w:ascii="Corbel" w:hAnsi="Corbel"/>
                <w:sz w:val="20"/>
                <w:szCs w:val="20"/>
              </w:rPr>
            </w:pPr>
            <w:r w:rsidRPr="00371492">
              <w:rPr>
                <w:rFonts w:ascii="Corbel" w:hAnsi="Corbel"/>
                <w:sz w:val="20"/>
                <w:szCs w:val="20"/>
              </w:rPr>
              <w:t xml:space="preserve"> [ *€ </w:t>
            </w:r>
            <w:proofErr w:type="spellStart"/>
            <w:r w:rsidRPr="00371492">
              <w:rPr>
                <w:rFonts w:ascii="Corbel" w:hAnsi="Corbel"/>
                <w:sz w:val="20"/>
                <w:szCs w:val="20"/>
              </w:rPr>
              <w:t>mln</w:t>
            </w:r>
            <w:proofErr w:type="spellEnd"/>
            <w:r w:rsidRPr="00371492">
              <w:rPr>
                <w:rFonts w:ascii="Corbel" w:hAnsi="Corbel"/>
                <w:sz w:val="20"/>
                <w:szCs w:val="20"/>
              </w:rPr>
              <w:t>/jaar]</w:t>
            </w:r>
          </w:p>
        </w:tc>
        <w:tc>
          <w:tcPr>
            <w:tcW w:w="6626" w:type="dxa"/>
            <w:shd w:val="clear" w:color="auto" w:fill="DEEAF6" w:themeFill="accent1" w:themeFillTint="33"/>
          </w:tcPr>
          <w:p w14:paraId="2AEA4670" w14:textId="77777777" w:rsidR="00D75A6A" w:rsidRPr="00371492" w:rsidRDefault="00D75A6A" w:rsidP="00165179">
            <w:pPr>
              <w:jc w:val="both"/>
              <w:rPr>
                <w:rFonts w:ascii="Corbel" w:eastAsia="Times New Roman" w:hAnsi="Corbel" w:cs="Calibri"/>
                <w:sz w:val="20"/>
                <w:szCs w:val="20"/>
              </w:rPr>
            </w:pPr>
            <w:r w:rsidRPr="00371492">
              <w:rPr>
                <w:rFonts w:ascii="Corbel" w:eastAsia="Times New Roman" w:hAnsi="Corbel" w:cs="Calibri"/>
                <w:sz w:val="20"/>
                <w:szCs w:val="20"/>
              </w:rPr>
              <w:t xml:space="preserve">Mogelijk grote gevolgen, maar met een grote mate van variatie in omvang. Voorbeelden variëren van €1 tot €33 miljard aan schade. </w:t>
            </w:r>
          </w:p>
          <w:p w14:paraId="789D050F" w14:textId="23A13162" w:rsidR="00D75A6A" w:rsidRPr="00371492" w:rsidRDefault="00D75A6A" w:rsidP="00165179">
            <w:pPr>
              <w:jc w:val="both"/>
              <w:rPr>
                <w:rFonts w:ascii="Corbel" w:eastAsia="Times New Roman" w:hAnsi="Corbel" w:cs="Calibri"/>
                <w:sz w:val="20"/>
                <w:szCs w:val="20"/>
              </w:rPr>
            </w:pPr>
            <w:r w:rsidRPr="00371492">
              <w:rPr>
                <w:rFonts w:ascii="Corbel" w:eastAsia="Times New Roman" w:hAnsi="Corbel" w:cs="Calibri"/>
                <w:sz w:val="20"/>
                <w:szCs w:val="20"/>
              </w:rPr>
              <w:t>Gemiddeld</w:t>
            </w:r>
            <w:r w:rsidR="006C74E3" w:rsidRPr="00371492">
              <w:rPr>
                <w:rFonts w:ascii="Corbel" w:eastAsia="Times New Roman" w:hAnsi="Corbel" w:cs="Calibri"/>
                <w:sz w:val="20"/>
                <w:szCs w:val="20"/>
              </w:rPr>
              <w:t xml:space="preserve"> </w:t>
            </w:r>
            <w:r w:rsidRPr="00371492">
              <w:rPr>
                <w:rFonts w:ascii="Corbel" w:eastAsia="Times New Roman" w:hAnsi="Corbel" w:cs="Calibri"/>
                <w:sz w:val="20"/>
                <w:szCs w:val="20"/>
              </w:rPr>
              <w:t>€11 miljard per case/incident.</w:t>
            </w:r>
          </w:p>
          <w:p w14:paraId="3AD81081" w14:textId="77777777" w:rsidR="00D75A6A" w:rsidRPr="00371492" w:rsidRDefault="00D75A6A" w:rsidP="00165179">
            <w:pPr>
              <w:jc w:val="both"/>
              <w:rPr>
                <w:rFonts w:ascii="Corbel" w:eastAsia="Times New Roman" w:hAnsi="Corbel" w:cs="Calibri"/>
                <w:sz w:val="20"/>
                <w:szCs w:val="20"/>
              </w:rPr>
            </w:pPr>
            <w:r w:rsidRPr="00371492">
              <w:rPr>
                <w:rFonts w:ascii="Corbel" w:eastAsia="Times New Roman" w:hAnsi="Corbel" w:cs="Calibri"/>
                <w:sz w:val="20"/>
                <w:szCs w:val="20"/>
              </w:rPr>
              <w:t>2500 x 10</w:t>
            </w:r>
            <w:r w:rsidRPr="00371492">
              <w:rPr>
                <w:rFonts w:ascii="Corbel" w:eastAsia="Times New Roman" w:hAnsi="Corbel" w:cs="Calibri"/>
                <w:sz w:val="20"/>
                <w:szCs w:val="20"/>
                <w:vertAlign w:val="superscript"/>
              </w:rPr>
              <w:t>-8</w:t>
            </w:r>
            <w:r w:rsidRPr="00371492">
              <w:rPr>
                <w:rFonts w:ascii="Corbel" w:eastAsia="Times New Roman" w:hAnsi="Corbel" w:cs="Calibri"/>
                <w:sz w:val="20"/>
                <w:szCs w:val="20"/>
              </w:rPr>
              <w:t xml:space="preserve"> x €11 miljard = € 0,28 mln.</w:t>
            </w:r>
          </w:p>
          <w:p w14:paraId="0DFDE8AD" w14:textId="77777777" w:rsidR="00D75A6A" w:rsidRPr="00371492" w:rsidRDefault="00D75A6A" w:rsidP="00165179">
            <w:pPr>
              <w:jc w:val="both"/>
              <w:rPr>
                <w:rFonts w:ascii="Corbel" w:eastAsia="Times New Roman" w:hAnsi="Corbel" w:cs="Calibri"/>
                <w:sz w:val="20"/>
                <w:szCs w:val="20"/>
              </w:rPr>
            </w:pPr>
          </w:p>
          <w:tbl>
            <w:tblPr>
              <w:tblStyle w:val="Tabelraster"/>
              <w:tblW w:w="0" w:type="auto"/>
              <w:tblLook w:val="04A0" w:firstRow="1" w:lastRow="0" w:firstColumn="1" w:lastColumn="0" w:noHBand="0" w:noVBand="1"/>
            </w:tblPr>
            <w:tblGrid>
              <w:gridCol w:w="1559"/>
              <w:gridCol w:w="1559"/>
            </w:tblGrid>
            <w:tr w:rsidR="00D75A6A" w:rsidRPr="00371492" w14:paraId="1FD7B981" w14:textId="77777777" w:rsidTr="00360551">
              <w:tc>
                <w:tcPr>
                  <w:tcW w:w="1559" w:type="dxa"/>
                </w:tcPr>
                <w:p w14:paraId="60D3F715" w14:textId="77777777" w:rsidR="00D75A6A" w:rsidRPr="00371492" w:rsidRDefault="00D75A6A" w:rsidP="00165179">
                  <w:pPr>
                    <w:jc w:val="both"/>
                    <w:rPr>
                      <w:rFonts w:ascii="Corbel" w:hAnsi="Corbel"/>
                      <w:sz w:val="20"/>
                      <w:szCs w:val="20"/>
                    </w:rPr>
                  </w:pPr>
                  <w:r w:rsidRPr="00371492">
                    <w:rPr>
                      <w:rFonts w:ascii="Corbel" w:hAnsi="Corbel"/>
                      <w:sz w:val="20"/>
                      <w:szCs w:val="20"/>
                    </w:rPr>
                    <w:t>Fysieke schade</w:t>
                  </w:r>
                </w:p>
              </w:tc>
              <w:tc>
                <w:tcPr>
                  <w:tcW w:w="1559" w:type="dxa"/>
                </w:tcPr>
                <w:p w14:paraId="3EBAD059" w14:textId="77777777" w:rsidR="00D75A6A" w:rsidRPr="00371492" w:rsidRDefault="00D75A6A" w:rsidP="00165179">
                  <w:pPr>
                    <w:jc w:val="both"/>
                    <w:rPr>
                      <w:rFonts w:ascii="Corbel" w:hAnsi="Corbel"/>
                      <w:sz w:val="20"/>
                      <w:szCs w:val="20"/>
                    </w:rPr>
                  </w:pPr>
                </w:p>
              </w:tc>
            </w:tr>
            <w:tr w:rsidR="00D75A6A" w:rsidRPr="00371492" w14:paraId="52427A6A" w14:textId="77777777" w:rsidTr="00360551">
              <w:tc>
                <w:tcPr>
                  <w:tcW w:w="1559" w:type="dxa"/>
                </w:tcPr>
                <w:p w14:paraId="31F4552B" w14:textId="77777777" w:rsidR="00D75A6A" w:rsidRPr="00371492" w:rsidRDefault="00D75A6A" w:rsidP="00165179">
                  <w:pPr>
                    <w:jc w:val="both"/>
                    <w:rPr>
                      <w:rFonts w:ascii="Corbel" w:hAnsi="Corbel"/>
                      <w:sz w:val="20"/>
                      <w:szCs w:val="20"/>
                    </w:rPr>
                  </w:pPr>
                  <w:r w:rsidRPr="00371492">
                    <w:rPr>
                      <w:rFonts w:ascii="Corbel" w:hAnsi="Corbel"/>
                      <w:sz w:val="20"/>
                      <w:szCs w:val="20"/>
                    </w:rPr>
                    <w:t>Gezondheid</w:t>
                  </w:r>
                </w:p>
              </w:tc>
              <w:tc>
                <w:tcPr>
                  <w:tcW w:w="1559" w:type="dxa"/>
                </w:tcPr>
                <w:p w14:paraId="05741B28" w14:textId="77777777" w:rsidR="00D75A6A" w:rsidRPr="00371492" w:rsidRDefault="00D75A6A" w:rsidP="00165179">
                  <w:pPr>
                    <w:jc w:val="both"/>
                    <w:rPr>
                      <w:rFonts w:ascii="Corbel" w:hAnsi="Corbel"/>
                      <w:sz w:val="20"/>
                      <w:szCs w:val="20"/>
                    </w:rPr>
                  </w:pPr>
                  <w:r w:rsidRPr="00371492">
                    <w:rPr>
                      <w:rFonts w:ascii="Corbel" w:hAnsi="Corbel"/>
                      <w:sz w:val="20"/>
                      <w:szCs w:val="20"/>
                    </w:rPr>
                    <w:t xml:space="preserve">0,14 </w:t>
                  </w:r>
                </w:p>
              </w:tc>
            </w:tr>
            <w:tr w:rsidR="00D75A6A" w:rsidRPr="00371492" w14:paraId="30ADBECC" w14:textId="77777777" w:rsidTr="00360551">
              <w:tc>
                <w:tcPr>
                  <w:tcW w:w="1559" w:type="dxa"/>
                </w:tcPr>
                <w:p w14:paraId="5B5F06C7" w14:textId="77777777" w:rsidR="00D75A6A" w:rsidRPr="00371492" w:rsidRDefault="00D75A6A" w:rsidP="00165179">
                  <w:pPr>
                    <w:jc w:val="both"/>
                    <w:rPr>
                      <w:rFonts w:ascii="Corbel" w:hAnsi="Corbel"/>
                      <w:sz w:val="20"/>
                      <w:szCs w:val="20"/>
                    </w:rPr>
                  </w:pPr>
                  <w:r w:rsidRPr="00371492">
                    <w:rPr>
                      <w:rFonts w:ascii="Corbel" w:hAnsi="Corbel"/>
                      <w:sz w:val="20"/>
                      <w:szCs w:val="20"/>
                    </w:rPr>
                    <w:t>Milieu</w:t>
                  </w:r>
                </w:p>
              </w:tc>
              <w:tc>
                <w:tcPr>
                  <w:tcW w:w="1559" w:type="dxa"/>
                </w:tcPr>
                <w:p w14:paraId="6793EB10" w14:textId="77777777" w:rsidR="00D75A6A" w:rsidRPr="00371492" w:rsidRDefault="00D75A6A" w:rsidP="00165179">
                  <w:pPr>
                    <w:jc w:val="both"/>
                    <w:rPr>
                      <w:rFonts w:ascii="Corbel" w:hAnsi="Corbel"/>
                      <w:sz w:val="20"/>
                      <w:szCs w:val="20"/>
                    </w:rPr>
                  </w:pPr>
                  <w:r w:rsidRPr="00371492">
                    <w:rPr>
                      <w:rFonts w:ascii="Corbel" w:hAnsi="Corbel"/>
                      <w:sz w:val="20"/>
                      <w:szCs w:val="20"/>
                    </w:rPr>
                    <w:t xml:space="preserve">0,14 </w:t>
                  </w:r>
                </w:p>
              </w:tc>
            </w:tr>
            <w:tr w:rsidR="00D75A6A" w:rsidRPr="00371492" w14:paraId="0C0B33DA" w14:textId="77777777" w:rsidTr="00360551">
              <w:tc>
                <w:tcPr>
                  <w:tcW w:w="1559" w:type="dxa"/>
                </w:tcPr>
                <w:p w14:paraId="147D66DD" w14:textId="77777777" w:rsidR="00D75A6A" w:rsidRPr="00371492" w:rsidRDefault="00D75A6A" w:rsidP="00165179">
                  <w:pPr>
                    <w:jc w:val="both"/>
                    <w:rPr>
                      <w:rFonts w:ascii="Corbel" w:hAnsi="Corbel"/>
                      <w:sz w:val="20"/>
                      <w:szCs w:val="20"/>
                    </w:rPr>
                  </w:pPr>
                  <w:r w:rsidRPr="00371492">
                    <w:rPr>
                      <w:rFonts w:ascii="Corbel" w:hAnsi="Corbel"/>
                      <w:sz w:val="20"/>
                      <w:szCs w:val="20"/>
                    </w:rPr>
                    <w:t>Transportnet</w:t>
                  </w:r>
                </w:p>
              </w:tc>
              <w:tc>
                <w:tcPr>
                  <w:tcW w:w="1559" w:type="dxa"/>
                </w:tcPr>
                <w:p w14:paraId="29DFDC17" w14:textId="77777777" w:rsidR="00D75A6A" w:rsidRPr="00371492" w:rsidRDefault="00D75A6A" w:rsidP="00165179">
                  <w:pPr>
                    <w:jc w:val="both"/>
                    <w:rPr>
                      <w:rFonts w:ascii="Corbel" w:hAnsi="Corbel"/>
                      <w:sz w:val="20"/>
                      <w:szCs w:val="20"/>
                    </w:rPr>
                  </w:pPr>
                </w:p>
              </w:tc>
            </w:tr>
            <w:tr w:rsidR="00D75A6A" w:rsidRPr="00371492" w14:paraId="403838D1" w14:textId="77777777" w:rsidTr="00360551">
              <w:tc>
                <w:tcPr>
                  <w:tcW w:w="1559" w:type="dxa"/>
                </w:tcPr>
                <w:p w14:paraId="24D0EF57" w14:textId="77777777" w:rsidR="00D75A6A" w:rsidRPr="00371492" w:rsidRDefault="00D75A6A" w:rsidP="00165179">
                  <w:pPr>
                    <w:jc w:val="both"/>
                    <w:rPr>
                      <w:rFonts w:ascii="Corbel" w:hAnsi="Corbel"/>
                      <w:sz w:val="20"/>
                      <w:szCs w:val="20"/>
                    </w:rPr>
                  </w:pPr>
                  <w:r w:rsidRPr="00371492">
                    <w:rPr>
                      <w:rFonts w:ascii="Corbel" w:hAnsi="Corbel"/>
                      <w:sz w:val="20"/>
                      <w:szCs w:val="20"/>
                    </w:rPr>
                    <w:t>Economie</w:t>
                  </w:r>
                </w:p>
              </w:tc>
              <w:tc>
                <w:tcPr>
                  <w:tcW w:w="1559" w:type="dxa"/>
                </w:tcPr>
                <w:p w14:paraId="7E7A9878" w14:textId="77777777" w:rsidR="00D75A6A" w:rsidRPr="00371492" w:rsidRDefault="00D75A6A" w:rsidP="00165179">
                  <w:pPr>
                    <w:jc w:val="both"/>
                    <w:rPr>
                      <w:rFonts w:ascii="Corbel" w:hAnsi="Corbel"/>
                      <w:sz w:val="20"/>
                      <w:szCs w:val="20"/>
                    </w:rPr>
                  </w:pPr>
                </w:p>
              </w:tc>
            </w:tr>
            <w:tr w:rsidR="00D75A6A" w:rsidRPr="00371492" w14:paraId="7A676FF3" w14:textId="77777777" w:rsidTr="00360551">
              <w:tc>
                <w:tcPr>
                  <w:tcW w:w="1559" w:type="dxa"/>
                </w:tcPr>
                <w:p w14:paraId="47E88244" w14:textId="77777777" w:rsidR="00D75A6A" w:rsidRPr="00371492" w:rsidRDefault="00D75A6A" w:rsidP="00165179">
                  <w:pPr>
                    <w:jc w:val="both"/>
                    <w:rPr>
                      <w:rFonts w:ascii="Corbel" w:hAnsi="Corbel"/>
                      <w:sz w:val="20"/>
                      <w:szCs w:val="20"/>
                    </w:rPr>
                  </w:pPr>
                  <w:r w:rsidRPr="00371492">
                    <w:rPr>
                      <w:rFonts w:ascii="Corbel" w:hAnsi="Corbel"/>
                      <w:sz w:val="20"/>
                      <w:szCs w:val="20"/>
                    </w:rPr>
                    <w:t>Instituties</w:t>
                  </w:r>
                </w:p>
              </w:tc>
              <w:tc>
                <w:tcPr>
                  <w:tcW w:w="1559" w:type="dxa"/>
                </w:tcPr>
                <w:p w14:paraId="3DDA4A76" w14:textId="77777777" w:rsidR="00D75A6A" w:rsidRPr="00371492" w:rsidRDefault="00D75A6A" w:rsidP="00165179">
                  <w:pPr>
                    <w:jc w:val="both"/>
                    <w:rPr>
                      <w:rFonts w:ascii="Corbel" w:hAnsi="Corbel"/>
                      <w:sz w:val="20"/>
                      <w:szCs w:val="20"/>
                    </w:rPr>
                  </w:pPr>
                  <w:r w:rsidRPr="00371492">
                    <w:rPr>
                      <w:rFonts w:ascii="Corbel" w:hAnsi="Corbel"/>
                      <w:sz w:val="20"/>
                      <w:szCs w:val="20"/>
                    </w:rPr>
                    <w:t>van toepassing</w:t>
                  </w:r>
                </w:p>
              </w:tc>
            </w:tr>
            <w:tr w:rsidR="00D75A6A" w:rsidRPr="00371492" w14:paraId="5B9CA767" w14:textId="77777777" w:rsidTr="00360551">
              <w:tc>
                <w:tcPr>
                  <w:tcW w:w="1559" w:type="dxa"/>
                </w:tcPr>
                <w:p w14:paraId="6D3EAA5F" w14:textId="77777777" w:rsidR="00D75A6A" w:rsidRPr="00371492" w:rsidRDefault="00D75A6A" w:rsidP="00165179">
                  <w:pPr>
                    <w:jc w:val="both"/>
                    <w:rPr>
                      <w:rFonts w:ascii="Corbel" w:hAnsi="Corbel"/>
                      <w:sz w:val="20"/>
                      <w:szCs w:val="20"/>
                    </w:rPr>
                  </w:pPr>
                  <w:r w:rsidRPr="00371492">
                    <w:rPr>
                      <w:rFonts w:ascii="Corbel" w:hAnsi="Corbel"/>
                      <w:sz w:val="20"/>
                      <w:szCs w:val="20"/>
                    </w:rPr>
                    <w:t>totaal</w:t>
                  </w:r>
                </w:p>
              </w:tc>
              <w:tc>
                <w:tcPr>
                  <w:tcW w:w="1559" w:type="dxa"/>
                </w:tcPr>
                <w:p w14:paraId="181AEA56" w14:textId="77777777" w:rsidR="00D75A6A" w:rsidRPr="00371492" w:rsidRDefault="00D75A6A" w:rsidP="00165179">
                  <w:pPr>
                    <w:jc w:val="both"/>
                    <w:rPr>
                      <w:rFonts w:ascii="Corbel" w:hAnsi="Corbel"/>
                      <w:sz w:val="20"/>
                      <w:szCs w:val="20"/>
                    </w:rPr>
                  </w:pPr>
                  <w:r w:rsidRPr="00371492">
                    <w:rPr>
                      <w:rFonts w:ascii="Corbel" w:hAnsi="Corbel"/>
                      <w:sz w:val="20"/>
                      <w:szCs w:val="20"/>
                    </w:rPr>
                    <w:t xml:space="preserve">0,28 </w:t>
                  </w:r>
                </w:p>
              </w:tc>
            </w:tr>
            <w:tr w:rsidR="00D75A6A" w:rsidRPr="00371492" w14:paraId="7DA15EEF" w14:textId="77777777" w:rsidTr="00360551">
              <w:tc>
                <w:tcPr>
                  <w:tcW w:w="1559" w:type="dxa"/>
                </w:tcPr>
                <w:p w14:paraId="23CF032B" w14:textId="77777777" w:rsidR="00D75A6A" w:rsidRPr="00371492" w:rsidRDefault="00D75A6A" w:rsidP="00165179">
                  <w:pPr>
                    <w:jc w:val="both"/>
                    <w:rPr>
                      <w:rFonts w:ascii="Corbel" w:hAnsi="Corbel"/>
                      <w:sz w:val="20"/>
                      <w:szCs w:val="20"/>
                    </w:rPr>
                  </w:pPr>
                </w:p>
              </w:tc>
              <w:tc>
                <w:tcPr>
                  <w:tcW w:w="1559" w:type="dxa"/>
                </w:tcPr>
                <w:p w14:paraId="57B95FE9" w14:textId="77777777" w:rsidR="00D75A6A" w:rsidRPr="00371492" w:rsidRDefault="00D75A6A" w:rsidP="00165179">
                  <w:pPr>
                    <w:jc w:val="both"/>
                    <w:rPr>
                      <w:rFonts w:ascii="Corbel" w:hAnsi="Corbel"/>
                      <w:sz w:val="20"/>
                      <w:szCs w:val="20"/>
                    </w:rPr>
                  </w:pPr>
                </w:p>
              </w:tc>
            </w:tr>
          </w:tbl>
          <w:p w14:paraId="32C3E93E" w14:textId="77777777" w:rsidR="00D75A6A" w:rsidRPr="00371492" w:rsidRDefault="00D75A6A" w:rsidP="00165179">
            <w:pPr>
              <w:jc w:val="both"/>
              <w:rPr>
                <w:rFonts w:ascii="Corbel" w:hAnsi="Corbel"/>
                <w:sz w:val="20"/>
                <w:szCs w:val="20"/>
              </w:rPr>
            </w:pPr>
          </w:p>
        </w:tc>
      </w:tr>
      <w:tr w:rsidR="00D75A6A" w:rsidRPr="00371492" w14:paraId="5D33B575" w14:textId="77777777" w:rsidTr="00360551">
        <w:trPr>
          <w:trHeight w:val="1380"/>
        </w:trPr>
        <w:tc>
          <w:tcPr>
            <w:tcW w:w="2547" w:type="dxa"/>
            <w:shd w:val="clear" w:color="auto" w:fill="DEEAF6" w:themeFill="accent1" w:themeFillTint="33"/>
          </w:tcPr>
          <w:p w14:paraId="0DB1705D" w14:textId="77777777" w:rsidR="00D75A6A" w:rsidRPr="00371492" w:rsidRDefault="00D75A6A" w:rsidP="00165179">
            <w:pPr>
              <w:jc w:val="both"/>
              <w:rPr>
                <w:rFonts w:ascii="Corbel" w:hAnsi="Corbel"/>
                <w:sz w:val="20"/>
                <w:szCs w:val="20"/>
              </w:rPr>
            </w:pPr>
          </w:p>
          <w:p w14:paraId="6B304B51" w14:textId="77777777" w:rsidR="00D75A6A" w:rsidRPr="00371492" w:rsidRDefault="00D75A6A" w:rsidP="00165179">
            <w:pPr>
              <w:jc w:val="both"/>
              <w:rPr>
                <w:rFonts w:ascii="Corbel" w:hAnsi="Corbel"/>
                <w:sz w:val="20"/>
                <w:szCs w:val="20"/>
              </w:rPr>
            </w:pPr>
            <w:r w:rsidRPr="00371492">
              <w:rPr>
                <w:rFonts w:ascii="Corbel" w:hAnsi="Corbel"/>
                <w:sz w:val="20"/>
                <w:szCs w:val="20"/>
              </w:rPr>
              <w:t>Nauwkeurigheids-indicator</w:t>
            </w:r>
          </w:p>
          <w:p w14:paraId="36C650B9" w14:textId="77777777" w:rsidR="00D75A6A" w:rsidRPr="00371492" w:rsidRDefault="00D75A6A" w:rsidP="00165179">
            <w:pPr>
              <w:jc w:val="both"/>
              <w:rPr>
                <w:rFonts w:ascii="Corbel" w:hAnsi="Corbel"/>
                <w:sz w:val="20"/>
                <w:szCs w:val="20"/>
              </w:rPr>
            </w:pPr>
          </w:p>
          <w:p w14:paraId="71138B11" w14:textId="77777777" w:rsidR="00D75A6A" w:rsidRPr="00371492" w:rsidRDefault="00D75A6A" w:rsidP="00165179">
            <w:pPr>
              <w:jc w:val="both"/>
              <w:rPr>
                <w:rFonts w:ascii="Corbel" w:hAnsi="Corbel"/>
                <w:sz w:val="20"/>
                <w:szCs w:val="20"/>
              </w:rPr>
            </w:pPr>
          </w:p>
          <w:p w14:paraId="15CAFE6B" w14:textId="77777777" w:rsidR="00D75A6A" w:rsidRPr="00371492" w:rsidRDefault="00D75A6A" w:rsidP="00165179">
            <w:pPr>
              <w:jc w:val="both"/>
              <w:rPr>
                <w:rFonts w:ascii="Corbel" w:hAnsi="Corbel"/>
                <w:sz w:val="20"/>
                <w:szCs w:val="20"/>
              </w:rPr>
            </w:pPr>
          </w:p>
          <w:p w14:paraId="278F106F" w14:textId="77777777" w:rsidR="00D75A6A" w:rsidRPr="00371492" w:rsidRDefault="00D75A6A" w:rsidP="00165179">
            <w:pPr>
              <w:jc w:val="both"/>
              <w:rPr>
                <w:rFonts w:ascii="Corbel" w:hAnsi="Corbel"/>
                <w:sz w:val="20"/>
                <w:szCs w:val="20"/>
              </w:rPr>
            </w:pPr>
          </w:p>
        </w:tc>
        <w:tc>
          <w:tcPr>
            <w:tcW w:w="6626" w:type="dxa"/>
            <w:shd w:val="clear" w:color="auto" w:fill="DEEAF6" w:themeFill="accent1" w:themeFillTint="33"/>
          </w:tcPr>
          <w:p w14:paraId="367649B1" w14:textId="77777777" w:rsidR="00D75A6A" w:rsidRPr="00371492" w:rsidRDefault="00D75A6A" w:rsidP="00165179">
            <w:pPr>
              <w:jc w:val="both"/>
              <w:rPr>
                <w:rFonts w:ascii="Corbel" w:hAnsi="Corbel"/>
                <w:sz w:val="20"/>
                <w:szCs w:val="20"/>
              </w:rPr>
            </w:pPr>
            <w:r w:rsidRPr="00371492">
              <w:rPr>
                <w:rFonts w:ascii="Corbel" w:hAnsi="Corbel"/>
                <w:noProof/>
                <w:sz w:val="20"/>
                <w:szCs w:val="20"/>
              </w:rPr>
              <w:drawing>
                <wp:inline distT="0" distB="0" distL="0" distR="0" wp14:anchorId="4806268C" wp14:editId="2F0199EF">
                  <wp:extent cx="3988676" cy="725214"/>
                  <wp:effectExtent l="0" t="0" r="0" b="0"/>
                  <wp:docPr id="11" name="Grafiek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2F5DD32" w14:textId="77777777" w:rsidR="00D75A6A" w:rsidRPr="00371492" w:rsidRDefault="00D75A6A" w:rsidP="00165179">
            <w:pPr>
              <w:jc w:val="both"/>
              <w:rPr>
                <w:rFonts w:ascii="Corbel" w:hAnsi="Corbel"/>
                <w:sz w:val="20"/>
                <w:szCs w:val="20"/>
              </w:rPr>
            </w:pPr>
          </w:p>
        </w:tc>
      </w:tr>
      <w:tr w:rsidR="00D75A6A" w:rsidRPr="00371492" w14:paraId="422CAFFA" w14:textId="77777777" w:rsidTr="00360551">
        <w:tc>
          <w:tcPr>
            <w:tcW w:w="2547" w:type="dxa"/>
          </w:tcPr>
          <w:p w14:paraId="23C531BB" w14:textId="77777777" w:rsidR="00D75A6A" w:rsidRPr="00371492" w:rsidRDefault="00D75A6A" w:rsidP="00165179">
            <w:pPr>
              <w:jc w:val="both"/>
              <w:rPr>
                <w:rFonts w:ascii="Corbel" w:hAnsi="Corbel"/>
                <w:sz w:val="20"/>
                <w:szCs w:val="20"/>
              </w:rPr>
            </w:pPr>
            <w:r w:rsidRPr="00371492">
              <w:rPr>
                <w:rFonts w:ascii="Corbel" w:hAnsi="Corbel"/>
                <w:sz w:val="20"/>
                <w:szCs w:val="20"/>
              </w:rPr>
              <w:t>Verwijzingen</w:t>
            </w:r>
          </w:p>
        </w:tc>
        <w:tc>
          <w:tcPr>
            <w:tcW w:w="6626" w:type="dxa"/>
          </w:tcPr>
          <w:p w14:paraId="5F119FCF" w14:textId="77777777" w:rsidR="00D75A6A" w:rsidRPr="00371492" w:rsidRDefault="00D75A6A" w:rsidP="00165179">
            <w:pPr>
              <w:jc w:val="both"/>
              <w:rPr>
                <w:rFonts w:ascii="Corbel" w:hAnsi="Corbel"/>
                <w:sz w:val="20"/>
                <w:szCs w:val="20"/>
              </w:rPr>
            </w:pPr>
            <w:r w:rsidRPr="00371492">
              <w:rPr>
                <w:rFonts w:ascii="Corbel" w:hAnsi="Corbel"/>
                <w:sz w:val="20"/>
                <w:szCs w:val="20"/>
              </w:rPr>
              <w:t>Trendanalyse Biotechnologie (</w:t>
            </w:r>
            <w:proofErr w:type="spellStart"/>
            <w:r w:rsidRPr="00371492">
              <w:rPr>
                <w:rFonts w:ascii="Corbel" w:hAnsi="Corbel"/>
                <w:sz w:val="20"/>
                <w:szCs w:val="20"/>
              </w:rPr>
              <w:t>Cogem</w:t>
            </w:r>
            <w:proofErr w:type="spellEnd"/>
            <w:r w:rsidRPr="00371492">
              <w:rPr>
                <w:rFonts w:ascii="Corbel" w:hAnsi="Corbel"/>
                <w:sz w:val="20"/>
                <w:szCs w:val="20"/>
              </w:rPr>
              <w:t>, 2016).</w:t>
            </w:r>
          </w:p>
        </w:tc>
      </w:tr>
      <w:tr w:rsidR="00D75A6A" w:rsidRPr="00371492" w14:paraId="6B547B82" w14:textId="77777777" w:rsidTr="00360551">
        <w:tc>
          <w:tcPr>
            <w:tcW w:w="2547" w:type="dxa"/>
          </w:tcPr>
          <w:p w14:paraId="4767D340" w14:textId="77777777" w:rsidR="00D75A6A" w:rsidRPr="00371492" w:rsidRDefault="00D75A6A" w:rsidP="00165179">
            <w:pPr>
              <w:jc w:val="both"/>
              <w:rPr>
                <w:rFonts w:ascii="Corbel" w:hAnsi="Corbel"/>
                <w:sz w:val="20"/>
                <w:szCs w:val="20"/>
              </w:rPr>
            </w:pPr>
            <w:r w:rsidRPr="00371492">
              <w:rPr>
                <w:rFonts w:ascii="Corbel" w:hAnsi="Corbel"/>
                <w:sz w:val="20"/>
                <w:szCs w:val="20"/>
              </w:rPr>
              <w:t>Handelingsperspectief</w:t>
            </w:r>
          </w:p>
        </w:tc>
        <w:tc>
          <w:tcPr>
            <w:tcW w:w="6626" w:type="dxa"/>
          </w:tcPr>
          <w:p w14:paraId="75201863" w14:textId="77777777" w:rsidR="00D75A6A" w:rsidRPr="00371492" w:rsidRDefault="00D75A6A" w:rsidP="00165179">
            <w:pPr>
              <w:jc w:val="both"/>
              <w:rPr>
                <w:rFonts w:ascii="Corbel" w:hAnsi="Corbel"/>
                <w:sz w:val="20"/>
                <w:szCs w:val="20"/>
              </w:rPr>
            </w:pPr>
            <w:r w:rsidRPr="00371492">
              <w:rPr>
                <w:rFonts w:ascii="Corbel" w:hAnsi="Corbel"/>
                <w:sz w:val="20"/>
                <w:szCs w:val="20"/>
              </w:rPr>
              <w:t>Wordt in volgende fase ingevuld.</w:t>
            </w:r>
          </w:p>
        </w:tc>
      </w:tr>
      <w:tr w:rsidR="00D75A6A" w:rsidRPr="00371492" w14:paraId="56AC4B9A" w14:textId="77777777" w:rsidTr="00360551">
        <w:tc>
          <w:tcPr>
            <w:tcW w:w="2547" w:type="dxa"/>
          </w:tcPr>
          <w:p w14:paraId="231319A6" w14:textId="77777777" w:rsidR="00D75A6A" w:rsidRPr="00371492" w:rsidRDefault="00D75A6A" w:rsidP="00165179">
            <w:pPr>
              <w:jc w:val="both"/>
              <w:rPr>
                <w:rFonts w:ascii="Corbel" w:hAnsi="Corbel"/>
                <w:sz w:val="20"/>
                <w:szCs w:val="20"/>
              </w:rPr>
            </w:pPr>
            <w:r w:rsidRPr="00371492">
              <w:rPr>
                <w:rFonts w:ascii="Corbel" w:hAnsi="Corbel"/>
                <w:sz w:val="20"/>
                <w:szCs w:val="20"/>
              </w:rPr>
              <w:t>Perspectieven</w:t>
            </w:r>
          </w:p>
        </w:tc>
        <w:tc>
          <w:tcPr>
            <w:tcW w:w="6626" w:type="dxa"/>
          </w:tcPr>
          <w:p w14:paraId="2ECBACAE" w14:textId="77777777" w:rsidR="00D75A6A" w:rsidRPr="00371492" w:rsidRDefault="00D75A6A" w:rsidP="00165179">
            <w:pPr>
              <w:jc w:val="both"/>
              <w:rPr>
                <w:rFonts w:ascii="Corbel" w:hAnsi="Corbel"/>
                <w:sz w:val="20"/>
                <w:szCs w:val="20"/>
              </w:rPr>
            </w:pPr>
            <w:r w:rsidRPr="00371492">
              <w:rPr>
                <w:rFonts w:ascii="Corbel" w:hAnsi="Corbel"/>
                <w:sz w:val="20"/>
                <w:szCs w:val="20"/>
              </w:rPr>
              <w:t>Milieu.</w:t>
            </w:r>
          </w:p>
        </w:tc>
      </w:tr>
    </w:tbl>
    <w:p w14:paraId="2ADD3C39" w14:textId="77777777" w:rsidR="00D75A6A" w:rsidRPr="00371492" w:rsidRDefault="00D75A6A" w:rsidP="00165179">
      <w:pPr>
        <w:jc w:val="both"/>
        <w:rPr>
          <w:rFonts w:ascii="Corbel" w:hAnsi="Corbel"/>
          <w:sz w:val="20"/>
          <w:szCs w:val="20"/>
        </w:rPr>
      </w:pPr>
    </w:p>
    <w:p w14:paraId="045C120E" w14:textId="77777777" w:rsidR="00D75A6A" w:rsidRPr="00371492" w:rsidRDefault="00D75A6A" w:rsidP="00165179">
      <w:pPr>
        <w:jc w:val="both"/>
        <w:rPr>
          <w:rFonts w:ascii="Corbel" w:hAnsi="Corbel"/>
          <w:sz w:val="20"/>
          <w:szCs w:val="20"/>
        </w:rPr>
      </w:pPr>
    </w:p>
    <w:p w14:paraId="5B2D512A" w14:textId="77777777" w:rsidR="00D75A6A" w:rsidRPr="00371492" w:rsidRDefault="00D75A6A" w:rsidP="00165179">
      <w:pPr>
        <w:jc w:val="both"/>
        <w:rPr>
          <w:rFonts w:ascii="Corbel" w:hAnsi="Corbel"/>
          <w:sz w:val="20"/>
          <w:szCs w:val="20"/>
        </w:rPr>
      </w:pPr>
    </w:p>
    <w:p w14:paraId="748FAD4B" w14:textId="77777777" w:rsidR="00D75A6A" w:rsidRPr="00371492" w:rsidRDefault="00D75A6A" w:rsidP="00165179">
      <w:pPr>
        <w:jc w:val="both"/>
        <w:rPr>
          <w:rFonts w:ascii="Corbel" w:hAnsi="Corbel"/>
          <w:sz w:val="20"/>
          <w:szCs w:val="20"/>
        </w:rPr>
      </w:pPr>
    </w:p>
    <w:p w14:paraId="46F80BCF" w14:textId="77777777" w:rsidR="00D75A6A" w:rsidRPr="00371492" w:rsidRDefault="00D75A6A" w:rsidP="00165179">
      <w:pPr>
        <w:jc w:val="both"/>
        <w:rPr>
          <w:rFonts w:ascii="Corbel" w:hAnsi="Corbel"/>
          <w:sz w:val="20"/>
          <w:szCs w:val="20"/>
        </w:rPr>
      </w:pPr>
    </w:p>
    <w:p w14:paraId="34E9DDE4" w14:textId="77777777" w:rsidR="00D75A6A" w:rsidRPr="00371492" w:rsidRDefault="00D75A6A" w:rsidP="00165179">
      <w:pPr>
        <w:jc w:val="both"/>
        <w:rPr>
          <w:rFonts w:ascii="Corbel" w:hAnsi="Corbel"/>
          <w:sz w:val="20"/>
          <w:szCs w:val="20"/>
        </w:rPr>
      </w:pPr>
    </w:p>
    <w:p w14:paraId="0AF23791" w14:textId="77777777" w:rsidR="00D75A6A" w:rsidRPr="00371492" w:rsidRDefault="00D75A6A" w:rsidP="00165179">
      <w:pPr>
        <w:jc w:val="both"/>
        <w:rPr>
          <w:rFonts w:ascii="Corbel" w:hAnsi="Corbel"/>
        </w:rPr>
      </w:pPr>
    </w:p>
    <w:p w14:paraId="094A70F3" w14:textId="77777777" w:rsidR="00D75A6A" w:rsidRPr="00371492" w:rsidRDefault="00D75A6A" w:rsidP="00165179">
      <w:pPr>
        <w:jc w:val="both"/>
        <w:rPr>
          <w:rFonts w:ascii="Corbel" w:hAnsi="Corbel"/>
        </w:rPr>
      </w:pPr>
    </w:p>
    <w:p w14:paraId="07DBC165" w14:textId="77777777" w:rsidR="00D75A6A" w:rsidRPr="00371492" w:rsidRDefault="00D75A6A" w:rsidP="00165179">
      <w:pPr>
        <w:jc w:val="both"/>
        <w:rPr>
          <w:rFonts w:ascii="Corbel" w:hAnsi="Corbel"/>
        </w:rPr>
      </w:pPr>
    </w:p>
    <w:p w14:paraId="1496EC20" w14:textId="77777777" w:rsidR="00D75A6A" w:rsidRPr="00371492" w:rsidRDefault="00D75A6A" w:rsidP="00165179">
      <w:pPr>
        <w:jc w:val="both"/>
        <w:rPr>
          <w:rFonts w:ascii="Corbel" w:hAnsi="Corbel"/>
        </w:rPr>
      </w:pPr>
    </w:p>
    <w:p w14:paraId="7CED5672" w14:textId="77777777" w:rsidR="00D75A6A" w:rsidRPr="00371492" w:rsidRDefault="00D75A6A" w:rsidP="00165179">
      <w:pPr>
        <w:jc w:val="both"/>
        <w:rPr>
          <w:rFonts w:ascii="Corbel" w:hAnsi="Corbel"/>
        </w:rPr>
      </w:pPr>
    </w:p>
    <w:p w14:paraId="381A56EA" w14:textId="77777777" w:rsidR="00D75A6A" w:rsidRPr="00371492" w:rsidRDefault="00D75A6A" w:rsidP="00165179">
      <w:pPr>
        <w:jc w:val="both"/>
        <w:rPr>
          <w:rFonts w:ascii="Corbel" w:hAnsi="Corbel"/>
        </w:rPr>
      </w:pPr>
    </w:p>
    <w:p w14:paraId="65852074" w14:textId="77777777" w:rsidR="00D75A6A" w:rsidRPr="00371492" w:rsidRDefault="00D75A6A" w:rsidP="00165179">
      <w:pPr>
        <w:jc w:val="both"/>
        <w:rPr>
          <w:rFonts w:ascii="Corbel" w:hAnsi="Corbel"/>
        </w:rPr>
      </w:pPr>
    </w:p>
    <w:p w14:paraId="3F3AECFD" w14:textId="77777777" w:rsidR="00D75A6A" w:rsidRPr="00371492" w:rsidRDefault="00D75A6A" w:rsidP="00165179">
      <w:pPr>
        <w:jc w:val="both"/>
        <w:rPr>
          <w:rFonts w:ascii="Corbel" w:hAnsi="Corbel"/>
        </w:rPr>
      </w:pPr>
    </w:p>
    <w:p w14:paraId="52A2807F" w14:textId="77777777" w:rsidR="00D75A6A" w:rsidRPr="00371492" w:rsidRDefault="00D75A6A" w:rsidP="00165179">
      <w:pPr>
        <w:jc w:val="both"/>
        <w:rPr>
          <w:rFonts w:ascii="Corbel" w:hAnsi="Corbel"/>
        </w:rPr>
      </w:pPr>
    </w:p>
    <w:p w14:paraId="3F287921" w14:textId="77777777" w:rsidR="00D75A6A" w:rsidRPr="00371492" w:rsidRDefault="00D75A6A" w:rsidP="00165179">
      <w:pPr>
        <w:jc w:val="both"/>
        <w:rPr>
          <w:rFonts w:ascii="Corbel" w:hAnsi="Corbel"/>
        </w:rPr>
      </w:pPr>
    </w:p>
    <w:p w14:paraId="0EBBBD89" w14:textId="77777777" w:rsidR="00D75A6A" w:rsidRPr="00371492" w:rsidRDefault="00D75A6A" w:rsidP="00165179">
      <w:pPr>
        <w:jc w:val="both"/>
        <w:rPr>
          <w:rFonts w:ascii="Corbel" w:hAnsi="Corbel"/>
        </w:rPr>
      </w:pPr>
    </w:p>
    <w:p w14:paraId="5362DC60" w14:textId="77777777" w:rsidR="00D75A6A" w:rsidRPr="00371492" w:rsidRDefault="00D75A6A" w:rsidP="00165179">
      <w:pPr>
        <w:jc w:val="both"/>
        <w:rPr>
          <w:rFonts w:ascii="Corbel" w:hAnsi="Corbel"/>
        </w:rPr>
      </w:pPr>
    </w:p>
    <w:p w14:paraId="05F3A7FE" w14:textId="77777777" w:rsidR="00723553" w:rsidRPr="00371492" w:rsidRDefault="00723553" w:rsidP="00165179">
      <w:pPr>
        <w:jc w:val="both"/>
        <w:rPr>
          <w:rFonts w:ascii="Corbel" w:hAnsi="Corbel"/>
        </w:rPr>
      </w:pPr>
    </w:p>
    <w:p w14:paraId="7528FAB6" w14:textId="77777777" w:rsidR="00723553" w:rsidRPr="00371492" w:rsidRDefault="00723553" w:rsidP="00165179">
      <w:pPr>
        <w:jc w:val="both"/>
        <w:rPr>
          <w:rFonts w:ascii="Corbel" w:hAnsi="Corbel"/>
        </w:rPr>
      </w:pPr>
    </w:p>
    <w:p w14:paraId="12AD4424" w14:textId="77777777" w:rsidR="000C53CD" w:rsidRPr="00371492" w:rsidRDefault="000C53CD" w:rsidP="00165179">
      <w:pPr>
        <w:jc w:val="both"/>
        <w:rPr>
          <w:rFonts w:ascii="Corbel" w:hAnsi="Corbel"/>
        </w:rPr>
      </w:pPr>
    </w:p>
    <w:p w14:paraId="1F68164E" w14:textId="77777777" w:rsidR="00D75A6A" w:rsidRPr="00371492" w:rsidRDefault="00D75A6A" w:rsidP="00165179">
      <w:pPr>
        <w:jc w:val="both"/>
        <w:rPr>
          <w:rFonts w:ascii="Corbel" w:hAnsi="Corbel"/>
        </w:rPr>
      </w:pPr>
    </w:p>
    <w:p w14:paraId="772C71EB" w14:textId="77777777" w:rsidR="00D75A6A" w:rsidRPr="00371492" w:rsidRDefault="00D75A6A" w:rsidP="00165179">
      <w:pPr>
        <w:jc w:val="both"/>
        <w:rPr>
          <w:rFonts w:ascii="Corbel" w:hAnsi="Corbel"/>
        </w:rPr>
      </w:pPr>
    </w:p>
    <w:p w14:paraId="7F1B3E6D" w14:textId="750282CC" w:rsidR="006501BD" w:rsidRPr="00371492" w:rsidRDefault="00400AF1" w:rsidP="00165179">
      <w:pPr>
        <w:pStyle w:val="Stijl2"/>
        <w:numPr>
          <w:ilvl w:val="0"/>
          <w:numId w:val="6"/>
        </w:numPr>
        <w:jc w:val="both"/>
        <w:rPr>
          <w:rFonts w:eastAsia="Tahoma"/>
        </w:rPr>
      </w:pPr>
      <w:bookmarkStart w:id="66" w:name="_Toc485990902"/>
      <w:r w:rsidRPr="00371492">
        <w:rPr>
          <w:rFonts w:eastAsia="Tahoma"/>
        </w:rPr>
        <w:lastRenderedPageBreak/>
        <w:t xml:space="preserve">Risicosheet casus 3: </w:t>
      </w:r>
      <w:r w:rsidR="002C024D" w:rsidRPr="00371492">
        <w:rPr>
          <w:rFonts w:eastAsia="Tahoma"/>
        </w:rPr>
        <w:t>Stank en overlast door luchtvaart</w:t>
      </w:r>
      <w:bookmarkEnd w:id="66"/>
    </w:p>
    <w:p w14:paraId="5336D7C1" w14:textId="3E255C73" w:rsidR="00D75A6A" w:rsidRPr="00371492" w:rsidRDefault="00D75A6A" w:rsidP="00165179">
      <w:pPr>
        <w:pStyle w:val="Huisstijl-Kopznr2"/>
        <w:numPr>
          <w:ilvl w:val="0"/>
          <w:numId w:val="0"/>
        </w:numPr>
        <w:pBdr>
          <w:top w:val="single" w:sz="18" w:space="1" w:color="auto" w:shadow="1"/>
          <w:left w:val="single" w:sz="18" w:space="4" w:color="auto" w:shadow="1"/>
          <w:bottom w:val="single" w:sz="18" w:space="1" w:color="auto" w:shadow="1"/>
          <w:right w:val="single" w:sz="18" w:space="4" w:color="auto" w:shadow="1"/>
        </w:pBdr>
        <w:shd w:val="clear" w:color="auto" w:fill="BDD6EE" w:themeFill="accent1" w:themeFillTint="66"/>
        <w:tabs>
          <w:tab w:val="clear" w:pos="0"/>
          <w:tab w:val="left" w:pos="1418"/>
        </w:tabs>
        <w:ind w:left="1418" w:hanging="1418"/>
        <w:jc w:val="both"/>
        <w:outlineLvl w:val="1"/>
        <w:rPr>
          <w:rFonts w:ascii="Corbel" w:hAnsi="Corbel"/>
          <w:sz w:val="20"/>
          <w:szCs w:val="20"/>
        </w:rPr>
      </w:pPr>
    </w:p>
    <w:tbl>
      <w:tblPr>
        <w:tblW w:w="9173" w:type="dxa"/>
        <w:tblBorders>
          <w:insideH w:val="single" w:sz="4" w:space="0" w:color="auto"/>
          <w:insideV w:val="single" w:sz="4" w:space="0" w:color="auto"/>
        </w:tblBorders>
        <w:tblLayout w:type="fixed"/>
        <w:tblLook w:val="04A0" w:firstRow="1" w:lastRow="0" w:firstColumn="1" w:lastColumn="0" w:noHBand="0" w:noVBand="1"/>
      </w:tblPr>
      <w:tblGrid>
        <w:gridCol w:w="2357"/>
        <w:gridCol w:w="6775"/>
        <w:gridCol w:w="41"/>
      </w:tblGrid>
      <w:tr w:rsidR="00D75A6A" w:rsidRPr="00371492" w14:paraId="541C2D8B" w14:textId="77777777" w:rsidTr="00D75A6A">
        <w:trPr>
          <w:gridAfter w:val="1"/>
          <w:wAfter w:w="41" w:type="dxa"/>
        </w:trPr>
        <w:tc>
          <w:tcPr>
            <w:tcW w:w="2357" w:type="dxa"/>
          </w:tcPr>
          <w:p w14:paraId="79FFE033" w14:textId="77777777" w:rsidR="00D75A6A" w:rsidRPr="00371492" w:rsidRDefault="00D75A6A" w:rsidP="00165179">
            <w:pPr>
              <w:jc w:val="both"/>
              <w:rPr>
                <w:rFonts w:ascii="Corbel" w:hAnsi="Corbel"/>
                <w:sz w:val="20"/>
                <w:szCs w:val="20"/>
              </w:rPr>
            </w:pPr>
            <w:r w:rsidRPr="00371492">
              <w:rPr>
                <w:rFonts w:ascii="Corbel" w:hAnsi="Corbel"/>
                <w:sz w:val="20"/>
                <w:szCs w:val="20"/>
              </w:rPr>
              <w:t>Domein</w:t>
            </w:r>
          </w:p>
        </w:tc>
        <w:tc>
          <w:tcPr>
            <w:tcW w:w="6775" w:type="dxa"/>
          </w:tcPr>
          <w:p w14:paraId="6849039B" w14:textId="77777777" w:rsidR="00D75A6A" w:rsidRPr="00371492" w:rsidRDefault="00D75A6A" w:rsidP="00165179">
            <w:pPr>
              <w:jc w:val="both"/>
              <w:rPr>
                <w:rFonts w:ascii="Corbel" w:hAnsi="Corbel"/>
                <w:sz w:val="20"/>
                <w:szCs w:val="20"/>
              </w:rPr>
            </w:pPr>
            <w:r w:rsidRPr="00371492">
              <w:rPr>
                <w:rFonts w:ascii="Corbel" w:hAnsi="Corbel"/>
                <w:sz w:val="20"/>
                <w:szCs w:val="20"/>
              </w:rPr>
              <w:t>Luchtvaart</w:t>
            </w:r>
          </w:p>
        </w:tc>
      </w:tr>
      <w:tr w:rsidR="00D75A6A" w:rsidRPr="00371492" w14:paraId="3E4BC9D5" w14:textId="77777777" w:rsidTr="00D75A6A">
        <w:trPr>
          <w:gridAfter w:val="1"/>
          <w:wAfter w:w="41" w:type="dxa"/>
        </w:trPr>
        <w:tc>
          <w:tcPr>
            <w:tcW w:w="2357" w:type="dxa"/>
          </w:tcPr>
          <w:p w14:paraId="580C1E56" w14:textId="77777777" w:rsidR="00D75A6A" w:rsidRPr="00371492" w:rsidRDefault="00D75A6A" w:rsidP="00165179">
            <w:pPr>
              <w:jc w:val="both"/>
              <w:rPr>
                <w:rFonts w:ascii="Corbel" w:hAnsi="Corbel"/>
                <w:sz w:val="20"/>
                <w:szCs w:val="20"/>
              </w:rPr>
            </w:pPr>
            <w:r w:rsidRPr="00371492">
              <w:rPr>
                <w:rFonts w:ascii="Corbel" w:hAnsi="Corbel"/>
                <w:sz w:val="20"/>
                <w:szCs w:val="20"/>
              </w:rPr>
              <w:t>Omschrijving risico</w:t>
            </w:r>
          </w:p>
        </w:tc>
        <w:tc>
          <w:tcPr>
            <w:tcW w:w="6775" w:type="dxa"/>
          </w:tcPr>
          <w:p w14:paraId="63F4B836" w14:textId="77777777" w:rsidR="00D75A6A" w:rsidRPr="00371492" w:rsidRDefault="00D75A6A" w:rsidP="00165179">
            <w:pPr>
              <w:jc w:val="both"/>
              <w:rPr>
                <w:rFonts w:ascii="Corbel" w:hAnsi="Corbel"/>
                <w:sz w:val="20"/>
                <w:szCs w:val="20"/>
              </w:rPr>
            </w:pPr>
            <w:r w:rsidRPr="00371492">
              <w:rPr>
                <w:rFonts w:ascii="Corbel" w:hAnsi="Corbel"/>
                <w:sz w:val="20"/>
                <w:szCs w:val="20"/>
              </w:rPr>
              <w:t>Gezondheidsschade als gevolg van stank en geluidsoverlast door luchtvaart</w:t>
            </w:r>
          </w:p>
        </w:tc>
      </w:tr>
      <w:tr w:rsidR="00D75A6A" w:rsidRPr="00371492" w14:paraId="5AF8240C" w14:textId="77777777" w:rsidTr="00D75A6A">
        <w:trPr>
          <w:gridAfter w:val="1"/>
          <w:wAfter w:w="41" w:type="dxa"/>
        </w:trPr>
        <w:tc>
          <w:tcPr>
            <w:tcW w:w="2357" w:type="dxa"/>
          </w:tcPr>
          <w:p w14:paraId="7C8ABE87" w14:textId="77777777" w:rsidR="00D75A6A" w:rsidRPr="00371492" w:rsidRDefault="00D75A6A" w:rsidP="00165179">
            <w:pPr>
              <w:jc w:val="both"/>
              <w:rPr>
                <w:rFonts w:ascii="Corbel" w:hAnsi="Corbel"/>
                <w:sz w:val="20"/>
                <w:szCs w:val="20"/>
              </w:rPr>
            </w:pPr>
            <w:r w:rsidRPr="00371492">
              <w:rPr>
                <w:rFonts w:ascii="Corbel" w:hAnsi="Corbel"/>
                <w:sz w:val="20"/>
                <w:szCs w:val="20"/>
              </w:rPr>
              <w:t>Populatie</w:t>
            </w:r>
          </w:p>
        </w:tc>
        <w:tc>
          <w:tcPr>
            <w:tcW w:w="6775" w:type="dxa"/>
          </w:tcPr>
          <w:p w14:paraId="71BC2C30" w14:textId="77777777" w:rsidR="00D75A6A" w:rsidRPr="00371492" w:rsidRDefault="00D75A6A" w:rsidP="00165179">
            <w:pPr>
              <w:jc w:val="both"/>
              <w:rPr>
                <w:rFonts w:ascii="Corbel" w:hAnsi="Corbel"/>
                <w:sz w:val="20"/>
                <w:szCs w:val="20"/>
              </w:rPr>
            </w:pPr>
            <w:r w:rsidRPr="00371492">
              <w:rPr>
                <w:rFonts w:ascii="Corbel" w:hAnsi="Corbel"/>
                <w:sz w:val="20"/>
                <w:szCs w:val="20"/>
              </w:rPr>
              <w:t>Burgers in de omgeving van luchthavens.</w:t>
            </w:r>
          </w:p>
        </w:tc>
      </w:tr>
      <w:tr w:rsidR="00D75A6A" w:rsidRPr="00371492" w14:paraId="16F88FE4" w14:textId="77777777" w:rsidTr="00D75A6A">
        <w:trPr>
          <w:gridAfter w:val="1"/>
          <w:wAfter w:w="41" w:type="dxa"/>
        </w:trPr>
        <w:tc>
          <w:tcPr>
            <w:tcW w:w="2357" w:type="dxa"/>
          </w:tcPr>
          <w:p w14:paraId="7C8BCEE0" w14:textId="77777777" w:rsidR="00D75A6A" w:rsidRPr="00371492" w:rsidRDefault="00D75A6A" w:rsidP="00165179">
            <w:pPr>
              <w:jc w:val="both"/>
              <w:rPr>
                <w:rFonts w:ascii="Corbel" w:hAnsi="Corbel"/>
                <w:sz w:val="20"/>
                <w:szCs w:val="20"/>
              </w:rPr>
            </w:pPr>
            <w:r w:rsidRPr="00371492">
              <w:rPr>
                <w:rFonts w:ascii="Corbel" w:hAnsi="Corbel"/>
                <w:sz w:val="20"/>
                <w:szCs w:val="20"/>
              </w:rPr>
              <w:t>Toezichtsvorm</w:t>
            </w:r>
          </w:p>
        </w:tc>
        <w:tc>
          <w:tcPr>
            <w:tcW w:w="6775" w:type="dxa"/>
          </w:tcPr>
          <w:p w14:paraId="1A8C6482" w14:textId="77777777" w:rsidR="00D75A6A" w:rsidRPr="00371492" w:rsidRDefault="00D75A6A" w:rsidP="00165179">
            <w:pPr>
              <w:jc w:val="both"/>
              <w:rPr>
                <w:rFonts w:ascii="Corbel" w:hAnsi="Corbel"/>
                <w:sz w:val="20"/>
                <w:szCs w:val="20"/>
              </w:rPr>
            </w:pPr>
            <w:r w:rsidRPr="00371492">
              <w:rPr>
                <w:rFonts w:ascii="Corbel" w:hAnsi="Corbel"/>
                <w:sz w:val="20"/>
                <w:szCs w:val="20"/>
              </w:rPr>
              <w:t>Objectgericht</w:t>
            </w:r>
          </w:p>
        </w:tc>
      </w:tr>
      <w:tr w:rsidR="00D75A6A" w:rsidRPr="00371492" w14:paraId="5DF78CCD" w14:textId="77777777" w:rsidTr="00D75A6A">
        <w:trPr>
          <w:gridAfter w:val="1"/>
          <w:wAfter w:w="41" w:type="dxa"/>
        </w:trPr>
        <w:tc>
          <w:tcPr>
            <w:tcW w:w="2357" w:type="dxa"/>
          </w:tcPr>
          <w:p w14:paraId="58B4EE4D" w14:textId="77777777" w:rsidR="00D75A6A" w:rsidRPr="00371492" w:rsidRDefault="00D75A6A" w:rsidP="00165179">
            <w:pPr>
              <w:jc w:val="both"/>
              <w:rPr>
                <w:rFonts w:ascii="Corbel" w:hAnsi="Corbel"/>
                <w:sz w:val="20"/>
                <w:szCs w:val="20"/>
              </w:rPr>
            </w:pPr>
            <w:r w:rsidRPr="00371492">
              <w:rPr>
                <w:rFonts w:ascii="Corbel" w:hAnsi="Corbel"/>
                <w:sz w:val="20"/>
                <w:szCs w:val="20"/>
              </w:rPr>
              <w:t>Bijzonderheden</w:t>
            </w:r>
          </w:p>
        </w:tc>
        <w:tc>
          <w:tcPr>
            <w:tcW w:w="6775" w:type="dxa"/>
          </w:tcPr>
          <w:p w14:paraId="3026DCF6" w14:textId="77777777" w:rsidR="00D75A6A" w:rsidRPr="00371492" w:rsidRDefault="00D75A6A" w:rsidP="00165179">
            <w:pPr>
              <w:jc w:val="both"/>
              <w:rPr>
                <w:rFonts w:ascii="Corbel" w:hAnsi="Corbel"/>
                <w:sz w:val="20"/>
                <w:szCs w:val="20"/>
              </w:rPr>
            </w:pPr>
            <w:r w:rsidRPr="00371492">
              <w:rPr>
                <w:rFonts w:ascii="Corbel" w:hAnsi="Corbel"/>
                <w:sz w:val="20"/>
                <w:szCs w:val="20"/>
              </w:rPr>
              <w:t>Geen</w:t>
            </w:r>
          </w:p>
        </w:tc>
      </w:tr>
      <w:tr w:rsidR="00D75A6A" w:rsidRPr="00371492" w14:paraId="4A122728" w14:textId="77777777" w:rsidTr="00D75A6A">
        <w:trPr>
          <w:gridAfter w:val="1"/>
          <w:wAfter w:w="41" w:type="dxa"/>
        </w:trPr>
        <w:tc>
          <w:tcPr>
            <w:tcW w:w="2357" w:type="dxa"/>
          </w:tcPr>
          <w:p w14:paraId="7CE18097" w14:textId="77777777" w:rsidR="00D75A6A" w:rsidRPr="00371492" w:rsidRDefault="00D75A6A" w:rsidP="00165179">
            <w:pPr>
              <w:jc w:val="both"/>
              <w:rPr>
                <w:rFonts w:ascii="Corbel" w:hAnsi="Corbel"/>
                <w:sz w:val="20"/>
                <w:szCs w:val="20"/>
              </w:rPr>
            </w:pPr>
            <w:r w:rsidRPr="00371492">
              <w:rPr>
                <w:rFonts w:ascii="Corbel" w:hAnsi="Corbel"/>
                <w:sz w:val="20"/>
                <w:szCs w:val="20"/>
              </w:rPr>
              <w:t xml:space="preserve">Termijn </w:t>
            </w:r>
          </w:p>
        </w:tc>
        <w:tc>
          <w:tcPr>
            <w:tcW w:w="6775" w:type="dxa"/>
          </w:tcPr>
          <w:p w14:paraId="720F252D" w14:textId="77777777" w:rsidR="00D75A6A" w:rsidRPr="00371492" w:rsidRDefault="00D75A6A" w:rsidP="00165179">
            <w:pPr>
              <w:jc w:val="both"/>
              <w:rPr>
                <w:rFonts w:ascii="Corbel" w:hAnsi="Corbel"/>
                <w:sz w:val="20"/>
                <w:szCs w:val="20"/>
              </w:rPr>
            </w:pPr>
            <w:r w:rsidRPr="00371492">
              <w:rPr>
                <w:rFonts w:ascii="Corbel" w:hAnsi="Corbel"/>
                <w:sz w:val="20"/>
                <w:szCs w:val="20"/>
              </w:rPr>
              <w:t>Direct en continu; duur van een mensenleven</w:t>
            </w:r>
          </w:p>
        </w:tc>
      </w:tr>
      <w:tr w:rsidR="00D75A6A" w:rsidRPr="00371492" w14:paraId="47C8A489" w14:textId="77777777" w:rsidTr="00D75A6A">
        <w:trPr>
          <w:gridAfter w:val="1"/>
          <w:wAfter w:w="41" w:type="dxa"/>
        </w:trPr>
        <w:tc>
          <w:tcPr>
            <w:tcW w:w="2357" w:type="dxa"/>
          </w:tcPr>
          <w:p w14:paraId="35751474" w14:textId="77777777" w:rsidR="00D75A6A" w:rsidRPr="00371492" w:rsidRDefault="00D75A6A" w:rsidP="00165179">
            <w:pPr>
              <w:jc w:val="both"/>
              <w:rPr>
                <w:rFonts w:ascii="Corbel" w:hAnsi="Corbel"/>
                <w:sz w:val="20"/>
                <w:szCs w:val="20"/>
              </w:rPr>
            </w:pPr>
            <w:r w:rsidRPr="00371492">
              <w:rPr>
                <w:rFonts w:ascii="Corbel" w:hAnsi="Corbel"/>
                <w:sz w:val="20"/>
                <w:szCs w:val="20"/>
              </w:rPr>
              <w:t xml:space="preserve">Locatie </w:t>
            </w:r>
          </w:p>
        </w:tc>
        <w:tc>
          <w:tcPr>
            <w:tcW w:w="6775" w:type="dxa"/>
          </w:tcPr>
          <w:p w14:paraId="679E87B2" w14:textId="77777777" w:rsidR="00D75A6A" w:rsidRPr="00371492" w:rsidRDefault="00D75A6A" w:rsidP="00165179">
            <w:pPr>
              <w:jc w:val="both"/>
              <w:rPr>
                <w:rFonts w:ascii="Corbel" w:hAnsi="Corbel"/>
                <w:sz w:val="20"/>
                <w:szCs w:val="20"/>
              </w:rPr>
            </w:pPr>
            <w:r w:rsidRPr="00371492">
              <w:rPr>
                <w:rFonts w:ascii="Corbel" w:hAnsi="Corbel"/>
                <w:sz w:val="20"/>
                <w:szCs w:val="20"/>
              </w:rPr>
              <w:t>Nederlands grondgebied</w:t>
            </w:r>
          </w:p>
        </w:tc>
      </w:tr>
      <w:tr w:rsidR="00D75A6A" w:rsidRPr="00371492" w14:paraId="2DCF6EB3" w14:textId="77777777" w:rsidTr="00D75A6A">
        <w:trPr>
          <w:gridAfter w:val="1"/>
          <w:wAfter w:w="41" w:type="dxa"/>
        </w:trPr>
        <w:tc>
          <w:tcPr>
            <w:tcW w:w="2357" w:type="dxa"/>
          </w:tcPr>
          <w:p w14:paraId="775CF2AF" w14:textId="77777777" w:rsidR="00D75A6A" w:rsidRPr="00371492" w:rsidRDefault="00D75A6A" w:rsidP="00165179">
            <w:pPr>
              <w:jc w:val="both"/>
              <w:rPr>
                <w:rFonts w:ascii="Corbel" w:hAnsi="Corbel"/>
                <w:sz w:val="20"/>
                <w:szCs w:val="20"/>
              </w:rPr>
            </w:pPr>
            <w:r w:rsidRPr="00371492">
              <w:rPr>
                <w:rFonts w:ascii="Corbel" w:hAnsi="Corbel"/>
                <w:sz w:val="20"/>
                <w:szCs w:val="20"/>
              </w:rPr>
              <w:t>Soort schade</w:t>
            </w:r>
          </w:p>
        </w:tc>
        <w:tc>
          <w:tcPr>
            <w:tcW w:w="6775" w:type="dxa"/>
          </w:tcPr>
          <w:p w14:paraId="43D71863" w14:textId="77777777" w:rsidR="00D75A6A" w:rsidRPr="00371492" w:rsidRDefault="00D75A6A" w:rsidP="00165179">
            <w:pPr>
              <w:jc w:val="both"/>
              <w:rPr>
                <w:rFonts w:ascii="Corbel" w:hAnsi="Corbel"/>
                <w:sz w:val="20"/>
                <w:szCs w:val="20"/>
              </w:rPr>
            </w:pPr>
            <w:r w:rsidRPr="00371492">
              <w:rPr>
                <w:rFonts w:ascii="Corbel" w:hAnsi="Corbel"/>
                <w:sz w:val="20"/>
                <w:szCs w:val="20"/>
              </w:rPr>
              <w:t>Immaterieel</w:t>
            </w:r>
          </w:p>
        </w:tc>
      </w:tr>
      <w:tr w:rsidR="00D75A6A" w:rsidRPr="00371492" w14:paraId="775E621B" w14:textId="77777777" w:rsidTr="00D75A6A">
        <w:trPr>
          <w:gridAfter w:val="1"/>
          <w:wAfter w:w="41" w:type="dxa"/>
        </w:trPr>
        <w:tc>
          <w:tcPr>
            <w:tcW w:w="2357" w:type="dxa"/>
          </w:tcPr>
          <w:p w14:paraId="09D68F9D" w14:textId="77777777" w:rsidR="00D75A6A" w:rsidRPr="00371492" w:rsidRDefault="00D75A6A" w:rsidP="00165179">
            <w:pPr>
              <w:jc w:val="both"/>
              <w:rPr>
                <w:rFonts w:ascii="Corbel" w:hAnsi="Corbel"/>
                <w:sz w:val="20"/>
                <w:szCs w:val="20"/>
              </w:rPr>
            </w:pPr>
            <w:r w:rsidRPr="00371492">
              <w:rPr>
                <w:rFonts w:ascii="Corbel" w:hAnsi="Corbel"/>
                <w:sz w:val="20"/>
                <w:szCs w:val="20"/>
              </w:rPr>
              <w:t>Frequentie</w:t>
            </w:r>
          </w:p>
        </w:tc>
        <w:tc>
          <w:tcPr>
            <w:tcW w:w="6775" w:type="dxa"/>
          </w:tcPr>
          <w:p w14:paraId="07503190" w14:textId="77777777" w:rsidR="00D75A6A" w:rsidRPr="00371492" w:rsidRDefault="00D75A6A" w:rsidP="00165179">
            <w:pPr>
              <w:autoSpaceDE w:val="0"/>
              <w:adjustRightInd w:val="0"/>
              <w:jc w:val="both"/>
              <w:rPr>
                <w:rFonts w:ascii="Corbel" w:eastAsia="Times New Roman" w:hAnsi="Corbel" w:cs="Calibri"/>
                <w:sz w:val="20"/>
                <w:szCs w:val="20"/>
              </w:rPr>
            </w:pPr>
            <w:r w:rsidRPr="00371492">
              <w:rPr>
                <w:rFonts w:ascii="Corbel" w:eastAsia="Times New Roman" w:hAnsi="Corbel" w:cs="Calibri"/>
                <w:sz w:val="20"/>
                <w:szCs w:val="20"/>
              </w:rPr>
              <w:t xml:space="preserve">Overschrijdingen van de milieuwetgeving worden 1keer per jaar vastgesteld. </w:t>
            </w:r>
          </w:p>
          <w:p w14:paraId="2A8A0548" w14:textId="77777777" w:rsidR="00D75A6A" w:rsidRPr="00371492" w:rsidRDefault="00D75A6A" w:rsidP="00165179">
            <w:pPr>
              <w:autoSpaceDE w:val="0"/>
              <w:adjustRightInd w:val="0"/>
              <w:jc w:val="both"/>
              <w:rPr>
                <w:rFonts w:ascii="Corbel" w:eastAsia="Times New Roman" w:hAnsi="Corbel" w:cs="Calibri"/>
                <w:sz w:val="20"/>
                <w:szCs w:val="20"/>
              </w:rPr>
            </w:pPr>
            <w:r w:rsidRPr="00371492">
              <w:rPr>
                <w:rFonts w:ascii="Corbel" w:eastAsia="Times New Roman" w:hAnsi="Corbel" w:cs="Calibri"/>
                <w:sz w:val="20"/>
                <w:szCs w:val="20"/>
              </w:rPr>
              <w:t>In 2015 werd op 2 van de 35 handhavingspunten overdag de norm overschreden en op 1 van de 25 punten ‘s nachts.</w:t>
            </w:r>
          </w:p>
          <w:p w14:paraId="0BF955D4" w14:textId="77777777" w:rsidR="00D75A6A" w:rsidRPr="00371492" w:rsidRDefault="00D75A6A" w:rsidP="00165179">
            <w:pPr>
              <w:jc w:val="both"/>
              <w:rPr>
                <w:rFonts w:ascii="Corbel" w:hAnsi="Corbel"/>
                <w:sz w:val="20"/>
                <w:szCs w:val="20"/>
              </w:rPr>
            </w:pPr>
            <w:r w:rsidRPr="00371492">
              <w:rPr>
                <w:rFonts w:ascii="Corbel" w:eastAsia="Times New Roman" w:hAnsi="Corbel" w:cs="Calibri"/>
                <w:sz w:val="20"/>
                <w:szCs w:val="20"/>
              </w:rPr>
              <w:t xml:space="preserve">Daarnaast was er in 3,9% van de gevallen sprake van niet- gelegitimeerd gebruik van </w:t>
            </w:r>
            <w:proofErr w:type="spellStart"/>
            <w:r w:rsidRPr="00371492">
              <w:rPr>
                <w:rFonts w:ascii="Corbel" w:eastAsia="Times New Roman" w:hAnsi="Corbel" w:cs="Calibri"/>
                <w:sz w:val="20"/>
                <w:szCs w:val="20"/>
              </w:rPr>
              <w:t>Auxiliary</w:t>
            </w:r>
            <w:proofErr w:type="spellEnd"/>
            <w:r w:rsidRPr="00371492">
              <w:rPr>
                <w:rFonts w:ascii="Corbel" w:eastAsia="Times New Roman" w:hAnsi="Corbel" w:cs="Calibri"/>
                <w:sz w:val="20"/>
                <w:szCs w:val="20"/>
              </w:rPr>
              <w:t xml:space="preserve"> Power Unit (APU), de zogeheten hulpaandrijvingseenheid van een toestel. De rest viel binnen de normen.</w:t>
            </w:r>
          </w:p>
        </w:tc>
      </w:tr>
      <w:tr w:rsidR="00D75A6A" w:rsidRPr="00371492" w14:paraId="07145254" w14:textId="77777777" w:rsidTr="00D75A6A">
        <w:trPr>
          <w:gridAfter w:val="1"/>
          <w:wAfter w:w="41" w:type="dxa"/>
        </w:trPr>
        <w:tc>
          <w:tcPr>
            <w:tcW w:w="2357" w:type="dxa"/>
            <w:shd w:val="clear" w:color="auto" w:fill="DEEAF6" w:themeFill="accent1" w:themeFillTint="33"/>
          </w:tcPr>
          <w:p w14:paraId="7AE69992" w14:textId="77777777" w:rsidR="00D75A6A" w:rsidRPr="00371492" w:rsidRDefault="00D75A6A" w:rsidP="00165179">
            <w:pPr>
              <w:jc w:val="both"/>
              <w:rPr>
                <w:rFonts w:ascii="Corbel" w:hAnsi="Corbel"/>
                <w:sz w:val="20"/>
                <w:szCs w:val="20"/>
              </w:rPr>
            </w:pPr>
            <w:r w:rsidRPr="00371492">
              <w:rPr>
                <w:rFonts w:ascii="Corbel" w:hAnsi="Corbel"/>
                <w:sz w:val="20"/>
                <w:szCs w:val="20"/>
              </w:rPr>
              <w:t>IBRA-conclusie frequentie</w:t>
            </w:r>
          </w:p>
        </w:tc>
        <w:tc>
          <w:tcPr>
            <w:tcW w:w="6775" w:type="dxa"/>
            <w:shd w:val="clear" w:color="auto" w:fill="DEEAF6" w:themeFill="accent1" w:themeFillTint="33"/>
          </w:tcPr>
          <w:p w14:paraId="7B9E684D" w14:textId="77777777" w:rsidR="00D75A6A" w:rsidRPr="00371492" w:rsidRDefault="00D75A6A" w:rsidP="00165179">
            <w:pPr>
              <w:jc w:val="both"/>
              <w:rPr>
                <w:rFonts w:ascii="Corbel" w:hAnsi="Corbel"/>
                <w:sz w:val="20"/>
                <w:szCs w:val="20"/>
              </w:rPr>
            </w:pPr>
            <w:r w:rsidRPr="00371492">
              <w:rPr>
                <w:rFonts w:ascii="Corbel" w:eastAsia="Times New Roman" w:hAnsi="Corbel" w:cs="Calibri"/>
                <w:sz w:val="20"/>
                <w:szCs w:val="20"/>
              </w:rPr>
              <w:t xml:space="preserve">1 keer per jaar (vanuit de methodiek van geluidberekening) </w:t>
            </w:r>
          </w:p>
        </w:tc>
      </w:tr>
      <w:tr w:rsidR="00D75A6A" w:rsidRPr="00371492" w14:paraId="25BC08C7" w14:textId="77777777" w:rsidTr="00D75A6A">
        <w:trPr>
          <w:gridAfter w:val="1"/>
          <w:wAfter w:w="41" w:type="dxa"/>
        </w:trPr>
        <w:tc>
          <w:tcPr>
            <w:tcW w:w="2357" w:type="dxa"/>
          </w:tcPr>
          <w:p w14:paraId="31A719D6" w14:textId="77777777" w:rsidR="00D75A6A" w:rsidRPr="00371492" w:rsidRDefault="00D75A6A" w:rsidP="00165179">
            <w:pPr>
              <w:jc w:val="both"/>
              <w:rPr>
                <w:rFonts w:ascii="Corbel" w:hAnsi="Corbel"/>
                <w:sz w:val="20"/>
                <w:szCs w:val="20"/>
              </w:rPr>
            </w:pPr>
            <w:r w:rsidRPr="00371492">
              <w:rPr>
                <w:rFonts w:ascii="Corbel" w:hAnsi="Corbel"/>
                <w:sz w:val="20"/>
                <w:szCs w:val="20"/>
              </w:rPr>
              <w:t>Grootheden die de schade bepalen</w:t>
            </w:r>
          </w:p>
        </w:tc>
        <w:tc>
          <w:tcPr>
            <w:tcW w:w="6775" w:type="dxa"/>
          </w:tcPr>
          <w:p w14:paraId="7296FEDB" w14:textId="77777777" w:rsidR="00D75A6A" w:rsidRPr="00371492" w:rsidRDefault="00D75A6A" w:rsidP="00165179">
            <w:pPr>
              <w:jc w:val="both"/>
              <w:rPr>
                <w:rFonts w:ascii="Corbel" w:eastAsia="Times New Roman" w:hAnsi="Corbel" w:cs="Calibri"/>
                <w:sz w:val="20"/>
                <w:szCs w:val="20"/>
              </w:rPr>
            </w:pPr>
            <w:r w:rsidRPr="00371492">
              <w:rPr>
                <w:rFonts w:ascii="Corbel" w:eastAsia="Times New Roman" w:hAnsi="Corbel" w:cs="Calibri"/>
                <w:sz w:val="20"/>
                <w:szCs w:val="20"/>
              </w:rPr>
              <w:t>Emissies (kilo's/tonnen)</w:t>
            </w:r>
          </w:p>
        </w:tc>
      </w:tr>
      <w:tr w:rsidR="00D75A6A" w:rsidRPr="00371492" w14:paraId="7FA9636A" w14:textId="77777777" w:rsidTr="00D75A6A">
        <w:trPr>
          <w:gridAfter w:val="1"/>
          <w:wAfter w:w="41" w:type="dxa"/>
        </w:trPr>
        <w:tc>
          <w:tcPr>
            <w:tcW w:w="2357" w:type="dxa"/>
          </w:tcPr>
          <w:p w14:paraId="39A97F74" w14:textId="77777777" w:rsidR="00D75A6A" w:rsidRPr="00371492" w:rsidRDefault="00D75A6A" w:rsidP="00165179">
            <w:pPr>
              <w:jc w:val="both"/>
              <w:rPr>
                <w:rFonts w:ascii="Corbel" w:hAnsi="Corbel"/>
                <w:sz w:val="20"/>
                <w:szCs w:val="20"/>
              </w:rPr>
            </w:pPr>
            <w:r w:rsidRPr="00371492">
              <w:rPr>
                <w:rFonts w:ascii="Corbel" w:hAnsi="Corbel"/>
                <w:sz w:val="20"/>
                <w:szCs w:val="20"/>
              </w:rPr>
              <w:t>Effecten van het risico</w:t>
            </w:r>
          </w:p>
        </w:tc>
        <w:tc>
          <w:tcPr>
            <w:tcW w:w="6775" w:type="dxa"/>
          </w:tcPr>
          <w:p w14:paraId="368B51B8" w14:textId="77777777" w:rsidR="00D75A6A" w:rsidRPr="00371492" w:rsidRDefault="00D75A6A" w:rsidP="00165179">
            <w:pPr>
              <w:pStyle w:val="Normaalweb"/>
              <w:jc w:val="both"/>
              <w:rPr>
                <w:rFonts w:ascii="Corbel" w:hAnsi="Corbel"/>
                <w:sz w:val="20"/>
                <w:szCs w:val="20"/>
              </w:rPr>
            </w:pPr>
            <w:r w:rsidRPr="00371492">
              <w:rPr>
                <w:rFonts w:ascii="Corbel" w:hAnsi="Corbel"/>
                <w:sz w:val="20"/>
                <w:szCs w:val="20"/>
              </w:rPr>
              <w:t>Het effect van het risico is de overschrijding van de wetgeving, alles onder de normen is geaccepteerde schade. ILT compenseert de schade in de milieugrenzen van het volgend jaar.</w:t>
            </w:r>
          </w:p>
          <w:p w14:paraId="19CACBC0" w14:textId="77777777" w:rsidR="00D75A6A" w:rsidRPr="00371492" w:rsidRDefault="00D75A6A" w:rsidP="00165179">
            <w:pPr>
              <w:jc w:val="both"/>
              <w:rPr>
                <w:rFonts w:ascii="Corbel" w:hAnsi="Corbel"/>
                <w:i/>
                <w:sz w:val="20"/>
                <w:szCs w:val="20"/>
              </w:rPr>
            </w:pPr>
            <w:r w:rsidRPr="00371492">
              <w:rPr>
                <w:rFonts w:ascii="Corbel" w:hAnsi="Corbel"/>
                <w:i/>
                <w:sz w:val="20"/>
                <w:szCs w:val="20"/>
              </w:rPr>
              <w:t>Schadeberekening Schiphol</w:t>
            </w:r>
          </w:p>
          <w:p w14:paraId="13F7384E" w14:textId="77777777" w:rsidR="00D75A6A" w:rsidRPr="00371492" w:rsidRDefault="00D75A6A" w:rsidP="00165179">
            <w:pPr>
              <w:jc w:val="both"/>
              <w:rPr>
                <w:rFonts w:ascii="Corbel" w:hAnsi="Corbel"/>
                <w:sz w:val="20"/>
                <w:szCs w:val="20"/>
              </w:rPr>
            </w:pPr>
            <w:r w:rsidRPr="00371492">
              <w:rPr>
                <w:rFonts w:ascii="Corbel" w:hAnsi="Corbel"/>
                <w:sz w:val="20"/>
                <w:szCs w:val="20"/>
              </w:rPr>
              <w:t xml:space="preserve">De overheid heeft een standaardschaduwprijs van 3000 euro vastgesteld om de geluidsbelasting binnen de milieugrenzen te houden. Volgens het </w:t>
            </w:r>
            <w:r w:rsidRPr="00371492">
              <w:rPr>
                <w:rFonts w:ascii="Corbel" w:hAnsi="Corbel"/>
                <w:i/>
                <w:sz w:val="20"/>
                <w:szCs w:val="20"/>
              </w:rPr>
              <w:t>handboek schaduwprijzen</w:t>
            </w:r>
            <w:r w:rsidRPr="00371492">
              <w:rPr>
                <w:rFonts w:ascii="Corbel" w:hAnsi="Corbel"/>
                <w:sz w:val="20"/>
                <w:szCs w:val="20"/>
              </w:rPr>
              <w:t xml:space="preserve"> is de gewogen schaduwprijs van een woning met geluid: 3000 x (1+0.05*(</w:t>
            </w:r>
            <w:proofErr w:type="spellStart"/>
            <w:r w:rsidRPr="00371492">
              <w:rPr>
                <w:rFonts w:ascii="Corbel" w:hAnsi="Corbel"/>
                <w:sz w:val="20"/>
                <w:szCs w:val="20"/>
              </w:rPr>
              <w:t>lden</w:t>
            </w:r>
            <w:proofErr w:type="spellEnd"/>
            <w:r w:rsidRPr="00371492">
              <w:rPr>
                <w:rFonts w:ascii="Corbel" w:hAnsi="Corbel"/>
                <w:sz w:val="20"/>
                <w:szCs w:val="20"/>
              </w:rPr>
              <w:t>-drempelwaarde)). In dit geval bedraagt de totale overschrijding over 3 handhavingspunten 1,23 (=</w:t>
            </w:r>
            <w:proofErr w:type="spellStart"/>
            <w:r w:rsidRPr="00371492">
              <w:rPr>
                <w:rFonts w:ascii="Corbel" w:hAnsi="Corbel"/>
                <w:sz w:val="20"/>
                <w:szCs w:val="20"/>
              </w:rPr>
              <w:t>Iden</w:t>
            </w:r>
            <w:proofErr w:type="spellEnd"/>
            <w:r w:rsidRPr="00371492">
              <w:rPr>
                <w:rFonts w:ascii="Corbel" w:hAnsi="Corbel"/>
                <w:sz w:val="20"/>
                <w:szCs w:val="20"/>
              </w:rPr>
              <w:t>-drempelwaarde). Dat betekent dat de overschrijding een waarde heeft van 185 euro per woning.</w:t>
            </w:r>
          </w:p>
          <w:p w14:paraId="0E37BA9E" w14:textId="77777777" w:rsidR="00D75A6A" w:rsidRPr="00371492" w:rsidRDefault="00D75A6A" w:rsidP="00165179">
            <w:pPr>
              <w:jc w:val="both"/>
              <w:rPr>
                <w:rFonts w:ascii="Corbel" w:hAnsi="Corbel"/>
                <w:sz w:val="20"/>
                <w:szCs w:val="20"/>
              </w:rPr>
            </w:pPr>
            <w:r w:rsidRPr="00371492">
              <w:rPr>
                <w:rFonts w:ascii="Corbel" w:hAnsi="Corbel"/>
                <w:sz w:val="20"/>
                <w:szCs w:val="20"/>
              </w:rPr>
              <w:t>In de gemeenten rond Schiphol is sprake van ruwweg 58.000 huishoudens (woningen). De schade is dus 185 euro x 58.000 woningen = € 10,7 mln.</w:t>
            </w:r>
          </w:p>
          <w:p w14:paraId="0AFEEE4F" w14:textId="77777777" w:rsidR="00D75A6A" w:rsidRPr="00371492" w:rsidRDefault="00D75A6A" w:rsidP="00165179">
            <w:pPr>
              <w:pStyle w:val="Normaalweb"/>
              <w:jc w:val="both"/>
              <w:rPr>
                <w:rFonts w:ascii="Corbel" w:hAnsi="Corbel"/>
                <w:sz w:val="20"/>
                <w:szCs w:val="20"/>
              </w:rPr>
            </w:pPr>
            <w:r w:rsidRPr="00371492">
              <w:rPr>
                <w:rFonts w:ascii="Corbel" w:hAnsi="Corbel"/>
                <w:sz w:val="20"/>
                <w:szCs w:val="20"/>
              </w:rPr>
              <w:t xml:space="preserve">Voor wat betreft de uitstoot van </w:t>
            </w:r>
            <w:proofErr w:type="spellStart"/>
            <w:r w:rsidRPr="00371492">
              <w:rPr>
                <w:rFonts w:ascii="Corbel" w:hAnsi="Corbel"/>
                <w:sz w:val="20"/>
                <w:szCs w:val="20"/>
              </w:rPr>
              <w:t>NOx</w:t>
            </w:r>
            <w:proofErr w:type="spellEnd"/>
            <w:r w:rsidRPr="00371492">
              <w:rPr>
                <w:rFonts w:ascii="Corbel" w:hAnsi="Corbel"/>
                <w:sz w:val="20"/>
                <w:szCs w:val="20"/>
              </w:rPr>
              <w:t xml:space="preserve">, </w:t>
            </w:r>
            <w:proofErr w:type="spellStart"/>
            <w:r w:rsidRPr="00371492">
              <w:rPr>
                <w:rFonts w:ascii="Corbel" w:hAnsi="Corbel"/>
                <w:sz w:val="20"/>
                <w:szCs w:val="20"/>
              </w:rPr>
              <w:t>kleinstof</w:t>
            </w:r>
            <w:proofErr w:type="spellEnd"/>
            <w:r w:rsidRPr="00371492">
              <w:rPr>
                <w:rFonts w:ascii="Corbel" w:hAnsi="Corbel"/>
                <w:sz w:val="20"/>
                <w:szCs w:val="20"/>
              </w:rPr>
              <w:t>, et cetera, is uit de berekeningen van het Nederlandse Lucht- en Ruimtevaartcentrum gebleken dat Schiphol binnen de normen is gebleven.</w:t>
            </w:r>
          </w:p>
          <w:p w14:paraId="7108F4EF" w14:textId="77777777" w:rsidR="00D75A6A" w:rsidRPr="00371492" w:rsidRDefault="00D75A6A" w:rsidP="00165179">
            <w:pPr>
              <w:pStyle w:val="Normaalweb"/>
              <w:jc w:val="both"/>
              <w:rPr>
                <w:rFonts w:ascii="Corbel" w:hAnsi="Corbel" w:cs="Calibri"/>
                <w:sz w:val="20"/>
                <w:szCs w:val="20"/>
              </w:rPr>
            </w:pPr>
            <w:r w:rsidRPr="00371492">
              <w:rPr>
                <w:rFonts w:ascii="Corbel" w:hAnsi="Corbel"/>
                <w:sz w:val="20"/>
                <w:szCs w:val="20"/>
              </w:rPr>
              <w:t>BOV komt tot veel grotere effecten op de gezondheid als gevolg van geluidhinder (10-1000 doden/jaar en &gt;10.000 zieken/jaar). Verreweg het grootste deel van de geluidhinder wordt veroorzaakt door wegverkeer; hier gaat het uitsluitend om (lokale) geluidhinder door vliegtuigen, die een fractie is van de totale geluidhinder.</w:t>
            </w:r>
          </w:p>
        </w:tc>
      </w:tr>
      <w:tr w:rsidR="00D75A6A" w:rsidRPr="00371492" w14:paraId="5D4546E1" w14:textId="77777777" w:rsidTr="00D75A6A">
        <w:trPr>
          <w:gridAfter w:val="1"/>
          <w:wAfter w:w="41" w:type="dxa"/>
        </w:trPr>
        <w:tc>
          <w:tcPr>
            <w:tcW w:w="2357" w:type="dxa"/>
            <w:shd w:val="clear" w:color="auto" w:fill="DEEAF6" w:themeFill="accent1" w:themeFillTint="33"/>
          </w:tcPr>
          <w:p w14:paraId="2057DD9C" w14:textId="77777777" w:rsidR="00D75A6A" w:rsidRPr="00371492" w:rsidRDefault="00D75A6A" w:rsidP="00165179">
            <w:pPr>
              <w:jc w:val="both"/>
              <w:rPr>
                <w:rFonts w:ascii="Corbel" w:hAnsi="Corbel"/>
                <w:sz w:val="20"/>
                <w:szCs w:val="20"/>
              </w:rPr>
            </w:pPr>
            <w:r w:rsidRPr="00371492">
              <w:rPr>
                <w:rFonts w:ascii="Corbel" w:hAnsi="Corbel"/>
                <w:sz w:val="20"/>
                <w:szCs w:val="20"/>
              </w:rPr>
              <w:t xml:space="preserve">IBRA-conclusie effecten [ *€ </w:t>
            </w:r>
            <w:proofErr w:type="spellStart"/>
            <w:r w:rsidRPr="00371492">
              <w:rPr>
                <w:rFonts w:ascii="Corbel" w:hAnsi="Corbel"/>
                <w:sz w:val="20"/>
                <w:szCs w:val="20"/>
              </w:rPr>
              <w:t>mln</w:t>
            </w:r>
            <w:proofErr w:type="spellEnd"/>
            <w:r w:rsidRPr="00371492">
              <w:rPr>
                <w:rFonts w:ascii="Corbel" w:hAnsi="Corbel"/>
                <w:sz w:val="20"/>
                <w:szCs w:val="20"/>
              </w:rPr>
              <w:t>/jaar]</w:t>
            </w:r>
          </w:p>
        </w:tc>
        <w:tc>
          <w:tcPr>
            <w:tcW w:w="6775" w:type="dxa"/>
            <w:shd w:val="clear" w:color="auto" w:fill="DEEAF6" w:themeFill="accent1" w:themeFillTint="33"/>
          </w:tcPr>
          <w:p w14:paraId="65DD6623" w14:textId="77777777" w:rsidR="00D75A6A" w:rsidRPr="00371492" w:rsidRDefault="00D75A6A" w:rsidP="00165179">
            <w:pPr>
              <w:jc w:val="both"/>
              <w:rPr>
                <w:rFonts w:ascii="Corbel" w:eastAsia="Times New Roman" w:hAnsi="Corbel" w:cs="Calibri"/>
                <w:sz w:val="20"/>
                <w:szCs w:val="20"/>
              </w:rPr>
            </w:pPr>
            <w:r w:rsidRPr="00371492">
              <w:rPr>
                <w:rFonts w:ascii="Corbel" w:eastAsia="Times New Roman" w:hAnsi="Corbel" w:cs="Calibri"/>
                <w:sz w:val="20"/>
                <w:szCs w:val="20"/>
              </w:rPr>
              <w:t xml:space="preserve">Max. € 10,5 </w:t>
            </w:r>
            <w:proofErr w:type="spellStart"/>
            <w:r w:rsidRPr="00371492">
              <w:rPr>
                <w:rFonts w:ascii="Corbel" w:eastAsia="Times New Roman" w:hAnsi="Corbel" w:cs="Calibri"/>
                <w:sz w:val="20"/>
                <w:szCs w:val="20"/>
              </w:rPr>
              <w:t>mln</w:t>
            </w:r>
            <w:proofErr w:type="spellEnd"/>
            <w:r w:rsidRPr="00371492">
              <w:rPr>
                <w:rFonts w:ascii="Corbel" w:eastAsia="Times New Roman" w:hAnsi="Corbel" w:cs="Calibri"/>
                <w:sz w:val="20"/>
                <w:szCs w:val="20"/>
              </w:rPr>
              <w:t xml:space="preserve">/jaar (aantal getroffen woningen onbekend) </w:t>
            </w:r>
          </w:p>
          <w:p w14:paraId="79A43CF4" w14:textId="77777777" w:rsidR="00D75A6A" w:rsidRPr="00371492" w:rsidRDefault="00D75A6A" w:rsidP="00165179">
            <w:pPr>
              <w:jc w:val="both"/>
              <w:rPr>
                <w:rFonts w:ascii="Corbel" w:eastAsia="Times New Roman" w:hAnsi="Corbel" w:cs="Calibri"/>
                <w:sz w:val="20"/>
                <w:szCs w:val="20"/>
              </w:rPr>
            </w:pPr>
          </w:p>
          <w:tbl>
            <w:tblPr>
              <w:tblStyle w:val="Tabelraster"/>
              <w:tblW w:w="2741" w:type="dxa"/>
              <w:tblLayout w:type="fixed"/>
              <w:tblLook w:val="04A0" w:firstRow="1" w:lastRow="0" w:firstColumn="1" w:lastColumn="0" w:noHBand="0" w:noVBand="1"/>
            </w:tblPr>
            <w:tblGrid>
              <w:gridCol w:w="1607"/>
              <w:gridCol w:w="1134"/>
            </w:tblGrid>
            <w:tr w:rsidR="00D75A6A" w:rsidRPr="00371492" w14:paraId="3DAF78DF" w14:textId="77777777" w:rsidTr="00360551">
              <w:tc>
                <w:tcPr>
                  <w:tcW w:w="1607" w:type="dxa"/>
                </w:tcPr>
                <w:p w14:paraId="2CC36097" w14:textId="77777777" w:rsidR="00D75A6A" w:rsidRPr="00371492" w:rsidRDefault="00D75A6A" w:rsidP="00165179">
                  <w:pPr>
                    <w:jc w:val="both"/>
                    <w:rPr>
                      <w:rFonts w:ascii="Corbel" w:hAnsi="Corbel"/>
                      <w:sz w:val="20"/>
                      <w:szCs w:val="20"/>
                    </w:rPr>
                  </w:pPr>
                  <w:r w:rsidRPr="00371492">
                    <w:rPr>
                      <w:rFonts w:ascii="Corbel" w:hAnsi="Corbel"/>
                      <w:sz w:val="20"/>
                      <w:szCs w:val="20"/>
                    </w:rPr>
                    <w:t>Fysieke schade</w:t>
                  </w:r>
                </w:p>
              </w:tc>
              <w:tc>
                <w:tcPr>
                  <w:tcW w:w="1134" w:type="dxa"/>
                </w:tcPr>
                <w:p w14:paraId="5E5D55BF" w14:textId="77777777" w:rsidR="00D75A6A" w:rsidRPr="00371492" w:rsidRDefault="00D75A6A" w:rsidP="00165179">
                  <w:pPr>
                    <w:jc w:val="both"/>
                    <w:rPr>
                      <w:rFonts w:ascii="Corbel" w:hAnsi="Corbel"/>
                      <w:sz w:val="20"/>
                      <w:szCs w:val="20"/>
                    </w:rPr>
                  </w:pPr>
                </w:p>
              </w:tc>
            </w:tr>
            <w:tr w:rsidR="00D75A6A" w:rsidRPr="00371492" w14:paraId="63D171AA" w14:textId="77777777" w:rsidTr="00360551">
              <w:tc>
                <w:tcPr>
                  <w:tcW w:w="1607" w:type="dxa"/>
                </w:tcPr>
                <w:p w14:paraId="0FBCDFDA" w14:textId="77777777" w:rsidR="00D75A6A" w:rsidRPr="00371492" w:rsidRDefault="00D75A6A" w:rsidP="00165179">
                  <w:pPr>
                    <w:jc w:val="both"/>
                    <w:rPr>
                      <w:rFonts w:ascii="Corbel" w:hAnsi="Corbel"/>
                      <w:sz w:val="20"/>
                      <w:szCs w:val="20"/>
                    </w:rPr>
                  </w:pPr>
                  <w:r w:rsidRPr="00371492">
                    <w:rPr>
                      <w:rFonts w:ascii="Corbel" w:hAnsi="Corbel"/>
                      <w:sz w:val="20"/>
                      <w:szCs w:val="20"/>
                    </w:rPr>
                    <w:t>Gezondheid</w:t>
                  </w:r>
                </w:p>
              </w:tc>
              <w:tc>
                <w:tcPr>
                  <w:tcW w:w="1134" w:type="dxa"/>
                </w:tcPr>
                <w:p w14:paraId="5BE463B1" w14:textId="77777777" w:rsidR="00D75A6A" w:rsidRPr="00371492" w:rsidRDefault="00D75A6A" w:rsidP="00165179">
                  <w:pPr>
                    <w:jc w:val="both"/>
                    <w:rPr>
                      <w:rFonts w:ascii="Corbel" w:hAnsi="Corbel"/>
                      <w:sz w:val="20"/>
                      <w:szCs w:val="20"/>
                    </w:rPr>
                  </w:pPr>
                  <w:r w:rsidRPr="00371492">
                    <w:rPr>
                      <w:rFonts w:ascii="Corbel" w:hAnsi="Corbel"/>
                      <w:sz w:val="20"/>
                      <w:szCs w:val="20"/>
                    </w:rPr>
                    <w:t>10,5</w:t>
                  </w:r>
                </w:p>
              </w:tc>
            </w:tr>
            <w:tr w:rsidR="00D75A6A" w:rsidRPr="00371492" w14:paraId="678AF728" w14:textId="77777777" w:rsidTr="00360551">
              <w:tc>
                <w:tcPr>
                  <w:tcW w:w="1607" w:type="dxa"/>
                </w:tcPr>
                <w:p w14:paraId="750263F7" w14:textId="77777777" w:rsidR="00D75A6A" w:rsidRPr="00371492" w:rsidRDefault="00D75A6A" w:rsidP="00165179">
                  <w:pPr>
                    <w:jc w:val="both"/>
                    <w:rPr>
                      <w:rFonts w:ascii="Corbel" w:hAnsi="Corbel"/>
                      <w:sz w:val="20"/>
                      <w:szCs w:val="20"/>
                    </w:rPr>
                  </w:pPr>
                  <w:r w:rsidRPr="00371492">
                    <w:rPr>
                      <w:rFonts w:ascii="Corbel" w:hAnsi="Corbel"/>
                      <w:sz w:val="20"/>
                      <w:szCs w:val="20"/>
                    </w:rPr>
                    <w:t>Milieu</w:t>
                  </w:r>
                </w:p>
              </w:tc>
              <w:tc>
                <w:tcPr>
                  <w:tcW w:w="1134" w:type="dxa"/>
                </w:tcPr>
                <w:p w14:paraId="77C1F96E" w14:textId="77777777" w:rsidR="00D75A6A" w:rsidRPr="00371492" w:rsidRDefault="00D75A6A" w:rsidP="00165179">
                  <w:pPr>
                    <w:jc w:val="both"/>
                    <w:rPr>
                      <w:rFonts w:ascii="Corbel" w:hAnsi="Corbel"/>
                      <w:sz w:val="20"/>
                      <w:szCs w:val="20"/>
                    </w:rPr>
                  </w:pPr>
                </w:p>
              </w:tc>
            </w:tr>
            <w:tr w:rsidR="00D75A6A" w:rsidRPr="00371492" w14:paraId="1C0A3B89" w14:textId="77777777" w:rsidTr="00360551">
              <w:tc>
                <w:tcPr>
                  <w:tcW w:w="1607" w:type="dxa"/>
                </w:tcPr>
                <w:p w14:paraId="59389FA8" w14:textId="77777777" w:rsidR="00D75A6A" w:rsidRPr="00371492" w:rsidRDefault="00D75A6A" w:rsidP="00165179">
                  <w:pPr>
                    <w:jc w:val="both"/>
                    <w:rPr>
                      <w:rFonts w:ascii="Corbel" w:hAnsi="Corbel"/>
                      <w:sz w:val="20"/>
                      <w:szCs w:val="20"/>
                    </w:rPr>
                  </w:pPr>
                  <w:r w:rsidRPr="00371492">
                    <w:rPr>
                      <w:rFonts w:ascii="Corbel" w:hAnsi="Corbel"/>
                      <w:sz w:val="20"/>
                      <w:szCs w:val="20"/>
                    </w:rPr>
                    <w:t>Transportnet</w:t>
                  </w:r>
                </w:p>
              </w:tc>
              <w:tc>
                <w:tcPr>
                  <w:tcW w:w="1134" w:type="dxa"/>
                </w:tcPr>
                <w:p w14:paraId="6C51DFF9" w14:textId="77777777" w:rsidR="00D75A6A" w:rsidRPr="00371492" w:rsidRDefault="00D75A6A" w:rsidP="00165179">
                  <w:pPr>
                    <w:jc w:val="both"/>
                    <w:rPr>
                      <w:rFonts w:ascii="Corbel" w:hAnsi="Corbel"/>
                      <w:sz w:val="20"/>
                      <w:szCs w:val="20"/>
                    </w:rPr>
                  </w:pPr>
                </w:p>
              </w:tc>
            </w:tr>
            <w:tr w:rsidR="00D75A6A" w:rsidRPr="00371492" w14:paraId="1C516E81" w14:textId="77777777" w:rsidTr="00360551">
              <w:tc>
                <w:tcPr>
                  <w:tcW w:w="1607" w:type="dxa"/>
                </w:tcPr>
                <w:p w14:paraId="4F9AB5C9" w14:textId="77777777" w:rsidR="00D75A6A" w:rsidRPr="00371492" w:rsidRDefault="00D75A6A" w:rsidP="00165179">
                  <w:pPr>
                    <w:jc w:val="both"/>
                    <w:rPr>
                      <w:rFonts w:ascii="Corbel" w:hAnsi="Corbel"/>
                      <w:sz w:val="20"/>
                      <w:szCs w:val="20"/>
                    </w:rPr>
                  </w:pPr>
                  <w:r w:rsidRPr="00371492">
                    <w:rPr>
                      <w:rFonts w:ascii="Corbel" w:hAnsi="Corbel"/>
                      <w:sz w:val="20"/>
                      <w:szCs w:val="20"/>
                    </w:rPr>
                    <w:t>Economie</w:t>
                  </w:r>
                </w:p>
              </w:tc>
              <w:tc>
                <w:tcPr>
                  <w:tcW w:w="1134" w:type="dxa"/>
                </w:tcPr>
                <w:p w14:paraId="7D3CB0A4" w14:textId="77777777" w:rsidR="00D75A6A" w:rsidRPr="00371492" w:rsidRDefault="00D75A6A" w:rsidP="00165179">
                  <w:pPr>
                    <w:jc w:val="both"/>
                    <w:rPr>
                      <w:rFonts w:ascii="Corbel" w:hAnsi="Corbel"/>
                      <w:sz w:val="20"/>
                      <w:szCs w:val="20"/>
                    </w:rPr>
                  </w:pPr>
                </w:p>
              </w:tc>
            </w:tr>
            <w:tr w:rsidR="00D75A6A" w:rsidRPr="00371492" w14:paraId="562E7EF6" w14:textId="77777777" w:rsidTr="00360551">
              <w:tc>
                <w:tcPr>
                  <w:tcW w:w="1607" w:type="dxa"/>
                </w:tcPr>
                <w:p w14:paraId="7B090621" w14:textId="77777777" w:rsidR="00D75A6A" w:rsidRPr="00371492" w:rsidRDefault="00D75A6A" w:rsidP="00165179">
                  <w:pPr>
                    <w:jc w:val="both"/>
                    <w:rPr>
                      <w:rFonts w:ascii="Corbel" w:hAnsi="Corbel"/>
                      <w:sz w:val="20"/>
                      <w:szCs w:val="20"/>
                    </w:rPr>
                  </w:pPr>
                  <w:r w:rsidRPr="00371492">
                    <w:rPr>
                      <w:rFonts w:ascii="Corbel" w:hAnsi="Corbel"/>
                      <w:sz w:val="20"/>
                      <w:szCs w:val="20"/>
                    </w:rPr>
                    <w:t>Instituties</w:t>
                  </w:r>
                </w:p>
              </w:tc>
              <w:tc>
                <w:tcPr>
                  <w:tcW w:w="1134" w:type="dxa"/>
                </w:tcPr>
                <w:p w14:paraId="243D13D4" w14:textId="77777777" w:rsidR="00D75A6A" w:rsidRPr="00371492" w:rsidRDefault="00D75A6A" w:rsidP="00165179">
                  <w:pPr>
                    <w:jc w:val="both"/>
                    <w:rPr>
                      <w:rFonts w:ascii="Corbel" w:hAnsi="Corbel"/>
                      <w:sz w:val="20"/>
                      <w:szCs w:val="20"/>
                    </w:rPr>
                  </w:pPr>
                </w:p>
              </w:tc>
            </w:tr>
          </w:tbl>
          <w:p w14:paraId="50C98021" w14:textId="77777777" w:rsidR="00D75A6A" w:rsidRPr="00371492" w:rsidRDefault="00D75A6A" w:rsidP="00165179">
            <w:pPr>
              <w:jc w:val="both"/>
              <w:rPr>
                <w:rFonts w:ascii="Corbel" w:eastAsia="Times New Roman" w:hAnsi="Corbel" w:cs="Calibri"/>
                <w:sz w:val="20"/>
                <w:szCs w:val="20"/>
              </w:rPr>
            </w:pPr>
          </w:p>
        </w:tc>
      </w:tr>
      <w:tr w:rsidR="00D75A6A" w:rsidRPr="00371492" w14:paraId="3671FC6D" w14:textId="77777777" w:rsidTr="00D75A6A">
        <w:tc>
          <w:tcPr>
            <w:tcW w:w="2357" w:type="dxa"/>
            <w:shd w:val="clear" w:color="auto" w:fill="DEEAF6" w:themeFill="accent1" w:themeFillTint="33"/>
          </w:tcPr>
          <w:p w14:paraId="45BD1E39" w14:textId="77777777" w:rsidR="00D75A6A" w:rsidRPr="00371492" w:rsidRDefault="00D75A6A" w:rsidP="00165179">
            <w:pPr>
              <w:jc w:val="both"/>
              <w:rPr>
                <w:rFonts w:ascii="Corbel" w:hAnsi="Corbel"/>
                <w:sz w:val="20"/>
                <w:szCs w:val="20"/>
              </w:rPr>
            </w:pPr>
            <w:r w:rsidRPr="00371492">
              <w:rPr>
                <w:rFonts w:ascii="Corbel" w:hAnsi="Corbel"/>
                <w:sz w:val="20"/>
                <w:szCs w:val="20"/>
              </w:rPr>
              <w:lastRenderedPageBreak/>
              <w:t>Nauwkeurigheidsindicator</w:t>
            </w:r>
          </w:p>
        </w:tc>
        <w:tc>
          <w:tcPr>
            <w:tcW w:w="6816" w:type="dxa"/>
            <w:gridSpan w:val="2"/>
            <w:shd w:val="clear" w:color="auto" w:fill="DEEAF6" w:themeFill="accent1" w:themeFillTint="33"/>
          </w:tcPr>
          <w:p w14:paraId="033D4D8C" w14:textId="77777777" w:rsidR="00D75A6A" w:rsidRPr="00371492" w:rsidRDefault="00D75A6A" w:rsidP="00165179">
            <w:pPr>
              <w:jc w:val="both"/>
              <w:rPr>
                <w:rFonts w:ascii="Corbel" w:hAnsi="Corbel"/>
                <w:sz w:val="20"/>
                <w:szCs w:val="20"/>
              </w:rPr>
            </w:pPr>
            <w:r w:rsidRPr="00371492">
              <w:rPr>
                <w:rFonts w:ascii="Corbel" w:hAnsi="Corbel"/>
                <w:noProof/>
                <w:sz w:val="20"/>
                <w:szCs w:val="20"/>
              </w:rPr>
              <w:drawing>
                <wp:inline distT="0" distB="0" distL="0" distR="0" wp14:anchorId="6B7B2DD4" wp14:editId="6F9A0D35">
                  <wp:extent cx="4219575" cy="723899"/>
                  <wp:effectExtent l="0" t="0" r="0" b="0"/>
                  <wp:docPr id="50" name="Grafiek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1D4A95B" w14:textId="77777777" w:rsidR="00D75A6A" w:rsidRPr="00371492" w:rsidDel="0064446A" w:rsidRDefault="00D75A6A" w:rsidP="00165179">
            <w:pPr>
              <w:jc w:val="both"/>
              <w:rPr>
                <w:rFonts w:ascii="Corbel" w:eastAsia="Times New Roman" w:hAnsi="Corbel" w:cs="Calibri"/>
                <w:sz w:val="20"/>
                <w:szCs w:val="20"/>
              </w:rPr>
            </w:pPr>
          </w:p>
        </w:tc>
      </w:tr>
      <w:tr w:rsidR="00D75A6A" w:rsidRPr="00371492" w14:paraId="256C394F" w14:textId="77777777" w:rsidTr="00D75A6A">
        <w:trPr>
          <w:gridAfter w:val="1"/>
          <w:wAfter w:w="41" w:type="dxa"/>
        </w:trPr>
        <w:tc>
          <w:tcPr>
            <w:tcW w:w="2357" w:type="dxa"/>
          </w:tcPr>
          <w:p w14:paraId="4DEDAF73" w14:textId="77777777" w:rsidR="00D75A6A" w:rsidRPr="00371492" w:rsidRDefault="00D75A6A" w:rsidP="00165179">
            <w:pPr>
              <w:jc w:val="both"/>
              <w:rPr>
                <w:rFonts w:ascii="Corbel" w:hAnsi="Corbel"/>
                <w:sz w:val="20"/>
                <w:szCs w:val="20"/>
              </w:rPr>
            </w:pPr>
            <w:r w:rsidRPr="00371492">
              <w:rPr>
                <w:rFonts w:ascii="Corbel" w:hAnsi="Corbel"/>
                <w:sz w:val="20"/>
                <w:szCs w:val="20"/>
              </w:rPr>
              <w:t>Verwijzingen</w:t>
            </w:r>
          </w:p>
        </w:tc>
        <w:tc>
          <w:tcPr>
            <w:tcW w:w="6775" w:type="dxa"/>
          </w:tcPr>
          <w:p w14:paraId="32709E0D" w14:textId="77777777" w:rsidR="00D75A6A" w:rsidRPr="00371492" w:rsidRDefault="00D75A6A" w:rsidP="00165179">
            <w:pPr>
              <w:jc w:val="both"/>
              <w:rPr>
                <w:rFonts w:ascii="Corbel" w:eastAsia="Times New Roman" w:hAnsi="Corbel" w:cs="Calibri"/>
                <w:sz w:val="20"/>
                <w:szCs w:val="20"/>
              </w:rPr>
            </w:pPr>
            <w:r w:rsidRPr="00371492">
              <w:rPr>
                <w:rFonts w:ascii="Corbel" w:eastAsia="Times New Roman" w:hAnsi="Corbel" w:cs="Calibri"/>
                <w:sz w:val="20"/>
                <w:szCs w:val="20"/>
              </w:rPr>
              <w:t>Milieurapportage Schiphol</w:t>
            </w:r>
          </w:p>
        </w:tc>
      </w:tr>
      <w:tr w:rsidR="00D75A6A" w:rsidRPr="00371492" w14:paraId="2E4EEAAA" w14:textId="77777777" w:rsidTr="00D75A6A">
        <w:trPr>
          <w:gridAfter w:val="1"/>
          <w:wAfter w:w="41" w:type="dxa"/>
        </w:trPr>
        <w:tc>
          <w:tcPr>
            <w:tcW w:w="2357" w:type="dxa"/>
          </w:tcPr>
          <w:p w14:paraId="43DF4458" w14:textId="77777777" w:rsidR="00D75A6A" w:rsidRPr="00371492" w:rsidRDefault="00D75A6A" w:rsidP="00165179">
            <w:pPr>
              <w:jc w:val="both"/>
              <w:rPr>
                <w:rFonts w:ascii="Corbel" w:hAnsi="Corbel"/>
                <w:sz w:val="20"/>
                <w:szCs w:val="20"/>
              </w:rPr>
            </w:pPr>
            <w:r w:rsidRPr="00371492">
              <w:rPr>
                <w:rFonts w:ascii="Corbel" w:hAnsi="Corbel"/>
                <w:sz w:val="20"/>
                <w:szCs w:val="20"/>
              </w:rPr>
              <w:t>Handelingsperspectief</w:t>
            </w:r>
          </w:p>
        </w:tc>
        <w:tc>
          <w:tcPr>
            <w:tcW w:w="6775" w:type="dxa"/>
          </w:tcPr>
          <w:p w14:paraId="674DCA18" w14:textId="77777777" w:rsidR="00D75A6A" w:rsidRPr="00371492" w:rsidRDefault="00D75A6A" w:rsidP="00165179">
            <w:pPr>
              <w:jc w:val="both"/>
              <w:rPr>
                <w:rFonts w:ascii="Corbel" w:eastAsia="Times New Roman" w:hAnsi="Corbel" w:cs="Calibri"/>
                <w:sz w:val="20"/>
                <w:szCs w:val="20"/>
              </w:rPr>
            </w:pPr>
            <w:r w:rsidRPr="00371492">
              <w:rPr>
                <w:rFonts w:ascii="Corbel" w:hAnsi="Corbel"/>
                <w:sz w:val="20"/>
                <w:szCs w:val="20"/>
              </w:rPr>
              <w:t>Wordt in volgende fase ingevuld.</w:t>
            </w:r>
          </w:p>
        </w:tc>
      </w:tr>
      <w:tr w:rsidR="00D75A6A" w:rsidRPr="00371492" w14:paraId="06948637" w14:textId="77777777" w:rsidTr="00D75A6A">
        <w:trPr>
          <w:gridAfter w:val="1"/>
          <w:wAfter w:w="41" w:type="dxa"/>
        </w:trPr>
        <w:tc>
          <w:tcPr>
            <w:tcW w:w="2357" w:type="dxa"/>
          </w:tcPr>
          <w:p w14:paraId="248D3D79" w14:textId="77777777" w:rsidR="00D75A6A" w:rsidRPr="00371492" w:rsidRDefault="00D75A6A" w:rsidP="00165179">
            <w:pPr>
              <w:jc w:val="both"/>
              <w:rPr>
                <w:rFonts w:ascii="Corbel" w:hAnsi="Corbel"/>
                <w:sz w:val="20"/>
                <w:szCs w:val="20"/>
              </w:rPr>
            </w:pPr>
            <w:r w:rsidRPr="00371492">
              <w:rPr>
                <w:rFonts w:ascii="Corbel" w:hAnsi="Corbel"/>
                <w:sz w:val="20"/>
                <w:szCs w:val="20"/>
              </w:rPr>
              <w:t>Perspectieven</w:t>
            </w:r>
          </w:p>
        </w:tc>
        <w:tc>
          <w:tcPr>
            <w:tcW w:w="6775" w:type="dxa"/>
          </w:tcPr>
          <w:p w14:paraId="597C09E5" w14:textId="77777777" w:rsidR="00D75A6A" w:rsidRPr="00371492" w:rsidRDefault="00D75A6A" w:rsidP="00165179">
            <w:pPr>
              <w:jc w:val="both"/>
              <w:rPr>
                <w:rFonts w:ascii="Corbel" w:eastAsia="Times New Roman" w:hAnsi="Corbel" w:cs="Calibri"/>
                <w:sz w:val="20"/>
                <w:szCs w:val="20"/>
              </w:rPr>
            </w:pPr>
            <w:r w:rsidRPr="00371492">
              <w:rPr>
                <w:rFonts w:ascii="Corbel" w:eastAsia="Times New Roman" w:hAnsi="Corbel" w:cs="Calibri"/>
                <w:sz w:val="20"/>
                <w:szCs w:val="20"/>
              </w:rPr>
              <w:t>Gezondheid, economie</w:t>
            </w:r>
          </w:p>
        </w:tc>
      </w:tr>
    </w:tbl>
    <w:p w14:paraId="0AED8E4D" w14:textId="77777777" w:rsidR="00D75A6A" w:rsidRPr="00371492" w:rsidRDefault="00D75A6A" w:rsidP="00165179">
      <w:pPr>
        <w:jc w:val="both"/>
        <w:rPr>
          <w:rFonts w:ascii="Corbel" w:hAnsi="Corbel"/>
          <w:sz w:val="20"/>
          <w:szCs w:val="20"/>
        </w:rPr>
      </w:pPr>
    </w:p>
    <w:p w14:paraId="5678DACA" w14:textId="77777777" w:rsidR="00D75A6A" w:rsidRPr="00371492" w:rsidRDefault="00D75A6A" w:rsidP="00165179">
      <w:pPr>
        <w:jc w:val="both"/>
        <w:rPr>
          <w:rFonts w:ascii="Corbel" w:hAnsi="Corbel"/>
          <w:sz w:val="20"/>
          <w:szCs w:val="20"/>
        </w:rPr>
      </w:pPr>
    </w:p>
    <w:p w14:paraId="756E67C6" w14:textId="77777777" w:rsidR="00D75A6A" w:rsidRPr="00371492" w:rsidRDefault="00D75A6A" w:rsidP="00165179">
      <w:pPr>
        <w:jc w:val="both"/>
        <w:rPr>
          <w:rFonts w:ascii="Corbel" w:hAnsi="Corbel"/>
        </w:rPr>
      </w:pPr>
    </w:p>
    <w:p w14:paraId="27900274" w14:textId="77777777" w:rsidR="00D75A6A" w:rsidRPr="00371492" w:rsidRDefault="00D75A6A" w:rsidP="00360551">
      <w:pPr>
        <w:spacing w:line="276" w:lineRule="auto"/>
        <w:jc w:val="both"/>
      </w:pPr>
    </w:p>
    <w:sectPr w:rsidR="00D75A6A" w:rsidRPr="00371492" w:rsidSect="00394CDC">
      <w:headerReference w:type="even" r:id="rId31"/>
      <w:headerReference w:type="default" r:id="rId32"/>
      <w:footerReference w:type="even" r:id="rId33"/>
      <w:footerReference w:type="default" r:id="rId34"/>
      <w:footerReference w:type="first" r:id="rId35"/>
      <w:pgSz w:w="11900" w:h="16840"/>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90E81A" w14:textId="77777777" w:rsidR="0005376F" w:rsidRDefault="0005376F" w:rsidP="0053358F">
      <w:r>
        <w:separator/>
      </w:r>
    </w:p>
  </w:endnote>
  <w:endnote w:type="continuationSeparator" w:id="0">
    <w:p w14:paraId="7FC98D64" w14:textId="77777777" w:rsidR="0005376F" w:rsidRDefault="0005376F" w:rsidP="005335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auto"/>
    <w:pitch w:val="variable"/>
    <w:sig w:usb0="A10006FF" w:usb1="4000205B" w:usb2="00000010" w:usb3="00000000" w:csb0="0000019F" w:csb1="00000000"/>
  </w:font>
  <w:font w:name="DejaVu Sans">
    <w:altName w:val="Arial"/>
    <w:charset w:val="00"/>
    <w:family w:val="swiss"/>
    <w:pitch w:val="variable"/>
    <w:sig w:usb0="E7000EFF" w:usb1="5200FDFF" w:usb2="0A042021" w:usb3="00000000" w:csb0="000001BF" w:csb1="00000000"/>
  </w:font>
  <w:font w:name="Lohit Hindi">
    <w:altName w:val="Times New Roman"/>
    <w:charset w:val="00"/>
    <w:family w:val="auto"/>
    <w:pitch w:val="default"/>
  </w:font>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orbel">
    <w:panose1 w:val="020B0503020204020204"/>
    <w:charset w:val="00"/>
    <w:family w:val="auto"/>
    <w:pitch w:val="variable"/>
    <w:sig w:usb0="A00002EF" w:usb1="4000A44B" w:usb2="00000000" w:usb3="00000000" w:csb0="0000019F" w:csb1="00000000"/>
  </w:font>
  <w:font w:name="Tahoma">
    <w:panose1 w:val="020B0604030504040204"/>
    <w:charset w:val="00"/>
    <w:family w:val="auto"/>
    <w:pitch w:val="variable"/>
    <w:sig w:usb0="E1002EFF" w:usb1="C000605B" w:usb2="00000029" w:usb3="00000000" w:csb0="000101FF" w:csb1="00000000"/>
  </w:font>
  <w:font w:name="Calibri Light">
    <w:panose1 w:val="020F0302020204030204"/>
    <w:charset w:val="00"/>
    <w:family w:val="auto"/>
    <w:pitch w:val="variable"/>
    <w:sig w:usb0="A00002EF" w:usb1="4000207B" w:usb2="00000000" w:usb3="00000000" w:csb0="0000019F" w:csb1="00000000"/>
  </w:font>
  <w:font w:name="Arial">
    <w:panose1 w:val="020B0604020202020204"/>
    <w:charset w:val="00"/>
    <w:family w:val="auto"/>
    <w:pitch w:val="variable"/>
    <w:sig w:usb0="E0002AFF" w:usb1="C0007843" w:usb2="00000009" w:usb3="00000000" w:csb0="000001FF" w:csb1="00000000"/>
  </w:font>
  <w:font w:name="Tahoma,Tahoma,Times New Roman">
    <w:altName w:val="Times New Roman"/>
    <w:panose1 w:val="00000000000000000000"/>
    <w:charset w:val="00"/>
    <w:family w:val="roman"/>
    <w:notTrueType/>
    <w:pitch w:val="default"/>
  </w:font>
  <w:font w:name="Times">
    <w:panose1 w:val="02000500000000000000"/>
    <w:charset w:val="00"/>
    <w:family w:val="auto"/>
    <w:pitch w:val="variable"/>
    <w:sig w:usb0="00000003" w:usb1="00000000" w:usb2="00000000" w:usb3="00000000" w:csb0="00000001" w:csb1="00000000"/>
  </w:font>
  <w:font w:name="Garamond,Calibri">
    <w:altName w:val="Times New Roman"/>
    <w:panose1 w:val="00000000000000000000"/>
    <w:charset w:val="00"/>
    <w:family w:val="roman"/>
    <w:notTrueType/>
    <w:pitch w:val="default"/>
  </w:font>
  <w:font w:name="Garamond">
    <w:panose1 w:val="02020404030301010803"/>
    <w:charset w:val="00"/>
    <w:family w:val="auto"/>
    <w:pitch w:val="variable"/>
    <w:sig w:usb0="00000287" w:usb1="00000000" w:usb2="00000000" w:usb3="00000000" w:csb0="0000009F" w:csb1="00000000"/>
  </w:font>
  <w:font w:name="MS Mincho">
    <w:panose1 w:val="02020609040205080304"/>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73E880" w14:textId="77777777" w:rsidR="009D4480" w:rsidRDefault="009D4480" w:rsidP="00086A04">
    <w:pPr>
      <w:pStyle w:val="Voettekst"/>
      <w:framePr w:wrap="none" w:vAnchor="text" w:hAnchor="margin" w:xAlign="right" w:y="1"/>
      <w:rPr>
        <w:rStyle w:val="Paginanummer"/>
      </w:rPr>
    </w:pPr>
    <w:r>
      <w:rPr>
        <w:rStyle w:val="Paginanummer"/>
      </w:rPr>
      <w:fldChar w:fldCharType="begin"/>
    </w:r>
    <w:r>
      <w:rPr>
        <w:rStyle w:val="Paginanummer"/>
      </w:rPr>
      <w:instrText xml:space="preserve">PAGE  </w:instrText>
    </w:r>
    <w:r>
      <w:rPr>
        <w:rStyle w:val="Paginanummer"/>
      </w:rPr>
      <w:fldChar w:fldCharType="end"/>
    </w:r>
  </w:p>
  <w:p w14:paraId="24D6748D" w14:textId="77777777" w:rsidR="009D4480" w:rsidRDefault="009D4480" w:rsidP="002B1A5C">
    <w:pPr>
      <w:pStyle w:val="Voettekst"/>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AB2BB3" w14:textId="77777777" w:rsidR="009D4480" w:rsidRPr="002B1A5C" w:rsidRDefault="009D4480" w:rsidP="00086A04">
    <w:pPr>
      <w:pStyle w:val="Voettekst"/>
      <w:framePr w:wrap="none" w:vAnchor="text" w:hAnchor="margin" w:xAlign="right" w:y="1"/>
      <w:rPr>
        <w:rStyle w:val="Paginanummer"/>
        <w:rFonts w:ascii="Corbel" w:hAnsi="Corbel"/>
        <w:color w:val="3B3838" w:themeColor="background2" w:themeShade="40"/>
        <w:sz w:val="18"/>
        <w:szCs w:val="18"/>
      </w:rPr>
    </w:pPr>
    <w:r w:rsidRPr="002B1A5C">
      <w:rPr>
        <w:rStyle w:val="Paginanummer"/>
        <w:rFonts w:ascii="Corbel" w:hAnsi="Corbel"/>
        <w:color w:val="3B3838" w:themeColor="background2" w:themeShade="40"/>
        <w:sz w:val="18"/>
        <w:szCs w:val="18"/>
      </w:rPr>
      <w:fldChar w:fldCharType="begin"/>
    </w:r>
    <w:r w:rsidRPr="002B1A5C">
      <w:rPr>
        <w:rStyle w:val="Paginanummer"/>
        <w:rFonts w:ascii="Corbel" w:hAnsi="Corbel"/>
        <w:color w:val="3B3838" w:themeColor="background2" w:themeShade="40"/>
        <w:sz w:val="18"/>
        <w:szCs w:val="18"/>
      </w:rPr>
      <w:instrText xml:space="preserve">PAGE  </w:instrText>
    </w:r>
    <w:r w:rsidRPr="002B1A5C">
      <w:rPr>
        <w:rStyle w:val="Paginanummer"/>
        <w:rFonts w:ascii="Corbel" w:hAnsi="Corbel"/>
        <w:color w:val="3B3838" w:themeColor="background2" w:themeShade="40"/>
        <w:sz w:val="18"/>
        <w:szCs w:val="18"/>
      </w:rPr>
      <w:fldChar w:fldCharType="separate"/>
    </w:r>
    <w:r w:rsidR="003B3AA8">
      <w:rPr>
        <w:rStyle w:val="Paginanummer"/>
        <w:rFonts w:ascii="Corbel" w:hAnsi="Corbel"/>
        <w:noProof/>
        <w:color w:val="3B3838" w:themeColor="background2" w:themeShade="40"/>
        <w:sz w:val="18"/>
        <w:szCs w:val="18"/>
      </w:rPr>
      <w:t>32</w:t>
    </w:r>
    <w:r w:rsidRPr="002B1A5C">
      <w:rPr>
        <w:rStyle w:val="Paginanummer"/>
        <w:rFonts w:ascii="Corbel" w:hAnsi="Corbel"/>
        <w:color w:val="3B3838" w:themeColor="background2" w:themeShade="40"/>
        <w:sz w:val="18"/>
        <w:szCs w:val="18"/>
      </w:rPr>
      <w:fldChar w:fldCharType="end"/>
    </w:r>
  </w:p>
  <w:p w14:paraId="5F37E420" w14:textId="77777777" w:rsidR="009D4480" w:rsidRDefault="009D4480" w:rsidP="002B1A5C">
    <w:pPr>
      <w:pStyle w:val="Voettekst"/>
      <w:ind w:right="360"/>
      <w:jc w:val="both"/>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EA9B2D" w14:textId="77777777" w:rsidR="009D4480" w:rsidRDefault="009D4480" w:rsidP="00086A04">
    <w:pPr>
      <w:pStyle w:val="Voettekst"/>
      <w:framePr w:wrap="none" w:vAnchor="text" w:hAnchor="margin" w:xAlign="right" w:y="1"/>
      <w:rPr>
        <w:rStyle w:val="Paginanummer"/>
      </w:rPr>
    </w:pPr>
    <w:r>
      <w:rPr>
        <w:rStyle w:val="Paginanummer"/>
      </w:rPr>
      <w:fldChar w:fldCharType="begin"/>
    </w:r>
    <w:r>
      <w:rPr>
        <w:rStyle w:val="Paginanummer"/>
      </w:rPr>
      <w:instrText xml:space="preserve">PAGE  </w:instrText>
    </w:r>
    <w:r>
      <w:rPr>
        <w:rStyle w:val="Paginanummer"/>
      </w:rPr>
      <w:fldChar w:fldCharType="separate"/>
    </w:r>
    <w:r w:rsidR="003B3AA8">
      <w:rPr>
        <w:rStyle w:val="Paginanummer"/>
        <w:noProof/>
      </w:rPr>
      <w:t>1</w:t>
    </w:r>
    <w:r>
      <w:rPr>
        <w:rStyle w:val="Paginanummer"/>
      </w:rPr>
      <w:fldChar w:fldCharType="end"/>
    </w:r>
  </w:p>
  <w:p w14:paraId="4C0ECDE6" w14:textId="77777777" w:rsidR="009D4480" w:rsidRDefault="009D4480" w:rsidP="002B1A5C">
    <w:pPr>
      <w:pStyle w:val="Voettekst"/>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A61A0F" w14:textId="77777777" w:rsidR="0005376F" w:rsidRDefault="0005376F" w:rsidP="0053358F">
      <w:r>
        <w:separator/>
      </w:r>
    </w:p>
  </w:footnote>
  <w:footnote w:type="continuationSeparator" w:id="0">
    <w:p w14:paraId="522AB669" w14:textId="77777777" w:rsidR="0005376F" w:rsidRDefault="0005376F" w:rsidP="0053358F">
      <w:r>
        <w:continuationSeparator/>
      </w:r>
    </w:p>
  </w:footnote>
  <w:footnote w:id="1">
    <w:p w14:paraId="30657A7A" w14:textId="001E161D" w:rsidR="009D4480" w:rsidRPr="00F638C1" w:rsidRDefault="009D4480" w:rsidP="006461F0">
      <w:pPr>
        <w:pStyle w:val="Voetnoottekst"/>
        <w:jc w:val="both"/>
        <w:rPr>
          <w:rFonts w:ascii="Corbel" w:hAnsi="Corbel" w:cs="Tahoma"/>
          <w:sz w:val="16"/>
          <w:szCs w:val="16"/>
        </w:rPr>
      </w:pPr>
      <w:r w:rsidRPr="00F638C1">
        <w:rPr>
          <w:rStyle w:val="Voetnootmarkering"/>
          <w:rFonts w:ascii="Corbel" w:hAnsi="Corbel" w:cs="Tahoma"/>
          <w:sz w:val="16"/>
          <w:szCs w:val="16"/>
        </w:rPr>
        <w:footnoteRef/>
      </w:r>
      <w:r w:rsidRPr="00F638C1">
        <w:rPr>
          <w:rFonts w:ascii="Corbel" w:hAnsi="Corbel" w:cs="Tahoma"/>
          <w:sz w:val="16"/>
          <w:szCs w:val="16"/>
        </w:rPr>
        <w:t xml:space="preserve">  Voor de casus ondergrondse CO</w:t>
      </w:r>
      <w:r w:rsidRPr="00F638C1">
        <w:rPr>
          <w:rFonts w:ascii="Corbel" w:hAnsi="Corbel" w:cs="Tahoma"/>
          <w:sz w:val="16"/>
          <w:szCs w:val="16"/>
          <w:vertAlign w:val="superscript"/>
        </w:rPr>
        <w:t>2</w:t>
      </w:r>
      <w:r w:rsidRPr="00F638C1">
        <w:rPr>
          <w:rFonts w:ascii="Corbel" w:hAnsi="Corbel" w:cs="Tahoma"/>
          <w:sz w:val="16"/>
          <w:szCs w:val="16"/>
        </w:rPr>
        <w:t>-opslag in Barendrecht, zie bijvoorbeeld: “</w:t>
      </w:r>
      <w:proofErr w:type="spellStart"/>
      <w:r w:rsidRPr="00F638C1">
        <w:rPr>
          <w:rFonts w:ascii="Corbel" w:hAnsi="Corbel" w:cs="Tahoma"/>
          <w:sz w:val="16"/>
          <w:szCs w:val="16"/>
        </w:rPr>
        <w:t>Kuijper</w:t>
      </w:r>
      <w:proofErr w:type="spellEnd"/>
      <w:r w:rsidRPr="00F638C1">
        <w:rPr>
          <w:rFonts w:ascii="Corbel" w:hAnsi="Corbel" w:cs="Tahoma"/>
          <w:sz w:val="16"/>
          <w:szCs w:val="16"/>
        </w:rPr>
        <w:t xml:space="preserve">, M. (2008). </w:t>
      </w:r>
      <w:r w:rsidRPr="00F638C1">
        <w:rPr>
          <w:rFonts w:ascii="Corbel" w:hAnsi="Corbel" w:cs="Tahoma"/>
          <w:i/>
          <w:sz w:val="16"/>
          <w:szCs w:val="16"/>
        </w:rPr>
        <w:t>MER Ondergrondse opslag van CO2 in Barendrecht</w:t>
      </w:r>
      <w:r w:rsidRPr="00F638C1">
        <w:rPr>
          <w:rFonts w:ascii="Corbel" w:hAnsi="Corbel" w:cs="Tahoma"/>
          <w:sz w:val="16"/>
          <w:szCs w:val="16"/>
        </w:rPr>
        <w:t>. Den Haag, Shell CO2 Storage BV”.</w:t>
      </w:r>
    </w:p>
  </w:footnote>
  <w:footnote w:id="2">
    <w:p w14:paraId="401854FD" w14:textId="1D43121B" w:rsidR="009D4480" w:rsidRDefault="009D4480" w:rsidP="006461F0">
      <w:pPr>
        <w:pStyle w:val="Voetnoottekst"/>
        <w:jc w:val="both"/>
      </w:pPr>
      <w:r w:rsidRPr="00F638C1">
        <w:rPr>
          <w:rStyle w:val="Voetnootmarkering"/>
          <w:rFonts w:ascii="Corbel" w:hAnsi="Corbel"/>
          <w:sz w:val="16"/>
          <w:szCs w:val="16"/>
        </w:rPr>
        <w:footnoteRef/>
      </w:r>
      <w:r w:rsidRPr="00F638C1">
        <w:rPr>
          <w:rFonts w:ascii="Corbel" w:hAnsi="Corbel"/>
          <w:sz w:val="16"/>
          <w:szCs w:val="16"/>
        </w:rPr>
        <w:t xml:space="preserve"> </w:t>
      </w:r>
      <w:r w:rsidRPr="00F638C1">
        <w:rPr>
          <w:rFonts w:ascii="Corbel" w:eastAsia="Tahoma" w:hAnsi="Corbel" w:cs="Tahoma"/>
          <w:sz w:val="16"/>
          <w:szCs w:val="16"/>
        </w:rPr>
        <w:t>Een beleidscontroverse is een beleidsvoornemen dat langdurig ter discussie staat vanwege verschillende normen, belangen en onzekerheden (</w:t>
      </w:r>
      <w:proofErr w:type="spellStart"/>
      <w:r w:rsidRPr="00F638C1">
        <w:rPr>
          <w:rFonts w:ascii="Corbel" w:eastAsia="Tahoma" w:hAnsi="Corbel" w:cs="Tahoma"/>
          <w:sz w:val="16"/>
          <w:szCs w:val="16"/>
        </w:rPr>
        <w:t>Schön</w:t>
      </w:r>
      <w:proofErr w:type="spellEnd"/>
      <w:r w:rsidRPr="00F638C1">
        <w:rPr>
          <w:rFonts w:ascii="Corbel" w:eastAsia="Tahoma" w:hAnsi="Corbel" w:cs="Tahoma"/>
          <w:sz w:val="16"/>
          <w:szCs w:val="16"/>
        </w:rPr>
        <w:t xml:space="preserve"> &amp; Rein, 1996)</w:t>
      </w:r>
    </w:p>
  </w:footnote>
  <w:footnote w:id="3">
    <w:p w14:paraId="068512D3" w14:textId="30683473" w:rsidR="009D4480" w:rsidRPr="000C096A" w:rsidRDefault="009D4480" w:rsidP="00F638C1">
      <w:pPr>
        <w:pStyle w:val="Voetnoottekst"/>
        <w:jc w:val="both"/>
        <w:rPr>
          <w:rFonts w:ascii="Corbel" w:hAnsi="Corbel"/>
          <w:sz w:val="16"/>
          <w:szCs w:val="16"/>
        </w:rPr>
      </w:pPr>
      <w:r w:rsidRPr="000C096A">
        <w:rPr>
          <w:rStyle w:val="Voetnootmarkering"/>
          <w:rFonts w:ascii="Corbel" w:hAnsi="Corbel"/>
          <w:sz w:val="16"/>
          <w:szCs w:val="16"/>
        </w:rPr>
        <w:footnoteRef/>
      </w:r>
      <w:r w:rsidRPr="000C096A">
        <w:rPr>
          <w:rFonts w:ascii="Corbel" w:hAnsi="Corbel"/>
          <w:sz w:val="16"/>
          <w:szCs w:val="16"/>
        </w:rPr>
        <w:t xml:space="preserve"> Het positivisme is</w:t>
      </w:r>
      <w:r>
        <w:rPr>
          <w:rFonts w:ascii="Corbel" w:hAnsi="Corbel"/>
          <w:sz w:val="16"/>
          <w:szCs w:val="16"/>
        </w:rPr>
        <w:t xml:space="preserve"> de benaming voor </w:t>
      </w:r>
      <w:r w:rsidRPr="000C096A">
        <w:rPr>
          <w:rFonts w:ascii="Corbel" w:hAnsi="Corbel"/>
          <w:sz w:val="16"/>
          <w:szCs w:val="16"/>
        </w:rPr>
        <w:t xml:space="preserve">de wetenschapsopvatting die stelt dat louter empirische gegevens </w:t>
      </w:r>
      <w:r>
        <w:rPr>
          <w:rFonts w:ascii="Corbel" w:hAnsi="Corbel"/>
          <w:sz w:val="16"/>
          <w:szCs w:val="16"/>
        </w:rPr>
        <w:t xml:space="preserve">ware </w:t>
      </w:r>
      <w:r w:rsidRPr="000C096A">
        <w:rPr>
          <w:rFonts w:ascii="Corbel" w:hAnsi="Corbel"/>
          <w:sz w:val="16"/>
          <w:szCs w:val="16"/>
        </w:rPr>
        <w:t>kennis</w:t>
      </w:r>
      <w:r>
        <w:rPr>
          <w:rFonts w:ascii="Corbel" w:hAnsi="Corbel"/>
          <w:sz w:val="16"/>
          <w:szCs w:val="16"/>
        </w:rPr>
        <w:t xml:space="preserve"> kunnen</w:t>
      </w:r>
      <w:r w:rsidRPr="000C096A">
        <w:rPr>
          <w:rFonts w:ascii="Corbel" w:hAnsi="Corbel"/>
          <w:sz w:val="16"/>
          <w:szCs w:val="16"/>
        </w:rPr>
        <w:t xml:space="preserve"> opleveren.</w:t>
      </w:r>
    </w:p>
  </w:footnote>
  <w:footnote w:id="4">
    <w:p w14:paraId="06395DF8" w14:textId="28F6ED86" w:rsidR="009D4480" w:rsidRPr="000C096A" w:rsidRDefault="009D4480" w:rsidP="00F638C1">
      <w:pPr>
        <w:pStyle w:val="Voetnoottekst"/>
        <w:jc w:val="both"/>
        <w:rPr>
          <w:rFonts w:ascii="Corbel" w:hAnsi="Corbel"/>
          <w:sz w:val="16"/>
          <w:szCs w:val="16"/>
        </w:rPr>
      </w:pPr>
      <w:r w:rsidRPr="000C096A">
        <w:rPr>
          <w:rStyle w:val="Voetnootmarkering"/>
          <w:rFonts w:ascii="Corbel" w:hAnsi="Corbel"/>
          <w:sz w:val="16"/>
          <w:szCs w:val="16"/>
        </w:rPr>
        <w:footnoteRef/>
      </w:r>
      <w:r w:rsidRPr="000C096A">
        <w:rPr>
          <w:rFonts w:ascii="Corbel" w:hAnsi="Corbel"/>
          <w:sz w:val="16"/>
          <w:szCs w:val="16"/>
        </w:rPr>
        <w:t xml:space="preserve"> Zie ook Kaderstellende visie op toezicht, BZK, 2005</w:t>
      </w:r>
    </w:p>
  </w:footnote>
  <w:footnote w:id="5">
    <w:p w14:paraId="0081505F" w14:textId="77777777" w:rsidR="009D4480" w:rsidRPr="00734927" w:rsidRDefault="009D4480" w:rsidP="00F638C1">
      <w:pPr>
        <w:jc w:val="both"/>
        <w:rPr>
          <w:rFonts w:ascii="Corbel" w:eastAsia="Tahoma" w:hAnsi="Corbel" w:cs="Tahoma"/>
          <w:sz w:val="16"/>
          <w:szCs w:val="16"/>
        </w:rPr>
      </w:pPr>
      <w:r w:rsidRPr="000C096A">
        <w:rPr>
          <w:rStyle w:val="Voetnootmarkering"/>
          <w:rFonts w:ascii="Corbel" w:eastAsia="Tahoma" w:hAnsi="Corbel" w:cs="Tahoma"/>
          <w:sz w:val="16"/>
          <w:szCs w:val="16"/>
        </w:rPr>
        <w:footnoteRef/>
      </w:r>
      <w:r w:rsidRPr="000C096A">
        <w:rPr>
          <w:rFonts w:ascii="Corbel" w:eastAsia="Tahoma" w:hAnsi="Corbel" w:cs="Tahoma"/>
          <w:sz w:val="16"/>
          <w:szCs w:val="16"/>
        </w:rPr>
        <w:t xml:space="preserve"> </w:t>
      </w:r>
      <w:r w:rsidRPr="000C096A">
        <w:rPr>
          <w:rFonts w:ascii="Corbel" w:eastAsia="Tahoma" w:hAnsi="Corbel" w:cs="Tahoma"/>
          <w:iCs/>
          <w:sz w:val="16"/>
          <w:szCs w:val="16"/>
        </w:rPr>
        <w:t>Bij IBRA is er voor gekozen om enigszins af te wijken van de klassieke kans en effect-matrix. Er zijn ten opzichte van een dergelijke grafiek een aantal wijzigingen te benoemen. In de eerste plaats is kans ingewisseld voor frequentie (hoe vaak komt een risico gemiddeld voor?). Deze variabele fluctueert (van dagelijks naar wekelijks, maandelijks, jaarlijks etc.) op een logaritmische schaal. Voor de risico’s is de schade in euro’s als effect opgenomen. De uitkomst van de schade van de verschillende risicogebieden liggen uiteindelijk zover uit elkaar dat deze ook logaritmisch zijn uitgezet.</w:t>
      </w:r>
    </w:p>
  </w:footnote>
  <w:footnote w:id="6">
    <w:p w14:paraId="7BF4F38C" w14:textId="6A66A33F" w:rsidR="009D4480" w:rsidRPr="00F638C1" w:rsidRDefault="009D4480" w:rsidP="006461F0">
      <w:pPr>
        <w:pStyle w:val="Voetnoottekst"/>
        <w:jc w:val="both"/>
        <w:rPr>
          <w:rFonts w:ascii="Corbel" w:hAnsi="Corbel"/>
          <w:sz w:val="16"/>
          <w:szCs w:val="16"/>
        </w:rPr>
      </w:pPr>
      <w:r w:rsidRPr="00F638C1">
        <w:rPr>
          <w:rStyle w:val="Voetnootmarkering"/>
          <w:rFonts w:ascii="Corbel" w:hAnsi="Corbel"/>
          <w:sz w:val="16"/>
          <w:szCs w:val="16"/>
        </w:rPr>
        <w:footnoteRef/>
      </w:r>
      <w:r w:rsidRPr="00F638C1">
        <w:rPr>
          <w:rFonts w:ascii="Corbel" w:hAnsi="Corbel"/>
          <w:sz w:val="16"/>
          <w:szCs w:val="16"/>
        </w:rPr>
        <w:t xml:space="preserve"> Men houdt dus geen rekening met dieren, zoals hedendaags utilist Peter </w:t>
      </w:r>
      <w:proofErr w:type="spellStart"/>
      <w:r w:rsidRPr="00F638C1">
        <w:rPr>
          <w:rFonts w:ascii="Corbel" w:hAnsi="Corbel"/>
          <w:sz w:val="16"/>
          <w:szCs w:val="16"/>
        </w:rPr>
        <w:t>Singer</w:t>
      </w:r>
      <w:proofErr w:type="spellEnd"/>
      <w:r w:rsidRPr="00F638C1">
        <w:rPr>
          <w:rFonts w:ascii="Corbel" w:hAnsi="Corbel"/>
          <w:sz w:val="16"/>
          <w:szCs w:val="16"/>
        </w:rPr>
        <w:t xml:space="preserve"> dat bijvoorbeeld wel doet.</w:t>
      </w:r>
    </w:p>
  </w:footnote>
  <w:footnote w:id="7">
    <w:p w14:paraId="7F30340C" w14:textId="77777777" w:rsidR="009D4480" w:rsidRPr="00F638C1" w:rsidRDefault="009D4480" w:rsidP="006461F0">
      <w:pPr>
        <w:pStyle w:val="Voetnoottekst"/>
        <w:jc w:val="both"/>
        <w:rPr>
          <w:rFonts w:ascii="Corbel" w:hAnsi="Corbel"/>
          <w:sz w:val="16"/>
          <w:szCs w:val="16"/>
        </w:rPr>
      </w:pPr>
      <w:r w:rsidRPr="00F638C1">
        <w:rPr>
          <w:rStyle w:val="Voetnootmarkering"/>
          <w:rFonts w:ascii="Corbel" w:hAnsi="Corbel"/>
          <w:sz w:val="16"/>
          <w:szCs w:val="16"/>
        </w:rPr>
        <w:footnoteRef/>
      </w:r>
      <w:r w:rsidRPr="00F638C1">
        <w:rPr>
          <w:rFonts w:ascii="Corbel" w:hAnsi="Corbel"/>
          <w:sz w:val="16"/>
          <w:szCs w:val="16"/>
        </w:rPr>
        <w:t xml:space="preserve"> Een gedachte-experiment is een denkbeeldige situatie waarin alle burgers een vertegenwoordiger hebben, en al deze vertegenwoordigers komen tot de overeenstemming dat principes van rechtvaardigheid de politieke instituties moeten reguleren. De ‘originele positie’ is het gedachte-experiment van </w:t>
      </w:r>
      <w:proofErr w:type="spellStart"/>
      <w:r w:rsidRPr="00F638C1">
        <w:rPr>
          <w:rFonts w:ascii="Corbel" w:hAnsi="Corbel"/>
          <w:sz w:val="16"/>
          <w:szCs w:val="16"/>
        </w:rPr>
        <w:t>Rawls</w:t>
      </w:r>
      <w:proofErr w:type="spellEnd"/>
      <w:r w:rsidRPr="00F638C1">
        <w:rPr>
          <w:rFonts w:ascii="Corbel" w:hAnsi="Corbel"/>
          <w:sz w:val="16"/>
          <w:szCs w:val="16"/>
        </w:rPr>
        <w:t>, waarin gekeken wordt welke principes van rechtvaardigheid vrije en gelijke burgers overeenkomen (</w:t>
      </w:r>
      <w:proofErr w:type="spellStart"/>
      <w:r w:rsidRPr="00F638C1">
        <w:rPr>
          <w:rFonts w:ascii="Corbel" w:hAnsi="Corbel"/>
          <w:sz w:val="16"/>
          <w:szCs w:val="16"/>
        </w:rPr>
        <w:t>Wenar</w:t>
      </w:r>
      <w:proofErr w:type="spellEnd"/>
      <w:r w:rsidRPr="00F638C1">
        <w:rPr>
          <w:rFonts w:ascii="Corbel" w:hAnsi="Corbel"/>
          <w:sz w:val="16"/>
          <w:szCs w:val="16"/>
        </w:rPr>
        <w:t>, 2017).</w:t>
      </w:r>
    </w:p>
  </w:footnote>
  <w:footnote w:id="8">
    <w:p w14:paraId="7749B534" w14:textId="2F40408C" w:rsidR="009D4480" w:rsidRPr="002679D0" w:rsidRDefault="009D4480" w:rsidP="006461F0">
      <w:pPr>
        <w:pStyle w:val="Voetnoottekst"/>
        <w:contextualSpacing/>
        <w:jc w:val="both"/>
        <w:rPr>
          <w:rFonts w:ascii="Corbel" w:hAnsi="Corbel"/>
          <w:sz w:val="16"/>
          <w:szCs w:val="16"/>
        </w:rPr>
      </w:pPr>
      <w:r w:rsidRPr="002679D0">
        <w:rPr>
          <w:rStyle w:val="Voetnootmarkering"/>
          <w:rFonts w:ascii="Corbel" w:hAnsi="Corbel"/>
          <w:sz w:val="16"/>
          <w:szCs w:val="16"/>
        </w:rPr>
        <w:footnoteRef/>
      </w:r>
      <w:r>
        <w:rPr>
          <w:rFonts w:ascii="Corbel" w:hAnsi="Corbel"/>
          <w:sz w:val="16"/>
          <w:szCs w:val="16"/>
        </w:rPr>
        <w:t xml:space="preserve"> </w:t>
      </w:r>
      <w:r w:rsidRPr="002679D0">
        <w:rPr>
          <w:rFonts w:ascii="Corbel" w:hAnsi="Corbel"/>
          <w:sz w:val="16"/>
          <w:szCs w:val="16"/>
        </w:rPr>
        <w:t>De ILT ziet hierop toe op basis van de Waterwet, artikel 3.9, Waterbesluit en Waterregeling.</w:t>
      </w:r>
      <w:r>
        <w:rPr>
          <w:rFonts w:ascii="Corbel" w:hAnsi="Corbel"/>
          <w:sz w:val="16"/>
          <w:szCs w:val="16"/>
        </w:rPr>
        <w:t xml:space="preserve"> </w:t>
      </w:r>
    </w:p>
  </w:footnote>
  <w:footnote w:id="9">
    <w:p w14:paraId="61B98E0A" w14:textId="77777777" w:rsidR="009D4480" w:rsidRPr="00E74B40" w:rsidRDefault="009D4480" w:rsidP="006461F0">
      <w:pPr>
        <w:pStyle w:val="Voetnoottekst"/>
        <w:jc w:val="both"/>
        <w:rPr>
          <w:rFonts w:ascii="Corbel" w:hAnsi="Corbel"/>
          <w:sz w:val="14"/>
          <w:szCs w:val="14"/>
        </w:rPr>
      </w:pPr>
      <w:r w:rsidRPr="00E74B40">
        <w:rPr>
          <w:rStyle w:val="Voetnootmarkering"/>
          <w:rFonts w:ascii="Corbel" w:hAnsi="Corbel"/>
          <w:sz w:val="16"/>
          <w:szCs w:val="14"/>
        </w:rPr>
        <w:footnoteRef/>
      </w:r>
      <w:r w:rsidRPr="00E74B40">
        <w:rPr>
          <w:rFonts w:ascii="Corbel" w:hAnsi="Corbel"/>
          <w:sz w:val="16"/>
          <w:szCs w:val="14"/>
        </w:rPr>
        <w:t xml:space="preserve"> De schematische weergave is terug te vinden in bijlage 2.</w:t>
      </w:r>
    </w:p>
  </w:footnote>
  <w:footnote w:id="10">
    <w:p w14:paraId="268B031B" w14:textId="77777777" w:rsidR="009D4480" w:rsidRPr="002679D0" w:rsidRDefault="009D4480" w:rsidP="006461F0">
      <w:pPr>
        <w:pStyle w:val="Voetnoottekst"/>
        <w:contextualSpacing/>
        <w:jc w:val="both"/>
        <w:rPr>
          <w:rFonts w:ascii="Corbel" w:hAnsi="Corbel"/>
          <w:sz w:val="16"/>
          <w:szCs w:val="16"/>
        </w:rPr>
      </w:pPr>
      <w:r w:rsidRPr="002679D0">
        <w:rPr>
          <w:rStyle w:val="Voetnootmarkering"/>
          <w:rFonts w:ascii="Corbel" w:hAnsi="Corbel"/>
          <w:sz w:val="16"/>
          <w:szCs w:val="16"/>
        </w:rPr>
        <w:footnoteRef/>
      </w:r>
      <w:r>
        <w:rPr>
          <w:rFonts w:ascii="Corbel" w:hAnsi="Corbel"/>
          <w:sz w:val="16"/>
          <w:szCs w:val="16"/>
        </w:rPr>
        <w:t xml:space="preserve"> </w:t>
      </w:r>
      <w:r w:rsidRPr="002679D0">
        <w:rPr>
          <w:rFonts w:ascii="Corbel" w:hAnsi="Corbel"/>
          <w:sz w:val="16"/>
          <w:szCs w:val="16"/>
        </w:rPr>
        <w:t>De ILT kent in totaal acht domeinen: 1. Handhavingsbeleid, 2. Rail- en wegvervoer, 3. Scheepvaart, 4. Luchtvaart, 5. Afval/industrie/bedrijven, 6. Water/producten/stoffen, 7. Autoriteit Woningcorporaties en 8. Bedrijfsvoering.</w:t>
      </w:r>
    </w:p>
  </w:footnote>
  <w:footnote w:id="11">
    <w:p w14:paraId="3E02E4BF" w14:textId="77777777" w:rsidR="009D4480" w:rsidRDefault="009D4480" w:rsidP="006461F0">
      <w:pPr>
        <w:pStyle w:val="Voetnoottekst"/>
        <w:contextualSpacing/>
        <w:jc w:val="both"/>
        <w:rPr>
          <w:sz w:val="16"/>
          <w:szCs w:val="16"/>
        </w:rPr>
      </w:pPr>
      <w:r w:rsidRPr="0037116F">
        <w:rPr>
          <w:rStyle w:val="Voetnootmarkering"/>
          <w:rFonts w:ascii="Corbel" w:hAnsi="Corbel"/>
          <w:sz w:val="16"/>
          <w:szCs w:val="16"/>
        </w:rPr>
        <w:footnoteRef/>
      </w:r>
      <w:r w:rsidRPr="0037116F">
        <w:rPr>
          <w:rFonts w:ascii="Corbel" w:hAnsi="Corbel"/>
          <w:sz w:val="16"/>
          <w:szCs w:val="16"/>
        </w:rPr>
        <w:t xml:space="preserve"> Bij materiële schade is gekeken naar de kosten van herstel. Bij de berekening van de immateriële schade zijn de volgende uitgangspunten gehanteerd: 1 dode = €2.2 miljoen, 1 zwaargewonde = €264.000 en 1 licht gewonde = €22.000; zoals gehanteerd door </w:t>
      </w:r>
      <w:r w:rsidRPr="0037116F">
        <w:rPr>
          <w:rFonts w:ascii="Corbel" w:hAnsi="Corbel"/>
          <w:i/>
          <w:sz w:val="16"/>
          <w:szCs w:val="16"/>
        </w:rPr>
        <w:t>Stichting Wetenschappelijk Onderzoek Verkeersveiligheid</w:t>
      </w:r>
      <w:r w:rsidRPr="0037116F">
        <w:rPr>
          <w:rFonts w:ascii="Corbel" w:hAnsi="Corbel"/>
          <w:sz w:val="16"/>
          <w:szCs w:val="16"/>
        </w:rPr>
        <w:t xml:space="preserve"> (SWOV) (bron: IBRA, 2017, p. 11-12).</w:t>
      </w:r>
      <w:r w:rsidRPr="0037116F">
        <w:rPr>
          <w:sz w:val="16"/>
          <w:szCs w:val="16"/>
        </w:rPr>
        <w:t xml:space="preserve"> </w:t>
      </w:r>
    </w:p>
    <w:p w14:paraId="0E9C9301" w14:textId="77777777" w:rsidR="009D4480" w:rsidRPr="0037116F" w:rsidRDefault="009D4480" w:rsidP="006461F0">
      <w:pPr>
        <w:pStyle w:val="Voetnoottekst"/>
        <w:contextualSpacing/>
        <w:jc w:val="both"/>
        <w:rPr>
          <w:sz w:val="16"/>
          <w:szCs w:val="16"/>
        </w:rPr>
      </w:pPr>
    </w:p>
  </w:footnote>
  <w:footnote w:id="12">
    <w:p w14:paraId="1E93335C" w14:textId="1D6200E0" w:rsidR="009D4480" w:rsidRPr="00F638C1" w:rsidRDefault="009D4480" w:rsidP="00F638C1">
      <w:pPr>
        <w:pStyle w:val="Voetnoottekst"/>
        <w:jc w:val="both"/>
        <w:rPr>
          <w:rFonts w:ascii="Corbel" w:hAnsi="Corbel"/>
          <w:sz w:val="16"/>
          <w:szCs w:val="16"/>
        </w:rPr>
      </w:pPr>
      <w:r w:rsidRPr="00F638C1">
        <w:rPr>
          <w:rStyle w:val="Voetnootmarkering"/>
          <w:rFonts w:ascii="Corbel" w:hAnsi="Corbel"/>
          <w:sz w:val="16"/>
          <w:szCs w:val="16"/>
        </w:rPr>
        <w:footnoteRef/>
      </w:r>
      <w:r w:rsidRPr="00F638C1">
        <w:rPr>
          <w:rFonts w:ascii="Corbel" w:hAnsi="Corbel"/>
          <w:sz w:val="16"/>
          <w:szCs w:val="16"/>
        </w:rPr>
        <w:t xml:space="preserve"> Het gehele beleidsmatige en bestuurlijke stelsel in Nederland (de minister van I&amp;M is ‘stelselverantwoordelijke’) is gericht op het voorkomen van overstroming door dijkdoorbraak. Per 1 januari 2017 zijn er strengere wettelijke veiligheidsnormen van kracht voor de primaire waterkeringen. In de maatschappelijke kosten-batenanalyse (MKBA) die mede ten grondslag ligt aan deze nieuwe normen, is becijferd wat er nog aan investeringen nodig is in Nederland om de beoogde veiligheidsniveaus te bereiken. Zie ook een passage uit het Deltaprogramma 2017 dat recent door de minister aan de Tweede Kamer is aangeboden (bron: Bijlage bij risico 15, IBRA).</w:t>
      </w:r>
      <w:r w:rsidRPr="00F638C1">
        <w:rPr>
          <w:rFonts w:ascii="Corbel" w:hAnsi="Corbel"/>
          <w:sz w:val="16"/>
          <w:szCs w:val="16"/>
        </w:rPr>
        <w:br/>
      </w:r>
    </w:p>
  </w:footnote>
  <w:footnote w:id="13">
    <w:p w14:paraId="0ECF8617" w14:textId="53C85901" w:rsidR="009D4480" w:rsidRPr="00F638C1" w:rsidRDefault="009D4480" w:rsidP="00F638C1">
      <w:pPr>
        <w:pStyle w:val="Voetnoottekst"/>
        <w:jc w:val="both"/>
        <w:rPr>
          <w:rFonts w:ascii="Corbel" w:hAnsi="Corbel"/>
          <w:sz w:val="16"/>
          <w:szCs w:val="16"/>
        </w:rPr>
      </w:pPr>
      <w:r w:rsidRPr="00F638C1">
        <w:rPr>
          <w:rStyle w:val="Voetnootmarkering"/>
          <w:rFonts w:ascii="Corbel" w:hAnsi="Corbel"/>
          <w:sz w:val="16"/>
          <w:szCs w:val="16"/>
        </w:rPr>
        <w:footnoteRef/>
      </w:r>
      <w:r w:rsidRPr="00F638C1">
        <w:rPr>
          <w:rFonts w:ascii="Corbel" w:hAnsi="Corbel"/>
          <w:sz w:val="16"/>
          <w:szCs w:val="16"/>
        </w:rPr>
        <w:t xml:space="preserve"> Voorstel vanuit het ILT-domein: Het gaat om 207 dijktrajecten. De gemiddelde economische schade per dijktraject bij overstroming bedraagt €4 miljard. Gemiddeld zijn er 200 dodelijke slachtoffers per dijktraject bij overstroming. Uitgedrukt in euro’s gaat het dan om €1,34 miljard aan immateriële schade (rekeneenheid (Value of Statistical Life (VOSL)) € 6,7 miljoen per dodelijk slachtoffer). De totale geaccepteerde schade bij overstroming van de primaire waterkeringen in Nederland is dan: (207 x 4) + (207 x 1,34) = €1105 miljard.</w:t>
      </w:r>
      <w:r w:rsidRPr="00F638C1">
        <w:rPr>
          <w:rFonts w:ascii="Corbel" w:hAnsi="Corbel"/>
          <w:sz w:val="16"/>
          <w:szCs w:val="16"/>
        </w:rPr>
        <w:br/>
      </w:r>
    </w:p>
  </w:footnote>
  <w:footnote w:id="14">
    <w:p w14:paraId="4A57EA29" w14:textId="77777777" w:rsidR="009D4480" w:rsidRPr="00F030D3" w:rsidRDefault="009D4480" w:rsidP="00F638C1">
      <w:pPr>
        <w:pStyle w:val="Voetnoottekst"/>
        <w:jc w:val="both"/>
        <w:rPr>
          <w:rFonts w:ascii="Corbel" w:hAnsi="Corbel"/>
          <w:sz w:val="16"/>
        </w:rPr>
      </w:pPr>
      <w:r w:rsidRPr="00F638C1">
        <w:rPr>
          <w:rStyle w:val="Voetnootmarkering"/>
          <w:rFonts w:ascii="Corbel" w:hAnsi="Corbel"/>
          <w:sz w:val="16"/>
          <w:szCs w:val="16"/>
        </w:rPr>
        <w:footnoteRef/>
      </w:r>
      <w:r w:rsidRPr="00F638C1">
        <w:rPr>
          <w:rFonts w:ascii="Corbel" w:hAnsi="Corbel"/>
          <w:sz w:val="16"/>
          <w:szCs w:val="16"/>
        </w:rPr>
        <w:t xml:space="preserve"> Noot: dit is volgens de risicocatalogus. In mijn operationalisatie van de ethische stromingen plaats ik verloren arbeidsproductiviteit en doden/gewonden onder materiële schade en zaken als smart, leed en levensvreugde onder immateriële schade.</w:t>
      </w:r>
      <w:r w:rsidRPr="00AF35B4">
        <w:rPr>
          <w:rFonts w:ascii="Corbel" w:hAnsi="Corbel"/>
          <w:sz w:val="18"/>
        </w:rPr>
        <w:t xml:space="preserve"> </w:t>
      </w:r>
    </w:p>
  </w:footnote>
  <w:footnote w:id="15">
    <w:p w14:paraId="29BEFD83" w14:textId="77777777" w:rsidR="009D4480" w:rsidRPr="00E74B40" w:rsidRDefault="009D4480" w:rsidP="006461F0">
      <w:pPr>
        <w:pStyle w:val="Voetnoottekst"/>
        <w:jc w:val="both"/>
        <w:rPr>
          <w:rFonts w:ascii="Corbel" w:hAnsi="Corbel"/>
          <w:sz w:val="14"/>
          <w:szCs w:val="14"/>
        </w:rPr>
      </w:pPr>
      <w:r w:rsidRPr="00E74B40">
        <w:rPr>
          <w:rStyle w:val="Voetnootmarkering"/>
          <w:rFonts w:ascii="Corbel" w:hAnsi="Corbel"/>
          <w:sz w:val="16"/>
          <w:szCs w:val="14"/>
        </w:rPr>
        <w:footnoteRef/>
      </w:r>
      <w:r w:rsidRPr="00E74B40">
        <w:rPr>
          <w:rFonts w:ascii="Corbel" w:hAnsi="Corbel"/>
          <w:sz w:val="16"/>
          <w:szCs w:val="14"/>
        </w:rPr>
        <w:t xml:space="preserve"> De schematische weergave</w:t>
      </w:r>
      <w:r>
        <w:rPr>
          <w:rFonts w:ascii="Corbel" w:hAnsi="Corbel"/>
          <w:sz w:val="16"/>
          <w:szCs w:val="14"/>
        </w:rPr>
        <w:t xml:space="preserve"> is terug te vinden in bijlage 3</w:t>
      </w:r>
      <w:r w:rsidRPr="00E74B40">
        <w:rPr>
          <w:rFonts w:ascii="Corbel" w:hAnsi="Corbel"/>
          <w:sz w:val="16"/>
          <w:szCs w:val="14"/>
        </w:rPr>
        <w:t>.</w:t>
      </w:r>
    </w:p>
  </w:footnote>
  <w:footnote w:id="16">
    <w:p w14:paraId="1F106388" w14:textId="66E25A32" w:rsidR="009D4480" w:rsidRPr="004A27D4" w:rsidRDefault="009D4480" w:rsidP="006461F0">
      <w:pPr>
        <w:pStyle w:val="Voetnoottekst"/>
        <w:jc w:val="both"/>
        <w:rPr>
          <w:rFonts w:ascii="Corbel" w:hAnsi="Corbel"/>
          <w:sz w:val="16"/>
          <w:szCs w:val="16"/>
        </w:rPr>
      </w:pPr>
      <w:r w:rsidRPr="004A27D4">
        <w:rPr>
          <w:rStyle w:val="Voetnootmarkering"/>
          <w:rFonts w:ascii="Corbel" w:hAnsi="Corbel"/>
          <w:sz w:val="16"/>
          <w:szCs w:val="16"/>
        </w:rPr>
        <w:footnoteRef/>
      </w:r>
      <w:r w:rsidRPr="004A27D4">
        <w:rPr>
          <w:rFonts w:ascii="Corbel" w:hAnsi="Corbel"/>
          <w:sz w:val="16"/>
          <w:szCs w:val="16"/>
        </w:rPr>
        <w:t xml:space="preserve"> De schematische weergave</w:t>
      </w:r>
      <w:r>
        <w:rPr>
          <w:rFonts w:ascii="Corbel" w:hAnsi="Corbel"/>
          <w:sz w:val="16"/>
          <w:szCs w:val="16"/>
        </w:rPr>
        <w:t xml:space="preserve"> is terug te vinden in bijlage 4</w:t>
      </w:r>
      <w:r w:rsidRPr="004A27D4">
        <w:rPr>
          <w:rFonts w:ascii="Corbel" w:hAnsi="Corbel"/>
          <w:sz w:val="16"/>
          <w:szCs w:val="16"/>
        </w:rPr>
        <w:t>.</w:t>
      </w:r>
    </w:p>
  </w:footnote>
  <w:footnote w:id="17">
    <w:p w14:paraId="52C7232F" w14:textId="77777777" w:rsidR="009D4480" w:rsidRDefault="009D4480" w:rsidP="006461F0">
      <w:pPr>
        <w:pStyle w:val="Voetnoottekst"/>
        <w:jc w:val="both"/>
      </w:pPr>
      <w:r w:rsidRPr="004A27D4">
        <w:rPr>
          <w:rStyle w:val="Voetnootmarkering"/>
          <w:rFonts w:ascii="Corbel" w:hAnsi="Corbel"/>
          <w:sz w:val="16"/>
          <w:szCs w:val="16"/>
        </w:rPr>
        <w:footnoteRef/>
      </w:r>
      <w:r w:rsidRPr="004A27D4">
        <w:rPr>
          <w:rFonts w:ascii="Corbel" w:hAnsi="Corbel"/>
          <w:sz w:val="16"/>
          <w:szCs w:val="16"/>
        </w:rPr>
        <w:t xml:space="preserve"> Oud regiem: frequentiebenadering. 2500 vergunningen worden elk getoetst op 10</w:t>
      </w:r>
      <w:r w:rsidRPr="004A27D4">
        <w:rPr>
          <w:rFonts w:ascii="Corbel" w:hAnsi="Corbel"/>
          <w:sz w:val="16"/>
          <w:szCs w:val="16"/>
          <w:vertAlign w:val="superscript"/>
        </w:rPr>
        <w:t>-8</w:t>
      </w:r>
      <w:r w:rsidRPr="004A27D4">
        <w:rPr>
          <w:rFonts w:ascii="Corbel" w:hAnsi="Corbel"/>
          <w:sz w:val="16"/>
          <w:szCs w:val="16"/>
        </w:rPr>
        <w:t>. Frequentie is zeer laag: 2500 x 10</w:t>
      </w:r>
      <w:r w:rsidRPr="004A27D4">
        <w:rPr>
          <w:rFonts w:ascii="Corbel" w:hAnsi="Corbel"/>
          <w:sz w:val="16"/>
          <w:szCs w:val="16"/>
          <w:vertAlign w:val="superscript"/>
        </w:rPr>
        <w:t>-8</w:t>
      </w:r>
    </w:p>
  </w:footnote>
  <w:footnote w:id="18">
    <w:p w14:paraId="0731C955" w14:textId="3819CFFA" w:rsidR="009D4480" w:rsidRPr="00F638C1" w:rsidRDefault="009D4480" w:rsidP="006461F0">
      <w:pPr>
        <w:pStyle w:val="Voetnoottekst"/>
        <w:jc w:val="both"/>
        <w:rPr>
          <w:rFonts w:ascii="Corbel" w:hAnsi="Corbel"/>
          <w:sz w:val="16"/>
          <w:szCs w:val="16"/>
        </w:rPr>
      </w:pPr>
      <w:r w:rsidRPr="00F638C1">
        <w:rPr>
          <w:rStyle w:val="Voetnootmarkering"/>
          <w:rFonts w:ascii="Corbel" w:hAnsi="Corbel"/>
          <w:sz w:val="16"/>
          <w:szCs w:val="16"/>
        </w:rPr>
        <w:footnoteRef/>
      </w:r>
      <w:r w:rsidRPr="00F638C1">
        <w:rPr>
          <w:rFonts w:ascii="Corbel" w:hAnsi="Corbel"/>
          <w:sz w:val="16"/>
          <w:szCs w:val="16"/>
        </w:rPr>
        <w:t xml:space="preserve"> In deze eerste ronde van IBRA is er expliciet voor gekozen om een beeld te krijgen van de utilitaire dimensie van de risicoanalyse (ILT, 2017, p. 92). Verdere verkenning van ethische elementen is een noodzaak en daartoe is dit onderzoek opgezet. </w:t>
      </w:r>
    </w:p>
  </w:footnote>
  <w:footnote w:id="19">
    <w:p w14:paraId="3C9DA68E" w14:textId="77777777" w:rsidR="009D4480" w:rsidRPr="001C5EA9" w:rsidRDefault="009D4480" w:rsidP="006461F0">
      <w:pPr>
        <w:pStyle w:val="Voetnoottekst"/>
        <w:jc w:val="both"/>
        <w:rPr>
          <w:rFonts w:ascii="Corbel" w:hAnsi="Corbel"/>
          <w:sz w:val="16"/>
          <w:szCs w:val="16"/>
          <w:lang w:val="en-US"/>
        </w:rPr>
      </w:pPr>
      <w:r w:rsidRPr="001C5EA9">
        <w:rPr>
          <w:rStyle w:val="Voetnootmarkering"/>
          <w:rFonts w:ascii="Corbel" w:hAnsi="Corbel"/>
          <w:sz w:val="16"/>
          <w:szCs w:val="16"/>
        </w:rPr>
        <w:footnoteRef/>
      </w:r>
      <w:r w:rsidRPr="001C5EA9">
        <w:rPr>
          <w:rFonts w:ascii="Corbel" w:hAnsi="Corbel"/>
          <w:sz w:val="16"/>
          <w:szCs w:val="16"/>
          <w:lang w:val="en-US"/>
        </w:rPr>
        <w:t xml:space="preserve"> “Targeted genome editing using engineered nucleases has rapidly gone from being a niche technology to a mainstream method used by many biological researchers. This widespread adoption has been largely fueled by the emergence of the clustered, regularly interspaced, short palindromic repeat (CRISPR) technology, an important new approach for generating RNA-guided nucleases, such as Cas9, with customizable specificities. Genome editing mediated by these nucleases has been used to rapidly, easily and efficiently modify endogenous genes in a wide variety of </w:t>
      </w:r>
      <w:proofErr w:type="spellStart"/>
      <w:r w:rsidRPr="001C5EA9">
        <w:rPr>
          <w:rFonts w:ascii="Corbel" w:hAnsi="Corbel"/>
          <w:sz w:val="16"/>
          <w:szCs w:val="16"/>
          <w:lang w:val="en-US"/>
        </w:rPr>
        <w:t>biomedically</w:t>
      </w:r>
      <w:proofErr w:type="spellEnd"/>
      <w:r w:rsidRPr="001C5EA9">
        <w:rPr>
          <w:rFonts w:ascii="Corbel" w:hAnsi="Corbel"/>
          <w:sz w:val="16"/>
          <w:szCs w:val="16"/>
          <w:lang w:val="en-US"/>
        </w:rPr>
        <w:t xml:space="preserve"> important cell types and in organisms that have traditionally been challenging to manipulate genetically.” (Sander &amp; </w:t>
      </w:r>
      <w:proofErr w:type="spellStart"/>
      <w:r w:rsidRPr="001C5EA9">
        <w:rPr>
          <w:rFonts w:ascii="Corbel" w:hAnsi="Corbel"/>
          <w:sz w:val="16"/>
          <w:szCs w:val="16"/>
          <w:lang w:val="en-US"/>
        </w:rPr>
        <w:t>Joung</w:t>
      </w:r>
      <w:proofErr w:type="spellEnd"/>
      <w:r w:rsidRPr="001C5EA9">
        <w:rPr>
          <w:rFonts w:ascii="Corbel" w:hAnsi="Corbel"/>
          <w:sz w:val="16"/>
          <w:szCs w:val="16"/>
          <w:lang w:val="en-US"/>
        </w:rPr>
        <w:t>, 2014).</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7970CC" w14:textId="77777777" w:rsidR="009D4480" w:rsidRDefault="009D4480" w:rsidP="00AB308E">
    <w:pPr>
      <w:pStyle w:val="Koptekst"/>
      <w:framePr w:wrap="none" w:vAnchor="text" w:hAnchor="margin" w:xAlign="right" w:y="1"/>
      <w:rPr>
        <w:rStyle w:val="Paginanummer"/>
      </w:rPr>
    </w:pPr>
    <w:r>
      <w:rPr>
        <w:rStyle w:val="Paginanummer"/>
      </w:rPr>
      <w:fldChar w:fldCharType="begin"/>
    </w:r>
    <w:r>
      <w:rPr>
        <w:rStyle w:val="Paginanummer"/>
      </w:rPr>
      <w:instrText xml:space="preserve">PAGE  </w:instrText>
    </w:r>
    <w:r>
      <w:rPr>
        <w:rStyle w:val="Paginanummer"/>
      </w:rPr>
      <w:fldChar w:fldCharType="separate"/>
    </w:r>
    <w:r>
      <w:rPr>
        <w:rStyle w:val="Paginanummer"/>
        <w:noProof/>
      </w:rPr>
      <w:t>1</w:t>
    </w:r>
    <w:r>
      <w:rPr>
        <w:rStyle w:val="Paginanummer"/>
      </w:rPr>
      <w:fldChar w:fldCharType="end"/>
    </w:r>
  </w:p>
  <w:p w14:paraId="7DE94408" w14:textId="77777777" w:rsidR="009D4480" w:rsidRDefault="009D4480" w:rsidP="008C6EEE">
    <w:pPr>
      <w:pStyle w:val="Koptekst"/>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C6E5AA" w14:textId="77777777" w:rsidR="009D4480" w:rsidRPr="00BB0D4D" w:rsidRDefault="009D4480" w:rsidP="008C6EEE">
    <w:pPr>
      <w:pStyle w:val="Koptekst"/>
      <w:ind w:right="360"/>
      <w:jc w:val="center"/>
      <w:rPr>
        <w:rFonts w:ascii="Tahoma" w:hAnsi="Tahoma" w:cs="Tahoma"/>
        <w:sz w:val="22"/>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79502B"/>
    <w:multiLevelType w:val="hybridMultilevel"/>
    <w:tmpl w:val="94445F64"/>
    <w:lvl w:ilvl="0" w:tplc="AA4A69A0">
      <w:start w:val="5"/>
      <w:numFmt w:val="bullet"/>
      <w:lvlText w:val="-"/>
      <w:lvlJc w:val="left"/>
      <w:pPr>
        <w:ind w:left="720" w:hanging="360"/>
      </w:pPr>
      <w:rPr>
        <w:rFonts w:ascii="Verdana" w:eastAsia="DejaVu Sans" w:hAnsi="Verdana" w:cs="Lohit Hin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0AF049F7"/>
    <w:multiLevelType w:val="multilevel"/>
    <w:tmpl w:val="9F32EF82"/>
    <w:lvl w:ilvl="0">
      <w:start w:val="6"/>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0D67498E"/>
    <w:multiLevelType w:val="hybridMultilevel"/>
    <w:tmpl w:val="DDB86CC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nsid w:val="13821436"/>
    <w:multiLevelType w:val="hybridMultilevel"/>
    <w:tmpl w:val="17D23D70"/>
    <w:lvl w:ilvl="0" w:tplc="FC3C1B0C">
      <w:start w:val="14"/>
      <w:numFmt w:val="bullet"/>
      <w:lvlText w:val="-"/>
      <w:lvlJc w:val="left"/>
      <w:pPr>
        <w:ind w:left="720" w:hanging="360"/>
      </w:pPr>
      <w:rPr>
        <w:rFonts w:ascii="Calibri" w:eastAsia="Times New Roman"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1E473DF6"/>
    <w:multiLevelType w:val="hybridMultilevel"/>
    <w:tmpl w:val="DE7CFAC8"/>
    <w:lvl w:ilvl="0" w:tplc="D3142AE4">
      <w:numFmt w:val="bullet"/>
      <w:lvlText w:val="-"/>
      <w:lvlJc w:val="left"/>
      <w:pPr>
        <w:ind w:left="720" w:hanging="360"/>
      </w:pPr>
      <w:rPr>
        <w:rFonts w:ascii="Corbel" w:eastAsiaTheme="minorHAnsi" w:hAnsi="Corbe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1FB234FE"/>
    <w:multiLevelType w:val="hybridMultilevel"/>
    <w:tmpl w:val="02B0547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nsid w:val="252F3C4E"/>
    <w:multiLevelType w:val="multilevel"/>
    <w:tmpl w:val="B9B2795C"/>
    <w:lvl w:ilvl="0">
      <w:start w:val="6"/>
      <w:numFmt w:val="decimal"/>
      <w:lvlText w:val="%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7">
    <w:nsid w:val="2DEE39EA"/>
    <w:multiLevelType w:val="hybridMultilevel"/>
    <w:tmpl w:val="7AEC1716"/>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8">
    <w:nsid w:val="2F660639"/>
    <w:multiLevelType w:val="hybridMultilevel"/>
    <w:tmpl w:val="CBB0D73C"/>
    <w:lvl w:ilvl="0" w:tplc="0413001B">
      <w:start w:val="1"/>
      <w:numFmt w:val="lowerRoman"/>
      <w:lvlText w:val="%1."/>
      <w:lvlJc w:val="righ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nsid w:val="324E1D1A"/>
    <w:multiLevelType w:val="multilevel"/>
    <w:tmpl w:val="6598CFDA"/>
    <w:lvl w:ilvl="0">
      <w:start w:val="1"/>
      <w:numFmt w:val="decimal"/>
      <w:lvlText w:val="%1"/>
      <w:lvlJc w:val="left"/>
      <w:pPr>
        <w:ind w:left="400" w:hanging="400"/>
      </w:pPr>
      <w:rPr>
        <w:rFonts w:hint="default"/>
      </w:rPr>
    </w:lvl>
    <w:lvl w:ilvl="1">
      <w:start w:val="1"/>
      <w:numFmt w:val="decimal"/>
      <w:lvlText w:val="%1.%2"/>
      <w:lvlJc w:val="left"/>
      <w:pPr>
        <w:ind w:left="400" w:hanging="4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nsid w:val="378056D6"/>
    <w:multiLevelType w:val="multilevel"/>
    <w:tmpl w:val="421CBDF6"/>
    <w:lvl w:ilvl="0">
      <w:start w:val="6"/>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nsid w:val="39344833"/>
    <w:multiLevelType w:val="hybridMultilevel"/>
    <w:tmpl w:val="2F08D25A"/>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nsid w:val="400702F7"/>
    <w:multiLevelType w:val="multilevel"/>
    <w:tmpl w:val="F19450A6"/>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nsid w:val="49760119"/>
    <w:multiLevelType w:val="hybridMultilevel"/>
    <w:tmpl w:val="9CE4674E"/>
    <w:lvl w:ilvl="0" w:tplc="04130001">
      <w:start w:val="1"/>
      <w:numFmt w:val="bullet"/>
      <w:lvlText w:val=""/>
      <w:lvlJc w:val="left"/>
      <w:pPr>
        <w:ind w:left="720" w:hanging="360"/>
      </w:pPr>
      <w:rPr>
        <w:rFonts w:ascii="Symbol" w:hAnsi="Symbol"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nsid w:val="4D063721"/>
    <w:multiLevelType w:val="hybridMultilevel"/>
    <w:tmpl w:val="349CCC22"/>
    <w:lvl w:ilvl="0" w:tplc="0413000F">
      <w:start w:val="1"/>
      <w:numFmt w:val="decimal"/>
      <w:lvlText w:val="%1."/>
      <w:lvlJc w:val="left"/>
      <w:pPr>
        <w:ind w:left="360" w:hanging="360"/>
      </w:pPr>
      <w:rPr>
        <w:rFonts w:hint="default"/>
      </w:rPr>
    </w:lvl>
    <w:lvl w:ilvl="1" w:tplc="04130019">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5">
    <w:nsid w:val="4DE879CB"/>
    <w:multiLevelType w:val="hybridMultilevel"/>
    <w:tmpl w:val="057CA8A6"/>
    <w:lvl w:ilvl="0" w:tplc="AAD8BF64">
      <w:start w:val="3"/>
      <w:numFmt w:val="bullet"/>
      <w:lvlText w:val="-"/>
      <w:lvlJc w:val="left"/>
      <w:pPr>
        <w:ind w:left="720" w:hanging="360"/>
      </w:pPr>
      <w:rPr>
        <w:rFonts w:ascii="Corbel" w:eastAsia="Tahoma" w:hAnsi="Corbel" w:cs="Tahoma"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nsid w:val="511E2705"/>
    <w:multiLevelType w:val="hybridMultilevel"/>
    <w:tmpl w:val="6D4C88C0"/>
    <w:lvl w:ilvl="0" w:tplc="04130001">
      <w:start w:val="1"/>
      <w:numFmt w:val="bullet"/>
      <w:lvlText w:val=""/>
      <w:lvlJc w:val="left"/>
      <w:pPr>
        <w:ind w:left="720" w:hanging="360"/>
      </w:pPr>
      <w:rPr>
        <w:rFonts w:ascii="Symbol" w:hAnsi="Symbol"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nsid w:val="51307184"/>
    <w:multiLevelType w:val="hybridMultilevel"/>
    <w:tmpl w:val="4EC2D206"/>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nsid w:val="54C969F0"/>
    <w:multiLevelType w:val="hybridMultilevel"/>
    <w:tmpl w:val="E1761C9E"/>
    <w:lvl w:ilvl="0" w:tplc="0413000F">
      <w:start w:val="1"/>
      <w:numFmt w:val="decimal"/>
      <w:lvlText w:val="%1."/>
      <w:lvlJc w:val="left"/>
      <w:pPr>
        <w:ind w:left="720" w:hanging="360"/>
      </w:pPr>
    </w:lvl>
    <w:lvl w:ilvl="1" w:tplc="0413000F">
      <w:start w:val="1"/>
      <w:numFmt w:val="decimal"/>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nsid w:val="65511996"/>
    <w:multiLevelType w:val="hybridMultilevel"/>
    <w:tmpl w:val="2F08D25A"/>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nsid w:val="66993F72"/>
    <w:multiLevelType w:val="multilevel"/>
    <w:tmpl w:val="BB7ACA16"/>
    <w:lvl w:ilvl="0">
      <w:start w:val="1"/>
      <w:numFmt w:val="decimal"/>
      <w:pStyle w:val="Stijl1"/>
      <w:lvlText w:val="%1."/>
      <w:lvlJc w:val="left"/>
      <w:pPr>
        <w:ind w:left="720" w:hanging="360"/>
      </w:pPr>
      <w:rPr>
        <w:rFonts w:hint="default"/>
      </w:rPr>
    </w:lvl>
    <w:lvl w:ilvl="1">
      <w:start w:val="6"/>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1">
    <w:nsid w:val="6E087F7C"/>
    <w:multiLevelType w:val="hybridMultilevel"/>
    <w:tmpl w:val="147AEDB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nsid w:val="761261D0"/>
    <w:multiLevelType w:val="multilevel"/>
    <w:tmpl w:val="4AAAC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6CF2868"/>
    <w:multiLevelType w:val="hybridMultilevel"/>
    <w:tmpl w:val="31B8D18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nsid w:val="7C66D121"/>
    <w:multiLevelType w:val="multilevel"/>
    <w:tmpl w:val="6CA2ACBE"/>
    <w:name w:val="Huisstijl nummering zonder nummer"/>
    <w:lvl w:ilvl="0">
      <w:start w:val="1"/>
      <w:numFmt w:val="bullet"/>
      <w:pStyle w:val="Huisstijl-Kopznr1"/>
      <w:lvlText w:val="●"/>
      <w:lvlJc w:val="left"/>
      <w:pPr>
        <w:ind w:left="0" w:firstLine="0"/>
      </w:pPr>
      <w:rPr>
        <w:color w:val="FFFFFF"/>
      </w:rPr>
    </w:lvl>
    <w:lvl w:ilvl="1">
      <w:start w:val="1"/>
      <w:numFmt w:val="bullet"/>
      <w:pStyle w:val="Huisstijl-Kopznr2"/>
      <w:lvlText w:val="●"/>
      <w:lvlJc w:val="left"/>
      <w:pPr>
        <w:ind w:left="0" w:firstLine="0"/>
      </w:pPr>
      <w:rPr>
        <w:color w:val="FFFFFF"/>
      </w:rPr>
    </w:lvl>
    <w:lvl w:ilvl="2">
      <w:start w:val="1"/>
      <w:numFmt w:val="bullet"/>
      <w:pStyle w:val="Huisstijl-Kopznr1"/>
      <w:lvlText w:val="●"/>
      <w:lvlJc w:val="left"/>
      <w:pPr>
        <w:ind w:left="0" w:firstLine="0"/>
      </w:pPr>
      <w:rPr>
        <w:color w:val="FFFFFF"/>
      </w:rPr>
    </w:lvl>
    <w:lvl w:ilvl="3">
      <w:start w:val="1"/>
      <w:numFmt w:val="bullet"/>
      <w:pStyle w:val="Huisstijl-Kopznr2"/>
      <w:lvlText w:val="●"/>
      <w:lvlJc w:val="left"/>
      <w:pPr>
        <w:ind w:left="0" w:firstLine="0"/>
      </w:pPr>
      <w:rPr>
        <w:color w:val="FFFFFF"/>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7DC95CE6"/>
    <w:multiLevelType w:val="hybridMultilevel"/>
    <w:tmpl w:val="8AF0B596"/>
    <w:lvl w:ilvl="0" w:tplc="AE265774">
      <w:start w:val="5232"/>
      <w:numFmt w:val="bullet"/>
      <w:lvlText w:val="-"/>
      <w:lvlJc w:val="left"/>
      <w:pPr>
        <w:ind w:left="720" w:hanging="360"/>
      </w:pPr>
      <w:rPr>
        <w:rFonts w:ascii="Corbel" w:eastAsia="Tahoma" w:hAnsi="Corbel" w:cs="Tahoma"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nsid w:val="7F327B67"/>
    <w:multiLevelType w:val="multilevel"/>
    <w:tmpl w:val="C2FAAB78"/>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20"/>
  </w:num>
  <w:num w:numId="2">
    <w:abstractNumId w:val="9"/>
  </w:num>
  <w:num w:numId="3">
    <w:abstractNumId w:val="12"/>
  </w:num>
  <w:num w:numId="4">
    <w:abstractNumId w:val="17"/>
  </w:num>
  <w:num w:numId="5">
    <w:abstractNumId w:val="26"/>
  </w:num>
  <w:num w:numId="6">
    <w:abstractNumId w:val="23"/>
  </w:num>
  <w:num w:numId="7">
    <w:abstractNumId w:val="15"/>
  </w:num>
  <w:num w:numId="8">
    <w:abstractNumId w:val="25"/>
  </w:num>
  <w:num w:numId="9">
    <w:abstractNumId w:val="5"/>
  </w:num>
  <w:num w:numId="10">
    <w:abstractNumId w:val="4"/>
  </w:num>
  <w:num w:numId="11">
    <w:abstractNumId w:val="24"/>
  </w:num>
  <w:num w:numId="12">
    <w:abstractNumId w:val="0"/>
  </w:num>
  <w:num w:numId="13">
    <w:abstractNumId w:val="3"/>
  </w:num>
  <w:num w:numId="14">
    <w:abstractNumId w:val="18"/>
  </w:num>
  <w:num w:numId="15">
    <w:abstractNumId w:val="10"/>
  </w:num>
  <w:num w:numId="16">
    <w:abstractNumId w:val="21"/>
  </w:num>
  <w:num w:numId="17">
    <w:abstractNumId w:val="6"/>
  </w:num>
  <w:num w:numId="18">
    <w:abstractNumId w:val="1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
    <w:lvlOverride w:ilvl="0">
      <w:startOverride w:val="6"/>
    </w:lvlOverride>
    <w:lvlOverride w:ilvl="1">
      <w:startOverride w:val="2"/>
    </w:lvlOverride>
    <w:lvlOverride w:ilvl="2">
      <w:startOverride w:val="1"/>
    </w:lvlOverride>
  </w:num>
  <w:num w:numId="20">
    <w:abstractNumId w:val="6"/>
    <w:lvlOverride w:ilvl="0">
      <w:startOverride w:val="6"/>
    </w:lvlOverride>
    <w:lvlOverride w:ilvl="1">
      <w:startOverride w:val="2"/>
    </w:lvlOverride>
    <w:lvlOverride w:ilvl="2">
      <w:startOverride w:val="1"/>
    </w:lvlOverride>
  </w:num>
  <w:num w:numId="21">
    <w:abstractNumId w:val="1"/>
  </w:num>
  <w:num w:numId="22">
    <w:abstractNumId w:val="8"/>
  </w:num>
  <w:num w:numId="23">
    <w:abstractNumId w:val="2"/>
  </w:num>
  <w:num w:numId="24">
    <w:abstractNumId w:val="22"/>
  </w:num>
  <w:num w:numId="25">
    <w:abstractNumId w:val="14"/>
  </w:num>
  <w:num w:numId="26">
    <w:abstractNumId w:val="7"/>
  </w:num>
  <w:num w:numId="27">
    <w:abstractNumId w:val="11"/>
  </w:num>
  <w:num w:numId="28">
    <w:abstractNumId w:val="19"/>
  </w:num>
  <w:num w:numId="29">
    <w:abstractNumId w:val="13"/>
  </w:num>
  <w:num w:numId="30">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2"/>
  <w:printPostScriptOverText/>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0770"/>
    <w:rsid w:val="00000007"/>
    <w:rsid w:val="00000E03"/>
    <w:rsid w:val="00001535"/>
    <w:rsid w:val="000024EA"/>
    <w:rsid w:val="00007256"/>
    <w:rsid w:val="00010031"/>
    <w:rsid w:val="00010379"/>
    <w:rsid w:val="00010B5E"/>
    <w:rsid w:val="000114CA"/>
    <w:rsid w:val="00011AAE"/>
    <w:rsid w:val="00012E27"/>
    <w:rsid w:val="00013411"/>
    <w:rsid w:val="00014557"/>
    <w:rsid w:val="00015DDF"/>
    <w:rsid w:val="00017BDF"/>
    <w:rsid w:val="00021241"/>
    <w:rsid w:val="000221A4"/>
    <w:rsid w:val="000223D1"/>
    <w:rsid w:val="00022958"/>
    <w:rsid w:val="00023F4F"/>
    <w:rsid w:val="000242AF"/>
    <w:rsid w:val="000261D6"/>
    <w:rsid w:val="00026516"/>
    <w:rsid w:val="00030011"/>
    <w:rsid w:val="00030EC6"/>
    <w:rsid w:val="0003270D"/>
    <w:rsid w:val="00032BC2"/>
    <w:rsid w:val="00040A75"/>
    <w:rsid w:val="00040B82"/>
    <w:rsid w:val="00042533"/>
    <w:rsid w:val="000427C3"/>
    <w:rsid w:val="00042ADA"/>
    <w:rsid w:val="00043F08"/>
    <w:rsid w:val="000451D3"/>
    <w:rsid w:val="0004541A"/>
    <w:rsid w:val="00045F82"/>
    <w:rsid w:val="00046C56"/>
    <w:rsid w:val="0005030F"/>
    <w:rsid w:val="000508D8"/>
    <w:rsid w:val="00051183"/>
    <w:rsid w:val="00051841"/>
    <w:rsid w:val="000524F8"/>
    <w:rsid w:val="0005376F"/>
    <w:rsid w:val="00054F30"/>
    <w:rsid w:val="0005551B"/>
    <w:rsid w:val="00060590"/>
    <w:rsid w:val="00060C07"/>
    <w:rsid w:val="0006133C"/>
    <w:rsid w:val="00061B71"/>
    <w:rsid w:val="00062B73"/>
    <w:rsid w:val="00063333"/>
    <w:rsid w:val="000641EC"/>
    <w:rsid w:val="00064E55"/>
    <w:rsid w:val="00066786"/>
    <w:rsid w:val="00066FDD"/>
    <w:rsid w:val="00071CDF"/>
    <w:rsid w:val="00072339"/>
    <w:rsid w:val="00072B7E"/>
    <w:rsid w:val="00073FC8"/>
    <w:rsid w:val="00074290"/>
    <w:rsid w:val="00075413"/>
    <w:rsid w:val="00075988"/>
    <w:rsid w:val="000771B4"/>
    <w:rsid w:val="0008178A"/>
    <w:rsid w:val="00081A8E"/>
    <w:rsid w:val="000823C7"/>
    <w:rsid w:val="000849F5"/>
    <w:rsid w:val="00085AD3"/>
    <w:rsid w:val="00085FD7"/>
    <w:rsid w:val="0008699B"/>
    <w:rsid w:val="00086A04"/>
    <w:rsid w:val="000877CB"/>
    <w:rsid w:val="00087A89"/>
    <w:rsid w:val="00087D48"/>
    <w:rsid w:val="000900BB"/>
    <w:rsid w:val="00090A6E"/>
    <w:rsid w:val="00090AE8"/>
    <w:rsid w:val="00092CF2"/>
    <w:rsid w:val="00093AF3"/>
    <w:rsid w:val="000940EF"/>
    <w:rsid w:val="00095512"/>
    <w:rsid w:val="000955A0"/>
    <w:rsid w:val="000961CA"/>
    <w:rsid w:val="00096479"/>
    <w:rsid w:val="00097081"/>
    <w:rsid w:val="00097F7E"/>
    <w:rsid w:val="000A19CC"/>
    <w:rsid w:val="000A2C4B"/>
    <w:rsid w:val="000A3BA6"/>
    <w:rsid w:val="000A42A3"/>
    <w:rsid w:val="000A4FF6"/>
    <w:rsid w:val="000A55DD"/>
    <w:rsid w:val="000A62B0"/>
    <w:rsid w:val="000A6445"/>
    <w:rsid w:val="000B0967"/>
    <w:rsid w:val="000B1E67"/>
    <w:rsid w:val="000B24EA"/>
    <w:rsid w:val="000B2563"/>
    <w:rsid w:val="000B3CAD"/>
    <w:rsid w:val="000B3E7E"/>
    <w:rsid w:val="000B6735"/>
    <w:rsid w:val="000B6B96"/>
    <w:rsid w:val="000B7E1F"/>
    <w:rsid w:val="000C032F"/>
    <w:rsid w:val="000C033D"/>
    <w:rsid w:val="000C096A"/>
    <w:rsid w:val="000C31D2"/>
    <w:rsid w:val="000C35A7"/>
    <w:rsid w:val="000C5330"/>
    <w:rsid w:val="000C53CD"/>
    <w:rsid w:val="000C66B5"/>
    <w:rsid w:val="000C7A67"/>
    <w:rsid w:val="000C7AEF"/>
    <w:rsid w:val="000C7D74"/>
    <w:rsid w:val="000D04E7"/>
    <w:rsid w:val="000D164B"/>
    <w:rsid w:val="000D2B6B"/>
    <w:rsid w:val="000D2FE3"/>
    <w:rsid w:val="000D2FEF"/>
    <w:rsid w:val="000D3A52"/>
    <w:rsid w:val="000D4143"/>
    <w:rsid w:val="000D4C34"/>
    <w:rsid w:val="000D5448"/>
    <w:rsid w:val="000D5CC8"/>
    <w:rsid w:val="000D6B1E"/>
    <w:rsid w:val="000D75C7"/>
    <w:rsid w:val="000D7A46"/>
    <w:rsid w:val="000E28EA"/>
    <w:rsid w:val="000E5CF1"/>
    <w:rsid w:val="000E6A73"/>
    <w:rsid w:val="000E6CE3"/>
    <w:rsid w:val="000F037D"/>
    <w:rsid w:val="000F048F"/>
    <w:rsid w:val="000F246D"/>
    <w:rsid w:val="000F318E"/>
    <w:rsid w:val="000F3220"/>
    <w:rsid w:val="000F3CD3"/>
    <w:rsid w:val="000F456A"/>
    <w:rsid w:val="000F4A29"/>
    <w:rsid w:val="000F7142"/>
    <w:rsid w:val="000F75DE"/>
    <w:rsid w:val="000F7B88"/>
    <w:rsid w:val="000F7BB5"/>
    <w:rsid w:val="001003DE"/>
    <w:rsid w:val="00101519"/>
    <w:rsid w:val="001018F1"/>
    <w:rsid w:val="00103876"/>
    <w:rsid w:val="0010407F"/>
    <w:rsid w:val="00105138"/>
    <w:rsid w:val="00105B51"/>
    <w:rsid w:val="00110754"/>
    <w:rsid w:val="00110F82"/>
    <w:rsid w:val="00111DC5"/>
    <w:rsid w:val="0011382E"/>
    <w:rsid w:val="0011700A"/>
    <w:rsid w:val="00117D93"/>
    <w:rsid w:val="001210B2"/>
    <w:rsid w:val="0012396D"/>
    <w:rsid w:val="00123FB3"/>
    <w:rsid w:val="00125DD5"/>
    <w:rsid w:val="0012624A"/>
    <w:rsid w:val="001275D8"/>
    <w:rsid w:val="00127873"/>
    <w:rsid w:val="00127C23"/>
    <w:rsid w:val="0013298F"/>
    <w:rsid w:val="00133327"/>
    <w:rsid w:val="00133B73"/>
    <w:rsid w:val="00133D84"/>
    <w:rsid w:val="001340DD"/>
    <w:rsid w:val="00134E79"/>
    <w:rsid w:val="00135F80"/>
    <w:rsid w:val="00136120"/>
    <w:rsid w:val="00136DD9"/>
    <w:rsid w:val="00142D0B"/>
    <w:rsid w:val="0014320E"/>
    <w:rsid w:val="00143865"/>
    <w:rsid w:val="00143898"/>
    <w:rsid w:val="00144B06"/>
    <w:rsid w:val="00144BEC"/>
    <w:rsid w:val="00145077"/>
    <w:rsid w:val="00145996"/>
    <w:rsid w:val="00145D9E"/>
    <w:rsid w:val="0014739A"/>
    <w:rsid w:val="0014750C"/>
    <w:rsid w:val="00147A96"/>
    <w:rsid w:val="001515ED"/>
    <w:rsid w:val="00151812"/>
    <w:rsid w:val="00151BDE"/>
    <w:rsid w:val="00155FA3"/>
    <w:rsid w:val="00157D4C"/>
    <w:rsid w:val="001600CA"/>
    <w:rsid w:val="00160F6D"/>
    <w:rsid w:val="001616AD"/>
    <w:rsid w:val="001630A8"/>
    <w:rsid w:val="001633C3"/>
    <w:rsid w:val="001640E9"/>
    <w:rsid w:val="001643AE"/>
    <w:rsid w:val="00165179"/>
    <w:rsid w:val="00165739"/>
    <w:rsid w:val="00166381"/>
    <w:rsid w:val="00167DFD"/>
    <w:rsid w:val="00167ED8"/>
    <w:rsid w:val="00170549"/>
    <w:rsid w:val="00173270"/>
    <w:rsid w:val="0017401C"/>
    <w:rsid w:val="00175D3C"/>
    <w:rsid w:val="00176E5E"/>
    <w:rsid w:val="00176F16"/>
    <w:rsid w:val="0017765F"/>
    <w:rsid w:val="00177E89"/>
    <w:rsid w:val="00180782"/>
    <w:rsid w:val="00180D2E"/>
    <w:rsid w:val="00180D3D"/>
    <w:rsid w:val="001817BC"/>
    <w:rsid w:val="001818F0"/>
    <w:rsid w:val="001821B8"/>
    <w:rsid w:val="0018420B"/>
    <w:rsid w:val="00186406"/>
    <w:rsid w:val="00186EFB"/>
    <w:rsid w:val="00187B14"/>
    <w:rsid w:val="00187FD8"/>
    <w:rsid w:val="00190C3C"/>
    <w:rsid w:val="00191032"/>
    <w:rsid w:val="00191B38"/>
    <w:rsid w:val="00192155"/>
    <w:rsid w:val="00192AFA"/>
    <w:rsid w:val="00193294"/>
    <w:rsid w:val="00193624"/>
    <w:rsid w:val="00193781"/>
    <w:rsid w:val="00193C9D"/>
    <w:rsid w:val="001949C0"/>
    <w:rsid w:val="00195ACC"/>
    <w:rsid w:val="0019655E"/>
    <w:rsid w:val="001966CE"/>
    <w:rsid w:val="0019777E"/>
    <w:rsid w:val="001A04E7"/>
    <w:rsid w:val="001A0AA0"/>
    <w:rsid w:val="001A15D3"/>
    <w:rsid w:val="001A190B"/>
    <w:rsid w:val="001A1DB5"/>
    <w:rsid w:val="001A2FB7"/>
    <w:rsid w:val="001A3E3C"/>
    <w:rsid w:val="001A6862"/>
    <w:rsid w:val="001B1A99"/>
    <w:rsid w:val="001B4408"/>
    <w:rsid w:val="001B6753"/>
    <w:rsid w:val="001B7C55"/>
    <w:rsid w:val="001C0830"/>
    <w:rsid w:val="001C1731"/>
    <w:rsid w:val="001C1E93"/>
    <w:rsid w:val="001C28B0"/>
    <w:rsid w:val="001C2B1D"/>
    <w:rsid w:val="001C3157"/>
    <w:rsid w:val="001C366E"/>
    <w:rsid w:val="001C4BF2"/>
    <w:rsid w:val="001C595D"/>
    <w:rsid w:val="001C5A73"/>
    <w:rsid w:val="001C5EA9"/>
    <w:rsid w:val="001C783F"/>
    <w:rsid w:val="001C794A"/>
    <w:rsid w:val="001C79CB"/>
    <w:rsid w:val="001C7A3D"/>
    <w:rsid w:val="001D0444"/>
    <w:rsid w:val="001D1365"/>
    <w:rsid w:val="001D1821"/>
    <w:rsid w:val="001E0FF4"/>
    <w:rsid w:val="001E1E8B"/>
    <w:rsid w:val="001E2064"/>
    <w:rsid w:val="001E21B5"/>
    <w:rsid w:val="001E29FC"/>
    <w:rsid w:val="001E2B14"/>
    <w:rsid w:val="001E3000"/>
    <w:rsid w:val="001E3765"/>
    <w:rsid w:val="001E4963"/>
    <w:rsid w:val="001E700A"/>
    <w:rsid w:val="001E7349"/>
    <w:rsid w:val="001E7F07"/>
    <w:rsid w:val="001F2E4F"/>
    <w:rsid w:val="001F3387"/>
    <w:rsid w:val="001F4F70"/>
    <w:rsid w:val="001F529E"/>
    <w:rsid w:val="001F6FD2"/>
    <w:rsid w:val="001F7725"/>
    <w:rsid w:val="00200C74"/>
    <w:rsid w:val="00200DDF"/>
    <w:rsid w:val="0020261B"/>
    <w:rsid w:val="00202E26"/>
    <w:rsid w:val="00203238"/>
    <w:rsid w:val="0020422E"/>
    <w:rsid w:val="00206E54"/>
    <w:rsid w:val="00207BF7"/>
    <w:rsid w:val="00213C99"/>
    <w:rsid w:val="002149E6"/>
    <w:rsid w:val="0021596E"/>
    <w:rsid w:val="002160C0"/>
    <w:rsid w:val="00216463"/>
    <w:rsid w:val="002173E3"/>
    <w:rsid w:val="00217C1E"/>
    <w:rsid w:val="002208E3"/>
    <w:rsid w:val="00220D11"/>
    <w:rsid w:val="00221AEB"/>
    <w:rsid w:val="00224235"/>
    <w:rsid w:val="00224C76"/>
    <w:rsid w:val="002268FC"/>
    <w:rsid w:val="00226BA7"/>
    <w:rsid w:val="002279E2"/>
    <w:rsid w:val="002312CE"/>
    <w:rsid w:val="00231390"/>
    <w:rsid w:val="00233AD8"/>
    <w:rsid w:val="00235B5F"/>
    <w:rsid w:val="00236E47"/>
    <w:rsid w:val="0024146B"/>
    <w:rsid w:val="00241AFA"/>
    <w:rsid w:val="00241BA2"/>
    <w:rsid w:val="0024204A"/>
    <w:rsid w:val="00244904"/>
    <w:rsid w:val="00244ECF"/>
    <w:rsid w:val="00246957"/>
    <w:rsid w:val="002472A6"/>
    <w:rsid w:val="002472C0"/>
    <w:rsid w:val="0025073E"/>
    <w:rsid w:val="00250B06"/>
    <w:rsid w:val="00251307"/>
    <w:rsid w:val="00252870"/>
    <w:rsid w:val="0025363E"/>
    <w:rsid w:val="00255536"/>
    <w:rsid w:val="002558A3"/>
    <w:rsid w:val="00255925"/>
    <w:rsid w:val="00256061"/>
    <w:rsid w:val="00256844"/>
    <w:rsid w:val="00256984"/>
    <w:rsid w:val="002613A0"/>
    <w:rsid w:val="00262310"/>
    <w:rsid w:val="00263D84"/>
    <w:rsid w:val="00264537"/>
    <w:rsid w:val="002652C8"/>
    <w:rsid w:val="00265ABE"/>
    <w:rsid w:val="002667F2"/>
    <w:rsid w:val="002679D0"/>
    <w:rsid w:val="00270DF0"/>
    <w:rsid w:val="0027240A"/>
    <w:rsid w:val="00273375"/>
    <w:rsid w:val="002735E6"/>
    <w:rsid w:val="0027394C"/>
    <w:rsid w:val="002743F5"/>
    <w:rsid w:val="00275467"/>
    <w:rsid w:val="0027753B"/>
    <w:rsid w:val="002779EA"/>
    <w:rsid w:val="00280A2A"/>
    <w:rsid w:val="002811C8"/>
    <w:rsid w:val="00281D01"/>
    <w:rsid w:val="00282756"/>
    <w:rsid w:val="00283427"/>
    <w:rsid w:val="002838DF"/>
    <w:rsid w:val="002849B8"/>
    <w:rsid w:val="00284AF2"/>
    <w:rsid w:val="00286AB0"/>
    <w:rsid w:val="00287859"/>
    <w:rsid w:val="002908BB"/>
    <w:rsid w:val="002918D0"/>
    <w:rsid w:val="00293E89"/>
    <w:rsid w:val="00295EB5"/>
    <w:rsid w:val="00296D70"/>
    <w:rsid w:val="00297E90"/>
    <w:rsid w:val="002A0F20"/>
    <w:rsid w:val="002A15EE"/>
    <w:rsid w:val="002A1709"/>
    <w:rsid w:val="002A42AA"/>
    <w:rsid w:val="002A46C7"/>
    <w:rsid w:val="002A58B5"/>
    <w:rsid w:val="002A5D09"/>
    <w:rsid w:val="002A67F7"/>
    <w:rsid w:val="002B1A5C"/>
    <w:rsid w:val="002B2783"/>
    <w:rsid w:val="002B3689"/>
    <w:rsid w:val="002B36A6"/>
    <w:rsid w:val="002B39F9"/>
    <w:rsid w:val="002B409E"/>
    <w:rsid w:val="002B41FF"/>
    <w:rsid w:val="002B618C"/>
    <w:rsid w:val="002B655A"/>
    <w:rsid w:val="002B6564"/>
    <w:rsid w:val="002B6E6A"/>
    <w:rsid w:val="002B7950"/>
    <w:rsid w:val="002B7D9F"/>
    <w:rsid w:val="002C024D"/>
    <w:rsid w:val="002C10F6"/>
    <w:rsid w:val="002C15EF"/>
    <w:rsid w:val="002C18EA"/>
    <w:rsid w:val="002C2A3B"/>
    <w:rsid w:val="002C2A9C"/>
    <w:rsid w:val="002C2E1E"/>
    <w:rsid w:val="002C54D5"/>
    <w:rsid w:val="002C564B"/>
    <w:rsid w:val="002C5F39"/>
    <w:rsid w:val="002C6DA9"/>
    <w:rsid w:val="002D0598"/>
    <w:rsid w:val="002D05AA"/>
    <w:rsid w:val="002D22B3"/>
    <w:rsid w:val="002D349D"/>
    <w:rsid w:val="002D3B51"/>
    <w:rsid w:val="002D4223"/>
    <w:rsid w:val="002E0A94"/>
    <w:rsid w:val="002E3492"/>
    <w:rsid w:val="002E433C"/>
    <w:rsid w:val="002E43D9"/>
    <w:rsid w:val="002E62FF"/>
    <w:rsid w:val="002E6337"/>
    <w:rsid w:val="002E6B1E"/>
    <w:rsid w:val="002E739C"/>
    <w:rsid w:val="002E7979"/>
    <w:rsid w:val="002E79C2"/>
    <w:rsid w:val="002F07C3"/>
    <w:rsid w:val="002F1329"/>
    <w:rsid w:val="002F2020"/>
    <w:rsid w:val="002F2CB2"/>
    <w:rsid w:val="002F6715"/>
    <w:rsid w:val="00301A94"/>
    <w:rsid w:val="00301C8E"/>
    <w:rsid w:val="00301DFA"/>
    <w:rsid w:val="0030232B"/>
    <w:rsid w:val="003075F7"/>
    <w:rsid w:val="00313155"/>
    <w:rsid w:val="0031366A"/>
    <w:rsid w:val="003158BA"/>
    <w:rsid w:val="00315E90"/>
    <w:rsid w:val="00316B6F"/>
    <w:rsid w:val="00321176"/>
    <w:rsid w:val="00322EEB"/>
    <w:rsid w:val="00323515"/>
    <w:rsid w:val="00324A7F"/>
    <w:rsid w:val="0032568C"/>
    <w:rsid w:val="0032571E"/>
    <w:rsid w:val="003257B2"/>
    <w:rsid w:val="00327BE5"/>
    <w:rsid w:val="003301C6"/>
    <w:rsid w:val="003326F5"/>
    <w:rsid w:val="00332D92"/>
    <w:rsid w:val="0033466D"/>
    <w:rsid w:val="00336211"/>
    <w:rsid w:val="00336F4C"/>
    <w:rsid w:val="0033762D"/>
    <w:rsid w:val="00340664"/>
    <w:rsid w:val="00340CCC"/>
    <w:rsid w:val="00340D0D"/>
    <w:rsid w:val="00340E0C"/>
    <w:rsid w:val="00340E7A"/>
    <w:rsid w:val="00341E98"/>
    <w:rsid w:val="003420B5"/>
    <w:rsid w:val="0034392E"/>
    <w:rsid w:val="00343AE3"/>
    <w:rsid w:val="00345CA7"/>
    <w:rsid w:val="0034685E"/>
    <w:rsid w:val="00346C62"/>
    <w:rsid w:val="00347D0B"/>
    <w:rsid w:val="00350664"/>
    <w:rsid w:val="00351EAB"/>
    <w:rsid w:val="00352B88"/>
    <w:rsid w:val="00352D47"/>
    <w:rsid w:val="00357FE1"/>
    <w:rsid w:val="00360263"/>
    <w:rsid w:val="00360551"/>
    <w:rsid w:val="00360F87"/>
    <w:rsid w:val="0036168D"/>
    <w:rsid w:val="00362C8B"/>
    <w:rsid w:val="00362E1A"/>
    <w:rsid w:val="00362FD4"/>
    <w:rsid w:val="00363A1E"/>
    <w:rsid w:val="00364D36"/>
    <w:rsid w:val="00364F7A"/>
    <w:rsid w:val="00366E44"/>
    <w:rsid w:val="0036794B"/>
    <w:rsid w:val="003707F5"/>
    <w:rsid w:val="0037116F"/>
    <w:rsid w:val="00371492"/>
    <w:rsid w:val="00372268"/>
    <w:rsid w:val="00372962"/>
    <w:rsid w:val="003743B7"/>
    <w:rsid w:val="00374D17"/>
    <w:rsid w:val="00374D60"/>
    <w:rsid w:val="0037527C"/>
    <w:rsid w:val="00376773"/>
    <w:rsid w:val="00377BF6"/>
    <w:rsid w:val="00380531"/>
    <w:rsid w:val="003837F9"/>
    <w:rsid w:val="00383F46"/>
    <w:rsid w:val="00385147"/>
    <w:rsid w:val="00385755"/>
    <w:rsid w:val="003869CC"/>
    <w:rsid w:val="003906B6"/>
    <w:rsid w:val="00391C64"/>
    <w:rsid w:val="003922DA"/>
    <w:rsid w:val="00392A92"/>
    <w:rsid w:val="003940C9"/>
    <w:rsid w:val="00394BF8"/>
    <w:rsid w:val="00394CDC"/>
    <w:rsid w:val="003958AD"/>
    <w:rsid w:val="003968B3"/>
    <w:rsid w:val="00396EAA"/>
    <w:rsid w:val="00397CCC"/>
    <w:rsid w:val="003A0810"/>
    <w:rsid w:val="003A08B1"/>
    <w:rsid w:val="003A1C1D"/>
    <w:rsid w:val="003A25B3"/>
    <w:rsid w:val="003A2B0C"/>
    <w:rsid w:val="003A36E9"/>
    <w:rsid w:val="003A4AD9"/>
    <w:rsid w:val="003A6202"/>
    <w:rsid w:val="003B02E3"/>
    <w:rsid w:val="003B0B1C"/>
    <w:rsid w:val="003B1B28"/>
    <w:rsid w:val="003B34DB"/>
    <w:rsid w:val="003B3565"/>
    <w:rsid w:val="003B3AA8"/>
    <w:rsid w:val="003B6373"/>
    <w:rsid w:val="003C0C1D"/>
    <w:rsid w:val="003C1E1B"/>
    <w:rsid w:val="003C2130"/>
    <w:rsid w:val="003C444F"/>
    <w:rsid w:val="003C5CBE"/>
    <w:rsid w:val="003C76B7"/>
    <w:rsid w:val="003C7975"/>
    <w:rsid w:val="003C7F51"/>
    <w:rsid w:val="003C7F6C"/>
    <w:rsid w:val="003D0057"/>
    <w:rsid w:val="003D0E92"/>
    <w:rsid w:val="003D5DB4"/>
    <w:rsid w:val="003D6493"/>
    <w:rsid w:val="003D6D57"/>
    <w:rsid w:val="003E2375"/>
    <w:rsid w:val="003E2D9F"/>
    <w:rsid w:val="003E50E3"/>
    <w:rsid w:val="003E5ADD"/>
    <w:rsid w:val="003E6C09"/>
    <w:rsid w:val="003E714C"/>
    <w:rsid w:val="003E7C60"/>
    <w:rsid w:val="003F061C"/>
    <w:rsid w:val="003F069A"/>
    <w:rsid w:val="003F158E"/>
    <w:rsid w:val="003F2231"/>
    <w:rsid w:val="003F2C95"/>
    <w:rsid w:val="003F7347"/>
    <w:rsid w:val="003F77A2"/>
    <w:rsid w:val="003F77E4"/>
    <w:rsid w:val="0040081C"/>
    <w:rsid w:val="00400AF1"/>
    <w:rsid w:val="00401612"/>
    <w:rsid w:val="004020E3"/>
    <w:rsid w:val="0040383C"/>
    <w:rsid w:val="004068AB"/>
    <w:rsid w:val="004102DF"/>
    <w:rsid w:val="00410453"/>
    <w:rsid w:val="00411AF8"/>
    <w:rsid w:val="00412631"/>
    <w:rsid w:val="004128FB"/>
    <w:rsid w:val="004135A7"/>
    <w:rsid w:val="00413821"/>
    <w:rsid w:val="00414488"/>
    <w:rsid w:val="00414624"/>
    <w:rsid w:val="00415866"/>
    <w:rsid w:val="00420155"/>
    <w:rsid w:val="00420822"/>
    <w:rsid w:val="00420CEC"/>
    <w:rsid w:val="00420F4A"/>
    <w:rsid w:val="00421175"/>
    <w:rsid w:val="004212A8"/>
    <w:rsid w:val="004221CE"/>
    <w:rsid w:val="00423499"/>
    <w:rsid w:val="00424E2C"/>
    <w:rsid w:val="0042575A"/>
    <w:rsid w:val="004261C2"/>
    <w:rsid w:val="00427A33"/>
    <w:rsid w:val="00427CEA"/>
    <w:rsid w:val="0043020D"/>
    <w:rsid w:val="00431A55"/>
    <w:rsid w:val="00431E2C"/>
    <w:rsid w:val="00432B99"/>
    <w:rsid w:val="00433138"/>
    <w:rsid w:val="004338D3"/>
    <w:rsid w:val="00436D6B"/>
    <w:rsid w:val="00437F1D"/>
    <w:rsid w:val="0044045F"/>
    <w:rsid w:val="00440A2A"/>
    <w:rsid w:val="00441278"/>
    <w:rsid w:val="004422B6"/>
    <w:rsid w:val="004434C1"/>
    <w:rsid w:val="00443BDC"/>
    <w:rsid w:val="00444720"/>
    <w:rsid w:val="00445C4C"/>
    <w:rsid w:val="00445EEA"/>
    <w:rsid w:val="0045047F"/>
    <w:rsid w:val="00450B7C"/>
    <w:rsid w:val="00451D42"/>
    <w:rsid w:val="004523E2"/>
    <w:rsid w:val="00452908"/>
    <w:rsid w:val="00453C77"/>
    <w:rsid w:val="0045406E"/>
    <w:rsid w:val="00455EE7"/>
    <w:rsid w:val="004560D5"/>
    <w:rsid w:val="0045623F"/>
    <w:rsid w:val="00456BE3"/>
    <w:rsid w:val="00456F98"/>
    <w:rsid w:val="004572EA"/>
    <w:rsid w:val="00457873"/>
    <w:rsid w:val="00457CF1"/>
    <w:rsid w:val="004621EC"/>
    <w:rsid w:val="0046299B"/>
    <w:rsid w:val="00465732"/>
    <w:rsid w:val="004673BC"/>
    <w:rsid w:val="00470C84"/>
    <w:rsid w:val="004716E3"/>
    <w:rsid w:val="0047285F"/>
    <w:rsid w:val="00472DB0"/>
    <w:rsid w:val="00473601"/>
    <w:rsid w:val="0047374E"/>
    <w:rsid w:val="0047450A"/>
    <w:rsid w:val="004748A4"/>
    <w:rsid w:val="00474E53"/>
    <w:rsid w:val="004770DE"/>
    <w:rsid w:val="004777DF"/>
    <w:rsid w:val="00477F17"/>
    <w:rsid w:val="004810C2"/>
    <w:rsid w:val="00481992"/>
    <w:rsid w:val="0048235D"/>
    <w:rsid w:val="00482E38"/>
    <w:rsid w:val="00483367"/>
    <w:rsid w:val="00483604"/>
    <w:rsid w:val="00484B0A"/>
    <w:rsid w:val="00484CF8"/>
    <w:rsid w:val="00484E7C"/>
    <w:rsid w:val="0048525E"/>
    <w:rsid w:val="0048582C"/>
    <w:rsid w:val="004867EE"/>
    <w:rsid w:val="00490CF8"/>
    <w:rsid w:val="00492592"/>
    <w:rsid w:val="00492A1B"/>
    <w:rsid w:val="004932C5"/>
    <w:rsid w:val="0049365D"/>
    <w:rsid w:val="00493DCB"/>
    <w:rsid w:val="0049593C"/>
    <w:rsid w:val="00496807"/>
    <w:rsid w:val="00497019"/>
    <w:rsid w:val="00497769"/>
    <w:rsid w:val="004978EF"/>
    <w:rsid w:val="004A008D"/>
    <w:rsid w:val="004A249B"/>
    <w:rsid w:val="004A27D4"/>
    <w:rsid w:val="004A2EEC"/>
    <w:rsid w:val="004A34A9"/>
    <w:rsid w:val="004A35B0"/>
    <w:rsid w:val="004A5AD1"/>
    <w:rsid w:val="004A6BA5"/>
    <w:rsid w:val="004A6DA1"/>
    <w:rsid w:val="004B277E"/>
    <w:rsid w:val="004B4719"/>
    <w:rsid w:val="004B6861"/>
    <w:rsid w:val="004C188C"/>
    <w:rsid w:val="004C29EE"/>
    <w:rsid w:val="004C2E01"/>
    <w:rsid w:val="004C372E"/>
    <w:rsid w:val="004C5952"/>
    <w:rsid w:val="004C5C3C"/>
    <w:rsid w:val="004C63E9"/>
    <w:rsid w:val="004D00C2"/>
    <w:rsid w:val="004D0791"/>
    <w:rsid w:val="004D0BBF"/>
    <w:rsid w:val="004D1DE2"/>
    <w:rsid w:val="004D2A80"/>
    <w:rsid w:val="004D2C66"/>
    <w:rsid w:val="004D2CC0"/>
    <w:rsid w:val="004D302E"/>
    <w:rsid w:val="004D47E5"/>
    <w:rsid w:val="004D58C8"/>
    <w:rsid w:val="004D5D9C"/>
    <w:rsid w:val="004E0E99"/>
    <w:rsid w:val="004E1BB3"/>
    <w:rsid w:val="004E2A1D"/>
    <w:rsid w:val="004E3EC8"/>
    <w:rsid w:val="004E466E"/>
    <w:rsid w:val="004E487E"/>
    <w:rsid w:val="004E5FC8"/>
    <w:rsid w:val="004E68AE"/>
    <w:rsid w:val="004F2957"/>
    <w:rsid w:val="004F478F"/>
    <w:rsid w:val="004F5023"/>
    <w:rsid w:val="004F682A"/>
    <w:rsid w:val="004F767D"/>
    <w:rsid w:val="005003F7"/>
    <w:rsid w:val="00501979"/>
    <w:rsid w:val="00501AAC"/>
    <w:rsid w:val="00502493"/>
    <w:rsid w:val="005029CE"/>
    <w:rsid w:val="00504B92"/>
    <w:rsid w:val="0050521D"/>
    <w:rsid w:val="0050673E"/>
    <w:rsid w:val="00506A4A"/>
    <w:rsid w:val="005075F5"/>
    <w:rsid w:val="00510005"/>
    <w:rsid w:val="00510131"/>
    <w:rsid w:val="005105D1"/>
    <w:rsid w:val="005108B1"/>
    <w:rsid w:val="00510B7A"/>
    <w:rsid w:val="0051189B"/>
    <w:rsid w:val="00511982"/>
    <w:rsid w:val="00512EB1"/>
    <w:rsid w:val="005135B2"/>
    <w:rsid w:val="0051422F"/>
    <w:rsid w:val="00514BD8"/>
    <w:rsid w:val="0051586A"/>
    <w:rsid w:val="005176B0"/>
    <w:rsid w:val="0052167A"/>
    <w:rsid w:val="0052303A"/>
    <w:rsid w:val="005234C5"/>
    <w:rsid w:val="0052389E"/>
    <w:rsid w:val="005257DD"/>
    <w:rsid w:val="00525BD6"/>
    <w:rsid w:val="00525F44"/>
    <w:rsid w:val="0052614A"/>
    <w:rsid w:val="005268F6"/>
    <w:rsid w:val="00530CF9"/>
    <w:rsid w:val="00531892"/>
    <w:rsid w:val="005334F3"/>
    <w:rsid w:val="0053358F"/>
    <w:rsid w:val="00535A5D"/>
    <w:rsid w:val="005362C2"/>
    <w:rsid w:val="005367A2"/>
    <w:rsid w:val="005418E4"/>
    <w:rsid w:val="00541B6A"/>
    <w:rsid w:val="00541EB0"/>
    <w:rsid w:val="00544B03"/>
    <w:rsid w:val="00544E29"/>
    <w:rsid w:val="005471DC"/>
    <w:rsid w:val="00547977"/>
    <w:rsid w:val="0055055D"/>
    <w:rsid w:val="00551982"/>
    <w:rsid w:val="0055388E"/>
    <w:rsid w:val="00555E64"/>
    <w:rsid w:val="00556359"/>
    <w:rsid w:val="005564BD"/>
    <w:rsid w:val="00556CAD"/>
    <w:rsid w:val="00561494"/>
    <w:rsid w:val="005616A6"/>
    <w:rsid w:val="00562626"/>
    <w:rsid w:val="0056304B"/>
    <w:rsid w:val="005635C7"/>
    <w:rsid w:val="00563A9B"/>
    <w:rsid w:val="00563E3A"/>
    <w:rsid w:val="00563ED3"/>
    <w:rsid w:val="005647EE"/>
    <w:rsid w:val="00564D28"/>
    <w:rsid w:val="005663EC"/>
    <w:rsid w:val="00566CAA"/>
    <w:rsid w:val="005708F4"/>
    <w:rsid w:val="00570E19"/>
    <w:rsid w:val="00570E1D"/>
    <w:rsid w:val="005710B4"/>
    <w:rsid w:val="00572BAB"/>
    <w:rsid w:val="00573937"/>
    <w:rsid w:val="0057543B"/>
    <w:rsid w:val="00576BEB"/>
    <w:rsid w:val="00577073"/>
    <w:rsid w:val="00577F15"/>
    <w:rsid w:val="00582234"/>
    <w:rsid w:val="00584E7D"/>
    <w:rsid w:val="0059006A"/>
    <w:rsid w:val="00590A09"/>
    <w:rsid w:val="005921D3"/>
    <w:rsid w:val="005934FC"/>
    <w:rsid w:val="005939C3"/>
    <w:rsid w:val="0059633C"/>
    <w:rsid w:val="005972B1"/>
    <w:rsid w:val="00597F91"/>
    <w:rsid w:val="005A0833"/>
    <w:rsid w:val="005A1A00"/>
    <w:rsid w:val="005A24AA"/>
    <w:rsid w:val="005A2E61"/>
    <w:rsid w:val="005A6735"/>
    <w:rsid w:val="005A72A3"/>
    <w:rsid w:val="005A7542"/>
    <w:rsid w:val="005A7F37"/>
    <w:rsid w:val="005B1E60"/>
    <w:rsid w:val="005B2F2B"/>
    <w:rsid w:val="005C0BD4"/>
    <w:rsid w:val="005C1DA5"/>
    <w:rsid w:val="005C2A01"/>
    <w:rsid w:val="005C3FFC"/>
    <w:rsid w:val="005C43DE"/>
    <w:rsid w:val="005C4446"/>
    <w:rsid w:val="005C46BD"/>
    <w:rsid w:val="005C4A93"/>
    <w:rsid w:val="005C7BDE"/>
    <w:rsid w:val="005D0A45"/>
    <w:rsid w:val="005D0A49"/>
    <w:rsid w:val="005D0E17"/>
    <w:rsid w:val="005D173B"/>
    <w:rsid w:val="005D36D3"/>
    <w:rsid w:val="005D3CEE"/>
    <w:rsid w:val="005D45CF"/>
    <w:rsid w:val="005D5A24"/>
    <w:rsid w:val="005D6236"/>
    <w:rsid w:val="005D6E7C"/>
    <w:rsid w:val="005D775D"/>
    <w:rsid w:val="005E22E8"/>
    <w:rsid w:val="005E31DC"/>
    <w:rsid w:val="005E3B22"/>
    <w:rsid w:val="005E4DB1"/>
    <w:rsid w:val="005E5980"/>
    <w:rsid w:val="005E6DE7"/>
    <w:rsid w:val="005F27F5"/>
    <w:rsid w:val="005F28F5"/>
    <w:rsid w:val="005F5965"/>
    <w:rsid w:val="005F62DA"/>
    <w:rsid w:val="005F6B88"/>
    <w:rsid w:val="00600555"/>
    <w:rsid w:val="00602ED3"/>
    <w:rsid w:val="006059B8"/>
    <w:rsid w:val="00605EA0"/>
    <w:rsid w:val="00605F53"/>
    <w:rsid w:val="00606352"/>
    <w:rsid w:val="006066EE"/>
    <w:rsid w:val="00607C4C"/>
    <w:rsid w:val="00610E4E"/>
    <w:rsid w:val="006131ED"/>
    <w:rsid w:val="006143C0"/>
    <w:rsid w:val="006172C2"/>
    <w:rsid w:val="00620530"/>
    <w:rsid w:val="00620B6C"/>
    <w:rsid w:val="00622682"/>
    <w:rsid w:val="006242FC"/>
    <w:rsid w:val="0062437C"/>
    <w:rsid w:val="0062527E"/>
    <w:rsid w:val="00625430"/>
    <w:rsid w:val="00625668"/>
    <w:rsid w:val="00625A25"/>
    <w:rsid w:val="00625FCF"/>
    <w:rsid w:val="006266DF"/>
    <w:rsid w:val="0062681C"/>
    <w:rsid w:val="006278E9"/>
    <w:rsid w:val="00630D5A"/>
    <w:rsid w:val="00630FE5"/>
    <w:rsid w:val="00633C26"/>
    <w:rsid w:val="00634028"/>
    <w:rsid w:val="00640E13"/>
    <w:rsid w:val="00640E7E"/>
    <w:rsid w:val="00642EE0"/>
    <w:rsid w:val="006461F0"/>
    <w:rsid w:val="006501BD"/>
    <w:rsid w:val="006502A3"/>
    <w:rsid w:val="00652BCC"/>
    <w:rsid w:val="00657700"/>
    <w:rsid w:val="00661BE8"/>
    <w:rsid w:val="00662707"/>
    <w:rsid w:val="00662A50"/>
    <w:rsid w:val="0066326F"/>
    <w:rsid w:val="006637AD"/>
    <w:rsid w:val="00665586"/>
    <w:rsid w:val="00665D58"/>
    <w:rsid w:val="006663E5"/>
    <w:rsid w:val="006706C2"/>
    <w:rsid w:val="006758A3"/>
    <w:rsid w:val="00677799"/>
    <w:rsid w:val="00677B60"/>
    <w:rsid w:val="00680309"/>
    <w:rsid w:val="00680653"/>
    <w:rsid w:val="006821F5"/>
    <w:rsid w:val="00682218"/>
    <w:rsid w:val="006838A6"/>
    <w:rsid w:val="00683E13"/>
    <w:rsid w:val="00686742"/>
    <w:rsid w:val="00687693"/>
    <w:rsid w:val="0069038A"/>
    <w:rsid w:val="00690392"/>
    <w:rsid w:val="00690BBC"/>
    <w:rsid w:val="00690C88"/>
    <w:rsid w:val="006915BD"/>
    <w:rsid w:val="006916BC"/>
    <w:rsid w:val="006923D6"/>
    <w:rsid w:val="006957A6"/>
    <w:rsid w:val="00695A24"/>
    <w:rsid w:val="006A1357"/>
    <w:rsid w:val="006A50D4"/>
    <w:rsid w:val="006A76AC"/>
    <w:rsid w:val="006B01B8"/>
    <w:rsid w:val="006B2020"/>
    <w:rsid w:val="006B4C7A"/>
    <w:rsid w:val="006B5429"/>
    <w:rsid w:val="006B5460"/>
    <w:rsid w:val="006B5582"/>
    <w:rsid w:val="006B5C79"/>
    <w:rsid w:val="006B645D"/>
    <w:rsid w:val="006B7587"/>
    <w:rsid w:val="006B7AF8"/>
    <w:rsid w:val="006C0028"/>
    <w:rsid w:val="006C0935"/>
    <w:rsid w:val="006C2192"/>
    <w:rsid w:val="006C29F1"/>
    <w:rsid w:val="006C34E4"/>
    <w:rsid w:val="006C3FB7"/>
    <w:rsid w:val="006C4EA6"/>
    <w:rsid w:val="006C54CE"/>
    <w:rsid w:val="006C668E"/>
    <w:rsid w:val="006C7218"/>
    <w:rsid w:val="006C74E3"/>
    <w:rsid w:val="006C7BD5"/>
    <w:rsid w:val="006D1656"/>
    <w:rsid w:val="006D414B"/>
    <w:rsid w:val="006D48B7"/>
    <w:rsid w:val="006D4A7E"/>
    <w:rsid w:val="006D59EF"/>
    <w:rsid w:val="006D7446"/>
    <w:rsid w:val="006E102E"/>
    <w:rsid w:val="006E26C8"/>
    <w:rsid w:val="006E3A34"/>
    <w:rsid w:val="006E3CB2"/>
    <w:rsid w:val="006E4E3C"/>
    <w:rsid w:val="006E4FC0"/>
    <w:rsid w:val="006E5726"/>
    <w:rsid w:val="006E5FE4"/>
    <w:rsid w:val="006E7BF9"/>
    <w:rsid w:val="006F127A"/>
    <w:rsid w:val="006F17C6"/>
    <w:rsid w:val="006F2406"/>
    <w:rsid w:val="006F4DAE"/>
    <w:rsid w:val="006F5851"/>
    <w:rsid w:val="006F5D84"/>
    <w:rsid w:val="007030F0"/>
    <w:rsid w:val="0070390C"/>
    <w:rsid w:val="007064E3"/>
    <w:rsid w:val="00715018"/>
    <w:rsid w:val="00716ED9"/>
    <w:rsid w:val="00720AAA"/>
    <w:rsid w:val="007212B4"/>
    <w:rsid w:val="00722273"/>
    <w:rsid w:val="00723286"/>
    <w:rsid w:val="00723553"/>
    <w:rsid w:val="00725604"/>
    <w:rsid w:val="007259DE"/>
    <w:rsid w:val="0072712F"/>
    <w:rsid w:val="00727D5C"/>
    <w:rsid w:val="00730725"/>
    <w:rsid w:val="00730BC0"/>
    <w:rsid w:val="00730CE0"/>
    <w:rsid w:val="007326CA"/>
    <w:rsid w:val="00733C4F"/>
    <w:rsid w:val="00734418"/>
    <w:rsid w:val="00734927"/>
    <w:rsid w:val="00734A52"/>
    <w:rsid w:val="00735AB6"/>
    <w:rsid w:val="00735E3C"/>
    <w:rsid w:val="00737DFF"/>
    <w:rsid w:val="00737FE4"/>
    <w:rsid w:val="00742654"/>
    <w:rsid w:val="007426B1"/>
    <w:rsid w:val="00742AD8"/>
    <w:rsid w:val="00743404"/>
    <w:rsid w:val="0074599A"/>
    <w:rsid w:val="0074707F"/>
    <w:rsid w:val="0075132F"/>
    <w:rsid w:val="007526BE"/>
    <w:rsid w:val="00752764"/>
    <w:rsid w:val="00752A0E"/>
    <w:rsid w:val="00752B77"/>
    <w:rsid w:val="00752F23"/>
    <w:rsid w:val="00753313"/>
    <w:rsid w:val="00753BEB"/>
    <w:rsid w:val="00754FB2"/>
    <w:rsid w:val="00755865"/>
    <w:rsid w:val="007564F8"/>
    <w:rsid w:val="007569A3"/>
    <w:rsid w:val="0075761A"/>
    <w:rsid w:val="00757C57"/>
    <w:rsid w:val="007609F5"/>
    <w:rsid w:val="00761069"/>
    <w:rsid w:val="0076344A"/>
    <w:rsid w:val="0076389A"/>
    <w:rsid w:val="00763F59"/>
    <w:rsid w:val="00764727"/>
    <w:rsid w:val="00770077"/>
    <w:rsid w:val="007732E3"/>
    <w:rsid w:val="00774512"/>
    <w:rsid w:val="00774B3D"/>
    <w:rsid w:val="007758CE"/>
    <w:rsid w:val="0078307E"/>
    <w:rsid w:val="00784BB6"/>
    <w:rsid w:val="00790C2D"/>
    <w:rsid w:val="00792996"/>
    <w:rsid w:val="0079323F"/>
    <w:rsid w:val="00793CFD"/>
    <w:rsid w:val="00795046"/>
    <w:rsid w:val="00795CC8"/>
    <w:rsid w:val="00795F88"/>
    <w:rsid w:val="00797A9B"/>
    <w:rsid w:val="007A0C23"/>
    <w:rsid w:val="007A0D03"/>
    <w:rsid w:val="007A17B3"/>
    <w:rsid w:val="007A5940"/>
    <w:rsid w:val="007A6711"/>
    <w:rsid w:val="007A7903"/>
    <w:rsid w:val="007B1234"/>
    <w:rsid w:val="007B12B1"/>
    <w:rsid w:val="007B1701"/>
    <w:rsid w:val="007B20EB"/>
    <w:rsid w:val="007B2255"/>
    <w:rsid w:val="007B2968"/>
    <w:rsid w:val="007B31DB"/>
    <w:rsid w:val="007B4880"/>
    <w:rsid w:val="007B67FA"/>
    <w:rsid w:val="007B68F0"/>
    <w:rsid w:val="007B7C60"/>
    <w:rsid w:val="007B7CD7"/>
    <w:rsid w:val="007C04BA"/>
    <w:rsid w:val="007C0B0F"/>
    <w:rsid w:val="007C2D06"/>
    <w:rsid w:val="007C2EF8"/>
    <w:rsid w:val="007C30E7"/>
    <w:rsid w:val="007C3661"/>
    <w:rsid w:val="007C3E3B"/>
    <w:rsid w:val="007C40B3"/>
    <w:rsid w:val="007C509A"/>
    <w:rsid w:val="007C5638"/>
    <w:rsid w:val="007C6237"/>
    <w:rsid w:val="007C657B"/>
    <w:rsid w:val="007C65B1"/>
    <w:rsid w:val="007D0504"/>
    <w:rsid w:val="007D10FF"/>
    <w:rsid w:val="007D161D"/>
    <w:rsid w:val="007D1B44"/>
    <w:rsid w:val="007D1C26"/>
    <w:rsid w:val="007D1E6F"/>
    <w:rsid w:val="007D504B"/>
    <w:rsid w:val="007D51E7"/>
    <w:rsid w:val="007D5E23"/>
    <w:rsid w:val="007D6E7B"/>
    <w:rsid w:val="007D718A"/>
    <w:rsid w:val="007D7C44"/>
    <w:rsid w:val="007E16D8"/>
    <w:rsid w:val="007E3D1D"/>
    <w:rsid w:val="007E5122"/>
    <w:rsid w:val="007E5D40"/>
    <w:rsid w:val="007E701C"/>
    <w:rsid w:val="007E774A"/>
    <w:rsid w:val="007F0506"/>
    <w:rsid w:val="007F0770"/>
    <w:rsid w:val="007F0D5D"/>
    <w:rsid w:val="007F10BD"/>
    <w:rsid w:val="007F250D"/>
    <w:rsid w:val="007F2BC6"/>
    <w:rsid w:val="007F4E3B"/>
    <w:rsid w:val="007F58C5"/>
    <w:rsid w:val="007F5A83"/>
    <w:rsid w:val="007F6370"/>
    <w:rsid w:val="007F6EC9"/>
    <w:rsid w:val="007F7B19"/>
    <w:rsid w:val="00800CF2"/>
    <w:rsid w:val="0080219E"/>
    <w:rsid w:val="00802EDD"/>
    <w:rsid w:val="00803B44"/>
    <w:rsid w:val="00807629"/>
    <w:rsid w:val="008108D5"/>
    <w:rsid w:val="00812B19"/>
    <w:rsid w:val="008130C9"/>
    <w:rsid w:val="008133E5"/>
    <w:rsid w:val="00813AED"/>
    <w:rsid w:val="00813D4C"/>
    <w:rsid w:val="00813F23"/>
    <w:rsid w:val="00814546"/>
    <w:rsid w:val="00814C8E"/>
    <w:rsid w:val="00814ECB"/>
    <w:rsid w:val="008161C9"/>
    <w:rsid w:val="0082019F"/>
    <w:rsid w:val="008203CB"/>
    <w:rsid w:val="0082053D"/>
    <w:rsid w:val="00821E8F"/>
    <w:rsid w:val="00823156"/>
    <w:rsid w:val="008233CC"/>
    <w:rsid w:val="0082638A"/>
    <w:rsid w:val="008306F8"/>
    <w:rsid w:val="00834AB7"/>
    <w:rsid w:val="008357A6"/>
    <w:rsid w:val="00836892"/>
    <w:rsid w:val="00837411"/>
    <w:rsid w:val="0084169A"/>
    <w:rsid w:val="008421AB"/>
    <w:rsid w:val="00843608"/>
    <w:rsid w:val="00843A03"/>
    <w:rsid w:val="0084457D"/>
    <w:rsid w:val="00844632"/>
    <w:rsid w:val="00845522"/>
    <w:rsid w:val="00846711"/>
    <w:rsid w:val="00846AA1"/>
    <w:rsid w:val="00847CCB"/>
    <w:rsid w:val="00851C52"/>
    <w:rsid w:val="00851F5D"/>
    <w:rsid w:val="00852BCD"/>
    <w:rsid w:val="00853D6A"/>
    <w:rsid w:val="0085491C"/>
    <w:rsid w:val="008574F4"/>
    <w:rsid w:val="008604BF"/>
    <w:rsid w:val="00860998"/>
    <w:rsid w:val="0086447C"/>
    <w:rsid w:val="00865E17"/>
    <w:rsid w:val="008669BC"/>
    <w:rsid w:val="00867EA3"/>
    <w:rsid w:val="00871034"/>
    <w:rsid w:val="00872D76"/>
    <w:rsid w:val="0087565A"/>
    <w:rsid w:val="008769F0"/>
    <w:rsid w:val="00876A4B"/>
    <w:rsid w:val="00880FE7"/>
    <w:rsid w:val="00881648"/>
    <w:rsid w:val="008836D1"/>
    <w:rsid w:val="0088419B"/>
    <w:rsid w:val="008851D6"/>
    <w:rsid w:val="00885632"/>
    <w:rsid w:val="00886322"/>
    <w:rsid w:val="00890C30"/>
    <w:rsid w:val="00892CCD"/>
    <w:rsid w:val="00893CDA"/>
    <w:rsid w:val="00893E39"/>
    <w:rsid w:val="0089413D"/>
    <w:rsid w:val="008941F5"/>
    <w:rsid w:val="0089489A"/>
    <w:rsid w:val="00894CC0"/>
    <w:rsid w:val="008957AC"/>
    <w:rsid w:val="00897115"/>
    <w:rsid w:val="00897866"/>
    <w:rsid w:val="008A1204"/>
    <w:rsid w:val="008A16AD"/>
    <w:rsid w:val="008A2C48"/>
    <w:rsid w:val="008A7388"/>
    <w:rsid w:val="008B1FD1"/>
    <w:rsid w:val="008B2888"/>
    <w:rsid w:val="008B489C"/>
    <w:rsid w:val="008B5F11"/>
    <w:rsid w:val="008B6019"/>
    <w:rsid w:val="008B6452"/>
    <w:rsid w:val="008B7507"/>
    <w:rsid w:val="008C00D1"/>
    <w:rsid w:val="008C1488"/>
    <w:rsid w:val="008C1F10"/>
    <w:rsid w:val="008C26BF"/>
    <w:rsid w:val="008C2771"/>
    <w:rsid w:val="008C3F7F"/>
    <w:rsid w:val="008C4C2A"/>
    <w:rsid w:val="008C6C06"/>
    <w:rsid w:val="008C6EEE"/>
    <w:rsid w:val="008C7453"/>
    <w:rsid w:val="008C795C"/>
    <w:rsid w:val="008C7FB4"/>
    <w:rsid w:val="008D028D"/>
    <w:rsid w:val="008D0697"/>
    <w:rsid w:val="008D0996"/>
    <w:rsid w:val="008D09E3"/>
    <w:rsid w:val="008D2BF8"/>
    <w:rsid w:val="008D3B1B"/>
    <w:rsid w:val="008D40DB"/>
    <w:rsid w:val="008D436D"/>
    <w:rsid w:val="008D48A8"/>
    <w:rsid w:val="008D5212"/>
    <w:rsid w:val="008D59C1"/>
    <w:rsid w:val="008D600E"/>
    <w:rsid w:val="008D778D"/>
    <w:rsid w:val="008E23B6"/>
    <w:rsid w:val="008E2A62"/>
    <w:rsid w:val="008E555D"/>
    <w:rsid w:val="008E5AAB"/>
    <w:rsid w:val="008E755B"/>
    <w:rsid w:val="008E76C1"/>
    <w:rsid w:val="008F0E30"/>
    <w:rsid w:val="008F3CF2"/>
    <w:rsid w:val="008F3F3F"/>
    <w:rsid w:val="008F4ACB"/>
    <w:rsid w:val="008F5D66"/>
    <w:rsid w:val="008F5E33"/>
    <w:rsid w:val="00901DA7"/>
    <w:rsid w:val="009020F0"/>
    <w:rsid w:val="00902471"/>
    <w:rsid w:val="00902E4B"/>
    <w:rsid w:val="0090391C"/>
    <w:rsid w:val="00905C12"/>
    <w:rsid w:val="009074C8"/>
    <w:rsid w:val="0091092E"/>
    <w:rsid w:val="00910F1F"/>
    <w:rsid w:val="0091215F"/>
    <w:rsid w:val="00913626"/>
    <w:rsid w:val="009139B1"/>
    <w:rsid w:val="00913D02"/>
    <w:rsid w:val="00914F01"/>
    <w:rsid w:val="00917157"/>
    <w:rsid w:val="00917BEB"/>
    <w:rsid w:val="009213E1"/>
    <w:rsid w:val="00922F9E"/>
    <w:rsid w:val="0092474F"/>
    <w:rsid w:val="009247E5"/>
    <w:rsid w:val="009248BD"/>
    <w:rsid w:val="00925026"/>
    <w:rsid w:val="009303C4"/>
    <w:rsid w:val="00930B67"/>
    <w:rsid w:val="009317D7"/>
    <w:rsid w:val="00931DEB"/>
    <w:rsid w:val="00932209"/>
    <w:rsid w:val="00932BFB"/>
    <w:rsid w:val="00933E58"/>
    <w:rsid w:val="009356B2"/>
    <w:rsid w:val="00935A63"/>
    <w:rsid w:val="00936356"/>
    <w:rsid w:val="0093684F"/>
    <w:rsid w:val="00937032"/>
    <w:rsid w:val="0094026F"/>
    <w:rsid w:val="009417EE"/>
    <w:rsid w:val="00942427"/>
    <w:rsid w:val="0094249D"/>
    <w:rsid w:val="009426B8"/>
    <w:rsid w:val="009471CC"/>
    <w:rsid w:val="00951023"/>
    <w:rsid w:val="009512EA"/>
    <w:rsid w:val="0095192C"/>
    <w:rsid w:val="00952CF9"/>
    <w:rsid w:val="00955B4F"/>
    <w:rsid w:val="0095657C"/>
    <w:rsid w:val="00956941"/>
    <w:rsid w:val="00957312"/>
    <w:rsid w:val="00960797"/>
    <w:rsid w:val="0096157A"/>
    <w:rsid w:val="00962287"/>
    <w:rsid w:val="009638CD"/>
    <w:rsid w:val="00964209"/>
    <w:rsid w:val="0096449B"/>
    <w:rsid w:val="009644F9"/>
    <w:rsid w:val="00964F75"/>
    <w:rsid w:val="00965C6C"/>
    <w:rsid w:val="009667C4"/>
    <w:rsid w:val="009700D9"/>
    <w:rsid w:val="00970EAC"/>
    <w:rsid w:val="0097173A"/>
    <w:rsid w:val="00972792"/>
    <w:rsid w:val="00972798"/>
    <w:rsid w:val="00974E9C"/>
    <w:rsid w:val="00974FA9"/>
    <w:rsid w:val="00975097"/>
    <w:rsid w:val="0097524D"/>
    <w:rsid w:val="009769FE"/>
    <w:rsid w:val="00976A2F"/>
    <w:rsid w:val="00977343"/>
    <w:rsid w:val="00977506"/>
    <w:rsid w:val="009779EC"/>
    <w:rsid w:val="00977C9A"/>
    <w:rsid w:val="00980DA1"/>
    <w:rsid w:val="00980F1E"/>
    <w:rsid w:val="00980F8E"/>
    <w:rsid w:val="00982859"/>
    <w:rsid w:val="0098339F"/>
    <w:rsid w:val="0098359C"/>
    <w:rsid w:val="00984385"/>
    <w:rsid w:val="009858BB"/>
    <w:rsid w:val="009858E8"/>
    <w:rsid w:val="009866CB"/>
    <w:rsid w:val="009867FD"/>
    <w:rsid w:val="00986B36"/>
    <w:rsid w:val="009871D8"/>
    <w:rsid w:val="0098720B"/>
    <w:rsid w:val="00987234"/>
    <w:rsid w:val="00990922"/>
    <w:rsid w:val="00991168"/>
    <w:rsid w:val="00991513"/>
    <w:rsid w:val="009934FF"/>
    <w:rsid w:val="00994757"/>
    <w:rsid w:val="00994E43"/>
    <w:rsid w:val="00994E7D"/>
    <w:rsid w:val="00996A93"/>
    <w:rsid w:val="009A03FD"/>
    <w:rsid w:val="009A30F3"/>
    <w:rsid w:val="009A4355"/>
    <w:rsid w:val="009A4BB4"/>
    <w:rsid w:val="009A4FD5"/>
    <w:rsid w:val="009B084F"/>
    <w:rsid w:val="009B176E"/>
    <w:rsid w:val="009B3241"/>
    <w:rsid w:val="009B4087"/>
    <w:rsid w:val="009B4791"/>
    <w:rsid w:val="009B5727"/>
    <w:rsid w:val="009B7A09"/>
    <w:rsid w:val="009C056C"/>
    <w:rsid w:val="009C0F2A"/>
    <w:rsid w:val="009C19B9"/>
    <w:rsid w:val="009C1E77"/>
    <w:rsid w:val="009C4592"/>
    <w:rsid w:val="009C51CA"/>
    <w:rsid w:val="009C6905"/>
    <w:rsid w:val="009D1540"/>
    <w:rsid w:val="009D4480"/>
    <w:rsid w:val="009D6BCA"/>
    <w:rsid w:val="009D7DB9"/>
    <w:rsid w:val="009E0208"/>
    <w:rsid w:val="009E068B"/>
    <w:rsid w:val="009E158A"/>
    <w:rsid w:val="009E259F"/>
    <w:rsid w:val="009E2910"/>
    <w:rsid w:val="009E6B30"/>
    <w:rsid w:val="009E6CF4"/>
    <w:rsid w:val="009E73CF"/>
    <w:rsid w:val="009F0DD1"/>
    <w:rsid w:val="009F0E5B"/>
    <w:rsid w:val="009F1907"/>
    <w:rsid w:val="009F1D77"/>
    <w:rsid w:val="009F218C"/>
    <w:rsid w:val="009F2AB9"/>
    <w:rsid w:val="009F2F83"/>
    <w:rsid w:val="009F49E4"/>
    <w:rsid w:val="009F72E5"/>
    <w:rsid w:val="009F7B6B"/>
    <w:rsid w:val="00A009FB"/>
    <w:rsid w:val="00A01E78"/>
    <w:rsid w:val="00A0350E"/>
    <w:rsid w:val="00A039A9"/>
    <w:rsid w:val="00A0404A"/>
    <w:rsid w:val="00A0410B"/>
    <w:rsid w:val="00A04520"/>
    <w:rsid w:val="00A04757"/>
    <w:rsid w:val="00A05A3F"/>
    <w:rsid w:val="00A05B20"/>
    <w:rsid w:val="00A062AC"/>
    <w:rsid w:val="00A062DF"/>
    <w:rsid w:val="00A0741A"/>
    <w:rsid w:val="00A07DC2"/>
    <w:rsid w:val="00A105E3"/>
    <w:rsid w:val="00A13AFE"/>
    <w:rsid w:val="00A14A99"/>
    <w:rsid w:val="00A156F4"/>
    <w:rsid w:val="00A162DF"/>
    <w:rsid w:val="00A16688"/>
    <w:rsid w:val="00A16FC3"/>
    <w:rsid w:val="00A170DC"/>
    <w:rsid w:val="00A21619"/>
    <w:rsid w:val="00A22ABC"/>
    <w:rsid w:val="00A23C7D"/>
    <w:rsid w:val="00A23DA2"/>
    <w:rsid w:val="00A247B3"/>
    <w:rsid w:val="00A249F4"/>
    <w:rsid w:val="00A24B7B"/>
    <w:rsid w:val="00A24D9A"/>
    <w:rsid w:val="00A25150"/>
    <w:rsid w:val="00A25BFC"/>
    <w:rsid w:val="00A272B1"/>
    <w:rsid w:val="00A27DF6"/>
    <w:rsid w:val="00A3024E"/>
    <w:rsid w:val="00A3443E"/>
    <w:rsid w:val="00A35428"/>
    <w:rsid w:val="00A35A0C"/>
    <w:rsid w:val="00A3673F"/>
    <w:rsid w:val="00A37621"/>
    <w:rsid w:val="00A40E0B"/>
    <w:rsid w:val="00A41775"/>
    <w:rsid w:val="00A430F4"/>
    <w:rsid w:val="00A447B3"/>
    <w:rsid w:val="00A459EC"/>
    <w:rsid w:val="00A4681D"/>
    <w:rsid w:val="00A47B21"/>
    <w:rsid w:val="00A5071D"/>
    <w:rsid w:val="00A50912"/>
    <w:rsid w:val="00A51ABB"/>
    <w:rsid w:val="00A5240E"/>
    <w:rsid w:val="00A52F44"/>
    <w:rsid w:val="00A52F59"/>
    <w:rsid w:val="00A538DB"/>
    <w:rsid w:val="00A53C32"/>
    <w:rsid w:val="00A54AEB"/>
    <w:rsid w:val="00A57082"/>
    <w:rsid w:val="00A61297"/>
    <w:rsid w:val="00A621AC"/>
    <w:rsid w:val="00A6291C"/>
    <w:rsid w:val="00A63BDA"/>
    <w:rsid w:val="00A63EAE"/>
    <w:rsid w:val="00A6595A"/>
    <w:rsid w:val="00A6700A"/>
    <w:rsid w:val="00A70D62"/>
    <w:rsid w:val="00A714DB"/>
    <w:rsid w:val="00A75D59"/>
    <w:rsid w:val="00A76E2A"/>
    <w:rsid w:val="00A771D5"/>
    <w:rsid w:val="00A77C82"/>
    <w:rsid w:val="00A77E7A"/>
    <w:rsid w:val="00A81F49"/>
    <w:rsid w:val="00A82B60"/>
    <w:rsid w:val="00A83E7D"/>
    <w:rsid w:val="00A848FD"/>
    <w:rsid w:val="00A84CBC"/>
    <w:rsid w:val="00A85CD2"/>
    <w:rsid w:val="00A8691D"/>
    <w:rsid w:val="00A872FB"/>
    <w:rsid w:val="00A8760D"/>
    <w:rsid w:val="00A94151"/>
    <w:rsid w:val="00A95962"/>
    <w:rsid w:val="00A95A79"/>
    <w:rsid w:val="00A96D4D"/>
    <w:rsid w:val="00A97518"/>
    <w:rsid w:val="00AA0779"/>
    <w:rsid w:val="00AA13B6"/>
    <w:rsid w:val="00AA2963"/>
    <w:rsid w:val="00AA4658"/>
    <w:rsid w:val="00AA474F"/>
    <w:rsid w:val="00AA49CE"/>
    <w:rsid w:val="00AA5D70"/>
    <w:rsid w:val="00AA5F00"/>
    <w:rsid w:val="00AB08A2"/>
    <w:rsid w:val="00AB1BC1"/>
    <w:rsid w:val="00AB2747"/>
    <w:rsid w:val="00AB308E"/>
    <w:rsid w:val="00AB31F1"/>
    <w:rsid w:val="00AB3CA8"/>
    <w:rsid w:val="00AB54C8"/>
    <w:rsid w:val="00AB5A65"/>
    <w:rsid w:val="00AB6311"/>
    <w:rsid w:val="00AB6856"/>
    <w:rsid w:val="00AB75DA"/>
    <w:rsid w:val="00AB7603"/>
    <w:rsid w:val="00AB7E20"/>
    <w:rsid w:val="00AC0DD4"/>
    <w:rsid w:val="00AC31F8"/>
    <w:rsid w:val="00AC39B1"/>
    <w:rsid w:val="00AC4420"/>
    <w:rsid w:val="00AC5ADF"/>
    <w:rsid w:val="00AC6247"/>
    <w:rsid w:val="00AC6432"/>
    <w:rsid w:val="00AC67E2"/>
    <w:rsid w:val="00AC70D7"/>
    <w:rsid w:val="00AC72D2"/>
    <w:rsid w:val="00AC76AA"/>
    <w:rsid w:val="00AD1347"/>
    <w:rsid w:val="00AD194A"/>
    <w:rsid w:val="00AD3004"/>
    <w:rsid w:val="00AD3758"/>
    <w:rsid w:val="00AD3BF4"/>
    <w:rsid w:val="00AD534B"/>
    <w:rsid w:val="00AD6C7F"/>
    <w:rsid w:val="00AE06C3"/>
    <w:rsid w:val="00AE0A75"/>
    <w:rsid w:val="00AE1BDC"/>
    <w:rsid w:val="00AE27A7"/>
    <w:rsid w:val="00AE29BD"/>
    <w:rsid w:val="00AE3433"/>
    <w:rsid w:val="00AE38FB"/>
    <w:rsid w:val="00AE3993"/>
    <w:rsid w:val="00AE3B81"/>
    <w:rsid w:val="00AE6191"/>
    <w:rsid w:val="00AF0DF8"/>
    <w:rsid w:val="00AF1E67"/>
    <w:rsid w:val="00AF1E97"/>
    <w:rsid w:val="00AF1EDF"/>
    <w:rsid w:val="00AF288A"/>
    <w:rsid w:val="00AF35B4"/>
    <w:rsid w:val="00AF382E"/>
    <w:rsid w:val="00AF5529"/>
    <w:rsid w:val="00AF5DD1"/>
    <w:rsid w:val="00AF6A85"/>
    <w:rsid w:val="00AF71F0"/>
    <w:rsid w:val="00AF731F"/>
    <w:rsid w:val="00AF7C72"/>
    <w:rsid w:val="00B013ED"/>
    <w:rsid w:val="00B02A8D"/>
    <w:rsid w:val="00B03D77"/>
    <w:rsid w:val="00B04888"/>
    <w:rsid w:val="00B051A2"/>
    <w:rsid w:val="00B0529D"/>
    <w:rsid w:val="00B0595D"/>
    <w:rsid w:val="00B05A7E"/>
    <w:rsid w:val="00B06BF7"/>
    <w:rsid w:val="00B14292"/>
    <w:rsid w:val="00B1537E"/>
    <w:rsid w:val="00B156FE"/>
    <w:rsid w:val="00B166B7"/>
    <w:rsid w:val="00B17147"/>
    <w:rsid w:val="00B17B53"/>
    <w:rsid w:val="00B204DF"/>
    <w:rsid w:val="00B210B3"/>
    <w:rsid w:val="00B23002"/>
    <w:rsid w:val="00B247E3"/>
    <w:rsid w:val="00B24E97"/>
    <w:rsid w:val="00B25556"/>
    <w:rsid w:val="00B25B4B"/>
    <w:rsid w:val="00B269BB"/>
    <w:rsid w:val="00B31E06"/>
    <w:rsid w:val="00B3293A"/>
    <w:rsid w:val="00B3386D"/>
    <w:rsid w:val="00B369C7"/>
    <w:rsid w:val="00B37231"/>
    <w:rsid w:val="00B40658"/>
    <w:rsid w:val="00B40899"/>
    <w:rsid w:val="00B408A4"/>
    <w:rsid w:val="00B40D10"/>
    <w:rsid w:val="00B42C3F"/>
    <w:rsid w:val="00B44161"/>
    <w:rsid w:val="00B46329"/>
    <w:rsid w:val="00B4698D"/>
    <w:rsid w:val="00B470B8"/>
    <w:rsid w:val="00B50059"/>
    <w:rsid w:val="00B518FC"/>
    <w:rsid w:val="00B51AB2"/>
    <w:rsid w:val="00B5497F"/>
    <w:rsid w:val="00B55D17"/>
    <w:rsid w:val="00B560A8"/>
    <w:rsid w:val="00B571E3"/>
    <w:rsid w:val="00B60762"/>
    <w:rsid w:val="00B609D8"/>
    <w:rsid w:val="00B62C25"/>
    <w:rsid w:val="00B65819"/>
    <w:rsid w:val="00B67461"/>
    <w:rsid w:val="00B67A79"/>
    <w:rsid w:val="00B67AFC"/>
    <w:rsid w:val="00B709C1"/>
    <w:rsid w:val="00B7262E"/>
    <w:rsid w:val="00B72D7E"/>
    <w:rsid w:val="00B7377F"/>
    <w:rsid w:val="00B73B14"/>
    <w:rsid w:val="00B74E10"/>
    <w:rsid w:val="00B760DD"/>
    <w:rsid w:val="00B7732D"/>
    <w:rsid w:val="00B81B7B"/>
    <w:rsid w:val="00B825FE"/>
    <w:rsid w:val="00B82909"/>
    <w:rsid w:val="00B83653"/>
    <w:rsid w:val="00B87C15"/>
    <w:rsid w:val="00B9019F"/>
    <w:rsid w:val="00B939CD"/>
    <w:rsid w:val="00B94756"/>
    <w:rsid w:val="00B97392"/>
    <w:rsid w:val="00BA043C"/>
    <w:rsid w:val="00BA122C"/>
    <w:rsid w:val="00BA21B6"/>
    <w:rsid w:val="00BA5337"/>
    <w:rsid w:val="00BA61D8"/>
    <w:rsid w:val="00BA6232"/>
    <w:rsid w:val="00BA6861"/>
    <w:rsid w:val="00BA7992"/>
    <w:rsid w:val="00BB03E6"/>
    <w:rsid w:val="00BB03FB"/>
    <w:rsid w:val="00BB06A0"/>
    <w:rsid w:val="00BB0D4D"/>
    <w:rsid w:val="00BB271C"/>
    <w:rsid w:val="00BB30C7"/>
    <w:rsid w:val="00BB3D2F"/>
    <w:rsid w:val="00BB627E"/>
    <w:rsid w:val="00BB68DE"/>
    <w:rsid w:val="00BB6E7F"/>
    <w:rsid w:val="00BB6F06"/>
    <w:rsid w:val="00BC06DE"/>
    <w:rsid w:val="00BC11F2"/>
    <w:rsid w:val="00BC411F"/>
    <w:rsid w:val="00BC7CCC"/>
    <w:rsid w:val="00BC7FD4"/>
    <w:rsid w:val="00BD04AB"/>
    <w:rsid w:val="00BD08A5"/>
    <w:rsid w:val="00BD11DD"/>
    <w:rsid w:val="00BD1454"/>
    <w:rsid w:val="00BD14B0"/>
    <w:rsid w:val="00BD259B"/>
    <w:rsid w:val="00BD6A12"/>
    <w:rsid w:val="00BD7CC5"/>
    <w:rsid w:val="00BE0256"/>
    <w:rsid w:val="00BE09A5"/>
    <w:rsid w:val="00BE209F"/>
    <w:rsid w:val="00BE2BC5"/>
    <w:rsid w:val="00BE30ED"/>
    <w:rsid w:val="00BE4F5A"/>
    <w:rsid w:val="00BE56F8"/>
    <w:rsid w:val="00BE5D26"/>
    <w:rsid w:val="00BE78B5"/>
    <w:rsid w:val="00BE7C11"/>
    <w:rsid w:val="00BF0BEA"/>
    <w:rsid w:val="00BF1436"/>
    <w:rsid w:val="00BF152E"/>
    <w:rsid w:val="00BF1B65"/>
    <w:rsid w:val="00BF32D5"/>
    <w:rsid w:val="00BF441C"/>
    <w:rsid w:val="00BF4FB4"/>
    <w:rsid w:val="00BF5C33"/>
    <w:rsid w:val="00BF61A0"/>
    <w:rsid w:val="00BF734F"/>
    <w:rsid w:val="00BF7F86"/>
    <w:rsid w:val="00C0016B"/>
    <w:rsid w:val="00C00D9C"/>
    <w:rsid w:val="00C015B0"/>
    <w:rsid w:val="00C02B37"/>
    <w:rsid w:val="00C02CCC"/>
    <w:rsid w:val="00C06EDF"/>
    <w:rsid w:val="00C07F9C"/>
    <w:rsid w:val="00C108C6"/>
    <w:rsid w:val="00C10C44"/>
    <w:rsid w:val="00C1166E"/>
    <w:rsid w:val="00C11702"/>
    <w:rsid w:val="00C11C9C"/>
    <w:rsid w:val="00C1203F"/>
    <w:rsid w:val="00C1287F"/>
    <w:rsid w:val="00C13A7A"/>
    <w:rsid w:val="00C148D1"/>
    <w:rsid w:val="00C14D9F"/>
    <w:rsid w:val="00C15CBA"/>
    <w:rsid w:val="00C173DD"/>
    <w:rsid w:val="00C20791"/>
    <w:rsid w:val="00C21824"/>
    <w:rsid w:val="00C2380F"/>
    <w:rsid w:val="00C24631"/>
    <w:rsid w:val="00C2476A"/>
    <w:rsid w:val="00C24B0D"/>
    <w:rsid w:val="00C24E55"/>
    <w:rsid w:val="00C24F6B"/>
    <w:rsid w:val="00C2609E"/>
    <w:rsid w:val="00C26B4D"/>
    <w:rsid w:val="00C303B5"/>
    <w:rsid w:val="00C30CBA"/>
    <w:rsid w:val="00C310FB"/>
    <w:rsid w:val="00C32B9B"/>
    <w:rsid w:val="00C33A8A"/>
    <w:rsid w:val="00C33C00"/>
    <w:rsid w:val="00C34B4C"/>
    <w:rsid w:val="00C37204"/>
    <w:rsid w:val="00C378F9"/>
    <w:rsid w:val="00C431A6"/>
    <w:rsid w:val="00C431FB"/>
    <w:rsid w:val="00C44173"/>
    <w:rsid w:val="00C4475D"/>
    <w:rsid w:val="00C44782"/>
    <w:rsid w:val="00C44DF3"/>
    <w:rsid w:val="00C44EC7"/>
    <w:rsid w:val="00C47C6B"/>
    <w:rsid w:val="00C47DB1"/>
    <w:rsid w:val="00C50013"/>
    <w:rsid w:val="00C55131"/>
    <w:rsid w:val="00C57A1B"/>
    <w:rsid w:val="00C57B87"/>
    <w:rsid w:val="00C57F3D"/>
    <w:rsid w:val="00C60ED8"/>
    <w:rsid w:val="00C61FDE"/>
    <w:rsid w:val="00C634CF"/>
    <w:rsid w:val="00C6413B"/>
    <w:rsid w:val="00C659AF"/>
    <w:rsid w:val="00C65F6A"/>
    <w:rsid w:val="00C6618D"/>
    <w:rsid w:val="00C66235"/>
    <w:rsid w:val="00C66332"/>
    <w:rsid w:val="00C71A26"/>
    <w:rsid w:val="00C724AE"/>
    <w:rsid w:val="00C72EA0"/>
    <w:rsid w:val="00C744C2"/>
    <w:rsid w:val="00C74E66"/>
    <w:rsid w:val="00C75A60"/>
    <w:rsid w:val="00C75D17"/>
    <w:rsid w:val="00C764E7"/>
    <w:rsid w:val="00C76BA3"/>
    <w:rsid w:val="00C776CA"/>
    <w:rsid w:val="00C812B2"/>
    <w:rsid w:val="00C81B06"/>
    <w:rsid w:val="00C82163"/>
    <w:rsid w:val="00C82A34"/>
    <w:rsid w:val="00C82DCF"/>
    <w:rsid w:val="00C85A9F"/>
    <w:rsid w:val="00C87FF4"/>
    <w:rsid w:val="00C91B11"/>
    <w:rsid w:val="00C91F93"/>
    <w:rsid w:val="00C9239B"/>
    <w:rsid w:val="00C9314D"/>
    <w:rsid w:val="00C93273"/>
    <w:rsid w:val="00C93C2C"/>
    <w:rsid w:val="00C96367"/>
    <w:rsid w:val="00C9654C"/>
    <w:rsid w:val="00C973B0"/>
    <w:rsid w:val="00CA0202"/>
    <w:rsid w:val="00CA2798"/>
    <w:rsid w:val="00CA2D75"/>
    <w:rsid w:val="00CA3250"/>
    <w:rsid w:val="00CA6E89"/>
    <w:rsid w:val="00CA6EFE"/>
    <w:rsid w:val="00CA7CCE"/>
    <w:rsid w:val="00CB0BCA"/>
    <w:rsid w:val="00CB1955"/>
    <w:rsid w:val="00CB1F76"/>
    <w:rsid w:val="00CB1FB1"/>
    <w:rsid w:val="00CB23E7"/>
    <w:rsid w:val="00CB344D"/>
    <w:rsid w:val="00CB46AD"/>
    <w:rsid w:val="00CB4E71"/>
    <w:rsid w:val="00CB5041"/>
    <w:rsid w:val="00CB5716"/>
    <w:rsid w:val="00CB67F4"/>
    <w:rsid w:val="00CB751D"/>
    <w:rsid w:val="00CC0F56"/>
    <w:rsid w:val="00CC3E71"/>
    <w:rsid w:val="00CC4229"/>
    <w:rsid w:val="00CC4733"/>
    <w:rsid w:val="00CC699F"/>
    <w:rsid w:val="00CD04DC"/>
    <w:rsid w:val="00CD0666"/>
    <w:rsid w:val="00CD1EE4"/>
    <w:rsid w:val="00CD2BBF"/>
    <w:rsid w:val="00CD2EEA"/>
    <w:rsid w:val="00CD308A"/>
    <w:rsid w:val="00CD3FF3"/>
    <w:rsid w:val="00CD488B"/>
    <w:rsid w:val="00CD5DF7"/>
    <w:rsid w:val="00CD73F8"/>
    <w:rsid w:val="00CD7E10"/>
    <w:rsid w:val="00CE0109"/>
    <w:rsid w:val="00CE03F1"/>
    <w:rsid w:val="00CE0AF5"/>
    <w:rsid w:val="00CE13FF"/>
    <w:rsid w:val="00CE2151"/>
    <w:rsid w:val="00CE3186"/>
    <w:rsid w:val="00CE550E"/>
    <w:rsid w:val="00CE5A64"/>
    <w:rsid w:val="00CE6550"/>
    <w:rsid w:val="00CF0FDD"/>
    <w:rsid w:val="00CF47AB"/>
    <w:rsid w:val="00CF649C"/>
    <w:rsid w:val="00CF73D7"/>
    <w:rsid w:val="00D0028C"/>
    <w:rsid w:val="00D00B39"/>
    <w:rsid w:val="00D01968"/>
    <w:rsid w:val="00D044E8"/>
    <w:rsid w:val="00D04A9D"/>
    <w:rsid w:val="00D0668F"/>
    <w:rsid w:val="00D06E58"/>
    <w:rsid w:val="00D1357F"/>
    <w:rsid w:val="00D13D42"/>
    <w:rsid w:val="00D141B5"/>
    <w:rsid w:val="00D14F9A"/>
    <w:rsid w:val="00D167DD"/>
    <w:rsid w:val="00D1684C"/>
    <w:rsid w:val="00D16E82"/>
    <w:rsid w:val="00D22194"/>
    <w:rsid w:val="00D225F4"/>
    <w:rsid w:val="00D237A8"/>
    <w:rsid w:val="00D245BA"/>
    <w:rsid w:val="00D2529C"/>
    <w:rsid w:val="00D258A5"/>
    <w:rsid w:val="00D26607"/>
    <w:rsid w:val="00D3069B"/>
    <w:rsid w:val="00D31635"/>
    <w:rsid w:val="00D31896"/>
    <w:rsid w:val="00D33990"/>
    <w:rsid w:val="00D33EA8"/>
    <w:rsid w:val="00D3770E"/>
    <w:rsid w:val="00D3785D"/>
    <w:rsid w:val="00D37E8D"/>
    <w:rsid w:val="00D40686"/>
    <w:rsid w:val="00D4078A"/>
    <w:rsid w:val="00D4078E"/>
    <w:rsid w:val="00D41CA7"/>
    <w:rsid w:val="00D435FF"/>
    <w:rsid w:val="00D437B5"/>
    <w:rsid w:val="00D453DE"/>
    <w:rsid w:val="00D46C2E"/>
    <w:rsid w:val="00D46DC7"/>
    <w:rsid w:val="00D47BF7"/>
    <w:rsid w:val="00D50414"/>
    <w:rsid w:val="00D507D0"/>
    <w:rsid w:val="00D517B7"/>
    <w:rsid w:val="00D51B63"/>
    <w:rsid w:val="00D5561D"/>
    <w:rsid w:val="00D557F2"/>
    <w:rsid w:val="00D56D19"/>
    <w:rsid w:val="00D57DEB"/>
    <w:rsid w:val="00D6071C"/>
    <w:rsid w:val="00D60EE5"/>
    <w:rsid w:val="00D62041"/>
    <w:rsid w:val="00D62B58"/>
    <w:rsid w:val="00D63A67"/>
    <w:rsid w:val="00D72B35"/>
    <w:rsid w:val="00D731F2"/>
    <w:rsid w:val="00D738E9"/>
    <w:rsid w:val="00D7497A"/>
    <w:rsid w:val="00D74A8A"/>
    <w:rsid w:val="00D75A6A"/>
    <w:rsid w:val="00D76EDC"/>
    <w:rsid w:val="00D77B3B"/>
    <w:rsid w:val="00D77B7E"/>
    <w:rsid w:val="00D77DD7"/>
    <w:rsid w:val="00D812E2"/>
    <w:rsid w:val="00D82B19"/>
    <w:rsid w:val="00D83954"/>
    <w:rsid w:val="00D85A98"/>
    <w:rsid w:val="00D85EEC"/>
    <w:rsid w:val="00D86D71"/>
    <w:rsid w:val="00D87F47"/>
    <w:rsid w:val="00D90208"/>
    <w:rsid w:val="00D90FD8"/>
    <w:rsid w:val="00D916FF"/>
    <w:rsid w:val="00D91F2E"/>
    <w:rsid w:val="00D92496"/>
    <w:rsid w:val="00D93D99"/>
    <w:rsid w:val="00D94D26"/>
    <w:rsid w:val="00D9525B"/>
    <w:rsid w:val="00D9550C"/>
    <w:rsid w:val="00D967AD"/>
    <w:rsid w:val="00D96C53"/>
    <w:rsid w:val="00D97849"/>
    <w:rsid w:val="00DA0DDE"/>
    <w:rsid w:val="00DA2AEC"/>
    <w:rsid w:val="00DA4021"/>
    <w:rsid w:val="00DA5CF6"/>
    <w:rsid w:val="00DA5FFD"/>
    <w:rsid w:val="00DB2B6B"/>
    <w:rsid w:val="00DB2C3D"/>
    <w:rsid w:val="00DB2DAD"/>
    <w:rsid w:val="00DB3ACD"/>
    <w:rsid w:val="00DB41DE"/>
    <w:rsid w:val="00DB5A97"/>
    <w:rsid w:val="00DB5AC3"/>
    <w:rsid w:val="00DB5D64"/>
    <w:rsid w:val="00DB6617"/>
    <w:rsid w:val="00DB73B9"/>
    <w:rsid w:val="00DB76B6"/>
    <w:rsid w:val="00DC1C0B"/>
    <w:rsid w:val="00DC2FCC"/>
    <w:rsid w:val="00DC476F"/>
    <w:rsid w:val="00DC4926"/>
    <w:rsid w:val="00DC569D"/>
    <w:rsid w:val="00DC6AAB"/>
    <w:rsid w:val="00DC73B3"/>
    <w:rsid w:val="00DC75D6"/>
    <w:rsid w:val="00DD2320"/>
    <w:rsid w:val="00DD242B"/>
    <w:rsid w:val="00DD2742"/>
    <w:rsid w:val="00DD2AB5"/>
    <w:rsid w:val="00DD3FF6"/>
    <w:rsid w:val="00DD453D"/>
    <w:rsid w:val="00DE020F"/>
    <w:rsid w:val="00DE1296"/>
    <w:rsid w:val="00DE17C1"/>
    <w:rsid w:val="00DE2583"/>
    <w:rsid w:val="00DE2EE7"/>
    <w:rsid w:val="00DE500E"/>
    <w:rsid w:val="00DE6781"/>
    <w:rsid w:val="00DE6B7D"/>
    <w:rsid w:val="00DE7E50"/>
    <w:rsid w:val="00DF02A9"/>
    <w:rsid w:val="00DF0603"/>
    <w:rsid w:val="00DF1168"/>
    <w:rsid w:val="00DF16E0"/>
    <w:rsid w:val="00DF209B"/>
    <w:rsid w:val="00DF370D"/>
    <w:rsid w:val="00DF3AD0"/>
    <w:rsid w:val="00DF4688"/>
    <w:rsid w:val="00DF52C3"/>
    <w:rsid w:val="00DF7ED1"/>
    <w:rsid w:val="00E00D15"/>
    <w:rsid w:val="00E04A5E"/>
    <w:rsid w:val="00E04AE2"/>
    <w:rsid w:val="00E04C7C"/>
    <w:rsid w:val="00E05AD2"/>
    <w:rsid w:val="00E07979"/>
    <w:rsid w:val="00E100D6"/>
    <w:rsid w:val="00E10B3F"/>
    <w:rsid w:val="00E1154D"/>
    <w:rsid w:val="00E12800"/>
    <w:rsid w:val="00E136D4"/>
    <w:rsid w:val="00E147BF"/>
    <w:rsid w:val="00E161C2"/>
    <w:rsid w:val="00E1621A"/>
    <w:rsid w:val="00E170D3"/>
    <w:rsid w:val="00E21E39"/>
    <w:rsid w:val="00E25048"/>
    <w:rsid w:val="00E25666"/>
    <w:rsid w:val="00E25857"/>
    <w:rsid w:val="00E25D0C"/>
    <w:rsid w:val="00E33863"/>
    <w:rsid w:val="00E3565C"/>
    <w:rsid w:val="00E362D8"/>
    <w:rsid w:val="00E368FB"/>
    <w:rsid w:val="00E40D94"/>
    <w:rsid w:val="00E40ED8"/>
    <w:rsid w:val="00E44675"/>
    <w:rsid w:val="00E44975"/>
    <w:rsid w:val="00E45086"/>
    <w:rsid w:val="00E45A8E"/>
    <w:rsid w:val="00E45C4A"/>
    <w:rsid w:val="00E45EE7"/>
    <w:rsid w:val="00E472D1"/>
    <w:rsid w:val="00E50E2C"/>
    <w:rsid w:val="00E52340"/>
    <w:rsid w:val="00E530B7"/>
    <w:rsid w:val="00E57F04"/>
    <w:rsid w:val="00E62B9E"/>
    <w:rsid w:val="00E632C8"/>
    <w:rsid w:val="00E6552B"/>
    <w:rsid w:val="00E657A4"/>
    <w:rsid w:val="00E66589"/>
    <w:rsid w:val="00E6718A"/>
    <w:rsid w:val="00E705EF"/>
    <w:rsid w:val="00E7170C"/>
    <w:rsid w:val="00E72BA4"/>
    <w:rsid w:val="00E74B40"/>
    <w:rsid w:val="00E7525F"/>
    <w:rsid w:val="00E756D8"/>
    <w:rsid w:val="00E75E58"/>
    <w:rsid w:val="00E804BF"/>
    <w:rsid w:val="00E80B5C"/>
    <w:rsid w:val="00E81E3E"/>
    <w:rsid w:val="00E82032"/>
    <w:rsid w:val="00E82750"/>
    <w:rsid w:val="00E8279C"/>
    <w:rsid w:val="00E82B51"/>
    <w:rsid w:val="00E82DB1"/>
    <w:rsid w:val="00E84D50"/>
    <w:rsid w:val="00E86AF0"/>
    <w:rsid w:val="00E92635"/>
    <w:rsid w:val="00E9314F"/>
    <w:rsid w:val="00E958F4"/>
    <w:rsid w:val="00E95C3A"/>
    <w:rsid w:val="00E95DD9"/>
    <w:rsid w:val="00E97355"/>
    <w:rsid w:val="00EA027D"/>
    <w:rsid w:val="00EA0A10"/>
    <w:rsid w:val="00EA1EE1"/>
    <w:rsid w:val="00EA1F65"/>
    <w:rsid w:val="00EA36C5"/>
    <w:rsid w:val="00EA4368"/>
    <w:rsid w:val="00EA58BE"/>
    <w:rsid w:val="00EA5991"/>
    <w:rsid w:val="00EA6485"/>
    <w:rsid w:val="00EA6D9A"/>
    <w:rsid w:val="00EA7732"/>
    <w:rsid w:val="00EB085E"/>
    <w:rsid w:val="00EB08DB"/>
    <w:rsid w:val="00EB0E2D"/>
    <w:rsid w:val="00EB122B"/>
    <w:rsid w:val="00EB2512"/>
    <w:rsid w:val="00EB3A56"/>
    <w:rsid w:val="00EC03E0"/>
    <w:rsid w:val="00EC19CE"/>
    <w:rsid w:val="00EC34F6"/>
    <w:rsid w:val="00EC3D37"/>
    <w:rsid w:val="00EC6C4C"/>
    <w:rsid w:val="00EC7485"/>
    <w:rsid w:val="00EC7C51"/>
    <w:rsid w:val="00ED0F80"/>
    <w:rsid w:val="00ED33D1"/>
    <w:rsid w:val="00ED709A"/>
    <w:rsid w:val="00ED7433"/>
    <w:rsid w:val="00EE1737"/>
    <w:rsid w:val="00EE2043"/>
    <w:rsid w:val="00EE239B"/>
    <w:rsid w:val="00EE5162"/>
    <w:rsid w:val="00EE555C"/>
    <w:rsid w:val="00EE5F0D"/>
    <w:rsid w:val="00EF0AC0"/>
    <w:rsid w:val="00EF1F22"/>
    <w:rsid w:val="00EF2CA2"/>
    <w:rsid w:val="00EF35ED"/>
    <w:rsid w:val="00EF4696"/>
    <w:rsid w:val="00EF6D72"/>
    <w:rsid w:val="00F0008D"/>
    <w:rsid w:val="00F01830"/>
    <w:rsid w:val="00F02857"/>
    <w:rsid w:val="00F02D23"/>
    <w:rsid w:val="00F030D3"/>
    <w:rsid w:val="00F03438"/>
    <w:rsid w:val="00F0440F"/>
    <w:rsid w:val="00F04A04"/>
    <w:rsid w:val="00F06214"/>
    <w:rsid w:val="00F07353"/>
    <w:rsid w:val="00F07826"/>
    <w:rsid w:val="00F11689"/>
    <w:rsid w:val="00F13408"/>
    <w:rsid w:val="00F13F68"/>
    <w:rsid w:val="00F14A38"/>
    <w:rsid w:val="00F15332"/>
    <w:rsid w:val="00F16D1E"/>
    <w:rsid w:val="00F16E96"/>
    <w:rsid w:val="00F17C08"/>
    <w:rsid w:val="00F20B0F"/>
    <w:rsid w:val="00F20FC1"/>
    <w:rsid w:val="00F22075"/>
    <w:rsid w:val="00F2326C"/>
    <w:rsid w:val="00F23700"/>
    <w:rsid w:val="00F2546C"/>
    <w:rsid w:val="00F25AA8"/>
    <w:rsid w:val="00F25DB8"/>
    <w:rsid w:val="00F2603E"/>
    <w:rsid w:val="00F27930"/>
    <w:rsid w:val="00F3001F"/>
    <w:rsid w:val="00F322D7"/>
    <w:rsid w:val="00F32B25"/>
    <w:rsid w:val="00F32C64"/>
    <w:rsid w:val="00F32E67"/>
    <w:rsid w:val="00F32FAD"/>
    <w:rsid w:val="00F33498"/>
    <w:rsid w:val="00F3390D"/>
    <w:rsid w:val="00F340D9"/>
    <w:rsid w:val="00F34675"/>
    <w:rsid w:val="00F35359"/>
    <w:rsid w:val="00F35565"/>
    <w:rsid w:val="00F36974"/>
    <w:rsid w:val="00F37065"/>
    <w:rsid w:val="00F37AC8"/>
    <w:rsid w:val="00F4036B"/>
    <w:rsid w:val="00F4075D"/>
    <w:rsid w:val="00F41A0C"/>
    <w:rsid w:val="00F42DA1"/>
    <w:rsid w:val="00F43689"/>
    <w:rsid w:val="00F43922"/>
    <w:rsid w:val="00F46539"/>
    <w:rsid w:val="00F46613"/>
    <w:rsid w:val="00F503F5"/>
    <w:rsid w:val="00F51C3D"/>
    <w:rsid w:val="00F5340D"/>
    <w:rsid w:val="00F54A0C"/>
    <w:rsid w:val="00F55017"/>
    <w:rsid w:val="00F5540B"/>
    <w:rsid w:val="00F57442"/>
    <w:rsid w:val="00F61724"/>
    <w:rsid w:val="00F617A0"/>
    <w:rsid w:val="00F61C92"/>
    <w:rsid w:val="00F638C1"/>
    <w:rsid w:val="00F63BCF"/>
    <w:rsid w:val="00F64263"/>
    <w:rsid w:val="00F64BE2"/>
    <w:rsid w:val="00F6610E"/>
    <w:rsid w:val="00F66481"/>
    <w:rsid w:val="00F71ABC"/>
    <w:rsid w:val="00F7350C"/>
    <w:rsid w:val="00F735F8"/>
    <w:rsid w:val="00F75084"/>
    <w:rsid w:val="00F75A36"/>
    <w:rsid w:val="00F77B59"/>
    <w:rsid w:val="00F77BD1"/>
    <w:rsid w:val="00F80148"/>
    <w:rsid w:val="00F80BA6"/>
    <w:rsid w:val="00F81707"/>
    <w:rsid w:val="00F82469"/>
    <w:rsid w:val="00F82995"/>
    <w:rsid w:val="00F83868"/>
    <w:rsid w:val="00F84F1A"/>
    <w:rsid w:val="00F866E3"/>
    <w:rsid w:val="00F87504"/>
    <w:rsid w:val="00F8763B"/>
    <w:rsid w:val="00F91683"/>
    <w:rsid w:val="00F91901"/>
    <w:rsid w:val="00F93FB4"/>
    <w:rsid w:val="00F94E42"/>
    <w:rsid w:val="00F9693D"/>
    <w:rsid w:val="00F9758F"/>
    <w:rsid w:val="00F97641"/>
    <w:rsid w:val="00FA0887"/>
    <w:rsid w:val="00FA11A2"/>
    <w:rsid w:val="00FA34F8"/>
    <w:rsid w:val="00FA4BC7"/>
    <w:rsid w:val="00FA543A"/>
    <w:rsid w:val="00FA5AE5"/>
    <w:rsid w:val="00FA7647"/>
    <w:rsid w:val="00FA78BF"/>
    <w:rsid w:val="00FB0F71"/>
    <w:rsid w:val="00FB0F7D"/>
    <w:rsid w:val="00FB1B57"/>
    <w:rsid w:val="00FB2239"/>
    <w:rsid w:val="00FB2B88"/>
    <w:rsid w:val="00FB2FAE"/>
    <w:rsid w:val="00FB3104"/>
    <w:rsid w:val="00FB4CDB"/>
    <w:rsid w:val="00FB4E4D"/>
    <w:rsid w:val="00FB7E2F"/>
    <w:rsid w:val="00FC07CF"/>
    <w:rsid w:val="00FC1D6A"/>
    <w:rsid w:val="00FC1ED9"/>
    <w:rsid w:val="00FC30E9"/>
    <w:rsid w:val="00FC320D"/>
    <w:rsid w:val="00FC41E2"/>
    <w:rsid w:val="00FC5318"/>
    <w:rsid w:val="00FC78C1"/>
    <w:rsid w:val="00FD06CE"/>
    <w:rsid w:val="00FD074D"/>
    <w:rsid w:val="00FD21BF"/>
    <w:rsid w:val="00FD253F"/>
    <w:rsid w:val="00FD49C2"/>
    <w:rsid w:val="00FD5901"/>
    <w:rsid w:val="00FD5FDF"/>
    <w:rsid w:val="00FD63A2"/>
    <w:rsid w:val="00FD64DE"/>
    <w:rsid w:val="00FE1199"/>
    <w:rsid w:val="00FE2403"/>
    <w:rsid w:val="00FE3C31"/>
    <w:rsid w:val="00FF0773"/>
    <w:rsid w:val="00FF22E2"/>
    <w:rsid w:val="00FF2357"/>
    <w:rsid w:val="00FF28B2"/>
    <w:rsid w:val="00FF36F4"/>
    <w:rsid w:val="00FF520E"/>
    <w:rsid w:val="00FF538A"/>
    <w:rsid w:val="00FF54E9"/>
    <w:rsid w:val="15563A6D"/>
    <w:rsid w:val="5565183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A7AD45"/>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7D5E23"/>
    <w:rPr>
      <w:rFonts w:ascii="Times New Roman" w:hAnsi="Times New Roman" w:cs="Times New Roman"/>
      <w:lang w:eastAsia="nl-NL"/>
    </w:rPr>
  </w:style>
  <w:style w:type="paragraph" w:styleId="Kop1">
    <w:name w:val="heading 1"/>
    <w:basedOn w:val="Standaard"/>
    <w:next w:val="Standaard"/>
    <w:link w:val="Kop1Teken"/>
    <w:uiPriority w:val="9"/>
    <w:qFormat/>
    <w:rsid w:val="006D48B7"/>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Kop2">
    <w:name w:val="heading 2"/>
    <w:basedOn w:val="Standaard"/>
    <w:next w:val="Standaard"/>
    <w:link w:val="Kop2Teken"/>
    <w:uiPriority w:val="9"/>
    <w:unhideWhenUsed/>
    <w:qFormat/>
    <w:rsid w:val="006D48B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Kop3">
    <w:name w:val="heading 3"/>
    <w:basedOn w:val="Standaard"/>
    <w:next w:val="Standaard"/>
    <w:link w:val="Kop3Teken"/>
    <w:uiPriority w:val="9"/>
    <w:unhideWhenUsed/>
    <w:qFormat/>
    <w:rsid w:val="00362FD4"/>
    <w:pPr>
      <w:keepNext/>
      <w:keepLines/>
      <w:spacing w:before="40" w:line="360" w:lineRule="auto"/>
      <w:outlineLvl w:val="2"/>
    </w:pPr>
    <w:rPr>
      <w:rFonts w:ascii="Tahoma" w:eastAsiaTheme="majorEastAsia" w:hAnsi="Tahoma" w:cstheme="majorBidi"/>
      <w:i/>
      <w:color w:val="000000" w:themeColor="text1"/>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Verwijzingopmerking">
    <w:name w:val="annotation reference"/>
    <w:basedOn w:val="Standaardalinea-lettertype"/>
    <w:uiPriority w:val="99"/>
    <w:semiHidden/>
    <w:unhideWhenUsed/>
    <w:rsid w:val="007F4E3B"/>
    <w:rPr>
      <w:sz w:val="18"/>
      <w:szCs w:val="18"/>
    </w:rPr>
  </w:style>
  <w:style w:type="paragraph" w:styleId="Tekstopmerking">
    <w:name w:val="annotation text"/>
    <w:basedOn w:val="Standaard"/>
    <w:link w:val="TekstopmerkingTeken"/>
    <w:uiPriority w:val="99"/>
    <w:unhideWhenUsed/>
    <w:rsid w:val="007F4E3B"/>
    <w:pPr>
      <w:spacing w:after="200"/>
    </w:pPr>
    <w:rPr>
      <w:rFonts w:ascii="Calibri" w:eastAsia="Calibri" w:hAnsi="Calibri" w:cs="Arial"/>
      <w:lang w:eastAsia="en-US"/>
    </w:rPr>
  </w:style>
  <w:style w:type="character" w:customStyle="1" w:styleId="TekstopmerkingTeken">
    <w:name w:val="Tekst opmerking Teken"/>
    <w:basedOn w:val="Standaardalinea-lettertype"/>
    <w:link w:val="Tekstopmerking"/>
    <w:uiPriority w:val="99"/>
    <w:rsid w:val="007F4E3B"/>
    <w:rPr>
      <w:rFonts w:ascii="Calibri" w:eastAsia="Calibri" w:hAnsi="Calibri" w:cs="Arial"/>
    </w:rPr>
  </w:style>
  <w:style w:type="paragraph" w:styleId="Ballontekst">
    <w:name w:val="Balloon Text"/>
    <w:basedOn w:val="Standaard"/>
    <w:link w:val="BallontekstTeken"/>
    <w:uiPriority w:val="99"/>
    <w:semiHidden/>
    <w:unhideWhenUsed/>
    <w:rsid w:val="007F4E3B"/>
    <w:rPr>
      <w:sz w:val="18"/>
      <w:szCs w:val="18"/>
      <w:lang w:eastAsia="en-US"/>
    </w:rPr>
  </w:style>
  <w:style w:type="character" w:customStyle="1" w:styleId="BallontekstTeken">
    <w:name w:val="Ballontekst Teken"/>
    <w:basedOn w:val="Standaardalinea-lettertype"/>
    <w:link w:val="Ballontekst"/>
    <w:uiPriority w:val="99"/>
    <w:semiHidden/>
    <w:rsid w:val="007F4E3B"/>
    <w:rPr>
      <w:rFonts w:ascii="Times New Roman" w:hAnsi="Times New Roman" w:cs="Times New Roman"/>
      <w:sz w:val="18"/>
      <w:szCs w:val="18"/>
    </w:rPr>
  </w:style>
  <w:style w:type="paragraph" w:styleId="Lijstalinea">
    <w:name w:val="List Paragraph"/>
    <w:basedOn w:val="Standaard"/>
    <w:uiPriority w:val="34"/>
    <w:qFormat/>
    <w:rsid w:val="004560D5"/>
    <w:pPr>
      <w:ind w:left="720"/>
      <w:contextualSpacing/>
    </w:pPr>
    <w:rPr>
      <w:rFonts w:asciiTheme="minorHAnsi" w:hAnsiTheme="minorHAnsi" w:cstheme="minorBidi"/>
      <w:lang w:eastAsia="en-US"/>
    </w:rPr>
  </w:style>
  <w:style w:type="paragraph" w:styleId="Onderwerpvanopmerking">
    <w:name w:val="annotation subject"/>
    <w:basedOn w:val="Tekstopmerking"/>
    <w:next w:val="Tekstopmerking"/>
    <w:link w:val="OnderwerpvanopmerkingTeken"/>
    <w:uiPriority w:val="99"/>
    <w:semiHidden/>
    <w:unhideWhenUsed/>
    <w:rsid w:val="00157D4C"/>
    <w:pPr>
      <w:spacing w:after="0"/>
    </w:pPr>
    <w:rPr>
      <w:rFonts w:asciiTheme="minorHAnsi" w:eastAsiaTheme="minorHAnsi" w:hAnsiTheme="minorHAnsi" w:cstheme="minorBidi"/>
      <w:b/>
      <w:bCs/>
      <w:sz w:val="20"/>
      <w:szCs w:val="20"/>
    </w:rPr>
  </w:style>
  <w:style w:type="character" w:customStyle="1" w:styleId="OnderwerpvanopmerkingTeken">
    <w:name w:val="Onderwerp van opmerking Teken"/>
    <w:basedOn w:val="TekstopmerkingTeken"/>
    <w:link w:val="Onderwerpvanopmerking"/>
    <w:uiPriority w:val="99"/>
    <w:semiHidden/>
    <w:rsid w:val="00157D4C"/>
    <w:rPr>
      <w:rFonts w:ascii="Calibri" w:eastAsia="Calibri" w:hAnsi="Calibri" w:cs="Arial"/>
      <w:b/>
      <w:bCs/>
      <w:sz w:val="20"/>
      <w:szCs w:val="20"/>
    </w:rPr>
  </w:style>
  <w:style w:type="paragraph" w:styleId="Voetnoottekst">
    <w:name w:val="footnote text"/>
    <w:basedOn w:val="Standaard"/>
    <w:link w:val="VoetnoottekstTeken"/>
    <w:uiPriority w:val="99"/>
    <w:unhideWhenUsed/>
    <w:rsid w:val="0053358F"/>
  </w:style>
  <w:style w:type="character" w:customStyle="1" w:styleId="VoetnoottekstTeken">
    <w:name w:val="Voetnoottekst Teken"/>
    <w:basedOn w:val="Standaardalinea-lettertype"/>
    <w:link w:val="Voetnoottekst"/>
    <w:uiPriority w:val="99"/>
    <w:rsid w:val="0053358F"/>
    <w:rPr>
      <w:rFonts w:ascii="Times New Roman" w:hAnsi="Times New Roman" w:cs="Times New Roman"/>
      <w:lang w:eastAsia="nl-NL"/>
    </w:rPr>
  </w:style>
  <w:style w:type="character" w:styleId="Voetnootmarkering">
    <w:name w:val="footnote reference"/>
    <w:basedOn w:val="Standaardalinea-lettertype"/>
    <w:uiPriority w:val="99"/>
    <w:unhideWhenUsed/>
    <w:rsid w:val="0053358F"/>
    <w:rPr>
      <w:vertAlign w:val="superscript"/>
    </w:rPr>
  </w:style>
  <w:style w:type="paragraph" w:styleId="Koptekst">
    <w:name w:val="header"/>
    <w:basedOn w:val="Standaard"/>
    <w:link w:val="KoptekstTeken"/>
    <w:uiPriority w:val="99"/>
    <w:unhideWhenUsed/>
    <w:rsid w:val="008C6EEE"/>
    <w:pPr>
      <w:tabs>
        <w:tab w:val="center" w:pos="4536"/>
        <w:tab w:val="right" w:pos="9072"/>
      </w:tabs>
    </w:pPr>
  </w:style>
  <w:style w:type="character" w:customStyle="1" w:styleId="KoptekstTeken">
    <w:name w:val="Koptekst Teken"/>
    <w:basedOn w:val="Standaardalinea-lettertype"/>
    <w:link w:val="Koptekst"/>
    <w:uiPriority w:val="99"/>
    <w:rsid w:val="008C6EEE"/>
    <w:rPr>
      <w:rFonts w:ascii="Times New Roman" w:hAnsi="Times New Roman" w:cs="Times New Roman"/>
      <w:lang w:eastAsia="nl-NL"/>
    </w:rPr>
  </w:style>
  <w:style w:type="paragraph" w:styleId="Voettekst">
    <w:name w:val="footer"/>
    <w:basedOn w:val="Standaard"/>
    <w:link w:val="VoettekstTeken"/>
    <w:uiPriority w:val="99"/>
    <w:unhideWhenUsed/>
    <w:rsid w:val="008C6EEE"/>
    <w:pPr>
      <w:tabs>
        <w:tab w:val="center" w:pos="4536"/>
        <w:tab w:val="right" w:pos="9072"/>
      </w:tabs>
    </w:pPr>
  </w:style>
  <w:style w:type="character" w:customStyle="1" w:styleId="VoettekstTeken">
    <w:name w:val="Voettekst Teken"/>
    <w:basedOn w:val="Standaardalinea-lettertype"/>
    <w:link w:val="Voettekst"/>
    <w:uiPriority w:val="99"/>
    <w:rsid w:val="008C6EEE"/>
    <w:rPr>
      <w:rFonts w:ascii="Times New Roman" w:hAnsi="Times New Roman" w:cs="Times New Roman"/>
      <w:lang w:eastAsia="nl-NL"/>
    </w:rPr>
  </w:style>
  <w:style w:type="character" w:styleId="Paginanummer">
    <w:name w:val="page number"/>
    <w:basedOn w:val="Standaardalinea-lettertype"/>
    <w:uiPriority w:val="99"/>
    <w:semiHidden/>
    <w:unhideWhenUsed/>
    <w:rsid w:val="008C6EEE"/>
  </w:style>
  <w:style w:type="character" w:styleId="Hyperlink">
    <w:name w:val="Hyperlink"/>
    <w:basedOn w:val="Standaardalinea-lettertype"/>
    <w:uiPriority w:val="99"/>
    <w:unhideWhenUsed/>
    <w:rsid w:val="00DD2AB5"/>
    <w:rPr>
      <w:color w:val="0563C1" w:themeColor="hyperlink"/>
      <w:u w:val="single"/>
    </w:rPr>
  </w:style>
  <w:style w:type="paragraph" w:styleId="Revisie">
    <w:name w:val="Revision"/>
    <w:hidden/>
    <w:uiPriority w:val="99"/>
    <w:semiHidden/>
    <w:rsid w:val="00D9550C"/>
    <w:rPr>
      <w:rFonts w:ascii="Times New Roman" w:hAnsi="Times New Roman" w:cs="Times New Roman"/>
      <w:lang w:eastAsia="nl-NL"/>
    </w:rPr>
  </w:style>
  <w:style w:type="character" w:customStyle="1" w:styleId="Kop1Teken">
    <w:name w:val="Kop 1 Teken"/>
    <w:basedOn w:val="Standaardalinea-lettertype"/>
    <w:link w:val="Kop1"/>
    <w:uiPriority w:val="9"/>
    <w:rsid w:val="006D48B7"/>
    <w:rPr>
      <w:rFonts w:asciiTheme="majorHAnsi" w:eastAsiaTheme="majorEastAsia" w:hAnsiTheme="majorHAnsi" w:cstheme="majorBidi"/>
      <w:color w:val="2E74B5" w:themeColor="accent1" w:themeShade="BF"/>
      <w:sz w:val="32"/>
      <w:szCs w:val="32"/>
      <w:lang w:eastAsia="nl-NL"/>
    </w:rPr>
  </w:style>
  <w:style w:type="character" w:customStyle="1" w:styleId="Kop2Teken">
    <w:name w:val="Kop 2 Teken"/>
    <w:basedOn w:val="Standaardalinea-lettertype"/>
    <w:link w:val="Kop2"/>
    <w:uiPriority w:val="9"/>
    <w:rsid w:val="006D48B7"/>
    <w:rPr>
      <w:rFonts w:asciiTheme="majorHAnsi" w:eastAsiaTheme="majorEastAsia" w:hAnsiTheme="majorHAnsi" w:cstheme="majorBidi"/>
      <w:color w:val="2E74B5" w:themeColor="accent1" w:themeShade="BF"/>
      <w:sz w:val="26"/>
      <w:szCs w:val="26"/>
      <w:lang w:eastAsia="nl-NL"/>
    </w:rPr>
  </w:style>
  <w:style w:type="paragraph" w:customStyle="1" w:styleId="Stijl1">
    <w:name w:val="Stijl1"/>
    <w:basedOn w:val="Kop1"/>
    <w:qFormat/>
    <w:rsid w:val="00FB3104"/>
    <w:pPr>
      <w:numPr>
        <w:numId w:val="1"/>
      </w:numPr>
      <w:spacing w:before="360" w:after="240"/>
    </w:pPr>
    <w:rPr>
      <w:rFonts w:ascii="Corbel" w:hAnsi="Corbel"/>
      <w:b/>
      <w:bCs/>
      <w:color w:val="833C0B" w:themeColor="accent2" w:themeShade="80"/>
      <w:sz w:val="24"/>
    </w:rPr>
  </w:style>
  <w:style w:type="paragraph" w:customStyle="1" w:styleId="Stijl2">
    <w:name w:val="Stijl2"/>
    <w:basedOn w:val="Kop2"/>
    <w:autoRedefine/>
    <w:qFormat/>
    <w:rsid w:val="00510131"/>
    <w:pPr>
      <w:spacing w:before="160" w:after="120" w:line="360" w:lineRule="auto"/>
      <w:contextualSpacing/>
    </w:pPr>
    <w:rPr>
      <w:rFonts w:ascii="Corbel" w:eastAsia="Times New Roman" w:hAnsi="Corbel" w:cs="Arial"/>
      <w:b/>
      <w:bCs/>
      <w:color w:val="C45911" w:themeColor="accent2" w:themeShade="BF"/>
      <w:sz w:val="24"/>
    </w:rPr>
  </w:style>
  <w:style w:type="paragraph" w:styleId="Kopvaninhoudsopgave">
    <w:name w:val="TOC Heading"/>
    <w:basedOn w:val="Kop1"/>
    <w:next w:val="Standaard"/>
    <w:uiPriority w:val="39"/>
    <w:unhideWhenUsed/>
    <w:qFormat/>
    <w:rsid w:val="002779EA"/>
    <w:pPr>
      <w:spacing w:before="480" w:line="276" w:lineRule="auto"/>
      <w:outlineLvl w:val="9"/>
    </w:pPr>
    <w:rPr>
      <w:b/>
      <w:bCs/>
      <w:sz w:val="28"/>
      <w:szCs w:val="28"/>
    </w:rPr>
  </w:style>
  <w:style w:type="paragraph" w:styleId="Inhopg1">
    <w:name w:val="toc 1"/>
    <w:basedOn w:val="Standaard"/>
    <w:next w:val="Standaard"/>
    <w:autoRedefine/>
    <w:uiPriority w:val="39"/>
    <w:unhideWhenUsed/>
    <w:rsid w:val="00994757"/>
    <w:pPr>
      <w:pBdr>
        <w:bottom w:val="single" w:sz="4" w:space="1" w:color="auto"/>
      </w:pBdr>
      <w:tabs>
        <w:tab w:val="left" w:pos="480"/>
        <w:tab w:val="right" w:pos="9056"/>
      </w:tabs>
      <w:spacing w:before="120"/>
      <w:jc w:val="both"/>
    </w:pPr>
    <w:rPr>
      <w:rFonts w:ascii="Corbel" w:eastAsia="Tahoma" w:hAnsi="Corbel" w:cs="Tahoma"/>
      <w:b/>
      <w:noProof/>
      <w:color w:val="ED7D31" w:themeColor="accent2"/>
      <w:sz w:val="20"/>
      <w:szCs w:val="20"/>
    </w:rPr>
  </w:style>
  <w:style w:type="paragraph" w:styleId="Inhopg2">
    <w:name w:val="toc 2"/>
    <w:basedOn w:val="Standaard"/>
    <w:next w:val="Standaard"/>
    <w:autoRedefine/>
    <w:uiPriority w:val="39"/>
    <w:unhideWhenUsed/>
    <w:rsid w:val="00173270"/>
    <w:pPr>
      <w:tabs>
        <w:tab w:val="left" w:pos="960"/>
        <w:tab w:val="right" w:pos="9056"/>
      </w:tabs>
      <w:spacing w:line="276" w:lineRule="auto"/>
      <w:ind w:left="240"/>
    </w:pPr>
    <w:rPr>
      <w:rFonts w:ascii="Corbel" w:hAnsi="Corbel"/>
      <w:i/>
      <w:noProof/>
      <w:sz w:val="22"/>
      <w:szCs w:val="22"/>
    </w:rPr>
  </w:style>
  <w:style w:type="paragraph" w:styleId="Inhopg3">
    <w:name w:val="toc 3"/>
    <w:basedOn w:val="Standaard"/>
    <w:next w:val="Standaard"/>
    <w:autoRedefine/>
    <w:uiPriority w:val="39"/>
    <w:unhideWhenUsed/>
    <w:rsid w:val="002779EA"/>
    <w:pPr>
      <w:ind w:left="480"/>
    </w:pPr>
    <w:rPr>
      <w:rFonts w:asciiTheme="minorHAnsi" w:hAnsiTheme="minorHAnsi"/>
      <w:sz w:val="22"/>
      <w:szCs w:val="22"/>
    </w:rPr>
  </w:style>
  <w:style w:type="paragraph" w:styleId="Inhopg4">
    <w:name w:val="toc 4"/>
    <w:basedOn w:val="Standaard"/>
    <w:next w:val="Standaard"/>
    <w:autoRedefine/>
    <w:uiPriority w:val="39"/>
    <w:semiHidden/>
    <w:unhideWhenUsed/>
    <w:rsid w:val="002779EA"/>
    <w:pPr>
      <w:ind w:left="720"/>
    </w:pPr>
    <w:rPr>
      <w:rFonts w:asciiTheme="minorHAnsi" w:hAnsiTheme="minorHAnsi"/>
      <w:sz w:val="20"/>
      <w:szCs w:val="20"/>
    </w:rPr>
  </w:style>
  <w:style w:type="paragraph" w:styleId="Inhopg5">
    <w:name w:val="toc 5"/>
    <w:basedOn w:val="Standaard"/>
    <w:next w:val="Standaard"/>
    <w:autoRedefine/>
    <w:uiPriority w:val="39"/>
    <w:semiHidden/>
    <w:unhideWhenUsed/>
    <w:rsid w:val="002779EA"/>
    <w:pPr>
      <w:ind w:left="960"/>
    </w:pPr>
    <w:rPr>
      <w:rFonts w:asciiTheme="minorHAnsi" w:hAnsiTheme="minorHAnsi"/>
      <w:sz w:val="20"/>
      <w:szCs w:val="20"/>
    </w:rPr>
  </w:style>
  <w:style w:type="paragraph" w:styleId="Inhopg6">
    <w:name w:val="toc 6"/>
    <w:basedOn w:val="Standaard"/>
    <w:next w:val="Standaard"/>
    <w:autoRedefine/>
    <w:uiPriority w:val="39"/>
    <w:semiHidden/>
    <w:unhideWhenUsed/>
    <w:rsid w:val="002779EA"/>
    <w:pPr>
      <w:ind w:left="1200"/>
    </w:pPr>
    <w:rPr>
      <w:rFonts w:asciiTheme="minorHAnsi" w:hAnsiTheme="minorHAnsi"/>
      <w:sz w:val="20"/>
      <w:szCs w:val="20"/>
    </w:rPr>
  </w:style>
  <w:style w:type="paragraph" w:styleId="Inhopg7">
    <w:name w:val="toc 7"/>
    <w:basedOn w:val="Standaard"/>
    <w:next w:val="Standaard"/>
    <w:autoRedefine/>
    <w:uiPriority w:val="39"/>
    <w:semiHidden/>
    <w:unhideWhenUsed/>
    <w:rsid w:val="002779EA"/>
    <w:pPr>
      <w:ind w:left="1440"/>
    </w:pPr>
    <w:rPr>
      <w:rFonts w:asciiTheme="minorHAnsi" w:hAnsiTheme="minorHAnsi"/>
      <w:sz w:val="20"/>
      <w:szCs w:val="20"/>
    </w:rPr>
  </w:style>
  <w:style w:type="paragraph" w:styleId="Inhopg8">
    <w:name w:val="toc 8"/>
    <w:basedOn w:val="Standaard"/>
    <w:next w:val="Standaard"/>
    <w:autoRedefine/>
    <w:uiPriority w:val="39"/>
    <w:semiHidden/>
    <w:unhideWhenUsed/>
    <w:rsid w:val="002779EA"/>
    <w:pPr>
      <w:ind w:left="1680"/>
    </w:pPr>
    <w:rPr>
      <w:rFonts w:asciiTheme="minorHAnsi" w:hAnsiTheme="minorHAnsi"/>
      <w:sz w:val="20"/>
      <w:szCs w:val="20"/>
    </w:rPr>
  </w:style>
  <w:style w:type="paragraph" w:styleId="Inhopg9">
    <w:name w:val="toc 9"/>
    <w:basedOn w:val="Standaard"/>
    <w:next w:val="Standaard"/>
    <w:autoRedefine/>
    <w:uiPriority w:val="39"/>
    <w:semiHidden/>
    <w:unhideWhenUsed/>
    <w:rsid w:val="002779EA"/>
    <w:pPr>
      <w:ind w:left="1920"/>
    </w:pPr>
    <w:rPr>
      <w:rFonts w:asciiTheme="minorHAnsi" w:hAnsiTheme="minorHAnsi"/>
      <w:sz w:val="20"/>
      <w:szCs w:val="20"/>
    </w:rPr>
  </w:style>
  <w:style w:type="character" w:styleId="GevolgdeHyperlink">
    <w:name w:val="FollowedHyperlink"/>
    <w:basedOn w:val="Standaardalinea-lettertype"/>
    <w:uiPriority w:val="99"/>
    <w:semiHidden/>
    <w:unhideWhenUsed/>
    <w:rsid w:val="00186406"/>
    <w:rPr>
      <w:color w:val="954F72" w:themeColor="followedHyperlink"/>
      <w:u w:val="single"/>
    </w:rPr>
  </w:style>
  <w:style w:type="character" w:customStyle="1" w:styleId="Kop3Teken">
    <w:name w:val="Kop 3 Teken"/>
    <w:basedOn w:val="Standaardalinea-lettertype"/>
    <w:link w:val="Kop3"/>
    <w:uiPriority w:val="9"/>
    <w:rsid w:val="00362FD4"/>
    <w:rPr>
      <w:rFonts w:ascii="Tahoma" w:eastAsiaTheme="majorEastAsia" w:hAnsi="Tahoma" w:cstheme="majorBidi"/>
      <w:i/>
      <w:color w:val="000000" w:themeColor="text1"/>
      <w:lang w:eastAsia="nl-NL"/>
    </w:rPr>
  </w:style>
  <w:style w:type="paragraph" w:styleId="Normaalweb">
    <w:name w:val="Normal (Web)"/>
    <w:basedOn w:val="Standaard"/>
    <w:uiPriority w:val="99"/>
    <w:unhideWhenUsed/>
    <w:rsid w:val="00980DA1"/>
    <w:pPr>
      <w:spacing w:before="100" w:beforeAutospacing="1" w:after="100" w:afterAutospacing="1"/>
    </w:pPr>
  </w:style>
  <w:style w:type="character" w:styleId="Nadruk">
    <w:name w:val="Emphasis"/>
    <w:basedOn w:val="Standaardalinea-lettertype"/>
    <w:uiPriority w:val="20"/>
    <w:qFormat/>
    <w:rsid w:val="00F46613"/>
    <w:rPr>
      <w:i/>
      <w:iCs/>
    </w:rPr>
  </w:style>
  <w:style w:type="paragraph" w:styleId="Bijschrift">
    <w:name w:val="caption"/>
    <w:basedOn w:val="Standaard"/>
    <w:next w:val="Standaard"/>
    <w:uiPriority w:val="35"/>
    <w:unhideWhenUsed/>
    <w:qFormat/>
    <w:rsid w:val="008E5AAB"/>
    <w:pPr>
      <w:spacing w:after="200"/>
    </w:pPr>
    <w:rPr>
      <w:b/>
      <w:bCs/>
      <w:color w:val="5B9BD5" w:themeColor="accent1"/>
      <w:sz w:val="18"/>
      <w:szCs w:val="18"/>
    </w:rPr>
  </w:style>
  <w:style w:type="table" w:styleId="Tabelraster">
    <w:name w:val="Table Grid"/>
    <w:basedOn w:val="Standaardtabel"/>
    <w:uiPriority w:val="59"/>
    <w:rsid w:val="00123FB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xmsolistparagraph">
    <w:name w:val="x_msolistparagraph"/>
    <w:basedOn w:val="Standaard"/>
    <w:rsid w:val="00D46C2E"/>
    <w:pPr>
      <w:spacing w:before="100" w:beforeAutospacing="1" w:after="100" w:afterAutospacing="1"/>
    </w:pPr>
  </w:style>
  <w:style w:type="paragraph" w:customStyle="1" w:styleId="Stijl3">
    <w:name w:val="Stijl3"/>
    <w:basedOn w:val="xmsolistparagraph"/>
    <w:qFormat/>
    <w:rsid w:val="005C0BD4"/>
    <w:rPr>
      <w:rFonts w:ascii="Corbel" w:hAnsi="Corbel"/>
      <w:i/>
      <w:color w:val="C45911" w:themeColor="accent2" w:themeShade="BF"/>
    </w:rPr>
  </w:style>
  <w:style w:type="paragraph" w:customStyle="1" w:styleId="Huisstijl-Kopznr1">
    <w:name w:val="Huisstijl - Kop z.nr 1"/>
    <w:basedOn w:val="Standaard"/>
    <w:next w:val="Standaard"/>
    <w:rsid w:val="008D09E3"/>
    <w:pPr>
      <w:numPr>
        <w:ilvl w:val="2"/>
        <w:numId w:val="11"/>
      </w:numPr>
      <w:tabs>
        <w:tab w:val="left" w:pos="0"/>
      </w:tabs>
      <w:autoSpaceDN w:val="0"/>
      <w:spacing w:after="720" w:line="300" w:lineRule="exact"/>
      <w:ind w:left="-1120"/>
      <w:textAlignment w:val="baseline"/>
    </w:pPr>
    <w:rPr>
      <w:rFonts w:ascii="Verdana" w:eastAsia="DejaVu Sans" w:hAnsi="Verdana" w:cs="Lohit Hindi"/>
      <w:color w:val="000000"/>
    </w:rPr>
  </w:style>
  <w:style w:type="paragraph" w:customStyle="1" w:styleId="Huisstijl-Kopznr2">
    <w:name w:val="Huisstijl - Kop z.nr 2"/>
    <w:basedOn w:val="Standaard"/>
    <w:next w:val="Standaard"/>
    <w:rsid w:val="008D09E3"/>
    <w:pPr>
      <w:numPr>
        <w:ilvl w:val="3"/>
        <w:numId w:val="11"/>
      </w:numPr>
      <w:tabs>
        <w:tab w:val="left" w:pos="0"/>
      </w:tabs>
      <w:autoSpaceDN w:val="0"/>
      <w:spacing w:before="240" w:line="240" w:lineRule="exact"/>
      <w:ind w:left="-1120"/>
      <w:textAlignment w:val="baseline"/>
    </w:pPr>
    <w:rPr>
      <w:rFonts w:ascii="Verdana" w:eastAsia="DejaVu Sans" w:hAnsi="Verdana" w:cs="Lohit Hindi"/>
      <w:b/>
      <w:color w:val="000000"/>
      <w:sz w:val="18"/>
      <w:szCs w:val="18"/>
    </w:rPr>
  </w:style>
  <w:style w:type="paragraph" w:styleId="Geenafstand">
    <w:name w:val="No Spacing"/>
    <w:uiPriority w:val="1"/>
    <w:qFormat/>
    <w:rsid w:val="004D2C66"/>
    <w:rPr>
      <w:sz w:val="22"/>
      <w:szCs w:val="22"/>
    </w:rPr>
  </w:style>
  <w:style w:type="paragraph" w:styleId="Lijstmetafbeeldingen">
    <w:name w:val="table of figures"/>
    <w:basedOn w:val="Standaard"/>
    <w:next w:val="Standaard"/>
    <w:uiPriority w:val="99"/>
    <w:semiHidden/>
    <w:unhideWhenUsed/>
    <w:rsid w:val="00B83653"/>
  </w:style>
  <w:style w:type="character" w:styleId="Zwaar">
    <w:name w:val="Strong"/>
    <w:basedOn w:val="Standaardalinea-lettertype"/>
    <w:uiPriority w:val="22"/>
    <w:qFormat/>
    <w:rsid w:val="0051013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710739">
      <w:bodyDiv w:val="1"/>
      <w:marLeft w:val="0"/>
      <w:marRight w:val="0"/>
      <w:marTop w:val="0"/>
      <w:marBottom w:val="0"/>
      <w:divBdr>
        <w:top w:val="none" w:sz="0" w:space="0" w:color="auto"/>
        <w:left w:val="none" w:sz="0" w:space="0" w:color="auto"/>
        <w:bottom w:val="none" w:sz="0" w:space="0" w:color="auto"/>
        <w:right w:val="none" w:sz="0" w:space="0" w:color="auto"/>
      </w:divBdr>
      <w:divsChild>
        <w:div w:id="255984140">
          <w:marLeft w:val="0"/>
          <w:marRight w:val="0"/>
          <w:marTop w:val="0"/>
          <w:marBottom w:val="0"/>
          <w:divBdr>
            <w:top w:val="none" w:sz="0" w:space="0" w:color="auto"/>
            <w:left w:val="none" w:sz="0" w:space="0" w:color="auto"/>
            <w:bottom w:val="none" w:sz="0" w:space="0" w:color="auto"/>
            <w:right w:val="none" w:sz="0" w:space="0" w:color="auto"/>
          </w:divBdr>
        </w:div>
      </w:divsChild>
    </w:div>
    <w:div w:id="59405105">
      <w:bodyDiv w:val="1"/>
      <w:marLeft w:val="0"/>
      <w:marRight w:val="0"/>
      <w:marTop w:val="0"/>
      <w:marBottom w:val="0"/>
      <w:divBdr>
        <w:top w:val="none" w:sz="0" w:space="0" w:color="auto"/>
        <w:left w:val="none" w:sz="0" w:space="0" w:color="auto"/>
        <w:bottom w:val="none" w:sz="0" w:space="0" w:color="auto"/>
        <w:right w:val="none" w:sz="0" w:space="0" w:color="auto"/>
      </w:divBdr>
    </w:div>
    <w:div w:id="98332040">
      <w:bodyDiv w:val="1"/>
      <w:marLeft w:val="0"/>
      <w:marRight w:val="0"/>
      <w:marTop w:val="0"/>
      <w:marBottom w:val="0"/>
      <w:divBdr>
        <w:top w:val="none" w:sz="0" w:space="0" w:color="auto"/>
        <w:left w:val="none" w:sz="0" w:space="0" w:color="auto"/>
        <w:bottom w:val="none" w:sz="0" w:space="0" w:color="auto"/>
        <w:right w:val="none" w:sz="0" w:space="0" w:color="auto"/>
      </w:divBdr>
      <w:divsChild>
        <w:div w:id="128940354">
          <w:marLeft w:val="0"/>
          <w:marRight w:val="0"/>
          <w:marTop w:val="0"/>
          <w:marBottom w:val="0"/>
          <w:divBdr>
            <w:top w:val="none" w:sz="0" w:space="0" w:color="auto"/>
            <w:left w:val="none" w:sz="0" w:space="0" w:color="auto"/>
            <w:bottom w:val="none" w:sz="0" w:space="0" w:color="auto"/>
            <w:right w:val="none" w:sz="0" w:space="0" w:color="auto"/>
          </w:divBdr>
        </w:div>
      </w:divsChild>
    </w:div>
    <w:div w:id="122433803">
      <w:bodyDiv w:val="1"/>
      <w:marLeft w:val="0"/>
      <w:marRight w:val="0"/>
      <w:marTop w:val="0"/>
      <w:marBottom w:val="0"/>
      <w:divBdr>
        <w:top w:val="none" w:sz="0" w:space="0" w:color="auto"/>
        <w:left w:val="none" w:sz="0" w:space="0" w:color="auto"/>
        <w:bottom w:val="none" w:sz="0" w:space="0" w:color="auto"/>
        <w:right w:val="none" w:sz="0" w:space="0" w:color="auto"/>
      </w:divBdr>
      <w:divsChild>
        <w:div w:id="861477066">
          <w:marLeft w:val="0"/>
          <w:marRight w:val="0"/>
          <w:marTop w:val="0"/>
          <w:marBottom w:val="0"/>
          <w:divBdr>
            <w:top w:val="none" w:sz="0" w:space="0" w:color="auto"/>
            <w:left w:val="none" w:sz="0" w:space="0" w:color="auto"/>
            <w:bottom w:val="none" w:sz="0" w:space="0" w:color="auto"/>
            <w:right w:val="none" w:sz="0" w:space="0" w:color="auto"/>
          </w:divBdr>
        </w:div>
      </w:divsChild>
    </w:div>
    <w:div w:id="203444488">
      <w:bodyDiv w:val="1"/>
      <w:marLeft w:val="0"/>
      <w:marRight w:val="0"/>
      <w:marTop w:val="0"/>
      <w:marBottom w:val="0"/>
      <w:divBdr>
        <w:top w:val="none" w:sz="0" w:space="0" w:color="auto"/>
        <w:left w:val="none" w:sz="0" w:space="0" w:color="auto"/>
        <w:bottom w:val="none" w:sz="0" w:space="0" w:color="auto"/>
        <w:right w:val="none" w:sz="0" w:space="0" w:color="auto"/>
      </w:divBdr>
    </w:div>
    <w:div w:id="204486569">
      <w:bodyDiv w:val="1"/>
      <w:marLeft w:val="0"/>
      <w:marRight w:val="0"/>
      <w:marTop w:val="0"/>
      <w:marBottom w:val="0"/>
      <w:divBdr>
        <w:top w:val="none" w:sz="0" w:space="0" w:color="auto"/>
        <w:left w:val="none" w:sz="0" w:space="0" w:color="auto"/>
        <w:bottom w:val="none" w:sz="0" w:space="0" w:color="auto"/>
        <w:right w:val="none" w:sz="0" w:space="0" w:color="auto"/>
      </w:divBdr>
      <w:divsChild>
        <w:div w:id="310603143">
          <w:marLeft w:val="547"/>
          <w:marRight w:val="0"/>
          <w:marTop w:val="0"/>
          <w:marBottom w:val="0"/>
          <w:divBdr>
            <w:top w:val="none" w:sz="0" w:space="0" w:color="auto"/>
            <w:left w:val="none" w:sz="0" w:space="0" w:color="auto"/>
            <w:bottom w:val="none" w:sz="0" w:space="0" w:color="auto"/>
            <w:right w:val="none" w:sz="0" w:space="0" w:color="auto"/>
          </w:divBdr>
        </w:div>
      </w:divsChild>
    </w:div>
    <w:div w:id="214044440">
      <w:bodyDiv w:val="1"/>
      <w:marLeft w:val="0"/>
      <w:marRight w:val="0"/>
      <w:marTop w:val="0"/>
      <w:marBottom w:val="0"/>
      <w:divBdr>
        <w:top w:val="none" w:sz="0" w:space="0" w:color="auto"/>
        <w:left w:val="none" w:sz="0" w:space="0" w:color="auto"/>
        <w:bottom w:val="none" w:sz="0" w:space="0" w:color="auto"/>
        <w:right w:val="none" w:sz="0" w:space="0" w:color="auto"/>
      </w:divBdr>
    </w:div>
    <w:div w:id="220210378">
      <w:bodyDiv w:val="1"/>
      <w:marLeft w:val="0"/>
      <w:marRight w:val="0"/>
      <w:marTop w:val="0"/>
      <w:marBottom w:val="0"/>
      <w:divBdr>
        <w:top w:val="none" w:sz="0" w:space="0" w:color="auto"/>
        <w:left w:val="none" w:sz="0" w:space="0" w:color="auto"/>
        <w:bottom w:val="none" w:sz="0" w:space="0" w:color="auto"/>
        <w:right w:val="none" w:sz="0" w:space="0" w:color="auto"/>
      </w:divBdr>
    </w:div>
    <w:div w:id="237636979">
      <w:bodyDiv w:val="1"/>
      <w:marLeft w:val="0"/>
      <w:marRight w:val="0"/>
      <w:marTop w:val="0"/>
      <w:marBottom w:val="0"/>
      <w:divBdr>
        <w:top w:val="none" w:sz="0" w:space="0" w:color="auto"/>
        <w:left w:val="none" w:sz="0" w:space="0" w:color="auto"/>
        <w:bottom w:val="none" w:sz="0" w:space="0" w:color="auto"/>
        <w:right w:val="none" w:sz="0" w:space="0" w:color="auto"/>
      </w:divBdr>
      <w:divsChild>
        <w:div w:id="1292707429">
          <w:marLeft w:val="0"/>
          <w:marRight w:val="0"/>
          <w:marTop w:val="0"/>
          <w:marBottom w:val="0"/>
          <w:divBdr>
            <w:top w:val="none" w:sz="0" w:space="0" w:color="auto"/>
            <w:left w:val="none" w:sz="0" w:space="0" w:color="auto"/>
            <w:bottom w:val="none" w:sz="0" w:space="0" w:color="auto"/>
            <w:right w:val="none" w:sz="0" w:space="0" w:color="auto"/>
          </w:divBdr>
        </w:div>
      </w:divsChild>
    </w:div>
    <w:div w:id="261257063">
      <w:bodyDiv w:val="1"/>
      <w:marLeft w:val="0"/>
      <w:marRight w:val="0"/>
      <w:marTop w:val="0"/>
      <w:marBottom w:val="0"/>
      <w:divBdr>
        <w:top w:val="none" w:sz="0" w:space="0" w:color="auto"/>
        <w:left w:val="none" w:sz="0" w:space="0" w:color="auto"/>
        <w:bottom w:val="none" w:sz="0" w:space="0" w:color="auto"/>
        <w:right w:val="none" w:sz="0" w:space="0" w:color="auto"/>
      </w:divBdr>
      <w:divsChild>
        <w:div w:id="1644701442">
          <w:marLeft w:val="547"/>
          <w:marRight w:val="0"/>
          <w:marTop w:val="0"/>
          <w:marBottom w:val="0"/>
          <w:divBdr>
            <w:top w:val="none" w:sz="0" w:space="0" w:color="auto"/>
            <w:left w:val="none" w:sz="0" w:space="0" w:color="auto"/>
            <w:bottom w:val="none" w:sz="0" w:space="0" w:color="auto"/>
            <w:right w:val="none" w:sz="0" w:space="0" w:color="auto"/>
          </w:divBdr>
        </w:div>
      </w:divsChild>
    </w:div>
    <w:div w:id="307443482">
      <w:bodyDiv w:val="1"/>
      <w:marLeft w:val="0"/>
      <w:marRight w:val="0"/>
      <w:marTop w:val="0"/>
      <w:marBottom w:val="0"/>
      <w:divBdr>
        <w:top w:val="none" w:sz="0" w:space="0" w:color="auto"/>
        <w:left w:val="none" w:sz="0" w:space="0" w:color="auto"/>
        <w:bottom w:val="none" w:sz="0" w:space="0" w:color="auto"/>
        <w:right w:val="none" w:sz="0" w:space="0" w:color="auto"/>
      </w:divBdr>
      <w:divsChild>
        <w:div w:id="1966420105">
          <w:marLeft w:val="0"/>
          <w:marRight w:val="0"/>
          <w:marTop w:val="0"/>
          <w:marBottom w:val="0"/>
          <w:divBdr>
            <w:top w:val="none" w:sz="0" w:space="0" w:color="auto"/>
            <w:left w:val="none" w:sz="0" w:space="0" w:color="auto"/>
            <w:bottom w:val="none" w:sz="0" w:space="0" w:color="auto"/>
            <w:right w:val="none" w:sz="0" w:space="0" w:color="auto"/>
          </w:divBdr>
        </w:div>
      </w:divsChild>
    </w:div>
    <w:div w:id="346489558">
      <w:bodyDiv w:val="1"/>
      <w:marLeft w:val="0"/>
      <w:marRight w:val="0"/>
      <w:marTop w:val="0"/>
      <w:marBottom w:val="0"/>
      <w:divBdr>
        <w:top w:val="none" w:sz="0" w:space="0" w:color="auto"/>
        <w:left w:val="none" w:sz="0" w:space="0" w:color="auto"/>
        <w:bottom w:val="none" w:sz="0" w:space="0" w:color="auto"/>
        <w:right w:val="none" w:sz="0" w:space="0" w:color="auto"/>
      </w:divBdr>
    </w:div>
    <w:div w:id="384304955">
      <w:bodyDiv w:val="1"/>
      <w:marLeft w:val="0"/>
      <w:marRight w:val="0"/>
      <w:marTop w:val="0"/>
      <w:marBottom w:val="0"/>
      <w:divBdr>
        <w:top w:val="none" w:sz="0" w:space="0" w:color="auto"/>
        <w:left w:val="none" w:sz="0" w:space="0" w:color="auto"/>
        <w:bottom w:val="none" w:sz="0" w:space="0" w:color="auto"/>
        <w:right w:val="none" w:sz="0" w:space="0" w:color="auto"/>
      </w:divBdr>
      <w:divsChild>
        <w:div w:id="624963594">
          <w:marLeft w:val="0"/>
          <w:marRight w:val="0"/>
          <w:marTop w:val="0"/>
          <w:marBottom w:val="0"/>
          <w:divBdr>
            <w:top w:val="none" w:sz="0" w:space="0" w:color="auto"/>
            <w:left w:val="none" w:sz="0" w:space="0" w:color="auto"/>
            <w:bottom w:val="none" w:sz="0" w:space="0" w:color="auto"/>
            <w:right w:val="none" w:sz="0" w:space="0" w:color="auto"/>
          </w:divBdr>
        </w:div>
      </w:divsChild>
    </w:div>
    <w:div w:id="463930825">
      <w:bodyDiv w:val="1"/>
      <w:marLeft w:val="0"/>
      <w:marRight w:val="0"/>
      <w:marTop w:val="0"/>
      <w:marBottom w:val="0"/>
      <w:divBdr>
        <w:top w:val="none" w:sz="0" w:space="0" w:color="auto"/>
        <w:left w:val="none" w:sz="0" w:space="0" w:color="auto"/>
        <w:bottom w:val="none" w:sz="0" w:space="0" w:color="auto"/>
        <w:right w:val="none" w:sz="0" w:space="0" w:color="auto"/>
      </w:divBdr>
      <w:divsChild>
        <w:div w:id="383800253">
          <w:marLeft w:val="547"/>
          <w:marRight w:val="0"/>
          <w:marTop w:val="0"/>
          <w:marBottom w:val="0"/>
          <w:divBdr>
            <w:top w:val="none" w:sz="0" w:space="0" w:color="auto"/>
            <w:left w:val="none" w:sz="0" w:space="0" w:color="auto"/>
            <w:bottom w:val="none" w:sz="0" w:space="0" w:color="auto"/>
            <w:right w:val="none" w:sz="0" w:space="0" w:color="auto"/>
          </w:divBdr>
        </w:div>
      </w:divsChild>
    </w:div>
    <w:div w:id="480928154">
      <w:bodyDiv w:val="1"/>
      <w:marLeft w:val="0"/>
      <w:marRight w:val="0"/>
      <w:marTop w:val="0"/>
      <w:marBottom w:val="0"/>
      <w:divBdr>
        <w:top w:val="none" w:sz="0" w:space="0" w:color="auto"/>
        <w:left w:val="none" w:sz="0" w:space="0" w:color="auto"/>
        <w:bottom w:val="none" w:sz="0" w:space="0" w:color="auto"/>
        <w:right w:val="none" w:sz="0" w:space="0" w:color="auto"/>
      </w:divBdr>
    </w:div>
    <w:div w:id="515585196">
      <w:bodyDiv w:val="1"/>
      <w:marLeft w:val="0"/>
      <w:marRight w:val="0"/>
      <w:marTop w:val="0"/>
      <w:marBottom w:val="0"/>
      <w:divBdr>
        <w:top w:val="none" w:sz="0" w:space="0" w:color="auto"/>
        <w:left w:val="none" w:sz="0" w:space="0" w:color="auto"/>
        <w:bottom w:val="none" w:sz="0" w:space="0" w:color="auto"/>
        <w:right w:val="none" w:sz="0" w:space="0" w:color="auto"/>
      </w:divBdr>
    </w:div>
    <w:div w:id="533201247">
      <w:bodyDiv w:val="1"/>
      <w:marLeft w:val="0"/>
      <w:marRight w:val="0"/>
      <w:marTop w:val="0"/>
      <w:marBottom w:val="0"/>
      <w:divBdr>
        <w:top w:val="none" w:sz="0" w:space="0" w:color="auto"/>
        <w:left w:val="none" w:sz="0" w:space="0" w:color="auto"/>
        <w:bottom w:val="none" w:sz="0" w:space="0" w:color="auto"/>
        <w:right w:val="none" w:sz="0" w:space="0" w:color="auto"/>
      </w:divBdr>
    </w:div>
    <w:div w:id="573511192">
      <w:bodyDiv w:val="1"/>
      <w:marLeft w:val="0"/>
      <w:marRight w:val="0"/>
      <w:marTop w:val="0"/>
      <w:marBottom w:val="0"/>
      <w:divBdr>
        <w:top w:val="none" w:sz="0" w:space="0" w:color="auto"/>
        <w:left w:val="none" w:sz="0" w:space="0" w:color="auto"/>
        <w:bottom w:val="none" w:sz="0" w:space="0" w:color="auto"/>
        <w:right w:val="none" w:sz="0" w:space="0" w:color="auto"/>
      </w:divBdr>
      <w:divsChild>
        <w:div w:id="1229149504">
          <w:marLeft w:val="0"/>
          <w:marRight w:val="0"/>
          <w:marTop w:val="0"/>
          <w:marBottom w:val="0"/>
          <w:divBdr>
            <w:top w:val="none" w:sz="0" w:space="0" w:color="auto"/>
            <w:left w:val="none" w:sz="0" w:space="0" w:color="auto"/>
            <w:bottom w:val="none" w:sz="0" w:space="0" w:color="auto"/>
            <w:right w:val="none" w:sz="0" w:space="0" w:color="auto"/>
          </w:divBdr>
        </w:div>
      </w:divsChild>
    </w:div>
    <w:div w:id="600140206">
      <w:bodyDiv w:val="1"/>
      <w:marLeft w:val="0"/>
      <w:marRight w:val="0"/>
      <w:marTop w:val="0"/>
      <w:marBottom w:val="0"/>
      <w:divBdr>
        <w:top w:val="none" w:sz="0" w:space="0" w:color="auto"/>
        <w:left w:val="none" w:sz="0" w:space="0" w:color="auto"/>
        <w:bottom w:val="none" w:sz="0" w:space="0" w:color="auto"/>
        <w:right w:val="none" w:sz="0" w:space="0" w:color="auto"/>
      </w:divBdr>
    </w:div>
    <w:div w:id="606305120">
      <w:bodyDiv w:val="1"/>
      <w:marLeft w:val="0"/>
      <w:marRight w:val="0"/>
      <w:marTop w:val="0"/>
      <w:marBottom w:val="0"/>
      <w:divBdr>
        <w:top w:val="none" w:sz="0" w:space="0" w:color="auto"/>
        <w:left w:val="none" w:sz="0" w:space="0" w:color="auto"/>
        <w:bottom w:val="none" w:sz="0" w:space="0" w:color="auto"/>
        <w:right w:val="none" w:sz="0" w:space="0" w:color="auto"/>
      </w:divBdr>
    </w:div>
    <w:div w:id="608195899">
      <w:bodyDiv w:val="1"/>
      <w:marLeft w:val="0"/>
      <w:marRight w:val="0"/>
      <w:marTop w:val="0"/>
      <w:marBottom w:val="0"/>
      <w:divBdr>
        <w:top w:val="none" w:sz="0" w:space="0" w:color="auto"/>
        <w:left w:val="none" w:sz="0" w:space="0" w:color="auto"/>
        <w:bottom w:val="none" w:sz="0" w:space="0" w:color="auto"/>
        <w:right w:val="none" w:sz="0" w:space="0" w:color="auto"/>
      </w:divBdr>
      <w:divsChild>
        <w:div w:id="685517878">
          <w:marLeft w:val="0"/>
          <w:marRight w:val="0"/>
          <w:marTop w:val="0"/>
          <w:marBottom w:val="0"/>
          <w:divBdr>
            <w:top w:val="none" w:sz="0" w:space="0" w:color="auto"/>
            <w:left w:val="none" w:sz="0" w:space="0" w:color="auto"/>
            <w:bottom w:val="none" w:sz="0" w:space="0" w:color="auto"/>
            <w:right w:val="none" w:sz="0" w:space="0" w:color="auto"/>
          </w:divBdr>
        </w:div>
      </w:divsChild>
    </w:div>
    <w:div w:id="623779621">
      <w:bodyDiv w:val="1"/>
      <w:marLeft w:val="0"/>
      <w:marRight w:val="0"/>
      <w:marTop w:val="0"/>
      <w:marBottom w:val="0"/>
      <w:divBdr>
        <w:top w:val="none" w:sz="0" w:space="0" w:color="auto"/>
        <w:left w:val="none" w:sz="0" w:space="0" w:color="auto"/>
        <w:bottom w:val="none" w:sz="0" w:space="0" w:color="auto"/>
        <w:right w:val="none" w:sz="0" w:space="0" w:color="auto"/>
      </w:divBdr>
    </w:div>
    <w:div w:id="635063340">
      <w:bodyDiv w:val="1"/>
      <w:marLeft w:val="0"/>
      <w:marRight w:val="0"/>
      <w:marTop w:val="0"/>
      <w:marBottom w:val="0"/>
      <w:divBdr>
        <w:top w:val="none" w:sz="0" w:space="0" w:color="auto"/>
        <w:left w:val="none" w:sz="0" w:space="0" w:color="auto"/>
        <w:bottom w:val="none" w:sz="0" w:space="0" w:color="auto"/>
        <w:right w:val="none" w:sz="0" w:space="0" w:color="auto"/>
      </w:divBdr>
    </w:div>
    <w:div w:id="694119791">
      <w:bodyDiv w:val="1"/>
      <w:marLeft w:val="0"/>
      <w:marRight w:val="0"/>
      <w:marTop w:val="0"/>
      <w:marBottom w:val="0"/>
      <w:divBdr>
        <w:top w:val="none" w:sz="0" w:space="0" w:color="auto"/>
        <w:left w:val="none" w:sz="0" w:space="0" w:color="auto"/>
        <w:bottom w:val="none" w:sz="0" w:space="0" w:color="auto"/>
        <w:right w:val="none" w:sz="0" w:space="0" w:color="auto"/>
      </w:divBdr>
    </w:div>
    <w:div w:id="735055072">
      <w:bodyDiv w:val="1"/>
      <w:marLeft w:val="0"/>
      <w:marRight w:val="0"/>
      <w:marTop w:val="0"/>
      <w:marBottom w:val="0"/>
      <w:divBdr>
        <w:top w:val="none" w:sz="0" w:space="0" w:color="auto"/>
        <w:left w:val="none" w:sz="0" w:space="0" w:color="auto"/>
        <w:bottom w:val="none" w:sz="0" w:space="0" w:color="auto"/>
        <w:right w:val="none" w:sz="0" w:space="0" w:color="auto"/>
      </w:divBdr>
    </w:div>
    <w:div w:id="747653075">
      <w:bodyDiv w:val="1"/>
      <w:marLeft w:val="0"/>
      <w:marRight w:val="0"/>
      <w:marTop w:val="0"/>
      <w:marBottom w:val="0"/>
      <w:divBdr>
        <w:top w:val="none" w:sz="0" w:space="0" w:color="auto"/>
        <w:left w:val="none" w:sz="0" w:space="0" w:color="auto"/>
        <w:bottom w:val="none" w:sz="0" w:space="0" w:color="auto"/>
        <w:right w:val="none" w:sz="0" w:space="0" w:color="auto"/>
      </w:divBdr>
    </w:div>
    <w:div w:id="751049238">
      <w:bodyDiv w:val="1"/>
      <w:marLeft w:val="0"/>
      <w:marRight w:val="0"/>
      <w:marTop w:val="0"/>
      <w:marBottom w:val="0"/>
      <w:divBdr>
        <w:top w:val="none" w:sz="0" w:space="0" w:color="auto"/>
        <w:left w:val="none" w:sz="0" w:space="0" w:color="auto"/>
        <w:bottom w:val="none" w:sz="0" w:space="0" w:color="auto"/>
        <w:right w:val="none" w:sz="0" w:space="0" w:color="auto"/>
      </w:divBdr>
    </w:div>
    <w:div w:id="775633279">
      <w:bodyDiv w:val="1"/>
      <w:marLeft w:val="0"/>
      <w:marRight w:val="0"/>
      <w:marTop w:val="0"/>
      <w:marBottom w:val="0"/>
      <w:divBdr>
        <w:top w:val="none" w:sz="0" w:space="0" w:color="auto"/>
        <w:left w:val="none" w:sz="0" w:space="0" w:color="auto"/>
        <w:bottom w:val="none" w:sz="0" w:space="0" w:color="auto"/>
        <w:right w:val="none" w:sz="0" w:space="0" w:color="auto"/>
      </w:divBdr>
    </w:div>
    <w:div w:id="860122669">
      <w:bodyDiv w:val="1"/>
      <w:marLeft w:val="0"/>
      <w:marRight w:val="0"/>
      <w:marTop w:val="0"/>
      <w:marBottom w:val="0"/>
      <w:divBdr>
        <w:top w:val="none" w:sz="0" w:space="0" w:color="auto"/>
        <w:left w:val="none" w:sz="0" w:space="0" w:color="auto"/>
        <w:bottom w:val="none" w:sz="0" w:space="0" w:color="auto"/>
        <w:right w:val="none" w:sz="0" w:space="0" w:color="auto"/>
      </w:divBdr>
      <w:divsChild>
        <w:div w:id="947814167">
          <w:marLeft w:val="0"/>
          <w:marRight w:val="0"/>
          <w:marTop w:val="0"/>
          <w:marBottom w:val="0"/>
          <w:divBdr>
            <w:top w:val="none" w:sz="0" w:space="0" w:color="auto"/>
            <w:left w:val="none" w:sz="0" w:space="0" w:color="auto"/>
            <w:bottom w:val="none" w:sz="0" w:space="0" w:color="auto"/>
            <w:right w:val="none" w:sz="0" w:space="0" w:color="auto"/>
          </w:divBdr>
        </w:div>
      </w:divsChild>
    </w:div>
    <w:div w:id="878933843">
      <w:bodyDiv w:val="1"/>
      <w:marLeft w:val="0"/>
      <w:marRight w:val="0"/>
      <w:marTop w:val="0"/>
      <w:marBottom w:val="0"/>
      <w:divBdr>
        <w:top w:val="none" w:sz="0" w:space="0" w:color="auto"/>
        <w:left w:val="none" w:sz="0" w:space="0" w:color="auto"/>
        <w:bottom w:val="none" w:sz="0" w:space="0" w:color="auto"/>
        <w:right w:val="none" w:sz="0" w:space="0" w:color="auto"/>
      </w:divBdr>
    </w:div>
    <w:div w:id="905380026">
      <w:bodyDiv w:val="1"/>
      <w:marLeft w:val="0"/>
      <w:marRight w:val="0"/>
      <w:marTop w:val="0"/>
      <w:marBottom w:val="0"/>
      <w:divBdr>
        <w:top w:val="none" w:sz="0" w:space="0" w:color="auto"/>
        <w:left w:val="none" w:sz="0" w:space="0" w:color="auto"/>
        <w:bottom w:val="none" w:sz="0" w:space="0" w:color="auto"/>
        <w:right w:val="none" w:sz="0" w:space="0" w:color="auto"/>
      </w:divBdr>
    </w:div>
    <w:div w:id="916521422">
      <w:bodyDiv w:val="1"/>
      <w:marLeft w:val="0"/>
      <w:marRight w:val="0"/>
      <w:marTop w:val="0"/>
      <w:marBottom w:val="0"/>
      <w:divBdr>
        <w:top w:val="none" w:sz="0" w:space="0" w:color="auto"/>
        <w:left w:val="none" w:sz="0" w:space="0" w:color="auto"/>
        <w:bottom w:val="none" w:sz="0" w:space="0" w:color="auto"/>
        <w:right w:val="none" w:sz="0" w:space="0" w:color="auto"/>
      </w:divBdr>
      <w:divsChild>
        <w:div w:id="70127738">
          <w:marLeft w:val="0"/>
          <w:marRight w:val="0"/>
          <w:marTop w:val="0"/>
          <w:marBottom w:val="0"/>
          <w:divBdr>
            <w:top w:val="none" w:sz="0" w:space="0" w:color="auto"/>
            <w:left w:val="none" w:sz="0" w:space="0" w:color="auto"/>
            <w:bottom w:val="none" w:sz="0" w:space="0" w:color="auto"/>
            <w:right w:val="none" w:sz="0" w:space="0" w:color="auto"/>
          </w:divBdr>
          <w:divsChild>
            <w:div w:id="116072640">
              <w:marLeft w:val="0"/>
              <w:marRight w:val="0"/>
              <w:marTop w:val="0"/>
              <w:marBottom w:val="0"/>
              <w:divBdr>
                <w:top w:val="none" w:sz="0" w:space="0" w:color="auto"/>
                <w:left w:val="none" w:sz="0" w:space="0" w:color="auto"/>
                <w:bottom w:val="none" w:sz="0" w:space="0" w:color="auto"/>
                <w:right w:val="none" w:sz="0" w:space="0" w:color="auto"/>
              </w:divBdr>
              <w:divsChild>
                <w:div w:id="2107915679">
                  <w:marLeft w:val="0"/>
                  <w:marRight w:val="0"/>
                  <w:marTop w:val="0"/>
                  <w:marBottom w:val="0"/>
                  <w:divBdr>
                    <w:top w:val="none" w:sz="0" w:space="0" w:color="auto"/>
                    <w:left w:val="none" w:sz="0" w:space="0" w:color="auto"/>
                    <w:bottom w:val="none" w:sz="0" w:space="0" w:color="auto"/>
                    <w:right w:val="none" w:sz="0" w:space="0" w:color="auto"/>
                  </w:divBdr>
                  <w:divsChild>
                    <w:div w:id="1637833507">
                      <w:marLeft w:val="0"/>
                      <w:marRight w:val="0"/>
                      <w:marTop w:val="0"/>
                      <w:marBottom w:val="0"/>
                      <w:divBdr>
                        <w:top w:val="none" w:sz="0" w:space="0" w:color="auto"/>
                        <w:left w:val="none" w:sz="0" w:space="0" w:color="auto"/>
                        <w:bottom w:val="none" w:sz="0" w:space="0" w:color="auto"/>
                        <w:right w:val="none" w:sz="0" w:space="0" w:color="auto"/>
                      </w:divBdr>
                      <w:divsChild>
                        <w:div w:id="405806712">
                          <w:marLeft w:val="0"/>
                          <w:marRight w:val="0"/>
                          <w:marTop w:val="0"/>
                          <w:marBottom w:val="0"/>
                          <w:divBdr>
                            <w:top w:val="none" w:sz="0" w:space="0" w:color="auto"/>
                            <w:left w:val="none" w:sz="0" w:space="0" w:color="auto"/>
                            <w:bottom w:val="none" w:sz="0" w:space="0" w:color="auto"/>
                            <w:right w:val="none" w:sz="0" w:space="0" w:color="auto"/>
                          </w:divBdr>
                          <w:divsChild>
                            <w:div w:id="73281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9263446">
      <w:bodyDiv w:val="1"/>
      <w:marLeft w:val="0"/>
      <w:marRight w:val="0"/>
      <w:marTop w:val="0"/>
      <w:marBottom w:val="0"/>
      <w:divBdr>
        <w:top w:val="none" w:sz="0" w:space="0" w:color="auto"/>
        <w:left w:val="none" w:sz="0" w:space="0" w:color="auto"/>
        <w:bottom w:val="none" w:sz="0" w:space="0" w:color="auto"/>
        <w:right w:val="none" w:sz="0" w:space="0" w:color="auto"/>
      </w:divBdr>
      <w:divsChild>
        <w:div w:id="977418092">
          <w:marLeft w:val="0"/>
          <w:marRight w:val="0"/>
          <w:marTop w:val="0"/>
          <w:marBottom w:val="0"/>
          <w:divBdr>
            <w:top w:val="none" w:sz="0" w:space="0" w:color="auto"/>
            <w:left w:val="none" w:sz="0" w:space="0" w:color="auto"/>
            <w:bottom w:val="none" w:sz="0" w:space="0" w:color="auto"/>
            <w:right w:val="none" w:sz="0" w:space="0" w:color="auto"/>
          </w:divBdr>
        </w:div>
      </w:divsChild>
    </w:div>
    <w:div w:id="949359151">
      <w:bodyDiv w:val="1"/>
      <w:marLeft w:val="0"/>
      <w:marRight w:val="0"/>
      <w:marTop w:val="0"/>
      <w:marBottom w:val="0"/>
      <w:divBdr>
        <w:top w:val="none" w:sz="0" w:space="0" w:color="auto"/>
        <w:left w:val="none" w:sz="0" w:space="0" w:color="auto"/>
        <w:bottom w:val="none" w:sz="0" w:space="0" w:color="auto"/>
        <w:right w:val="none" w:sz="0" w:space="0" w:color="auto"/>
      </w:divBdr>
    </w:div>
    <w:div w:id="1007515931">
      <w:bodyDiv w:val="1"/>
      <w:marLeft w:val="0"/>
      <w:marRight w:val="0"/>
      <w:marTop w:val="0"/>
      <w:marBottom w:val="0"/>
      <w:divBdr>
        <w:top w:val="none" w:sz="0" w:space="0" w:color="auto"/>
        <w:left w:val="none" w:sz="0" w:space="0" w:color="auto"/>
        <w:bottom w:val="none" w:sz="0" w:space="0" w:color="auto"/>
        <w:right w:val="none" w:sz="0" w:space="0" w:color="auto"/>
      </w:divBdr>
    </w:div>
    <w:div w:id="1014527709">
      <w:bodyDiv w:val="1"/>
      <w:marLeft w:val="0"/>
      <w:marRight w:val="0"/>
      <w:marTop w:val="0"/>
      <w:marBottom w:val="0"/>
      <w:divBdr>
        <w:top w:val="none" w:sz="0" w:space="0" w:color="auto"/>
        <w:left w:val="none" w:sz="0" w:space="0" w:color="auto"/>
        <w:bottom w:val="none" w:sz="0" w:space="0" w:color="auto"/>
        <w:right w:val="none" w:sz="0" w:space="0" w:color="auto"/>
      </w:divBdr>
    </w:div>
    <w:div w:id="1027409105">
      <w:bodyDiv w:val="1"/>
      <w:marLeft w:val="0"/>
      <w:marRight w:val="0"/>
      <w:marTop w:val="0"/>
      <w:marBottom w:val="0"/>
      <w:divBdr>
        <w:top w:val="none" w:sz="0" w:space="0" w:color="auto"/>
        <w:left w:val="none" w:sz="0" w:space="0" w:color="auto"/>
        <w:bottom w:val="none" w:sz="0" w:space="0" w:color="auto"/>
        <w:right w:val="none" w:sz="0" w:space="0" w:color="auto"/>
      </w:divBdr>
    </w:div>
    <w:div w:id="1066681347">
      <w:bodyDiv w:val="1"/>
      <w:marLeft w:val="0"/>
      <w:marRight w:val="0"/>
      <w:marTop w:val="0"/>
      <w:marBottom w:val="0"/>
      <w:divBdr>
        <w:top w:val="none" w:sz="0" w:space="0" w:color="auto"/>
        <w:left w:val="none" w:sz="0" w:space="0" w:color="auto"/>
        <w:bottom w:val="none" w:sz="0" w:space="0" w:color="auto"/>
        <w:right w:val="none" w:sz="0" w:space="0" w:color="auto"/>
      </w:divBdr>
    </w:div>
    <w:div w:id="1085343513">
      <w:bodyDiv w:val="1"/>
      <w:marLeft w:val="0"/>
      <w:marRight w:val="0"/>
      <w:marTop w:val="0"/>
      <w:marBottom w:val="0"/>
      <w:divBdr>
        <w:top w:val="none" w:sz="0" w:space="0" w:color="auto"/>
        <w:left w:val="none" w:sz="0" w:space="0" w:color="auto"/>
        <w:bottom w:val="none" w:sz="0" w:space="0" w:color="auto"/>
        <w:right w:val="none" w:sz="0" w:space="0" w:color="auto"/>
      </w:divBdr>
      <w:divsChild>
        <w:div w:id="858272676">
          <w:marLeft w:val="0"/>
          <w:marRight w:val="0"/>
          <w:marTop w:val="0"/>
          <w:marBottom w:val="0"/>
          <w:divBdr>
            <w:top w:val="none" w:sz="0" w:space="0" w:color="auto"/>
            <w:left w:val="none" w:sz="0" w:space="0" w:color="auto"/>
            <w:bottom w:val="none" w:sz="0" w:space="0" w:color="auto"/>
            <w:right w:val="none" w:sz="0" w:space="0" w:color="auto"/>
          </w:divBdr>
        </w:div>
      </w:divsChild>
    </w:div>
    <w:div w:id="1089810984">
      <w:bodyDiv w:val="1"/>
      <w:marLeft w:val="0"/>
      <w:marRight w:val="0"/>
      <w:marTop w:val="0"/>
      <w:marBottom w:val="0"/>
      <w:divBdr>
        <w:top w:val="none" w:sz="0" w:space="0" w:color="auto"/>
        <w:left w:val="none" w:sz="0" w:space="0" w:color="auto"/>
        <w:bottom w:val="none" w:sz="0" w:space="0" w:color="auto"/>
        <w:right w:val="none" w:sz="0" w:space="0" w:color="auto"/>
      </w:divBdr>
    </w:div>
    <w:div w:id="1092706576">
      <w:bodyDiv w:val="1"/>
      <w:marLeft w:val="0"/>
      <w:marRight w:val="0"/>
      <w:marTop w:val="0"/>
      <w:marBottom w:val="0"/>
      <w:divBdr>
        <w:top w:val="none" w:sz="0" w:space="0" w:color="auto"/>
        <w:left w:val="none" w:sz="0" w:space="0" w:color="auto"/>
        <w:bottom w:val="none" w:sz="0" w:space="0" w:color="auto"/>
        <w:right w:val="none" w:sz="0" w:space="0" w:color="auto"/>
      </w:divBdr>
    </w:div>
    <w:div w:id="1093011738">
      <w:bodyDiv w:val="1"/>
      <w:marLeft w:val="0"/>
      <w:marRight w:val="0"/>
      <w:marTop w:val="0"/>
      <w:marBottom w:val="0"/>
      <w:divBdr>
        <w:top w:val="none" w:sz="0" w:space="0" w:color="auto"/>
        <w:left w:val="none" w:sz="0" w:space="0" w:color="auto"/>
        <w:bottom w:val="none" w:sz="0" w:space="0" w:color="auto"/>
        <w:right w:val="none" w:sz="0" w:space="0" w:color="auto"/>
      </w:divBdr>
      <w:divsChild>
        <w:div w:id="316299595">
          <w:marLeft w:val="0"/>
          <w:marRight w:val="0"/>
          <w:marTop w:val="0"/>
          <w:marBottom w:val="0"/>
          <w:divBdr>
            <w:top w:val="none" w:sz="0" w:space="0" w:color="auto"/>
            <w:left w:val="none" w:sz="0" w:space="0" w:color="auto"/>
            <w:bottom w:val="none" w:sz="0" w:space="0" w:color="auto"/>
            <w:right w:val="none" w:sz="0" w:space="0" w:color="auto"/>
          </w:divBdr>
          <w:divsChild>
            <w:div w:id="254631563">
              <w:marLeft w:val="0"/>
              <w:marRight w:val="0"/>
              <w:marTop w:val="0"/>
              <w:marBottom w:val="0"/>
              <w:divBdr>
                <w:top w:val="none" w:sz="0" w:space="0" w:color="auto"/>
                <w:left w:val="none" w:sz="0" w:space="0" w:color="auto"/>
                <w:bottom w:val="none" w:sz="0" w:space="0" w:color="auto"/>
                <w:right w:val="none" w:sz="0" w:space="0" w:color="auto"/>
              </w:divBdr>
              <w:divsChild>
                <w:div w:id="1476265204">
                  <w:marLeft w:val="0"/>
                  <w:marRight w:val="0"/>
                  <w:marTop w:val="0"/>
                  <w:marBottom w:val="0"/>
                  <w:divBdr>
                    <w:top w:val="none" w:sz="0" w:space="0" w:color="auto"/>
                    <w:left w:val="none" w:sz="0" w:space="0" w:color="auto"/>
                    <w:bottom w:val="none" w:sz="0" w:space="0" w:color="auto"/>
                    <w:right w:val="none" w:sz="0" w:space="0" w:color="auto"/>
                  </w:divBdr>
                  <w:divsChild>
                    <w:div w:id="1154568543">
                      <w:marLeft w:val="0"/>
                      <w:marRight w:val="0"/>
                      <w:marTop w:val="0"/>
                      <w:marBottom w:val="0"/>
                      <w:divBdr>
                        <w:top w:val="none" w:sz="0" w:space="0" w:color="auto"/>
                        <w:left w:val="none" w:sz="0" w:space="0" w:color="auto"/>
                        <w:bottom w:val="none" w:sz="0" w:space="0" w:color="auto"/>
                        <w:right w:val="none" w:sz="0" w:space="0" w:color="auto"/>
                      </w:divBdr>
                      <w:divsChild>
                        <w:div w:id="1337801193">
                          <w:marLeft w:val="0"/>
                          <w:marRight w:val="0"/>
                          <w:marTop w:val="0"/>
                          <w:marBottom w:val="0"/>
                          <w:divBdr>
                            <w:top w:val="none" w:sz="0" w:space="0" w:color="auto"/>
                            <w:left w:val="none" w:sz="0" w:space="0" w:color="auto"/>
                            <w:bottom w:val="none" w:sz="0" w:space="0" w:color="auto"/>
                            <w:right w:val="none" w:sz="0" w:space="0" w:color="auto"/>
                          </w:divBdr>
                          <w:divsChild>
                            <w:div w:id="684358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5480360">
      <w:bodyDiv w:val="1"/>
      <w:marLeft w:val="0"/>
      <w:marRight w:val="0"/>
      <w:marTop w:val="0"/>
      <w:marBottom w:val="0"/>
      <w:divBdr>
        <w:top w:val="none" w:sz="0" w:space="0" w:color="auto"/>
        <w:left w:val="none" w:sz="0" w:space="0" w:color="auto"/>
        <w:bottom w:val="none" w:sz="0" w:space="0" w:color="auto"/>
        <w:right w:val="none" w:sz="0" w:space="0" w:color="auto"/>
      </w:divBdr>
    </w:div>
    <w:div w:id="1212185665">
      <w:bodyDiv w:val="1"/>
      <w:marLeft w:val="0"/>
      <w:marRight w:val="0"/>
      <w:marTop w:val="0"/>
      <w:marBottom w:val="0"/>
      <w:divBdr>
        <w:top w:val="none" w:sz="0" w:space="0" w:color="auto"/>
        <w:left w:val="none" w:sz="0" w:space="0" w:color="auto"/>
        <w:bottom w:val="none" w:sz="0" w:space="0" w:color="auto"/>
        <w:right w:val="none" w:sz="0" w:space="0" w:color="auto"/>
      </w:divBdr>
    </w:div>
    <w:div w:id="1356619241">
      <w:bodyDiv w:val="1"/>
      <w:marLeft w:val="0"/>
      <w:marRight w:val="0"/>
      <w:marTop w:val="0"/>
      <w:marBottom w:val="0"/>
      <w:divBdr>
        <w:top w:val="none" w:sz="0" w:space="0" w:color="auto"/>
        <w:left w:val="none" w:sz="0" w:space="0" w:color="auto"/>
        <w:bottom w:val="none" w:sz="0" w:space="0" w:color="auto"/>
        <w:right w:val="none" w:sz="0" w:space="0" w:color="auto"/>
      </w:divBdr>
    </w:div>
    <w:div w:id="1384479450">
      <w:bodyDiv w:val="1"/>
      <w:marLeft w:val="0"/>
      <w:marRight w:val="0"/>
      <w:marTop w:val="0"/>
      <w:marBottom w:val="0"/>
      <w:divBdr>
        <w:top w:val="none" w:sz="0" w:space="0" w:color="auto"/>
        <w:left w:val="none" w:sz="0" w:space="0" w:color="auto"/>
        <w:bottom w:val="none" w:sz="0" w:space="0" w:color="auto"/>
        <w:right w:val="none" w:sz="0" w:space="0" w:color="auto"/>
      </w:divBdr>
    </w:div>
    <w:div w:id="1420365477">
      <w:bodyDiv w:val="1"/>
      <w:marLeft w:val="0"/>
      <w:marRight w:val="0"/>
      <w:marTop w:val="0"/>
      <w:marBottom w:val="0"/>
      <w:divBdr>
        <w:top w:val="none" w:sz="0" w:space="0" w:color="auto"/>
        <w:left w:val="none" w:sz="0" w:space="0" w:color="auto"/>
        <w:bottom w:val="none" w:sz="0" w:space="0" w:color="auto"/>
        <w:right w:val="none" w:sz="0" w:space="0" w:color="auto"/>
      </w:divBdr>
    </w:div>
    <w:div w:id="1512641994">
      <w:bodyDiv w:val="1"/>
      <w:marLeft w:val="0"/>
      <w:marRight w:val="0"/>
      <w:marTop w:val="0"/>
      <w:marBottom w:val="0"/>
      <w:divBdr>
        <w:top w:val="none" w:sz="0" w:space="0" w:color="auto"/>
        <w:left w:val="none" w:sz="0" w:space="0" w:color="auto"/>
        <w:bottom w:val="none" w:sz="0" w:space="0" w:color="auto"/>
        <w:right w:val="none" w:sz="0" w:space="0" w:color="auto"/>
      </w:divBdr>
      <w:divsChild>
        <w:div w:id="1942451017">
          <w:marLeft w:val="0"/>
          <w:marRight w:val="0"/>
          <w:marTop w:val="0"/>
          <w:marBottom w:val="0"/>
          <w:divBdr>
            <w:top w:val="none" w:sz="0" w:space="0" w:color="auto"/>
            <w:left w:val="none" w:sz="0" w:space="0" w:color="auto"/>
            <w:bottom w:val="none" w:sz="0" w:space="0" w:color="auto"/>
            <w:right w:val="none" w:sz="0" w:space="0" w:color="auto"/>
          </w:divBdr>
          <w:divsChild>
            <w:div w:id="1892307590">
              <w:marLeft w:val="0"/>
              <w:marRight w:val="0"/>
              <w:marTop w:val="0"/>
              <w:marBottom w:val="0"/>
              <w:divBdr>
                <w:top w:val="none" w:sz="0" w:space="0" w:color="auto"/>
                <w:left w:val="none" w:sz="0" w:space="0" w:color="auto"/>
                <w:bottom w:val="none" w:sz="0" w:space="0" w:color="auto"/>
                <w:right w:val="none" w:sz="0" w:space="0" w:color="auto"/>
              </w:divBdr>
              <w:divsChild>
                <w:div w:id="1756895427">
                  <w:marLeft w:val="0"/>
                  <w:marRight w:val="0"/>
                  <w:marTop w:val="0"/>
                  <w:marBottom w:val="0"/>
                  <w:divBdr>
                    <w:top w:val="none" w:sz="0" w:space="0" w:color="auto"/>
                    <w:left w:val="none" w:sz="0" w:space="0" w:color="auto"/>
                    <w:bottom w:val="none" w:sz="0" w:space="0" w:color="auto"/>
                    <w:right w:val="none" w:sz="0" w:space="0" w:color="auto"/>
                  </w:divBdr>
                  <w:divsChild>
                    <w:div w:id="1444111610">
                      <w:marLeft w:val="0"/>
                      <w:marRight w:val="0"/>
                      <w:marTop w:val="0"/>
                      <w:marBottom w:val="1473"/>
                      <w:divBdr>
                        <w:top w:val="none" w:sz="0" w:space="0" w:color="auto"/>
                        <w:left w:val="none" w:sz="0" w:space="0" w:color="auto"/>
                        <w:bottom w:val="none" w:sz="0" w:space="0" w:color="auto"/>
                        <w:right w:val="none" w:sz="0" w:space="0" w:color="auto"/>
                      </w:divBdr>
                      <w:divsChild>
                        <w:div w:id="1945183026">
                          <w:marLeft w:val="0"/>
                          <w:marRight w:val="0"/>
                          <w:marTop w:val="0"/>
                          <w:marBottom w:val="0"/>
                          <w:divBdr>
                            <w:top w:val="none" w:sz="0" w:space="0" w:color="auto"/>
                            <w:left w:val="none" w:sz="0" w:space="0" w:color="auto"/>
                            <w:bottom w:val="none" w:sz="0" w:space="0" w:color="auto"/>
                            <w:right w:val="none" w:sz="0" w:space="0" w:color="auto"/>
                          </w:divBdr>
                          <w:divsChild>
                            <w:div w:id="607735560">
                              <w:marLeft w:val="0"/>
                              <w:marRight w:val="0"/>
                              <w:marTop w:val="0"/>
                              <w:marBottom w:val="0"/>
                              <w:divBdr>
                                <w:top w:val="none" w:sz="0" w:space="0" w:color="auto"/>
                                <w:left w:val="none" w:sz="0" w:space="0" w:color="auto"/>
                                <w:bottom w:val="none" w:sz="0" w:space="0" w:color="auto"/>
                                <w:right w:val="none" w:sz="0" w:space="0" w:color="auto"/>
                              </w:divBdr>
                              <w:divsChild>
                                <w:div w:id="125323071">
                                  <w:marLeft w:val="0"/>
                                  <w:marRight w:val="0"/>
                                  <w:marTop w:val="0"/>
                                  <w:marBottom w:val="0"/>
                                  <w:divBdr>
                                    <w:top w:val="none" w:sz="0" w:space="0" w:color="auto"/>
                                    <w:left w:val="none" w:sz="0" w:space="0" w:color="auto"/>
                                    <w:bottom w:val="none" w:sz="0" w:space="0" w:color="auto"/>
                                    <w:right w:val="none" w:sz="0" w:space="0" w:color="auto"/>
                                  </w:divBdr>
                                </w:div>
                                <w:div w:id="1615205813">
                                  <w:marLeft w:val="0"/>
                                  <w:marRight w:val="0"/>
                                  <w:marTop w:val="0"/>
                                  <w:marBottom w:val="0"/>
                                  <w:divBdr>
                                    <w:top w:val="none" w:sz="0" w:space="0" w:color="auto"/>
                                    <w:left w:val="none" w:sz="0" w:space="0" w:color="auto"/>
                                    <w:bottom w:val="none" w:sz="0" w:space="0" w:color="auto"/>
                                    <w:right w:val="none" w:sz="0" w:space="0" w:color="auto"/>
                                  </w:divBdr>
                                </w:div>
                                <w:div w:id="1407722966">
                                  <w:marLeft w:val="0"/>
                                  <w:marRight w:val="0"/>
                                  <w:marTop w:val="0"/>
                                  <w:marBottom w:val="0"/>
                                  <w:divBdr>
                                    <w:top w:val="none" w:sz="0" w:space="0" w:color="auto"/>
                                    <w:left w:val="none" w:sz="0" w:space="0" w:color="auto"/>
                                    <w:bottom w:val="none" w:sz="0" w:space="0" w:color="auto"/>
                                    <w:right w:val="none" w:sz="0" w:space="0" w:color="auto"/>
                                  </w:divBdr>
                                </w:div>
                                <w:div w:id="199323441">
                                  <w:marLeft w:val="0"/>
                                  <w:marRight w:val="0"/>
                                  <w:marTop w:val="0"/>
                                  <w:marBottom w:val="0"/>
                                  <w:divBdr>
                                    <w:top w:val="none" w:sz="0" w:space="0" w:color="auto"/>
                                    <w:left w:val="none" w:sz="0" w:space="0" w:color="auto"/>
                                    <w:bottom w:val="none" w:sz="0" w:space="0" w:color="auto"/>
                                    <w:right w:val="none" w:sz="0" w:space="0" w:color="auto"/>
                                  </w:divBdr>
                                </w:div>
                                <w:div w:id="1705708887">
                                  <w:marLeft w:val="0"/>
                                  <w:marRight w:val="0"/>
                                  <w:marTop w:val="0"/>
                                  <w:marBottom w:val="0"/>
                                  <w:divBdr>
                                    <w:top w:val="none" w:sz="0" w:space="0" w:color="auto"/>
                                    <w:left w:val="none" w:sz="0" w:space="0" w:color="auto"/>
                                    <w:bottom w:val="none" w:sz="0" w:space="0" w:color="auto"/>
                                    <w:right w:val="none" w:sz="0" w:space="0" w:color="auto"/>
                                  </w:divBdr>
                                </w:div>
                                <w:div w:id="1419214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34612550">
      <w:bodyDiv w:val="1"/>
      <w:marLeft w:val="0"/>
      <w:marRight w:val="0"/>
      <w:marTop w:val="0"/>
      <w:marBottom w:val="0"/>
      <w:divBdr>
        <w:top w:val="none" w:sz="0" w:space="0" w:color="auto"/>
        <w:left w:val="none" w:sz="0" w:space="0" w:color="auto"/>
        <w:bottom w:val="none" w:sz="0" w:space="0" w:color="auto"/>
        <w:right w:val="none" w:sz="0" w:space="0" w:color="auto"/>
      </w:divBdr>
    </w:div>
    <w:div w:id="1611012574">
      <w:bodyDiv w:val="1"/>
      <w:marLeft w:val="0"/>
      <w:marRight w:val="0"/>
      <w:marTop w:val="0"/>
      <w:marBottom w:val="0"/>
      <w:divBdr>
        <w:top w:val="none" w:sz="0" w:space="0" w:color="auto"/>
        <w:left w:val="none" w:sz="0" w:space="0" w:color="auto"/>
        <w:bottom w:val="none" w:sz="0" w:space="0" w:color="auto"/>
        <w:right w:val="none" w:sz="0" w:space="0" w:color="auto"/>
      </w:divBdr>
    </w:div>
    <w:div w:id="1625235254">
      <w:bodyDiv w:val="1"/>
      <w:marLeft w:val="0"/>
      <w:marRight w:val="0"/>
      <w:marTop w:val="0"/>
      <w:marBottom w:val="0"/>
      <w:divBdr>
        <w:top w:val="none" w:sz="0" w:space="0" w:color="auto"/>
        <w:left w:val="none" w:sz="0" w:space="0" w:color="auto"/>
        <w:bottom w:val="none" w:sz="0" w:space="0" w:color="auto"/>
        <w:right w:val="none" w:sz="0" w:space="0" w:color="auto"/>
      </w:divBdr>
    </w:div>
    <w:div w:id="1640070829">
      <w:bodyDiv w:val="1"/>
      <w:marLeft w:val="0"/>
      <w:marRight w:val="0"/>
      <w:marTop w:val="0"/>
      <w:marBottom w:val="0"/>
      <w:divBdr>
        <w:top w:val="none" w:sz="0" w:space="0" w:color="auto"/>
        <w:left w:val="none" w:sz="0" w:space="0" w:color="auto"/>
        <w:bottom w:val="none" w:sz="0" w:space="0" w:color="auto"/>
        <w:right w:val="none" w:sz="0" w:space="0" w:color="auto"/>
      </w:divBdr>
      <w:divsChild>
        <w:div w:id="181826814">
          <w:marLeft w:val="0"/>
          <w:marRight w:val="0"/>
          <w:marTop w:val="0"/>
          <w:marBottom w:val="0"/>
          <w:divBdr>
            <w:top w:val="none" w:sz="0" w:space="0" w:color="auto"/>
            <w:left w:val="none" w:sz="0" w:space="0" w:color="auto"/>
            <w:bottom w:val="none" w:sz="0" w:space="0" w:color="auto"/>
            <w:right w:val="none" w:sz="0" w:space="0" w:color="auto"/>
          </w:divBdr>
          <w:divsChild>
            <w:div w:id="1066414647">
              <w:marLeft w:val="0"/>
              <w:marRight w:val="0"/>
              <w:marTop w:val="0"/>
              <w:marBottom w:val="0"/>
              <w:divBdr>
                <w:top w:val="none" w:sz="0" w:space="0" w:color="auto"/>
                <w:left w:val="none" w:sz="0" w:space="0" w:color="auto"/>
                <w:bottom w:val="none" w:sz="0" w:space="0" w:color="auto"/>
                <w:right w:val="none" w:sz="0" w:space="0" w:color="auto"/>
              </w:divBdr>
              <w:divsChild>
                <w:div w:id="104691342">
                  <w:marLeft w:val="0"/>
                  <w:marRight w:val="0"/>
                  <w:marTop w:val="0"/>
                  <w:marBottom w:val="0"/>
                  <w:divBdr>
                    <w:top w:val="none" w:sz="0" w:space="0" w:color="auto"/>
                    <w:left w:val="none" w:sz="0" w:space="0" w:color="auto"/>
                    <w:bottom w:val="none" w:sz="0" w:space="0" w:color="auto"/>
                    <w:right w:val="none" w:sz="0" w:space="0" w:color="auto"/>
                  </w:divBdr>
                  <w:divsChild>
                    <w:div w:id="146870530">
                      <w:marLeft w:val="0"/>
                      <w:marRight w:val="0"/>
                      <w:marTop w:val="0"/>
                      <w:marBottom w:val="0"/>
                      <w:divBdr>
                        <w:top w:val="none" w:sz="0" w:space="0" w:color="auto"/>
                        <w:left w:val="none" w:sz="0" w:space="0" w:color="auto"/>
                        <w:bottom w:val="none" w:sz="0" w:space="0" w:color="auto"/>
                        <w:right w:val="none" w:sz="0" w:space="0" w:color="auto"/>
                      </w:divBdr>
                      <w:divsChild>
                        <w:div w:id="1241210410">
                          <w:marLeft w:val="0"/>
                          <w:marRight w:val="0"/>
                          <w:marTop w:val="0"/>
                          <w:marBottom w:val="0"/>
                          <w:divBdr>
                            <w:top w:val="none" w:sz="0" w:space="0" w:color="auto"/>
                            <w:left w:val="none" w:sz="0" w:space="0" w:color="auto"/>
                            <w:bottom w:val="none" w:sz="0" w:space="0" w:color="auto"/>
                            <w:right w:val="none" w:sz="0" w:space="0" w:color="auto"/>
                          </w:divBdr>
                          <w:divsChild>
                            <w:div w:id="355038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0034203">
      <w:bodyDiv w:val="1"/>
      <w:marLeft w:val="0"/>
      <w:marRight w:val="0"/>
      <w:marTop w:val="0"/>
      <w:marBottom w:val="0"/>
      <w:divBdr>
        <w:top w:val="none" w:sz="0" w:space="0" w:color="auto"/>
        <w:left w:val="none" w:sz="0" w:space="0" w:color="auto"/>
        <w:bottom w:val="none" w:sz="0" w:space="0" w:color="auto"/>
        <w:right w:val="none" w:sz="0" w:space="0" w:color="auto"/>
      </w:divBdr>
    </w:div>
    <w:div w:id="1717391881">
      <w:bodyDiv w:val="1"/>
      <w:marLeft w:val="0"/>
      <w:marRight w:val="0"/>
      <w:marTop w:val="0"/>
      <w:marBottom w:val="0"/>
      <w:divBdr>
        <w:top w:val="none" w:sz="0" w:space="0" w:color="auto"/>
        <w:left w:val="none" w:sz="0" w:space="0" w:color="auto"/>
        <w:bottom w:val="none" w:sz="0" w:space="0" w:color="auto"/>
        <w:right w:val="none" w:sz="0" w:space="0" w:color="auto"/>
      </w:divBdr>
      <w:divsChild>
        <w:div w:id="1511019515">
          <w:marLeft w:val="0"/>
          <w:marRight w:val="0"/>
          <w:marTop w:val="0"/>
          <w:marBottom w:val="0"/>
          <w:divBdr>
            <w:top w:val="none" w:sz="0" w:space="0" w:color="auto"/>
            <w:left w:val="none" w:sz="0" w:space="0" w:color="auto"/>
            <w:bottom w:val="none" w:sz="0" w:space="0" w:color="auto"/>
            <w:right w:val="none" w:sz="0" w:space="0" w:color="auto"/>
          </w:divBdr>
          <w:divsChild>
            <w:div w:id="8529471">
              <w:marLeft w:val="0"/>
              <w:marRight w:val="0"/>
              <w:marTop w:val="0"/>
              <w:marBottom w:val="0"/>
              <w:divBdr>
                <w:top w:val="none" w:sz="0" w:space="0" w:color="auto"/>
                <w:left w:val="none" w:sz="0" w:space="0" w:color="auto"/>
                <w:bottom w:val="none" w:sz="0" w:space="0" w:color="auto"/>
                <w:right w:val="none" w:sz="0" w:space="0" w:color="auto"/>
              </w:divBdr>
              <w:divsChild>
                <w:div w:id="1265262448">
                  <w:marLeft w:val="0"/>
                  <w:marRight w:val="0"/>
                  <w:marTop w:val="0"/>
                  <w:marBottom w:val="0"/>
                  <w:divBdr>
                    <w:top w:val="none" w:sz="0" w:space="0" w:color="auto"/>
                    <w:left w:val="none" w:sz="0" w:space="0" w:color="auto"/>
                    <w:bottom w:val="none" w:sz="0" w:space="0" w:color="auto"/>
                    <w:right w:val="none" w:sz="0" w:space="0" w:color="auto"/>
                  </w:divBdr>
                  <w:divsChild>
                    <w:div w:id="487137264">
                      <w:marLeft w:val="0"/>
                      <w:marRight w:val="0"/>
                      <w:marTop w:val="0"/>
                      <w:marBottom w:val="0"/>
                      <w:divBdr>
                        <w:top w:val="none" w:sz="0" w:space="0" w:color="auto"/>
                        <w:left w:val="none" w:sz="0" w:space="0" w:color="auto"/>
                        <w:bottom w:val="none" w:sz="0" w:space="0" w:color="auto"/>
                        <w:right w:val="none" w:sz="0" w:space="0" w:color="auto"/>
                      </w:divBdr>
                      <w:divsChild>
                        <w:div w:id="163906434">
                          <w:marLeft w:val="0"/>
                          <w:marRight w:val="0"/>
                          <w:marTop w:val="0"/>
                          <w:marBottom w:val="0"/>
                          <w:divBdr>
                            <w:top w:val="none" w:sz="0" w:space="0" w:color="auto"/>
                            <w:left w:val="none" w:sz="0" w:space="0" w:color="auto"/>
                            <w:bottom w:val="none" w:sz="0" w:space="0" w:color="auto"/>
                            <w:right w:val="none" w:sz="0" w:space="0" w:color="auto"/>
                          </w:divBdr>
                          <w:divsChild>
                            <w:div w:id="1275791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4883832">
      <w:bodyDiv w:val="1"/>
      <w:marLeft w:val="0"/>
      <w:marRight w:val="0"/>
      <w:marTop w:val="0"/>
      <w:marBottom w:val="0"/>
      <w:divBdr>
        <w:top w:val="none" w:sz="0" w:space="0" w:color="auto"/>
        <w:left w:val="none" w:sz="0" w:space="0" w:color="auto"/>
        <w:bottom w:val="none" w:sz="0" w:space="0" w:color="auto"/>
        <w:right w:val="none" w:sz="0" w:space="0" w:color="auto"/>
      </w:divBdr>
      <w:divsChild>
        <w:div w:id="115147242">
          <w:marLeft w:val="0"/>
          <w:marRight w:val="0"/>
          <w:marTop w:val="0"/>
          <w:marBottom w:val="0"/>
          <w:divBdr>
            <w:top w:val="none" w:sz="0" w:space="0" w:color="auto"/>
            <w:left w:val="none" w:sz="0" w:space="0" w:color="auto"/>
            <w:bottom w:val="none" w:sz="0" w:space="0" w:color="auto"/>
            <w:right w:val="none" w:sz="0" w:space="0" w:color="auto"/>
          </w:divBdr>
        </w:div>
      </w:divsChild>
    </w:div>
    <w:div w:id="1805388937">
      <w:bodyDiv w:val="1"/>
      <w:marLeft w:val="0"/>
      <w:marRight w:val="0"/>
      <w:marTop w:val="0"/>
      <w:marBottom w:val="0"/>
      <w:divBdr>
        <w:top w:val="none" w:sz="0" w:space="0" w:color="auto"/>
        <w:left w:val="none" w:sz="0" w:space="0" w:color="auto"/>
        <w:bottom w:val="none" w:sz="0" w:space="0" w:color="auto"/>
        <w:right w:val="none" w:sz="0" w:space="0" w:color="auto"/>
      </w:divBdr>
    </w:div>
    <w:div w:id="1811630989">
      <w:bodyDiv w:val="1"/>
      <w:marLeft w:val="0"/>
      <w:marRight w:val="0"/>
      <w:marTop w:val="0"/>
      <w:marBottom w:val="0"/>
      <w:divBdr>
        <w:top w:val="none" w:sz="0" w:space="0" w:color="auto"/>
        <w:left w:val="none" w:sz="0" w:space="0" w:color="auto"/>
        <w:bottom w:val="none" w:sz="0" w:space="0" w:color="auto"/>
        <w:right w:val="none" w:sz="0" w:space="0" w:color="auto"/>
      </w:divBdr>
    </w:div>
    <w:div w:id="1813987882">
      <w:bodyDiv w:val="1"/>
      <w:marLeft w:val="0"/>
      <w:marRight w:val="0"/>
      <w:marTop w:val="0"/>
      <w:marBottom w:val="0"/>
      <w:divBdr>
        <w:top w:val="none" w:sz="0" w:space="0" w:color="auto"/>
        <w:left w:val="none" w:sz="0" w:space="0" w:color="auto"/>
        <w:bottom w:val="none" w:sz="0" w:space="0" w:color="auto"/>
        <w:right w:val="none" w:sz="0" w:space="0" w:color="auto"/>
      </w:divBdr>
      <w:divsChild>
        <w:div w:id="1311055273">
          <w:marLeft w:val="0"/>
          <w:marRight w:val="0"/>
          <w:marTop w:val="0"/>
          <w:marBottom w:val="0"/>
          <w:divBdr>
            <w:top w:val="none" w:sz="0" w:space="0" w:color="auto"/>
            <w:left w:val="none" w:sz="0" w:space="0" w:color="auto"/>
            <w:bottom w:val="none" w:sz="0" w:space="0" w:color="auto"/>
            <w:right w:val="none" w:sz="0" w:space="0" w:color="auto"/>
          </w:divBdr>
        </w:div>
      </w:divsChild>
    </w:div>
    <w:div w:id="1836385064">
      <w:bodyDiv w:val="1"/>
      <w:marLeft w:val="0"/>
      <w:marRight w:val="0"/>
      <w:marTop w:val="0"/>
      <w:marBottom w:val="0"/>
      <w:divBdr>
        <w:top w:val="none" w:sz="0" w:space="0" w:color="auto"/>
        <w:left w:val="none" w:sz="0" w:space="0" w:color="auto"/>
        <w:bottom w:val="none" w:sz="0" w:space="0" w:color="auto"/>
        <w:right w:val="none" w:sz="0" w:space="0" w:color="auto"/>
      </w:divBdr>
    </w:div>
    <w:div w:id="1839686408">
      <w:bodyDiv w:val="1"/>
      <w:marLeft w:val="0"/>
      <w:marRight w:val="0"/>
      <w:marTop w:val="0"/>
      <w:marBottom w:val="0"/>
      <w:divBdr>
        <w:top w:val="none" w:sz="0" w:space="0" w:color="auto"/>
        <w:left w:val="none" w:sz="0" w:space="0" w:color="auto"/>
        <w:bottom w:val="none" w:sz="0" w:space="0" w:color="auto"/>
        <w:right w:val="none" w:sz="0" w:space="0" w:color="auto"/>
      </w:divBdr>
    </w:div>
    <w:div w:id="1905217807">
      <w:bodyDiv w:val="1"/>
      <w:marLeft w:val="0"/>
      <w:marRight w:val="0"/>
      <w:marTop w:val="0"/>
      <w:marBottom w:val="0"/>
      <w:divBdr>
        <w:top w:val="none" w:sz="0" w:space="0" w:color="auto"/>
        <w:left w:val="none" w:sz="0" w:space="0" w:color="auto"/>
        <w:bottom w:val="none" w:sz="0" w:space="0" w:color="auto"/>
        <w:right w:val="none" w:sz="0" w:space="0" w:color="auto"/>
      </w:divBdr>
      <w:divsChild>
        <w:div w:id="1818525040">
          <w:marLeft w:val="0"/>
          <w:marRight w:val="0"/>
          <w:marTop w:val="0"/>
          <w:marBottom w:val="0"/>
          <w:divBdr>
            <w:top w:val="none" w:sz="0" w:space="0" w:color="auto"/>
            <w:left w:val="none" w:sz="0" w:space="0" w:color="auto"/>
            <w:bottom w:val="none" w:sz="0" w:space="0" w:color="auto"/>
            <w:right w:val="none" w:sz="0" w:space="0" w:color="auto"/>
          </w:divBdr>
        </w:div>
      </w:divsChild>
    </w:div>
    <w:div w:id="1968198842">
      <w:bodyDiv w:val="1"/>
      <w:marLeft w:val="0"/>
      <w:marRight w:val="0"/>
      <w:marTop w:val="0"/>
      <w:marBottom w:val="0"/>
      <w:divBdr>
        <w:top w:val="none" w:sz="0" w:space="0" w:color="auto"/>
        <w:left w:val="none" w:sz="0" w:space="0" w:color="auto"/>
        <w:bottom w:val="none" w:sz="0" w:space="0" w:color="auto"/>
        <w:right w:val="none" w:sz="0" w:space="0" w:color="auto"/>
      </w:divBdr>
      <w:divsChild>
        <w:div w:id="1329941959">
          <w:marLeft w:val="0"/>
          <w:marRight w:val="0"/>
          <w:marTop w:val="0"/>
          <w:marBottom w:val="0"/>
          <w:divBdr>
            <w:top w:val="none" w:sz="0" w:space="0" w:color="auto"/>
            <w:left w:val="none" w:sz="0" w:space="0" w:color="auto"/>
            <w:bottom w:val="none" w:sz="0" w:space="0" w:color="auto"/>
            <w:right w:val="none" w:sz="0" w:space="0" w:color="auto"/>
          </w:divBdr>
          <w:divsChild>
            <w:div w:id="2059039390">
              <w:marLeft w:val="0"/>
              <w:marRight w:val="0"/>
              <w:marTop w:val="0"/>
              <w:marBottom w:val="0"/>
              <w:divBdr>
                <w:top w:val="none" w:sz="0" w:space="0" w:color="auto"/>
                <w:left w:val="none" w:sz="0" w:space="0" w:color="auto"/>
                <w:bottom w:val="none" w:sz="0" w:space="0" w:color="auto"/>
                <w:right w:val="none" w:sz="0" w:space="0" w:color="auto"/>
              </w:divBdr>
              <w:divsChild>
                <w:div w:id="686758393">
                  <w:marLeft w:val="0"/>
                  <w:marRight w:val="0"/>
                  <w:marTop w:val="0"/>
                  <w:marBottom w:val="0"/>
                  <w:divBdr>
                    <w:top w:val="none" w:sz="0" w:space="0" w:color="auto"/>
                    <w:left w:val="none" w:sz="0" w:space="0" w:color="auto"/>
                    <w:bottom w:val="none" w:sz="0" w:space="0" w:color="auto"/>
                    <w:right w:val="none" w:sz="0" w:space="0" w:color="auto"/>
                  </w:divBdr>
                  <w:divsChild>
                    <w:div w:id="1923642157">
                      <w:marLeft w:val="0"/>
                      <w:marRight w:val="0"/>
                      <w:marTop w:val="0"/>
                      <w:marBottom w:val="0"/>
                      <w:divBdr>
                        <w:top w:val="none" w:sz="0" w:space="0" w:color="auto"/>
                        <w:left w:val="none" w:sz="0" w:space="0" w:color="auto"/>
                        <w:bottom w:val="none" w:sz="0" w:space="0" w:color="auto"/>
                        <w:right w:val="none" w:sz="0" w:space="0" w:color="auto"/>
                      </w:divBdr>
                      <w:divsChild>
                        <w:div w:id="1301497393">
                          <w:marLeft w:val="0"/>
                          <w:marRight w:val="0"/>
                          <w:marTop w:val="0"/>
                          <w:marBottom w:val="0"/>
                          <w:divBdr>
                            <w:top w:val="none" w:sz="0" w:space="0" w:color="auto"/>
                            <w:left w:val="none" w:sz="0" w:space="0" w:color="auto"/>
                            <w:bottom w:val="none" w:sz="0" w:space="0" w:color="auto"/>
                            <w:right w:val="none" w:sz="0" w:space="0" w:color="auto"/>
                          </w:divBdr>
                          <w:divsChild>
                            <w:div w:id="1727071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2926255">
      <w:bodyDiv w:val="1"/>
      <w:marLeft w:val="0"/>
      <w:marRight w:val="0"/>
      <w:marTop w:val="0"/>
      <w:marBottom w:val="0"/>
      <w:divBdr>
        <w:top w:val="none" w:sz="0" w:space="0" w:color="auto"/>
        <w:left w:val="none" w:sz="0" w:space="0" w:color="auto"/>
        <w:bottom w:val="none" w:sz="0" w:space="0" w:color="auto"/>
        <w:right w:val="none" w:sz="0" w:space="0" w:color="auto"/>
      </w:divBdr>
      <w:divsChild>
        <w:div w:id="1986423932">
          <w:marLeft w:val="0"/>
          <w:marRight w:val="0"/>
          <w:marTop w:val="0"/>
          <w:marBottom w:val="0"/>
          <w:divBdr>
            <w:top w:val="none" w:sz="0" w:space="0" w:color="auto"/>
            <w:left w:val="none" w:sz="0" w:space="0" w:color="auto"/>
            <w:bottom w:val="none" w:sz="0" w:space="0" w:color="auto"/>
            <w:right w:val="none" w:sz="0" w:space="0" w:color="auto"/>
          </w:divBdr>
        </w:div>
      </w:divsChild>
    </w:div>
    <w:div w:id="2002611199">
      <w:bodyDiv w:val="1"/>
      <w:marLeft w:val="0"/>
      <w:marRight w:val="0"/>
      <w:marTop w:val="0"/>
      <w:marBottom w:val="0"/>
      <w:divBdr>
        <w:top w:val="none" w:sz="0" w:space="0" w:color="auto"/>
        <w:left w:val="none" w:sz="0" w:space="0" w:color="auto"/>
        <w:bottom w:val="none" w:sz="0" w:space="0" w:color="auto"/>
        <w:right w:val="none" w:sz="0" w:space="0" w:color="auto"/>
      </w:divBdr>
      <w:divsChild>
        <w:div w:id="562179769">
          <w:marLeft w:val="0"/>
          <w:marRight w:val="0"/>
          <w:marTop w:val="0"/>
          <w:marBottom w:val="0"/>
          <w:divBdr>
            <w:top w:val="none" w:sz="0" w:space="0" w:color="auto"/>
            <w:left w:val="none" w:sz="0" w:space="0" w:color="auto"/>
            <w:bottom w:val="none" w:sz="0" w:space="0" w:color="auto"/>
            <w:right w:val="none" w:sz="0" w:space="0" w:color="auto"/>
          </w:divBdr>
        </w:div>
      </w:divsChild>
    </w:div>
    <w:div w:id="2030524909">
      <w:bodyDiv w:val="1"/>
      <w:marLeft w:val="0"/>
      <w:marRight w:val="0"/>
      <w:marTop w:val="0"/>
      <w:marBottom w:val="0"/>
      <w:divBdr>
        <w:top w:val="none" w:sz="0" w:space="0" w:color="auto"/>
        <w:left w:val="none" w:sz="0" w:space="0" w:color="auto"/>
        <w:bottom w:val="none" w:sz="0" w:space="0" w:color="auto"/>
        <w:right w:val="none" w:sz="0" w:space="0" w:color="auto"/>
      </w:divBdr>
      <w:divsChild>
        <w:div w:id="843476632">
          <w:marLeft w:val="0"/>
          <w:marRight w:val="0"/>
          <w:marTop w:val="0"/>
          <w:marBottom w:val="0"/>
          <w:divBdr>
            <w:top w:val="none" w:sz="0" w:space="0" w:color="auto"/>
            <w:left w:val="none" w:sz="0" w:space="0" w:color="auto"/>
            <w:bottom w:val="none" w:sz="0" w:space="0" w:color="auto"/>
            <w:right w:val="none" w:sz="0" w:space="0" w:color="auto"/>
          </w:divBdr>
        </w:div>
      </w:divsChild>
    </w:div>
    <w:div w:id="2046247144">
      <w:bodyDiv w:val="1"/>
      <w:marLeft w:val="0"/>
      <w:marRight w:val="0"/>
      <w:marTop w:val="0"/>
      <w:marBottom w:val="0"/>
      <w:divBdr>
        <w:top w:val="none" w:sz="0" w:space="0" w:color="auto"/>
        <w:left w:val="none" w:sz="0" w:space="0" w:color="auto"/>
        <w:bottom w:val="none" w:sz="0" w:space="0" w:color="auto"/>
        <w:right w:val="none" w:sz="0" w:space="0" w:color="auto"/>
      </w:divBdr>
    </w:div>
    <w:div w:id="2111854325">
      <w:bodyDiv w:val="1"/>
      <w:marLeft w:val="0"/>
      <w:marRight w:val="0"/>
      <w:marTop w:val="0"/>
      <w:marBottom w:val="0"/>
      <w:divBdr>
        <w:top w:val="none" w:sz="0" w:space="0" w:color="auto"/>
        <w:left w:val="none" w:sz="0" w:space="0" w:color="auto"/>
        <w:bottom w:val="none" w:sz="0" w:space="0" w:color="auto"/>
        <w:right w:val="none" w:sz="0" w:space="0" w:color="auto"/>
      </w:divBdr>
      <w:divsChild>
        <w:div w:id="975841903">
          <w:marLeft w:val="0"/>
          <w:marRight w:val="0"/>
          <w:marTop w:val="0"/>
          <w:marBottom w:val="0"/>
          <w:divBdr>
            <w:top w:val="none" w:sz="0" w:space="0" w:color="auto"/>
            <w:left w:val="none" w:sz="0" w:space="0" w:color="auto"/>
            <w:bottom w:val="none" w:sz="0" w:space="0" w:color="auto"/>
            <w:right w:val="none" w:sz="0" w:space="0" w:color="auto"/>
          </w:divBdr>
        </w:div>
      </w:divsChild>
    </w:div>
    <w:div w:id="2140105213">
      <w:bodyDiv w:val="1"/>
      <w:marLeft w:val="0"/>
      <w:marRight w:val="0"/>
      <w:marTop w:val="0"/>
      <w:marBottom w:val="0"/>
      <w:divBdr>
        <w:top w:val="none" w:sz="0" w:space="0" w:color="auto"/>
        <w:left w:val="none" w:sz="0" w:space="0" w:color="auto"/>
        <w:bottom w:val="none" w:sz="0" w:space="0" w:color="auto"/>
        <w:right w:val="none" w:sz="0" w:space="0" w:color="auto"/>
      </w:divBdr>
      <w:divsChild>
        <w:div w:id="20429228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diagramLayout" Target="diagrams/layout2.xml"/><Relationship Id="rId21" Type="http://schemas.openxmlformats.org/officeDocument/2006/relationships/diagramQuickStyle" Target="diagrams/quickStyle2.xml"/><Relationship Id="rId22" Type="http://schemas.openxmlformats.org/officeDocument/2006/relationships/diagramColors" Target="diagrams/colors2.xml"/><Relationship Id="rId23" Type="http://schemas.microsoft.com/office/2007/relationships/diagramDrawing" Target="diagrams/drawing2.xml"/><Relationship Id="rId24" Type="http://schemas.openxmlformats.org/officeDocument/2006/relationships/diagramData" Target="diagrams/data3.xml"/><Relationship Id="rId25" Type="http://schemas.openxmlformats.org/officeDocument/2006/relationships/diagramLayout" Target="diagrams/layout3.xml"/><Relationship Id="rId26" Type="http://schemas.openxmlformats.org/officeDocument/2006/relationships/diagramQuickStyle" Target="diagrams/quickStyle3.xml"/><Relationship Id="rId27" Type="http://schemas.openxmlformats.org/officeDocument/2006/relationships/diagramColors" Target="diagrams/colors3.xml"/><Relationship Id="rId28" Type="http://schemas.microsoft.com/office/2007/relationships/diagramDrawing" Target="diagrams/drawing3.xml"/><Relationship Id="rId29" Type="http://schemas.openxmlformats.org/officeDocument/2006/relationships/chart" Target="charts/chart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chart" Target="charts/chart2.xml"/><Relationship Id="rId31" Type="http://schemas.openxmlformats.org/officeDocument/2006/relationships/header" Target="header1.xml"/><Relationship Id="rId32" Type="http://schemas.openxmlformats.org/officeDocument/2006/relationships/header" Target="header2.xml"/><Relationship Id="rId9" Type="http://schemas.openxmlformats.org/officeDocument/2006/relationships/image" Target="media/image2.png"/><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33" Type="http://schemas.openxmlformats.org/officeDocument/2006/relationships/footer" Target="footer1.xml"/><Relationship Id="rId34" Type="http://schemas.openxmlformats.org/officeDocument/2006/relationships/footer" Target="footer2.xml"/><Relationship Id="rId35" Type="http://schemas.openxmlformats.org/officeDocument/2006/relationships/footer" Target="footer3.xml"/><Relationship Id="rId36" Type="http://schemas.openxmlformats.org/officeDocument/2006/relationships/fontTable" Target="fontTable.xml"/><Relationship Id="rId10" Type="http://schemas.openxmlformats.org/officeDocument/2006/relationships/image" Target="media/image3.jpeg"/><Relationship Id="rId11" Type="http://schemas.openxmlformats.org/officeDocument/2006/relationships/image" Target="media/image4.emf"/><Relationship Id="rId12" Type="http://schemas.openxmlformats.org/officeDocument/2006/relationships/image" Target="media/image5.tiff"/><Relationship Id="rId13" Type="http://schemas.openxmlformats.org/officeDocument/2006/relationships/image" Target="media/image6.emf"/><Relationship Id="rId14" Type="http://schemas.openxmlformats.org/officeDocument/2006/relationships/diagramData" Target="diagrams/data1.xml"/><Relationship Id="rId15" Type="http://schemas.openxmlformats.org/officeDocument/2006/relationships/diagramLayout" Target="diagrams/layout1.xml"/><Relationship Id="rId16" Type="http://schemas.openxmlformats.org/officeDocument/2006/relationships/diagramQuickStyle" Target="diagrams/quickStyle1.xml"/><Relationship Id="rId17" Type="http://schemas.openxmlformats.org/officeDocument/2006/relationships/diagramColors" Target="diagrams/colors1.xml"/><Relationship Id="rId18" Type="http://schemas.microsoft.com/office/2007/relationships/diagramDrawing" Target="diagrams/drawing1.xml"/><Relationship Id="rId19" Type="http://schemas.openxmlformats.org/officeDocument/2006/relationships/diagramData" Target="diagrams/data2.xml"/><Relationship Id="rId3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SSCDATA04.frd.shsdir.nl\LT_721402$\Mijn%20Documenten\IBRA\rapportage_jan2017\IBRA%20nauwkeurigheid.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SSCDATA04.frd.shsdir.nl\LT_721402$\Mijn%20Documenten\IBRA\rapportage_jan2017\IBRA%20nauwkeurighei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
          <c:y val="0.0348583877995644"/>
          <c:w val="1.0"/>
          <c:h val="0.904139433551201"/>
        </c:manualLayout>
      </c:layout>
      <c:scatterChart>
        <c:scatterStyle val="lineMarker"/>
        <c:varyColors val="0"/>
        <c:ser>
          <c:idx val="0"/>
          <c:order val="0"/>
          <c:spPr>
            <a:ln w="28575">
              <a:solidFill>
                <a:schemeClr val="accent1"/>
              </a:solidFill>
            </a:ln>
          </c:spPr>
          <c:marker>
            <c:symbol val="none"/>
          </c:marker>
          <c:xVal>
            <c:numRef>
              <c:f>Blad1!$E$5:$E$8</c:f>
              <c:numCache>
                <c:formatCode>General</c:formatCode>
                <c:ptCount val="4"/>
                <c:pt idx="0">
                  <c:v>-1.0</c:v>
                </c:pt>
                <c:pt idx="1">
                  <c:v>-1.0</c:v>
                </c:pt>
                <c:pt idx="2">
                  <c:v>0.0</c:v>
                </c:pt>
                <c:pt idx="3">
                  <c:v>-1.0</c:v>
                </c:pt>
              </c:numCache>
            </c:numRef>
          </c:xVal>
          <c:yVal>
            <c:numRef>
              <c:f>Blad1!$F$5:$F$12</c:f>
              <c:numCache>
                <c:formatCode>General</c:formatCode>
                <c:ptCount val="8"/>
                <c:pt idx="0">
                  <c:v>1.0</c:v>
                </c:pt>
                <c:pt idx="1">
                  <c:v>2.0</c:v>
                </c:pt>
                <c:pt idx="2">
                  <c:v>1.5</c:v>
                </c:pt>
                <c:pt idx="3">
                  <c:v>1.0</c:v>
                </c:pt>
                <c:pt idx="4">
                  <c:v>1.0</c:v>
                </c:pt>
                <c:pt idx="5">
                  <c:v>2.0</c:v>
                </c:pt>
                <c:pt idx="6">
                  <c:v>1.5</c:v>
                </c:pt>
                <c:pt idx="7">
                  <c:v>1.0</c:v>
                </c:pt>
              </c:numCache>
            </c:numRef>
          </c:yVal>
          <c:smooth val="0"/>
        </c:ser>
        <c:ser>
          <c:idx val="1"/>
          <c:order val="1"/>
          <c:spPr>
            <a:ln>
              <a:solidFill>
                <a:schemeClr val="accent1"/>
              </a:solidFill>
            </a:ln>
          </c:spPr>
          <c:marker>
            <c:symbol val="none"/>
          </c:marker>
          <c:dLbls>
            <c:dLbl>
              <c:idx val="0"/>
              <c:layout>
                <c:manualLayout>
                  <c:x val="-0.0335834770089405"/>
                  <c:y val="-0.59315733272183"/>
                </c:manualLayout>
              </c:layout>
              <c:tx>
                <c:rich>
                  <a:bodyPr/>
                  <a:lstStyle/>
                  <a:p>
                    <a:r>
                      <a:rPr lang="en-US" sz="1200" b="0" i="0" u="none" strike="noStrike" kern="1200" baseline="0">
                        <a:solidFill>
                          <a:sysClr val="windowText" lastClr="000000"/>
                        </a:solidFill>
                        <a:latin typeface="+mn-lt"/>
                        <a:ea typeface="+mn-ea"/>
                        <a:cs typeface="+mn-cs"/>
                      </a:rPr>
                      <a:t>o</a:t>
                    </a:r>
                    <a:r>
                      <a:rPr lang="en-US" sz="1050" b="0" i="0" u="none" strike="noStrike" baseline="0"/>
                      <a:t>verschat</a:t>
                    </a:r>
                    <a:endParaRPr lang="en-US" sz="105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lgn="ctr" rtl="0">
                  <a:defRPr lang="nl-NL" sz="1050" b="0" i="0" u="none" strike="noStrike" kern="1200" baseline="0">
                    <a:solidFill>
                      <a:sysClr val="windowText" lastClr="000000"/>
                    </a:solidFill>
                    <a:latin typeface="+mn-lt"/>
                    <a:ea typeface="+mn-ea"/>
                    <a:cs typeface="+mn-cs"/>
                  </a:defRPr>
                </a:pPr>
                <a:endParaRPr lang="nl-NL"/>
              </a:p>
            </c:txPr>
            <c:showLegendKey val="0"/>
            <c:showVal val="0"/>
            <c:showCatName val="0"/>
            <c:showSerName val="0"/>
            <c:showPercent val="0"/>
            <c:showBubbleSize val="0"/>
            <c:extLst>
              <c:ext xmlns:c15="http://schemas.microsoft.com/office/drawing/2012/chart" uri="{CE6537A1-D6FC-4f65-9D91-7224C49458BB}">
                <c15:showLeaderLines val="0"/>
              </c:ext>
            </c:extLst>
          </c:dLbls>
          <c:xVal>
            <c:numRef>
              <c:f>Blad1!$E$9:$E$12</c:f>
              <c:numCache>
                <c:formatCode>General</c:formatCode>
                <c:ptCount val="4"/>
                <c:pt idx="0">
                  <c:v>1.0</c:v>
                </c:pt>
                <c:pt idx="1">
                  <c:v>1.0</c:v>
                </c:pt>
                <c:pt idx="2">
                  <c:v>0.0</c:v>
                </c:pt>
                <c:pt idx="3">
                  <c:v>1.0</c:v>
                </c:pt>
              </c:numCache>
            </c:numRef>
          </c:xVal>
          <c:yVal>
            <c:numRef>
              <c:f>Blad1!$F$9:$F$12</c:f>
              <c:numCache>
                <c:formatCode>General</c:formatCode>
                <c:ptCount val="4"/>
                <c:pt idx="0">
                  <c:v>1.0</c:v>
                </c:pt>
                <c:pt idx="1">
                  <c:v>2.0</c:v>
                </c:pt>
                <c:pt idx="2">
                  <c:v>1.5</c:v>
                </c:pt>
                <c:pt idx="3">
                  <c:v>1.0</c:v>
                </c:pt>
              </c:numCache>
            </c:numRef>
          </c:yVal>
          <c:smooth val="0"/>
        </c:ser>
        <c:ser>
          <c:idx val="2"/>
          <c:order val="2"/>
          <c:spPr>
            <a:ln>
              <a:solidFill>
                <a:srgbClr val="FF0000"/>
              </a:solidFill>
            </a:ln>
          </c:spPr>
          <c:marker>
            <c:symbol val="none"/>
          </c:marker>
          <c:dLbls>
            <c:dLbl>
              <c:idx val="0"/>
              <c:layout>
                <c:manualLayout>
                  <c:x val="-0.459060213410118"/>
                  <c:y val="-0.66307454492961"/>
                </c:manualLayout>
              </c:layout>
              <c:tx>
                <c:rich>
                  <a:bodyPr/>
                  <a:lstStyle/>
                  <a:p>
                    <a:r>
                      <a:rPr lang="en-US" sz="1050"/>
                      <a:t>o</a:t>
                    </a:r>
                    <a:r>
                      <a:rPr lang="en-US"/>
                      <a:t>nderschat</a:t>
                    </a:r>
                  </a:p>
                </c:rich>
              </c:tx>
              <c:showLegendKey val="0"/>
              <c:showVal val="1"/>
              <c:showCatName val="0"/>
              <c:showSerName val="0"/>
              <c:showPercent val="0"/>
              <c:showBubbleSize val="0"/>
              <c:extLst>
                <c:ext xmlns:c15="http://schemas.microsoft.com/office/drawing/2012/chart" uri="{CE6537A1-D6FC-4f65-9D91-7224C49458BB}"/>
              </c:extLst>
            </c:dLbl>
            <c:dLbl>
              <c:idx val="1"/>
              <c:delete val="1"/>
              <c:extLst>
                <c:ext xmlns:c15="http://schemas.microsoft.com/office/drawing/2012/chart" uri="{CE6537A1-D6FC-4f65-9D91-7224C49458BB}"/>
              </c:extLst>
            </c:dLbl>
            <c:spPr>
              <a:noFill/>
              <a:ln>
                <a:noFill/>
              </a:ln>
              <a:effectLst/>
            </c:spPr>
            <c:txPr>
              <a:bodyPr/>
              <a:lstStyle/>
              <a:p>
                <a:pPr>
                  <a:defRPr sz="1050"/>
                </a:pPr>
                <a:endParaRPr lang="nl-NL"/>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xVal>
            <c:numRef>
              <c:f>Blad1!$E$25:$E$26</c:f>
              <c:numCache>
                <c:formatCode>General</c:formatCode>
                <c:ptCount val="2"/>
                <c:pt idx="0">
                  <c:v>-0.1</c:v>
                </c:pt>
                <c:pt idx="1">
                  <c:v>-0.5</c:v>
                </c:pt>
              </c:numCache>
            </c:numRef>
          </c:xVal>
          <c:yVal>
            <c:numRef>
              <c:f>Blad1!$F$25:$F$26</c:f>
              <c:numCache>
                <c:formatCode>General</c:formatCode>
                <c:ptCount val="2"/>
                <c:pt idx="0">
                  <c:v>0.750000000000003</c:v>
                </c:pt>
                <c:pt idx="1">
                  <c:v>0.750000000000003</c:v>
                </c:pt>
              </c:numCache>
            </c:numRef>
          </c:yVal>
          <c:smooth val="0"/>
        </c:ser>
        <c:ser>
          <c:idx val="3"/>
          <c:order val="3"/>
          <c:spPr>
            <a:ln>
              <a:solidFill>
                <a:schemeClr val="tx1">
                  <a:lumMod val="50000"/>
                  <a:lumOff val="50000"/>
                </a:schemeClr>
              </a:solidFill>
            </a:ln>
          </c:spPr>
          <c:marker>
            <c:symbol val="none"/>
          </c:marker>
          <c:dPt>
            <c:idx val="1"/>
            <c:bubble3D val="0"/>
            <c:spPr>
              <a:ln w="12700">
                <a:solidFill>
                  <a:schemeClr val="tx1">
                    <a:lumMod val="50000"/>
                    <a:lumOff val="50000"/>
                  </a:schemeClr>
                </a:solidFill>
              </a:ln>
            </c:spPr>
          </c:dPt>
          <c:dLbls>
            <c:dLbl>
              <c:idx val="0"/>
              <c:layout>
                <c:manualLayout>
                  <c:x val="-0.0571858540255832"/>
                  <c:y val="-0.157894954959186"/>
                </c:manualLayout>
              </c:layout>
              <c:tx>
                <c:rich>
                  <a:bodyPr/>
                  <a:lstStyle/>
                  <a:p>
                    <a:r>
                      <a:rPr lang="ru-RU"/>
                      <a:t>-10</a:t>
                    </a:r>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0.261851015801354"/>
                  <c:y val="-0.456140980993205"/>
                </c:manualLayout>
              </c:layout>
              <c:tx>
                <c:rich>
                  <a:bodyPr/>
                  <a:lstStyle/>
                  <a:p>
                    <a:r>
                      <a:rPr lang="is-IS"/>
                      <a:t>-100</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xVal>
            <c:numRef>
              <c:f>Blad1!$E$15:$E$16</c:f>
              <c:numCache>
                <c:formatCode>General</c:formatCode>
                <c:ptCount val="2"/>
                <c:pt idx="0">
                  <c:v>-0.5</c:v>
                </c:pt>
                <c:pt idx="1">
                  <c:v>-0.5</c:v>
                </c:pt>
              </c:numCache>
            </c:numRef>
          </c:xVal>
          <c:yVal>
            <c:numRef>
              <c:f>Blad1!$F$15:$F$16</c:f>
              <c:numCache>
                <c:formatCode>General</c:formatCode>
                <c:ptCount val="2"/>
                <c:pt idx="0">
                  <c:v>2.5</c:v>
                </c:pt>
                <c:pt idx="1">
                  <c:v>0.25</c:v>
                </c:pt>
              </c:numCache>
            </c:numRef>
          </c:yVal>
          <c:smooth val="0"/>
        </c:ser>
        <c:ser>
          <c:idx val="4"/>
          <c:order val="4"/>
          <c:spPr>
            <a:ln w="12700">
              <a:solidFill>
                <a:schemeClr val="tx1">
                  <a:lumMod val="50000"/>
                  <a:lumOff val="50000"/>
                </a:schemeClr>
              </a:solidFill>
            </a:ln>
          </c:spPr>
          <c:marker>
            <c:symbol val="none"/>
          </c:marker>
          <c:dLbls>
            <c:dLbl>
              <c:idx val="0"/>
              <c:layout>
                <c:manualLayout>
                  <c:x val="-0.0451467268623025"/>
                  <c:y val="-0.140351071074832"/>
                </c:manualLayout>
              </c:layout>
              <c:tx>
                <c:rich>
                  <a:bodyPr/>
                  <a:lstStyle/>
                  <a:p>
                    <a:r>
                      <a:rPr lang="en-US"/>
                      <a:t>10</a:t>
                    </a:r>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0.138449725387037"/>
                  <c:y val="-0.438597097108854"/>
                </c:manualLayout>
              </c:layout>
              <c:tx>
                <c:rich>
                  <a:bodyPr/>
                  <a:lstStyle/>
                  <a:p>
                    <a:r>
                      <a:rPr lang="is-IS"/>
                      <a:t>100</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xVal>
            <c:numRef>
              <c:f>Blad1!$E$17:$E$18</c:f>
              <c:numCache>
                <c:formatCode>General</c:formatCode>
                <c:ptCount val="2"/>
                <c:pt idx="0">
                  <c:v>0.5</c:v>
                </c:pt>
                <c:pt idx="1">
                  <c:v>0.5</c:v>
                </c:pt>
              </c:numCache>
            </c:numRef>
          </c:xVal>
          <c:yVal>
            <c:numRef>
              <c:f>Blad1!$F$17:$F$18</c:f>
              <c:numCache>
                <c:formatCode>General</c:formatCode>
                <c:ptCount val="2"/>
                <c:pt idx="0">
                  <c:v>2.5</c:v>
                </c:pt>
                <c:pt idx="1">
                  <c:v>0.25</c:v>
                </c:pt>
              </c:numCache>
            </c:numRef>
          </c:yVal>
          <c:smooth val="0"/>
        </c:ser>
        <c:ser>
          <c:idx val="5"/>
          <c:order val="5"/>
          <c:spPr>
            <a:ln w="6350">
              <a:solidFill>
                <a:schemeClr val="tx1">
                  <a:lumMod val="50000"/>
                  <a:lumOff val="50000"/>
                </a:schemeClr>
              </a:solidFill>
            </a:ln>
          </c:spPr>
          <c:marker>
            <c:symbol val="none"/>
          </c:marker>
          <c:dLbls>
            <c:dLbl>
              <c:idx val="0"/>
              <c:layout>
                <c:manualLayout>
                  <c:x val="-0.0451467268623025"/>
                  <c:y val="-0.140351071074832"/>
                </c:manualLayout>
              </c:layout>
              <c:tx>
                <c:rich>
                  <a:bodyPr/>
                  <a:lstStyle/>
                  <a:p>
                    <a:r>
                      <a:rPr lang="uk-UA"/>
                      <a:t>-5</a:t>
                    </a:r>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0.0391271632806622"/>
                  <c:y val="-0.52631651653062"/>
                </c:manualLayout>
              </c:layout>
              <c:tx>
                <c:rich>
                  <a:bodyPr/>
                  <a:lstStyle/>
                  <a:p>
                    <a:r>
                      <a:rPr lang="en-US"/>
                      <a:t>+5</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xVal>
            <c:numRef>
              <c:f>Blad1!$E$19:$E$20</c:f>
              <c:numCache>
                <c:formatCode>General</c:formatCode>
                <c:ptCount val="2"/>
                <c:pt idx="0">
                  <c:v>-0.1</c:v>
                </c:pt>
                <c:pt idx="1">
                  <c:v>-0.1</c:v>
                </c:pt>
              </c:numCache>
            </c:numRef>
          </c:xVal>
          <c:yVal>
            <c:numRef>
              <c:f>Blad1!$F$19:$F$20</c:f>
              <c:numCache>
                <c:formatCode>General</c:formatCode>
                <c:ptCount val="2"/>
                <c:pt idx="0">
                  <c:v>2.5</c:v>
                </c:pt>
                <c:pt idx="1">
                  <c:v>0.25</c:v>
                </c:pt>
              </c:numCache>
            </c:numRef>
          </c:yVal>
          <c:smooth val="0"/>
        </c:ser>
        <c:ser>
          <c:idx val="6"/>
          <c:order val="6"/>
          <c:spPr>
            <a:ln w="6350">
              <a:solidFill>
                <a:schemeClr val="tx1">
                  <a:lumMod val="50000"/>
                  <a:lumOff val="50000"/>
                </a:schemeClr>
              </a:solidFill>
            </a:ln>
          </c:spPr>
          <c:marker>
            <c:symbol val="none"/>
          </c:marker>
          <c:xVal>
            <c:numRef>
              <c:f>Blad1!$E$21:$E$22</c:f>
              <c:numCache>
                <c:formatCode>General</c:formatCode>
                <c:ptCount val="2"/>
                <c:pt idx="0">
                  <c:v>0.1</c:v>
                </c:pt>
                <c:pt idx="1">
                  <c:v>0.1</c:v>
                </c:pt>
              </c:numCache>
            </c:numRef>
          </c:xVal>
          <c:yVal>
            <c:numRef>
              <c:f>Blad1!$F$21:$F$22</c:f>
              <c:numCache>
                <c:formatCode>General</c:formatCode>
                <c:ptCount val="2"/>
                <c:pt idx="0">
                  <c:v>2.5</c:v>
                </c:pt>
                <c:pt idx="1">
                  <c:v>0.25</c:v>
                </c:pt>
              </c:numCache>
            </c:numRef>
          </c:yVal>
          <c:smooth val="0"/>
        </c:ser>
        <c:dLbls>
          <c:showLegendKey val="0"/>
          <c:showVal val="0"/>
          <c:showCatName val="0"/>
          <c:showSerName val="0"/>
          <c:showPercent val="0"/>
          <c:showBubbleSize val="0"/>
        </c:dLbls>
        <c:axId val="-2017844976"/>
        <c:axId val="-2016999600"/>
      </c:scatterChart>
      <c:valAx>
        <c:axId val="-2017844976"/>
        <c:scaling>
          <c:orientation val="minMax"/>
        </c:scaling>
        <c:delete val="1"/>
        <c:axPos val="b"/>
        <c:numFmt formatCode="General" sourceLinked="1"/>
        <c:majorTickMark val="out"/>
        <c:minorTickMark val="none"/>
        <c:tickLblPos val="none"/>
        <c:crossAx val="-2016999600"/>
        <c:crosses val="autoZero"/>
        <c:crossBetween val="midCat"/>
        <c:majorUnit val="0.1"/>
      </c:valAx>
      <c:valAx>
        <c:axId val="-2016999600"/>
        <c:scaling>
          <c:orientation val="minMax"/>
        </c:scaling>
        <c:delete val="1"/>
        <c:axPos val="l"/>
        <c:majorGridlines>
          <c:spPr>
            <a:ln>
              <a:noFill/>
            </a:ln>
          </c:spPr>
        </c:majorGridlines>
        <c:numFmt formatCode="General" sourceLinked="1"/>
        <c:majorTickMark val="none"/>
        <c:minorTickMark val="none"/>
        <c:tickLblPos val="none"/>
        <c:crossAx val="-2017844976"/>
        <c:crosses val="autoZero"/>
        <c:crossBetween val="midCat"/>
      </c:valAx>
      <c:spPr>
        <a:solidFill>
          <a:schemeClr val="bg1"/>
        </a:solidFill>
      </c:spPr>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
          <c:y val="0.0348583877995644"/>
          <c:w val="1.0"/>
          <c:h val="0.904139433551201"/>
        </c:manualLayout>
      </c:layout>
      <c:scatterChart>
        <c:scatterStyle val="lineMarker"/>
        <c:varyColors val="0"/>
        <c:ser>
          <c:idx val="0"/>
          <c:order val="0"/>
          <c:spPr>
            <a:ln w="28575">
              <a:solidFill>
                <a:schemeClr val="accent1"/>
              </a:solidFill>
            </a:ln>
          </c:spPr>
          <c:marker>
            <c:symbol val="none"/>
          </c:marker>
          <c:xVal>
            <c:numRef>
              <c:f>Blad1!$E$5:$E$8</c:f>
              <c:numCache>
                <c:formatCode>General</c:formatCode>
                <c:ptCount val="4"/>
                <c:pt idx="0">
                  <c:v>-1.0</c:v>
                </c:pt>
                <c:pt idx="1">
                  <c:v>-1.0</c:v>
                </c:pt>
                <c:pt idx="2">
                  <c:v>0.0</c:v>
                </c:pt>
                <c:pt idx="3">
                  <c:v>-1.0</c:v>
                </c:pt>
              </c:numCache>
            </c:numRef>
          </c:xVal>
          <c:yVal>
            <c:numRef>
              <c:f>Blad1!$F$5:$F$12</c:f>
              <c:numCache>
                <c:formatCode>General</c:formatCode>
                <c:ptCount val="8"/>
                <c:pt idx="0">
                  <c:v>1.0</c:v>
                </c:pt>
                <c:pt idx="1">
                  <c:v>2.0</c:v>
                </c:pt>
                <c:pt idx="2">
                  <c:v>1.5</c:v>
                </c:pt>
                <c:pt idx="3">
                  <c:v>1.0</c:v>
                </c:pt>
                <c:pt idx="4">
                  <c:v>1.0</c:v>
                </c:pt>
                <c:pt idx="5">
                  <c:v>2.0</c:v>
                </c:pt>
                <c:pt idx="6">
                  <c:v>1.5</c:v>
                </c:pt>
                <c:pt idx="7">
                  <c:v>1.0</c:v>
                </c:pt>
              </c:numCache>
            </c:numRef>
          </c:yVal>
          <c:smooth val="0"/>
        </c:ser>
        <c:ser>
          <c:idx val="1"/>
          <c:order val="1"/>
          <c:spPr>
            <a:ln>
              <a:solidFill>
                <a:schemeClr val="accent1"/>
              </a:solidFill>
            </a:ln>
          </c:spPr>
          <c:marker>
            <c:symbol val="none"/>
          </c:marker>
          <c:dLbls>
            <c:dLbl>
              <c:idx val="0"/>
              <c:layout>
                <c:manualLayout>
                  <c:x val="-0.0335834770089405"/>
                  <c:y val="-0.59315733272183"/>
                </c:manualLayout>
              </c:layout>
              <c:tx>
                <c:rich>
                  <a:bodyPr/>
                  <a:lstStyle/>
                  <a:p>
                    <a:r>
                      <a:rPr lang="en-US" sz="1200" b="0" i="0" u="none" strike="noStrike" kern="1200" baseline="0">
                        <a:solidFill>
                          <a:sysClr val="windowText" lastClr="000000"/>
                        </a:solidFill>
                        <a:latin typeface="+mn-lt"/>
                        <a:ea typeface="+mn-ea"/>
                        <a:cs typeface="+mn-cs"/>
                      </a:rPr>
                      <a:t>o</a:t>
                    </a:r>
                    <a:r>
                      <a:rPr lang="en-US" sz="1050" b="0" i="0" u="none" strike="noStrike" baseline="0"/>
                      <a:t>verschat</a:t>
                    </a:r>
                    <a:endParaRPr lang="en-US" sz="1050"/>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lgn="ctr" rtl="0">
                  <a:defRPr lang="nl-NL" sz="1050" b="0" i="0" u="none" strike="noStrike" kern="1200" baseline="0">
                    <a:solidFill>
                      <a:sysClr val="windowText" lastClr="000000"/>
                    </a:solidFill>
                    <a:latin typeface="+mn-lt"/>
                    <a:ea typeface="+mn-ea"/>
                    <a:cs typeface="+mn-cs"/>
                  </a:defRPr>
                </a:pPr>
                <a:endParaRPr lang="nl-NL"/>
              </a:p>
            </c:txPr>
            <c:showLegendKey val="0"/>
            <c:showVal val="0"/>
            <c:showCatName val="0"/>
            <c:showSerName val="0"/>
            <c:showPercent val="0"/>
            <c:showBubbleSize val="0"/>
            <c:extLst>
              <c:ext xmlns:c15="http://schemas.microsoft.com/office/drawing/2012/chart" uri="{CE6537A1-D6FC-4f65-9D91-7224C49458BB}">
                <c15:showLeaderLines val="0"/>
              </c:ext>
            </c:extLst>
          </c:dLbls>
          <c:xVal>
            <c:numRef>
              <c:f>Blad1!$E$9:$E$12</c:f>
              <c:numCache>
                <c:formatCode>General</c:formatCode>
                <c:ptCount val="4"/>
                <c:pt idx="0">
                  <c:v>1.0</c:v>
                </c:pt>
                <c:pt idx="1">
                  <c:v>1.0</c:v>
                </c:pt>
                <c:pt idx="2">
                  <c:v>0.0</c:v>
                </c:pt>
                <c:pt idx="3">
                  <c:v>1.0</c:v>
                </c:pt>
              </c:numCache>
            </c:numRef>
          </c:xVal>
          <c:yVal>
            <c:numRef>
              <c:f>Blad1!$F$9:$F$12</c:f>
              <c:numCache>
                <c:formatCode>General</c:formatCode>
                <c:ptCount val="4"/>
                <c:pt idx="0">
                  <c:v>1.0</c:v>
                </c:pt>
                <c:pt idx="1">
                  <c:v>2.0</c:v>
                </c:pt>
                <c:pt idx="2">
                  <c:v>1.5</c:v>
                </c:pt>
                <c:pt idx="3">
                  <c:v>1.0</c:v>
                </c:pt>
              </c:numCache>
            </c:numRef>
          </c:yVal>
          <c:smooth val="0"/>
        </c:ser>
        <c:ser>
          <c:idx val="2"/>
          <c:order val="2"/>
          <c:spPr>
            <a:ln>
              <a:solidFill>
                <a:srgbClr val="FF0000"/>
              </a:solidFill>
            </a:ln>
          </c:spPr>
          <c:marker>
            <c:symbol val="none"/>
          </c:marker>
          <c:dLbls>
            <c:dLbl>
              <c:idx val="0"/>
              <c:layout>
                <c:manualLayout>
                  <c:x val="-0.459060213410118"/>
                  <c:y val="-0.66307454492961"/>
                </c:manualLayout>
              </c:layout>
              <c:tx>
                <c:rich>
                  <a:bodyPr/>
                  <a:lstStyle/>
                  <a:p>
                    <a:r>
                      <a:rPr lang="en-US" sz="1050"/>
                      <a:t>o</a:t>
                    </a:r>
                    <a:r>
                      <a:rPr lang="en-US"/>
                      <a:t>nderschat</a:t>
                    </a:r>
                  </a:p>
                </c:rich>
              </c:tx>
              <c:showLegendKey val="0"/>
              <c:showVal val="1"/>
              <c:showCatName val="0"/>
              <c:showSerName val="0"/>
              <c:showPercent val="0"/>
              <c:showBubbleSize val="0"/>
              <c:extLst>
                <c:ext xmlns:c15="http://schemas.microsoft.com/office/drawing/2012/chart" uri="{CE6537A1-D6FC-4f65-9D91-7224C49458BB}"/>
              </c:extLst>
            </c:dLbl>
            <c:dLbl>
              <c:idx val="1"/>
              <c:delete val="1"/>
              <c:extLst>
                <c:ext xmlns:c15="http://schemas.microsoft.com/office/drawing/2012/chart" uri="{CE6537A1-D6FC-4f65-9D91-7224C49458BB}"/>
              </c:extLst>
            </c:dLbl>
            <c:spPr>
              <a:noFill/>
              <a:ln>
                <a:noFill/>
              </a:ln>
              <a:effectLst/>
            </c:spPr>
            <c:txPr>
              <a:bodyPr/>
              <a:lstStyle/>
              <a:p>
                <a:pPr>
                  <a:defRPr sz="1050"/>
                </a:pPr>
                <a:endParaRPr lang="nl-NL"/>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xVal>
            <c:numRef>
              <c:f>Blad1!$E$13:$E$14</c:f>
              <c:numCache>
                <c:formatCode>General</c:formatCode>
                <c:ptCount val="2"/>
                <c:pt idx="0">
                  <c:v>-0.1</c:v>
                </c:pt>
                <c:pt idx="1">
                  <c:v>0.1</c:v>
                </c:pt>
              </c:numCache>
            </c:numRef>
          </c:xVal>
          <c:yVal>
            <c:numRef>
              <c:f>Blad1!$F$13:$F$14</c:f>
              <c:numCache>
                <c:formatCode>General</c:formatCode>
                <c:ptCount val="2"/>
                <c:pt idx="0">
                  <c:v>0.750000000000004</c:v>
                </c:pt>
                <c:pt idx="1">
                  <c:v>0.750000000000004</c:v>
                </c:pt>
              </c:numCache>
            </c:numRef>
          </c:yVal>
          <c:smooth val="0"/>
        </c:ser>
        <c:ser>
          <c:idx val="3"/>
          <c:order val="3"/>
          <c:spPr>
            <a:ln>
              <a:solidFill>
                <a:schemeClr val="tx1">
                  <a:lumMod val="50000"/>
                  <a:lumOff val="50000"/>
                </a:schemeClr>
              </a:solidFill>
            </a:ln>
          </c:spPr>
          <c:marker>
            <c:symbol val="none"/>
          </c:marker>
          <c:dPt>
            <c:idx val="1"/>
            <c:bubble3D val="0"/>
            <c:spPr>
              <a:ln w="12700">
                <a:solidFill>
                  <a:schemeClr val="tx1">
                    <a:lumMod val="50000"/>
                    <a:lumOff val="50000"/>
                  </a:schemeClr>
                </a:solidFill>
              </a:ln>
            </c:spPr>
          </c:dPt>
          <c:dLbls>
            <c:dLbl>
              <c:idx val="0"/>
              <c:layout>
                <c:manualLayout>
                  <c:x val="-0.0571858540255832"/>
                  <c:y val="-0.157894954959186"/>
                </c:manualLayout>
              </c:layout>
              <c:tx>
                <c:rich>
                  <a:bodyPr/>
                  <a:lstStyle/>
                  <a:p>
                    <a:r>
                      <a:rPr lang="ru-RU"/>
                      <a:t>-10</a:t>
                    </a:r>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0.261851015801354"/>
                  <c:y val="-0.456140980993205"/>
                </c:manualLayout>
              </c:layout>
              <c:tx>
                <c:rich>
                  <a:bodyPr/>
                  <a:lstStyle/>
                  <a:p>
                    <a:r>
                      <a:rPr lang="is-IS"/>
                      <a:t>-100</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xVal>
            <c:numRef>
              <c:f>Blad1!$E$15:$E$16</c:f>
              <c:numCache>
                <c:formatCode>General</c:formatCode>
                <c:ptCount val="2"/>
                <c:pt idx="0">
                  <c:v>-0.5</c:v>
                </c:pt>
                <c:pt idx="1">
                  <c:v>-0.5</c:v>
                </c:pt>
              </c:numCache>
            </c:numRef>
          </c:xVal>
          <c:yVal>
            <c:numRef>
              <c:f>Blad1!$F$15:$F$16</c:f>
              <c:numCache>
                <c:formatCode>General</c:formatCode>
                <c:ptCount val="2"/>
                <c:pt idx="0">
                  <c:v>2.5</c:v>
                </c:pt>
                <c:pt idx="1">
                  <c:v>0.25</c:v>
                </c:pt>
              </c:numCache>
            </c:numRef>
          </c:yVal>
          <c:smooth val="0"/>
        </c:ser>
        <c:ser>
          <c:idx val="4"/>
          <c:order val="4"/>
          <c:spPr>
            <a:ln w="12700">
              <a:solidFill>
                <a:schemeClr val="tx1">
                  <a:lumMod val="50000"/>
                  <a:lumOff val="50000"/>
                </a:schemeClr>
              </a:solidFill>
            </a:ln>
          </c:spPr>
          <c:marker>
            <c:symbol val="none"/>
          </c:marker>
          <c:dLbls>
            <c:dLbl>
              <c:idx val="0"/>
              <c:layout>
                <c:manualLayout>
                  <c:x val="-0.0451467268623025"/>
                  <c:y val="-0.140351071074832"/>
                </c:manualLayout>
              </c:layout>
              <c:tx>
                <c:rich>
                  <a:bodyPr/>
                  <a:lstStyle/>
                  <a:p>
                    <a:r>
                      <a:rPr lang="en-US"/>
                      <a:t>10</a:t>
                    </a:r>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0.138449725387037"/>
                  <c:y val="-0.438597097108854"/>
                </c:manualLayout>
              </c:layout>
              <c:tx>
                <c:rich>
                  <a:bodyPr/>
                  <a:lstStyle/>
                  <a:p>
                    <a:r>
                      <a:rPr lang="is-IS"/>
                      <a:t>100</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xVal>
            <c:numRef>
              <c:f>Blad1!$E$17:$E$18</c:f>
              <c:numCache>
                <c:formatCode>General</c:formatCode>
                <c:ptCount val="2"/>
                <c:pt idx="0">
                  <c:v>0.5</c:v>
                </c:pt>
                <c:pt idx="1">
                  <c:v>0.5</c:v>
                </c:pt>
              </c:numCache>
            </c:numRef>
          </c:xVal>
          <c:yVal>
            <c:numRef>
              <c:f>Blad1!$F$17:$F$18</c:f>
              <c:numCache>
                <c:formatCode>General</c:formatCode>
                <c:ptCount val="2"/>
                <c:pt idx="0">
                  <c:v>2.5</c:v>
                </c:pt>
                <c:pt idx="1">
                  <c:v>0.25</c:v>
                </c:pt>
              </c:numCache>
            </c:numRef>
          </c:yVal>
          <c:smooth val="0"/>
        </c:ser>
        <c:ser>
          <c:idx val="5"/>
          <c:order val="5"/>
          <c:spPr>
            <a:ln w="6350">
              <a:solidFill>
                <a:schemeClr val="tx1">
                  <a:lumMod val="50000"/>
                  <a:lumOff val="50000"/>
                </a:schemeClr>
              </a:solidFill>
            </a:ln>
          </c:spPr>
          <c:marker>
            <c:symbol val="none"/>
          </c:marker>
          <c:dLbls>
            <c:dLbl>
              <c:idx val="0"/>
              <c:layout>
                <c:manualLayout>
                  <c:x val="-0.0451467268623025"/>
                  <c:y val="-0.140351071074832"/>
                </c:manualLayout>
              </c:layout>
              <c:tx>
                <c:rich>
                  <a:bodyPr/>
                  <a:lstStyle/>
                  <a:p>
                    <a:r>
                      <a:rPr lang="uk-UA"/>
                      <a:t>-5</a:t>
                    </a:r>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0.0391271632806622"/>
                  <c:y val="-0.52631651653062"/>
                </c:manualLayout>
              </c:layout>
              <c:tx>
                <c:rich>
                  <a:bodyPr/>
                  <a:lstStyle/>
                  <a:p>
                    <a:r>
                      <a:rPr lang="en-US"/>
                      <a:t>+5</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xVal>
            <c:numRef>
              <c:f>Blad1!$E$19:$E$20</c:f>
              <c:numCache>
                <c:formatCode>General</c:formatCode>
                <c:ptCount val="2"/>
                <c:pt idx="0">
                  <c:v>-0.1</c:v>
                </c:pt>
                <c:pt idx="1">
                  <c:v>-0.1</c:v>
                </c:pt>
              </c:numCache>
            </c:numRef>
          </c:xVal>
          <c:yVal>
            <c:numRef>
              <c:f>Blad1!$F$19:$F$20</c:f>
              <c:numCache>
                <c:formatCode>General</c:formatCode>
                <c:ptCount val="2"/>
                <c:pt idx="0">
                  <c:v>2.5</c:v>
                </c:pt>
                <c:pt idx="1">
                  <c:v>0.25</c:v>
                </c:pt>
              </c:numCache>
            </c:numRef>
          </c:yVal>
          <c:smooth val="0"/>
        </c:ser>
        <c:ser>
          <c:idx val="6"/>
          <c:order val="6"/>
          <c:spPr>
            <a:ln w="6350">
              <a:solidFill>
                <a:schemeClr val="tx1">
                  <a:lumMod val="50000"/>
                  <a:lumOff val="50000"/>
                </a:schemeClr>
              </a:solidFill>
            </a:ln>
          </c:spPr>
          <c:marker>
            <c:symbol val="none"/>
          </c:marker>
          <c:xVal>
            <c:numRef>
              <c:f>Blad1!$E$21:$E$22</c:f>
              <c:numCache>
                <c:formatCode>General</c:formatCode>
                <c:ptCount val="2"/>
                <c:pt idx="0">
                  <c:v>0.1</c:v>
                </c:pt>
                <c:pt idx="1">
                  <c:v>0.1</c:v>
                </c:pt>
              </c:numCache>
            </c:numRef>
          </c:xVal>
          <c:yVal>
            <c:numRef>
              <c:f>Blad1!$F$21:$F$22</c:f>
              <c:numCache>
                <c:formatCode>General</c:formatCode>
                <c:ptCount val="2"/>
                <c:pt idx="0">
                  <c:v>2.5</c:v>
                </c:pt>
                <c:pt idx="1">
                  <c:v>0.25</c:v>
                </c:pt>
              </c:numCache>
            </c:numRef>
          </c:yVal>
          <c:smooth val="0"/>
        </c:ser>
        <c:dLbls>
          <c:showLegendKey val="0"/>
          <c:showVal val="0"/>
          <c:showCatName val="0"/>
          <c:showSerName val="0"/>
          <c:showPercent val="0"/>
          <c:showBubbleSize val="0"/>
        </c:dLbls>
        <c:axId val="-2017941200"/>
        <c:axId val="-2020528112"/>
      </c:scatterChart>
      <c:valAx>
        <c:axId val="-2017941200"/>
        <c:scaling>
          <c:orientation val="minMax"/>
        </c:scaling>
        <c:delete val="1"/>
        <c:axPos val="b"/>
        <c:numFmt formatCode="General" sourceLinked="1"/>
        <c:majorTickMark val="out"/>
        <c:minorTickMark val="none"/>
        <c:tickLblPos val="none"/>
        <c:crossAx val="-2020528112"/>
        <c:crosses val="autoZero"/>
        <c:crossBetween val="midCat"/>
        <c:majorUnit val="0.1"/>
      </c:valAx>
      <c:valAx>
        <c:axId val="-2020528112"/>
        <c:scaling>
          <c:orientation val="minMax"/>
        </c:scaling>
        <c:delete val="1"/>
        <c:axPos val="l"/>
        <c:majorGridlines>
          <c:spPr>
            <a:ln>
              <a:noFill/>
            </a:ln>
          </c:spPr>
        </c:majorGridlines>
        <c:numFmt formatCode="General" sourceLinked="1"/>
        <c:majorTickMark val="none"/>
        <c:minorTickMark val="none"/>
        <c:tickLblPos val="none"/>
        <c:crossAx val="-2017941200"/>
        <c:crosses val="autoZero"/>
        <c:crossBetween val="midCat"/>
      </c:valAx>
      <c:spPr>
        <a:solidFill>
          <a:schemeClr val="bg1"/>
        </a:solidFill>
      </c:spPr>
    </c:plotArea>
    <c:plotVisOnly val="1"/>
    <c:dispBlanksAs val="gap"/>
    <c:showDLblsOverMax val="0"/>
  </c:chart>
  <c:spPr>
    <a:ln>
      <a:noFill/>
    </a:ln>
  </c:sp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05F8BEA-FF3C-2043-8958-D77483457538}" type="doc">
      <dgm:prSet loTypeId="urn:microsoft.com/office/officeart/2005/8/layout/hierarchy6" loCatId="" qsTypeId="urn:microsoft.com/office/officeart/2005/8/quickstyle/simple4" qsCatId="simple" csTypeId="urn:microsoft.com/office/officeart/2005/8/colors/accent1_2" csCatId="accent1" phldr="1"/>
      <dgm:spPr/>
      <dgm:t>
        <a:bodyPr/>
        <a:lstStyle/>
        <a:p>
          <a:endParaRPr lang="nl-NL"/>
        </a:p>
      </dgm:t>
    </dgm:pt>
    <dgm:pt modelId="{E15EB245-C5DB-1E40-9347-B7EEB26C56BE}">
      <dgm:prSet phldrT="[Tekst]" custT="1"/>
      <dgm:spPr/>
      <dgm:t>
        <a:bodyPr/>
        <a:lstStyle/>
        <a:p>
          <a:r>
            <a:rPr lang="nl-NL" sz="900">
              <a:latin typeface="Corbel" charset="0"/>
              <a:ea typeface="Corbel" charset="0"/>
              <a:cs typeface="Corbel" charset="0"/>
            </a:rPr>
            <a:t>Hoogwaterveiligheid</a:t>
          </a:r>
        </a:p>
      </dgm:t>
    </dgm:pt>
    <dgm:pt modelId="{AA5B75D0-94C2-AC4B-A799-D97C7E78F8E9}" type="parTrans" cxnId="{88B473B8-3B25-544C-95D4-FF63336A38EC}">
      <dgm:prSet/>
      <dgm:spPr/>
      <dgm:t>
        <a:bodyPr/>
        <a:lstStyle/>
        <a:p>
          <a:endParaRPr lang="nl-NL" sz="1800">
            <a:latin typeface="Corbel" charset="0"/>
            <a:ea typeface="Corbel" charset="0"/>
            <a:cs typeface="Corbel" charset="0"/>
          </a:endParaRPr>
        </a:p>
      </dgm:t>
    </dgm:pt>
    <dgm:pt modelId="{E1954857-1C3F-D24C-BA3A-74149BBD502B}" type="sibTrans" cxnId="{88B473B8-3B25-544C-95D4-FF63336A38EC}">
      <dgm:prSet/>
      <dgm:spPr/>
      <dgm:t>
        <a:bodyPr/>
        <a:lstStyle/>
        <a:p>
          <a:endParaRPr lang="nl-NL" sz="1800">
            <a:latin typeface="Corbel" charset="0"/>
            <a:ea typeface="Corbel" charset="0"/>
            <a:cs typeface="Corbel" charset="0"/>
          </a:endParaRPr>
        </a:p>
      </dgm:t>
    </dgm:pt>
    <dgm:pt modelId="{8139EA17-4F0F-2144-BE70-9E3121868E7F}">
      <dgm:prSet phldrT="[Tekst]" custT="1"/>
      <dgm:spPr/>
      <dgm:t>
        <a:bodyPr/>
        <a:lstStyle/>
        <a:p>
          <a:r>
            <a:rPr lang="nl-NL" sz="900">
              <a:latin typeface="Corbel" charset="0"/>
              <a:ea typeface="Corbel" charset="0"/>
              <a:cs typeface="Corbel" charset="0"/>
            </a:rPr>
            <a:t>Materieel</a:t>
          </a:r>
        </a:p>
      </dgm:t>
    </dgm:pt>
    <dgm:pt modelId="{9E5ADB0B-68CB-EB4D-A85C-E9EE2E8E4C36}" type="parTrans" cxnId="{AE66C1CE-7CAC-EA46-B53E-5C73CBCBABC7}">
      <dgm:prSet/>
      <dgm:spPr/>
      <dgm:t>
        <a:bodyPr/>
        <a:lstStyle/>
        <a:p>
          <a:endParaRPr lang="nl-NL" sz="1800">
            <a:latin typeface="Corbel" charset="0"/>
            <a:ea typeface="Corbel" charset="0"/>
            <a:cs typeface="Corbel" charset="0"/>
          </a:endParaRPr>
        </a:p>
      </dgm:t>
    </dgm:pt>
    <dgm:pt modelId="{5DFCC990-54D0-F341-9587-696504685453}" type="sibTrans" cxnId="{AE66C1CE-7CAC-EA46-B53E-5C73CBCBABC7}">
      <dgm:prSet/>
      <dgm:spPr/>
      <dgm:t>
        <a:bodyPr/>
        <a:lstStyle/>
        <a:p>
          <a:endParaRPr lang="nl-NL" sz="1800">
            <a:latin typeface="Corbel" charset="0"/>
            <a:ea typeface="Corbel" charset="0"/>
            <a:cs typeface="Corbel" charset="0"/>
          </a:endParaRPr>
        </a:p>
      </dgm:t>
    </dgm:pt>
    <dgm:pt modelId="{451B4FE2-6EBE-5C47-9D81-0522A75D9922}">
      <dgm:prSet phldrT="[Tekst]" custT="1"/>
      <dgm:spPr/>
      <dgm:t>
        <a:bodyPr/>
        <a:lstStyle/>
        <a:p>
          <a:r>
            <a:rPr lang="nl-NL" sz="1050">
              <a:latin typeface="Corbel" charset="0"/>
              <a:ea typeface="Corbel" charset="0"/>
              <a:cs typeface="Corbel" charset="0"/>
            </a:rPr>
            <a:t>Economische schade</a:t>
          </a:r>
        </a:p>
      </dgm:t>
    </dgm:pt>
    <dgm:pt modelId="{131ED741-8833-C548-BF85-B79AAFFB6CC7}" type="parTrans" cxnId="{F732C919-3326-3E4A-AA74-2634946DA6C7}">
      <dgm:prSet/>
      <dgm:spPr/>
      <dgm:t>
        <a:bodyPr/>
        <a:lstStyle/>
        <a:p>
          <a:endParaRPr lang="nl-NL" sz="1800">
            <a:latin typeface="Corbel" charset="0"/>
            <a:ea typeface="Corbel" charset="0"/>
            <a:cs typeface="Corbel" charset="0"/>
          </a:endParaRPr>
        </a:p>
      </dgm:t>
    </dgm:pt>
    <dgm:pt modelId="{D36401E5-8924-E44D-B2FC-7A11313CBDF7}" type="sibTrans" cxnId="{F732C919-3326-3E4A-AA74-2634946DA6C7}">
      <dgm:prSet/>
      <dgm:spPr/>
      <dgm:t>
        <a:bodyPr/>
        <a:lstStyle/>
        <a:p>
          <a:endParaRPr lang="nl-NL" sz="1800">
            <a:latin typeface="Corbel" charset="0"/>
            <a:ea typeface="Corbel" charset="0"/>
            <a:cs typeface="Corbel" charset="0"/>
          </a:endParaRPr>
        </a:p>
      </dgm:t>
    </dgm:pt>
    <dgm:pt modelId="{2A5247F8-8073-7249-97E4-FD80464675D9}">
      <dgm:prSet phldrT="[Tekst]" custT="1"/>
      <dgm:spPr/>
      <dgm:t>
        <a:bodyPr/>
        <a:lstStyle/>
        <a:p>
          <a:r>
            <a:rPr lang="nl-NL" sz="900">
              <a:latin typeface="Corbel" charset="0"/>
              <a:ea typeface="Corbel" charset="0"/>
              <a:cs typeface="Corbel" charset="0"/>
            </a:rPr>
            <a:t>Immaterieel</a:t>
          </a:r>
        </a:p>
      </dgm:t>
    </dgm:pt>
    <dgm:pt modelId="{6FB4345C-89CE-724D-B550-C9A09E6373D0}" type="parTrans" cxnId="{50568802-1C93-6E4D-BCC5-9E38A49098BF}">
      <dgm:prSet/>
      <dgm:spPr/>
      <dgm:t>
        <a:bodyPr/>
        <a:lstStyle/>
        <a:p>
          <a:endParaRPr lang="nl-NL" sz="1800">
            <a:latin typeface="Corbel" charset="0"/>
            <a:ea typeface="Corbel" charset="0"/>
            <a:cs typeface="Corbel" charset="0"/>
          </a:endParaRPr>
        </a:p>
      </dgm:t>
    </dgm:pt>
    <dgm:pt modelId="{CC71E977-E2A6-DB46-88C6-017D7E2E7966}" type="sibTrans" cxnId="{50568802-1C93-6E4D-BCC5-9E38A49098BF}">
      <dgm:prSet/>
      <dgm:spPr/>
      <dgm:t>
        <a:bodyPr/>
        <a:lstStyle/>
        <a:p>
          <a:endParaRPr lang="nl-NL" sz="1800">
            <a:latin typeface="Corbel" charset="0"/>
            <a:ea typeface="Corbel" charset="0"/>
            <a:cs typeface="Corbel" charset="0"/>
          </a:endParaRPr>
        </a:p>
      </dgm:t>
    </dgm:pt>
    <dgm:pt modelId="{FB72AB9C-E525-E742-9297-3A9EF27952B7}">
      <dgm:prSet phldrT="[Tekst]" custT="1"/>
      <dgm:spPr/>
      <dgm:t>
        <a:bodyPr/>
        <a:lstStyle/>
        <a:p>
          <a:r>
            <a:rPr lang="nl-NL" sz="1050">
              <a:latin typeface="Corbel" charset="0"/>
              <a:ea typeface="Corbel" charset="0"/>
              <a:cs typeface="Corbel" charset="0"/>
            </a:rPr>
            <a:t>Institutionele schade</a:t>
          </a:r>
        </a:p>
      </dgm:t>
    </dgm:pt>
    <dgm:pt modelId="{FD9E3C4A-C856-FC41-9BA6-70DA95773666}" type="parTrans" cxnId="{13828DDA-1253-5049-A9F3-4E016E19462A}">
      <dgm:prSet/>
      <dgm:spPr/>
      <dgm:t>
        <a:bodyPr/>
        <a:lstStyle/>
        <a:p>
          <a:endParaRPr lang="nl-NL" sz="1800">
            <a:latin typeface="Corbel" charset="0"/>
            <a:ea typeface="Corbel" charset="0"/>
            <a:cs typeface="Corbel" charset="0"/>
          </a:endParaRPr>
        </a:p>
      </dgm:t>
    </dgm:pt>
    <dgm:pt modelId="{A8C76BDE-CB6F-C948-9B9A-5A6DF9002022}" type="sibTrans" cxnId="{13828DDA-1253-5049-A9F3-4E016E19462A}">
      <dgm:prSet/>
      <dgm:spPr/>
      <dgm:t>
        <a:bodyPr/>
        <a:lstStyle/>
        <a:p>
          <a:endParaRPr lang="nl-NL" sz="1800">
            <a:latin typeface="Corbel" charset="0"/>
            <a:ea typeface="Corbel" charset="0"/>
            <a:cs typeface="Corbel" charset="0"/>
          </a:endParaRPr>
        </a:p>
      </dgm:t>
    </dgm:pt>
    <dgm:pt modelId="{15A50FC6-38A4-BD4B-B042-EB335B326374}">
      <dgm:prSet phldrT="[Tekst]" custT="1"/>
      <dgm:spPr/>
      <dgm:t>
        <a:bodyPr/>
        <a:lstStyle/>
        <a:p>
          <a:r>
            <a:rPr lang="nl-NL" sz="1200">
              <a:latin typeface="Corbel" charset="0"/>
              <a:ea typeface="Corbel" charset="0"/>
              <a:cs typeface="Corbel" charset="0"/>
            </a:rPr>
            <a:t>Risicogebied</a:t>
          </a:r>
          <a:endParaRPr lang="nl-NL" sz="2000">
            <a:latin typeface="Corbel" charset="0"/>
            <a:ea typeface="Corbel" charset="0"/>
            <a:cs typeface="Corbel" charset="0"/>
          </a:endParaRPr>
        </a:p>
      </dgm:t>
    </dgm:pt>
    <dgm:pt modelId="{D06EB97F-B9E8-204E-B8E5-2FC063EF86E6}" type="parTrans" cxnId="{D13CA03E-60B9-EF4F-A161-5C8D00435C3A}">
      <dgm:prSet/>
      <dgm:spPr/>
      <dgm:t>
        <a:bodyPr/>
        <a:lstStyle/>
        <a:p>
          <a:endParaRPr lang="nl-NL" sz="1800">
            <a:latin typeface="Corbel" charset="0"/>
            <a:ea typeface="Corbel" charset="0"/>
            <a:cs typeface="Corbel" charset="0"/>
          </a:endParaRPr>
        </a:p>
      </dgm:t>
    </dgm:pt>
    <dgm:pt modelId="{52BCE688-FAFA-1340-AABF-D703C4EA2695}" type="sibTrans" cxnId="{D13CA03E-60B9-EF4F-A161-5C8D00435C3A}">
      <dgm:prSet/>
      <dgm:spPr/>
      <dgm:t>
        <a:bodyPr/>
        <a:lstStyle/>
        <a:p>
          <a:endParaRPr lang="nl-NL" sz="1800">
            <a:latin typeface="Corbel" charset="0"/>
            <a:ea typeface="Corbel" charset="0"/>
            <a:cs typeface="Corbel" charset="0"/>
          </a:endParaRPr>
        </a:p>
      </dgm:t>
    </dgm:pt>
    <dgm:pt modelId="{DA93E823-CCEE-9342-8016-C57C26D58501}">
      <dgm:prSet phldrT="[Tekst]" custT="1"/>
      <dgm:spPr/>
      <dgm:t>
        <a:bodyPr/>
        <a:lstStyle/>
        <a:p>
          <a:r>
            <a:rPr lang="nl-NL" sz="1200">
              <a:latin typeface="Corbel" charset="0"/>
              <a:ea typeface="Corbel" charset="0"/>
              <a:cs typeface="Corbel" charset="0"/>
            </a:rPr>
            <a:t>Soort</a:t>
          </a:r>
          <a:r>
            <a:rPr lang="nl-NL" sz="1200" baseline="0">
              <a:latin typeface="Corbel" charset="0"/>
              <a:ea typeface="Corbel" charset="0"/>
              <a:cs typeface="Corbel" charset="0"/>
            </a:rPr>
            <a:t> schade</a:t>
          </a:r>
          <a:endParaRPr lang="nl-NL" sz="1200">
            <a:latin typeface="Corbel" charset="0"/>
            <a:ea typeface="Corbel" charset="0"/>
            <a:cs typeface="Corbel" charset="0"/>
          </a:endParaRPr>
        </a:p>
      </dgm:t>
    </dgm:pt>
    <dgm:pt modelId="{B0EB5E1F-36F2-B64F-B934-BE56A5664347}" type="parTrans" cxnId="{AA2AAB98-41A0-1246-95AE-9EBFD88D13B2}">
      <dgm:prSet/>
      <dgm:spPr/>
      <dgm:t>
        <a:bodyPr/>
        <a:lstStyle/>
        <a:p>
          <a:endParaRPr lang="nl-NL" sz="1800">
            <a:latin typeface="Corbel" charset="0"/>
            <a:ea typeface="Corbel" charset="0"/>
            <a:cs typeface="Corbel" charset="0"/>
          </a:endParaRPr>
        </a:p>
      </dgm:t>
    </dgm:pt>
    <dgm:pt modelId="{740DC6F2-F607-FD40-87DC-407F3305299A}" type="sibTrans" cxnId="{AA2AAB98-41A0-1246-95AE-9EBFD88D13B2}">
      <dgm:prSet/>
      <dgm:spPr/>
      <dgm:t>
        <a:bodyPr/>
        <a:lstStyle/>
        <a:p>
          <a:endParaRPr lang="nl-NL" sz="1800">
            <a:latin typeface="Corbel" charset="0"/>
            <a:ea typeface="Corbel" charset="0"/>
            <a:cs typeface="Corbel" charset="0"/>
          </a:endParaRPr>
        </a:p>
      </dgm:t>
    </dgm:pt>
    <dgm:pt modelId="{CEED6C67-D442-8841-9080-A9953A46B8A8}">
      <dgm:prSet phldrT="[Tekst]" custT="1"/>
      <dgm:spPr/>
      <dgm:t>
        <a:bodyPr/>
        <a:lstStyle/>
        <a:p>
          <a:r>
            <a:rPr lang="nl-NL" sz="1200">
              <a:latin typeface="Corbel" charset="0"/>
              <a:ea typeface="Corbel" charset="0"/>
              <a:cs typeface="Corbel" charset="0"/>
            </a:rPr>
            <a:t>Perspectief</a:t>
          </a:r>
        </a:p>
      </dgm:t>
    </dgm:pt>
    <dgm:pt modelId="{E66908B7-4EBB-244B-9E91-A9B5DB606EC6}" type="parTrans" cxnId="{F83A7942-8028-9640-9103-73C38499FDFC}">
      <dgm:prSet/>
      <dgm:spPr/>
      <dgm:t>
        <a:bodyPr/>
        <a:lstStyle/>
        <a:p>
          <a:endParaRPr lang="nl-NL" sz="1800">
            <a:latin typeface="Corbel" charset="0"/>
            <a:ea typeface="Corbel" charset="0"/>
            <a:cs typeface="Corbel" charset="0"/>
          </a:endParaRPr>
        </a:p>
      </dgm:t>
    </dgm:pt>
    <dgm:pt modelId="{A214846C-D820-0E47-9A20-F3AA81728C9F}" type="sibTrans" cxnId="{F83A7942-8028-9640-9103-73C38499FDFC}">
      <dgm:prSet/>
      <dgm:spPr/>
      <dgm:t>
        <a:bodyPr/>
        <a:lstStyle/>
        <a:p>
          <a:endParaRPr lang="nl-NL" sz="1800">
            <a:latin typeface="Corbel" charset="0"/>
            <a:ea typeface="Corbel" charset="0"/>
            <a:cs typeface="Corbel" charset="0"/>
          </a:endParaRPr>
        </a:p>
      </dgm:t>
    </dgm:pt>
    <dgm:pt modelId="{228D8C63-DB5D-084C-B51C-1C959E4B3267}">
      <dgm:prSet custT="1"/>
      <dgm:spPr/>
      <dgm:t>
        <a:bodyPr/>
        <a:lstStyle/>
        <a:p>
          <a:r>
            <a:rPr lang="nl-NL" sz="1200">
              <a:latin typeface="Corbel" charset="0"/>
              <a:ea typeface="Corbel" charset="0"/>
              <a:cs typeface="Corbel" charset="0"/>
            </a:rPr>
            <a:t>Grootheden</a:t>
          </a:r>
        </a:p>
      </dgm:t>
    </dgm:pt>
    <dgm:pt modelId="{3C7F2676-A455-564A-ADA6-5EE1C5920DFD}" type="parTrans" cxnId="{C8DB882A-8982-8249-82C1-E5384C395383}">
      <dgm:prSet/>
      <dgm:spPr/>
      <dgm:t>
        <a:bodyPr/>
        <a:lstStyle/>
        <a:p>
          <a:endParaRPr lang="nl-NL" sz="1800">
            <a:latin typeface="Corbel" charset="0"/>
            <a:ea typeface="Corbel" charset="0"/>
            <a:cs typeface="Corbel" charset="0"/>
          </a:endParaRPr>
        </a:p>
      </dgm:t>
    </dgm:pt>
    <dgm:pt modelId="{01E4AF18-0CE0-BA4F-B44B-CBC15F8B99C3}" type="sibTrans" cxnId="{C8DB882A-8982-8249-82C1-E5384C395383}">
      <dgm:prSet/>
      <dgm:spPr/>
      <dgm:t>
        <a:bodyPr/>
        <a:lstStyle/>
        <a:p>
          <a:endParaRPr lang="nl-NL" sz="1800">
            <a:latin typeface="Corbel" charset="0"/>
            <a:ea typeface="Corbel" charset="0"/>
            <a:cs typeface="Corbel" charset="0"/>
          </a:endParaRPr>
        </a:p>
      </dgm:t>
    </dgm:pt>
    <dgm:pt modelId="{6C54566C-F097-C24A-A7F5-22534CA1CB90}">
      <dgm:prSet custT="1"/>
      <dgm:spPr/>
      <dgm:t>
        <a:bodyPr/>
        <a:lstStyle/>
        <a:p>
          <a:r>
            <a:rPr lang="nl-NL" sz="900">
              <a:latin typeface="Corbel" charset="0"/>
              <a:ea typeface="Corbel" charset="0"/>
              <a:cs typeface="Corbel" charset="0"/>
            </a:rPr>
            <a:t>Maatschappelijke en economische ontwrichting</a:t>
          </a:r>
        </a:p>
      </dgm:t>
    </dgm:pt>
    <dgm:pt modelId="{DCDD830C-1674-3A46-A75D-B2277F6F818C}" type="parTrans" cxnId="{DFB74748-C9CD-564D-8847-2C5FBD86B5AA}">
      <dgm:prSet/>
      <dgm:spPr/>
      <dgm:t>
        <a:bodyPr/>
        <a:lstStyle/>
        <a:p>
          <a:endParaRPr lang="nl-NL" sz="1800">
            <a:latin typeface="Corbel" charset="0"/>
            <a:ea typeface="Corbel" charset="0"/>
            <a:cs typeface="Corbel" charset="0"/>
          </a:endParaRPr>
        </a:p>
      </dgm:t>
    </dgm:pt>
    <dgm:pt modelId="{AD522675-517B-2D45-8FA9-003DA997D95A}" type="sibTrans" cxnId="{DFB74748-C9CD-564D-8847-2C5FBD86B5AA}">
      <dgm:prSet/>
      <dgm:spPr/>
      <dgm:t>
        <a:bodyPr/>
        <a:lstStyle/>
        <a:p>
          <a:endParaRPr lang="nl-NL" sz="1800">
            <a:latin typeface="Corbel" charset="0"/>
            <a:ea typeface="Corbel" charset="0"/>
            <a:cs typeface="Corbel" charset="0"/>
          </a:endParaRPr>
        </a:p>
      </dgm:t>
    </dgm:pt>
    <dgm:pt modelId="{3A768D74-98B5-134C-9084-6BE950D540D5}">
      <dgm:prSet custT="1"/>
      <dgm:spPr/>
      <dgm:t>
        <a:bodyPr/>
        <a:lstStyle/>
        <a:p>
          <a:r>
            <a:rPr lang="nl-NL" sz="900">
              <a:latin typeface="Corbel" charset="0"/>
              <a:ea typeface="Corbel" charset="0"/>
              <a:cs typeface="Corbel" charset="0"/>
            </a:rPr>
            <a:t>Schade industrie</a:t>
          </a:r>
        </a:p>
      </dgm:t>
    </dgm:pt>
    <dgm:pt modelId="{7D437783-B64E-564E-B789-39C0A1B433AA}" type="parTrans" cxnId="{5F638A85-27E5-DC44-96E8-F041F906BD1A}">
      <dgm:prSet/>
      <dgm:spPr/>
      <dgm:t>
        <a:bodyPr/>
        <a:lstStyle/>
        <a:p>
          <a:endParaRPr lang="nl-NL" sz="1800">
            <a:latin typeface="Corbel" charset="0"/>
            <a:ea typeface="Corbel" charset="0"/>
            <a:cs typeface="Corbel" charset="0"/>
          </a:endParaRPr>
        </a:p>
      </dgm:t>
    </dgm:pt>
    <dgm:pt modelId="{839018BD-9FF7-9742-9798-A1AEC363C4A5}" type="sibTrans" cxnId="{5F638A85-27E5-DC44-96E8-F041F906BD1A}">
      <dgm:prSet/>
      <dgm:spPr/>
      <dgm:t>
        <a:bodyPr/>
        <a:lstStyle/>
        <a:p>
          <a:endParaRPr lang="nl-NL" sz="1800">
            <a:latin typeface="Corbel" charset="0"/>
            <a:ea typeface="Corbel" charset="0"/>
            <a:cs typeface="Corbel" charset="0"/>
          </a:endParaRPr>
        </a:p>
      </dgm:t>
    </dgm:pt>
    <dgm:pt modelId="{19944637-32F3-0D4A-BD6B-D7C24D3C8539}">
      <dgm:prSet custT="1"/>
      <dgm:spPr/>
      <dgm:t>
        <a:bodyPr/>
        <a:lstStyle/>
        <a:p>
          <a:r>
            <a:rPr lang="nl-NL" sz="1050"/>
            <a:t>Fysieke schade</a:t>
          </a:r>
        </a:p>
      </dgm:t>
    </dgm:pt>
    <dgm:pt modelId="{ECC9AA8D-E2F9-9C49-9369-37B31AD42BEE}" type="parTrans" cxnId="{1D10DB39-1D44-8C47-8DBE-9FEC97992C02}">
      <dgm:prSet/>
      <dgm:spPr/>
      <dgm:t>
        <a:bodyPr/>
        <a:lstStyle/>
        <a:p>
          <a:endParaRPr lang="nl-NL"/>
        </a:p>
      </dgm:t>
    </dgm:pt>
    <dgm:pt modelId="{99412793-E7A2-7D44-9F1E-D9CC7BF1BAF8}" type="sibTrans" cxnId="{1D10DB39-1D44-8C47-8DBE-9FEC97992C02}">
      <dgm:prSet/>
      <dgm:spPr/>
      <dgm:t>
        <a:bodyPr/>
        <a:lstStyle/>
        <a:p>
          <a:endParaRPr lang="nl-NL"/>
        </a:p>
      </dgm:t>
    </dgm:pt>
    <dgm:pt modelId="{28A77F7B-B2BE-6646-8244-E9E5FB128962}">
      <dgm:prSet custT="1"/>
      <dgm:spPr/>
      <dgm:t>
        <a:bodyPr/>
        <a:lstStyle/>
        <a:p>
          <a:r>
            <a:rPr lang="nl-NL" sz="900"/>
            <a:t>Doden en gewonden</a:t>
          </a:r>
        </a:p>
      </dgm:t>
    </dgm:pt>
    <dgm:pt modelId="{83E14FEF-3BDF-054C-9631-37A9025A4105}" type="parTrans" cxnId="{5CE923BC-D6C7-3940-9B92-4E6AEB32E3B2}">
      <dgm:prSet/>
      <dgm:spPr/>
      <dgm:t>
        <a:bodyPr/>
        <a:lstStyle/>
        <a:p>
          <a:endParaRPr lang="nl-NL"/>
        </a:p>
      </dgm:t>
    </dgm:pt>
    <dgm:pt modelId="{695AA983-52EF-3544-9432-431733450DBA}" type="sibTrans" cxnId="{5CE923BC-D6C7-3940-9B92-4E6AEB32E3B2}">
      <dgm:prSet/>
      <dgm:spPr/>
      <dgm:t>
        <a:bodyPr/>
        <a:lstStyle/>
        <a:p>
          <a:endParaRPr lang="nl-NL"/>
        </a:p>
      </dgm:t>
    </dgm:pt>
    <dgm:pt modelId="{255F09D7-F7C2-E240-B4BC-ACB7C1ECE4DA}" type="pres">
      <dgm:prSet presAssocID="{405F8BEA-FF3C-2043-8958-D77483457538}" presName="mainComposite" presStyleCnt="0">
        <dgm:presLayoutVars>
          <dgm:chPref val="1"/>
          <dgm:dir/>
          <dgm:animOne val="branch"/>
          <dgm:animLvl val="lvl"/>
          <dgm:resizeHandles val="exact"/>
        </dgm:presLayoutVars>
      </dgm:prSet>
      <dgm:spPr/>
      <dgm:t>
        <a:bodyPr/>
        <a:lstStyle/>
        <a:p>
          <a:endParaRPr lang="nl-NL"/>
        </a:p>
      </dgm:t>
    </dgm:pt>
    <dgm:pt modelId="{2ACC2881-4643-CB4E-989E-A7BC30E22940}" type="pres">
      <dgm:prSet presAssocID="{405F8BEA-FF3C-2043-8958-D77483457538}" presName="hierFlow" presStyleCnt="0"/>
      <dgm:spPr/>
    </dgm:pt>
    <dgm:pt modelId="{662B378A-EB7B-D04D-9A42-4EB8044A2E79}" type="pres">
      <dgm:prSet presAssocID="{405F8BEA-FF3C-2043-8958-D77483457538}" presName="firstBuf" presStyleCnt="0"/>
      <dgm:spPr/>
    </dgm:pt>
    <dgm:pt modelId="{26D4207C-0357-EB4B-8EE0-B39537EB9535}" type="pres">
      <dgm:prSet presAssocID="{405F8BEA-FF3C-2043-8958-D77483457538}" presName="hierChild1" presStyleCnt="0">
        <dgm:presLayoutVars>
          <dgm:chPref val="1"/>
          <dgm:animOne val="branch"/>
          <dgm:animLvl val="lvl"/>
        </dgm:presLayoutVars>
      </dgm:prSet>
      <dgm:spPr/>
    </dgm:pt>
    <dgm:pt modelId="{5F2DFBB6-4D6A-CB40-BDB7-9439F4542B50}" type="pres">
      <dgm:prSet presAssocID="{E15EB245-C5DB-1E40-9347-B7EEB26C56BE}" presName="Name14" presStyleCnt="0"/>
      <dgm:spPr/>
    </dgm:pt>
    <dgm:pt modelId="{EEC739B2-E644-8B45-8843-AF8E6B45C76F}" type="pres">
      <dgm:prSet presAssocID="{E15EB245-C5DB-1E40-9347-B7EEB26C56BE}" presName="level1Shape" presStyleLbl="node0" presStyleIdx="0" presStyleCnt="1" custScaleX="137026">
        <dgm:presLayoutVars>
          <dgm:chPref val="3"/>
        </dgm:presLayoutVars>
      </dgm:prSet>
      <dgm:spPr/>
      <dgm:t>
        <a:bodyPr/>
        <a:lstStyle/>
        <a:p>
          <a:endParaRPr lang="nl-NL"/>
        </a:p>
      </dgm:t>
    </dgm:pt>
    <dgm:pt modelId="{F8A5E908-38F2-894E-B53C-C465D02BA7C4}" type="pres">
      <dgm:prSet presAssocID="{E15EB245-C5DB-1E40-9347-B7EEB26C56BE}" presName="hierChild2" presStyleCnt="0"/>
      <dgm:spPr/>
    </dgm:pt>
    <dgm:pt modelId="{AF0B8CD0-39E2-5543-B6FB-ACCF0FB50140}" type="pres">
      <dgm:prSet presAssocID="{9E5ADB0B-68CB-EB4D-A85C-E9EE2E8E4C36}" presName="Name19" presStyleLbl="parChTrans1D2" presStyleIdx="0" presStyleCnt="2"/>
      <dgm:spPr/>
      <dgm:t>
        <a:bodyPr/>
        <a:lstStyle/>
        <a:p>
          <a:endParaRPr lang="nl-NL"/>
        </a:p>
      </dgm:t>
    </dgm:pt>
    <dgm:pt modelId="{93C12900-6D14-144F-8EE7-16B9AAD90968}" type="pres">
      <dgm:prSet presAssocID="{8139EA17-4F0F-2144-BE70-9E3121868E7F}" presName="Name21" presStyleCnt="0"/>
      <dgm:spPr/>
    </dgm:pt>
    <dgm:pt modelId="{4D05A0DA-4362-5A4D-8462-ABE78C9A711B}" type="pres">
      <dgm:prSet presAssocID="{8139EA17-4F0F-2144-BE70-9E3121868E7F}" presName="level2Shape" presStyleLbl="node2" presStyleIdx="0" presStyleCnt="2"/>
      <dgm:spPr/>
      <dgm:t>
        <a:bodyPr/>
        <a:lstStyle/>
        <a:p>
          <a:endParaRPr lang="nl-NL"/>
        </a:p>
      </dgm:t>
    </dgm:pt>
    <dgm:pt modelId="{DC5B1BAE-7ACA-0E4F-8AB0-EE4FAEDE747A}" type="pres">
      <dgm:prSet presAssocID="{8139EA17-4F0F-2144-BE70-9E3121868E7F}" presName="hierChild3" presStyleCnt="0"/>
      <dgm:spPr/>
    </dgm:pt>
    <dgm:pt modelId="{85BC65A9-30F2-E042-ABA8-259B61ED0F46}" type="pres">
      <dgm:prSet presAssocID="{131ED741-8833-C548-BF85-B79AAFFB6CC7}" presName="Name19" presStyleLbl="parChTrans1D3" presStyleIdx="0" presStyleCnt="3"/>
      <dgm:spPr/>
      <dgm:t>
        <a:bodyPr/>
        <a:lstStyle/>
        <a:p>
          <a:endParaRPr lang="nl-NL"/>
        </a:p>
      </dgm:t>
    </dgm:pt>
    <dgm:pt modelId="{663DDA26-D6FF-384A-884C-A74327A49F18}" type="pres">
      <dgm:prSet presAssocID="{451B4FE2-6EBE-5C47-9D81-0522A75D9922}" presName="Name21" presStyleCnt="0"/>
      <dgm:spPr/>
    </dgm:pt>
    <dgm:pt modelId="{289C5CF4-FB5B-CC44-9F9D-1EBC06535AD0}" type="pres">
      <dgm:prSet presAssocID="{451B4FE2-6EBE-5C47-9D81-0522A75D9922}" presName="level2Shape" presStyleLbl="node3" presStyleIdx="0" presStyleCnt="3" custScaleX="117426"/>
      <dgm:spPr/>
      <dgm:t>
        <a:bodyPr/>
        <a:lstStyle/>
        <a:p>
          <a:endParaRPr lang="nl-NL"/>
        </a:p>
      </dgm:t>
    </dgm:pt>
    <dgm:pt modelId="{728D40C3-BACC-A943-A377-667754115C75}" type="pres">
      <dgm:prSet presAssocID="{451B4FE2-6EBE-5C47-9D81-0522A75D9922}" presName="hierChild3" presStyleCnt="0"/>
      <dgm:spPr/>
    </dgm:pt>
    <dgm:pt modelId="{7713FE14-0A1F-3146-9C12-0DA97B63B584}" type="pres">
      <dgm:prSet presAssocID="{7D437783-B64E-564E-B789-39C0A1B433AA}" presName="Name19" presStyleLbl="parChTrans1D4" presStyleIdx="0" presStyleCnt="3"/>
      <dgm:spPr/>
      <dgm:t>
        <a:bodyPr/>
        <a:lstStyle/>
        <a:p>
          <a:endParaRPr lang="nl-NL"/>
        </a:p>
      </dgm:t>
    </dgm:pt>
    <dgm:pt modelId="{D7590679-E7A3-F34F-A70D-EF0EE1A3F96C}" type="pres">
      <dgm:prSet presAssocID="{3A768D74-98B5-134C-9084-6BE950D540D5}" presName="Name21" presStyleCnt="0"/>
      <dgm:spPr/>
    </dgm:pt>
    <dgm:pt modelId="{C147556F-A008-5847-9D8E-AE215F42A8C0}" type="pres">
      <dgm:prSet presAssocID="{3A768D74-98B5-134C-9084-6BE950D540D5}" presName="level2Shape" presStyleLbl="node4" presStyleIdx="0" presStyleCnt="3"/>
      <dgm:spPr/>
      <dgm:t>
        <a:bodyPr/>
        <a:lstStyle/>
        <a:p>
          <a:endParaRPr lang="nl-NL"/>
        </a:p>
      </dgm:t>
    </dgm:pt>
    <dgm:pt modelId="{7A6CEA43-29FA-4B4B-BD8E-A61E88DFC2EE}" type="pres">
      <dgm:prSet presAssocID="{3A768D74-98B5-134C-9084-6BE950D540D5}" presName="hierChild3" presStyleCnt="0"/>
      <dgm:spPr/>
    </dgm:pt>
    <dgm:pt modelId="{F8DBD327-2323-9E41-A60D-C7A72430520F}" type="pres">
      <dgm:prSet presAssocID="{6FB4345C-89CE-724D-B550-C9A09E6373D0}" presName="Name19" presStyleLbl="parChTrans1D2" presStyleIdx="1" presStyleCnt="2"/>
      <dgm:spPr/>
      <dgm:t>
        <a:bodyPr/>
        <a:lstStyle/>
        <a:p>
          <a:endParaRPr lang="nl-NL"/>
        </a:p>
      </dgm:t>
    </dgm:pt>
    <dgm:pt modelId="{CC238999-3014-AF49-B8B7-8C51C6E2A92A}" type="pres">
      <dgm:prSet presAssocID="{2A5247F8-8073-7249-97E4-FD80464675D9}" presName="Name21" presStyleCnt="0"/>
      <dgm:spPr/>
    </dgm:pt>
    <dgm:pt modelId="{CA6235FA-001A-044A-BFF9-496F2921454A}" type="pres">
      <dgm:prSet presAssocID="{2A5247F8-8073-7249-97E4-FD80464675D9}" presName="level2Shape" presStyleLbl="node2" presStyleIdx="1" presStyleCnt="2"/>
      <dgm:spPr/>
      <dgm:t>
        <a:bodyPr/>
        <a:lstStyle/>
        <a:p>
          <a:endParaRPr lang="nl-NL"/>
        </a:p>
      </dgm:t>
    </dgm:pt>
    <dgm:pt modelId="{EE755D28-B115-4F45-9EBE-EB4C5C1394DC}" type="pres">
      <dgm:prSet presAssocID="{2A5247F8-8073-7249-97E4-FD80464675D9}" presName="hierChild3" presStyleCnt="0"/>
      <dgm:spPr/>
    </dgm:pt>
    <dgm:pt modelId="{3D2DF429-17F3-6C4E-ABA5-2998C104D489}" type="pres">
      <dgm:prSet presAssocID="{FD9E3C4A-C856-FC41-9BA6-70DA95773666}" presName="Name19" presStyleLbl="parChTrans1D3" presStyleIdx="1" presStyleCnt="3"/>
      <dgm:spPr/>
      <dgm:t>
        <a:bodyPr/>
        <a:lstStyle/>
        <a:p>
          <a:endParaRPr lang="nl-NL"/>
        </a:p>
      </dgm:t>
    </dgm:pt>
    <dgm:pt modelId="{076CC8F2-7F2D-0349-8451-D94480FCE739}" type="pres">
      <dgm:prSet presAssocID="{FB72AB9C-E525-E742-9297-3A9EF27952B7}" presName="Name21" presStyleCnt="0"/>
      <dgm:spPr/>
    </dgm:pt>
    <dgm:pt modelId="{9AB12326-3A0E-5646-AD52-3853837C4C56}" type="pres">
      <dgm:prSet presAssocID="{FB72AB9C-E525-E742-9297-3A9EF27952B7}" presName="level2Shape" presStyleLbl="node3" presStyleIdx="1" presStyleCnt="3" custScaleX="116326"/>
      <dgm:spPr/>
      <dgm:t>
        <a:bodyPr/>
        <a:lstStyle/>
        <a:p>
          <a:endParaRPr lang="nl-NL"/>
        </a:p>
      </dgm:t>
    </dgm:pt>
    <dgm:pt modelId="{91F121EC-B798-C64C-B94E-1F15BDECCF46}" type="pres">
      <dgm:prSet presAssocID="{FB72AB9C-E525-E742-9297-3A9EF27952B7}" presName="hierChild3" presStyleCnt="0"/>
      <dgm:spPr/>
    </dgm:pt>
    <dgm:pt modelId="{686D8B7A-8337-9245-9DDC-658E3318C758}" type="pres">
      <dgm:prSet presAssocID="{DCDD830C-1674-3A46-A75D-B2277F6F818C}" presName="Name19" presStyleLbl="parChTrans1D4" presStyleIdx="1" presStyleCnt="3"/>
      <dgm:spPr/>
      <dgm:t>
        <a:bodyPr/>
        <a:lstStyle/>
        <a:p>
          <a:endParaRPr lang="nl-NL"/>
        </a:p>
      </dgm:t>
    </dgm:pt>
    <dgm:pt modelId="{D7BB286F-18BF-314B-BD7F-32A835316B89}" type="pres">
      <dgm:prSet presAssocID="{6C54566C-F097-C24A-A7F5-22534CA1CB90}" presName="Name21" presStyleCnt="0"/>
      <dgm:spPr/>
    </dgm:pt>
    <dgm:pt modelId="{4322880F-CC51-4046-B3AE-E6F577B6CC6D}" type="pres">
      <dgm:prSet presAssocID="{6C54566C-F097-C24A-A7F5-22534CA1CB90}" presName="level2Shape" presStyleLbl="node4" presStyleIdx="1" presStyleCnt="3" custScaleX="126663"/>
      <dgm:spPr/>
      <dgm:t>
        <a:bodyPr/>
        <a:lstStyle/>
        <a:p>
          <a:endParaRPr lang="nl-NL"/>
        </a:p>
      </dgm:t>
    </dgm:pt>
    <dgm:pt modelId="{1F132E46-2BA0-114A-9427-065E3997D9C8}" type="pres">
      <dgm:prSet presAssocID="{6C54566C-F097-C24A-A7F5-22534CA1CB90}" presName="hierChild3" presStyleCnt="0"/>
      <dgm:spPr/>
    </dgm:pt>
    <dgm:pt modelId="{C9B25F6C-9E20-EF43-AF9E-03F0B4E79469}" type="pres">
      <dgm:prSet presAssocID="{ECC9AA8D-E2F9-9C49-9369-37B31AD42BEE}" presName="Name19" presStyleLbl="parChTrans1D3" presStyleIdx="2" presStyleCnt="3"/>
      <dgm:spPr/>
      <dgm:t>
        <a:bodyPr/>
        <a:lstStyle/>
        <a:p>
          <a:endParaRPr lang="nl-NL"/>
        </a:p>
      </dgm:t>
    </dgm:pt>
    <dgm:pt modelId="{39DDE313-294B-9149-AA26-2B4AFB14D71B}" type="pres">
      <dgm:prSet presAssocID="{19944637-32F3-0D4A-BD6B-D7C24D3C8539}" presName="Name21" presStyleCnt="0"/>
      <dgm:spPr/>
    </dgm:pt>
    <dgm:pt modelId="{4C4A60D1-5769-CF43-B1D8-71A6B4ED66BA}" type="pres">
      <dgm:prSet presAssocID="{19944637-32F3-0D4A-BD6B-D7C24D3C8539}" presName="level2Shape" presStyleLbl="node3" presStyleIdx="2" presStyleCnt="3"/>
      <dgm:spPr/>
      <dgm:t>
        <a:bodyPr/>
        <a:lstStyle/>
        <a:p>
          <a:endParaRPr lang="nl-NL"/>
        </a:p>
      </dgm:t>
    </dgm:pt>
    <dgm:pt modelId="{11D92469-ABE2-2344-9174-CFDBC2C906BE}" type="pres">
      <dgm:prSet presAssocID="{19944637-32F3-0D4A-BD6B-D7C24D3C8539}" presName="hierChild3" presStyleCnt="0"/>
      <dgm:spPr/>
    </dgm:pt>
    <dgm:pt modelId="{3BBC9ED0-BFF1-024D-B507-52B4F8C3FF19}" type="pres">
      <dgm:prSet presAssocID="{83E14FEF-3BDF-054C-9631-37A9025A4105}" presName="Name19" presStyleLbl="parChTrans1D4" presStyleIdx="2" presStyleCnt="3"/>
      <dgm:spPr/>
      <dgm:t>
        <a:bodyPr/>
        <a:lstStyle/>
        <a:p>
          <a:endParaRPr lang="nl-NL"/>
        </a:p>
      </dgm:t>
    </dgm:pt>
    <dgm:pt modelId="{EA32D1F0-D3A8-2D45-958E-F7B88DC53D33}" type="pres">
      <dgm:prSet presAssocID="{28A77F7B-B2BE-6646-8244-E9E5FB128962}" presName="Name21" presStyleCnt="0"/>
      <dgm:spPr/>
    </dgm:pt>
    <dgm:pt modelId="{4A168320-7539-E944-AEC3-AE00FA872E3B}" type="pres">
      <dgm:prSet presAssocID="{28A77F7B-B2BE-6646-8244-E9E5FB128962}" presName="level2Shape" presStyleLbl="node4" presStyleIdx="2" presStyleCnt="3"/>
      <dgm:spPr/>
      <dgm:t>
        <a:bodyPr/>
        <a:lstStyle/>
        <a:p>
          <a:endParaRPr lang="nl-NL"/>
        </a:p>
      </dgm:t>
    </dgm:pt>
    <dgm:pt modelId="{430E58E1-6BD6-4649-9C95-72B50BF4E889}" type="pres">
      <dgm:prSet presAssocID="{28A77F7B-B2BE-6646-8244-E9E5FB128962}" presName="hierChild3" presStyleCnt="0"/>
      <dgm:spPr/>
    </dgm:pt>
    <dgm:pt modelId="{DE1E4322-CB2C-384D-8832-F3A246A8AF54}" type="pres">
      <dgm:prSet presAssocID="{405F8BEA-FF3C-2043-8958-D77483457538}" presName="bgShapesFlow" presStyleCnt="0"/>
      <dgm:spPr/>
    </dgm:pt>
    <dgm:pt modelId="{36AC3C44-5639-BA4F-9227-D359C2B50A34}" type="pres">
      <dgm:prSet presAssocID="{15A50FC6-38A4-BD4B-B042-EB335B326374}" presName="rectComp" presStyleCnt="0"/>
      <dgm:spPr/>
    </dgm:pt>
    <dgm:pt modelId="{B8800653-D895-A447-B3A7-17B63C3AEB93}" type="pres">
      <dgm:prSet presAssocID="{15A50FC6-38A4-BD4B-B042-EB335B326374}" presName="bgRect" presStyleLbl="bgShp" presStyleIdx="0" presStyleCnt="4"/>
      <dgm:spPr/>
      <dgm:t>
        <a:bodyPr/>
        <a:lstStyle/>
        <a:p>
          <a:endParaRPr lang="nl-NL"/>
        </a:p>
      </dgm:t>
    </dgm:pt>
    <dgm:pt modelId="{35F671C6-DB2D-4D4A-B395-99BE119E3222}" type="pres">
      <dgm:prSet presAssocID="{15A50FC6-38A4-BD4B-B042-EB335B326374}" presName="bgRectTx" presStyleLbl="bgShp" presStyleIdx="0" presStyleCnt="4">
        <dgm:presLayoutVars>
          <dgm:bulletEnabled val="1"/>
        </dgm:presLayoutVars>
      </dgm:prSet>
      <dgm:spPr/>
      <dgm:t>
        <a:bodyPr/>
        <a:lstStyle/>
        <a:p>
          <a:endParaRPr lang="nl-NL"/>
        </a:p>
      </dgm:t>
    </dgm:pt>
    <dgm:pt modelId="{14432808-FFE9-324A-AB99-CF3C8003666B}" type="pres">
      <dgm:prSet presAssocID="{15A50FC6-38A4-BD4B-B042-EB335B326374}" presName="spComp" presStyleCnt="0"/>
      <dgm:spPr/>
    </dgm:pt>
    <dgm:pt modelId="{0D85D1AC-D5A0-CD44-8B38-E5C853B9D71D}" type="pres">
      <dgm:prSet presAssocID="{15A50FC6-38A4-BD4B-B042-EB335B326374}" presName="vSp" presStyleCnt="0"/>
      <dgm:spPr/>
    </dgm:pt>
    <dgm:pt modelId="{783A76DF-9704-384B-B748-8A3C6CF7910E}" type="pres">
      <dgm:prSet presAssocID="{DA93E823-CCEE-9342-8016-C57C26D58501}" presName="rectComp" presStyleCnt="0"/>
      <dgm:spPr/>
    </dgm:pt>
    <dgm:pt modelId="{A5357F97-25FF-7749-B0AC-D82FB625FBCD}" type="pres">
      <dgm:prSet presAssocID="{DA93E823-CCEE-9342-8016-C57C26D58501}" presName="bgRect" presStyleLbl="bgShp" presStyleIdx="1" presStyleCnt="4"/>
      <dgm:spPr/>
      <dgm:t>
        <a:bodyPr/>
        <a:lstStyle/>
        <a:p>
          <a:endParaRPr lang="nl-NL"/>
        </a:p>
      </dgm:t>
    </dgm:pt>
    <dgm:pt modelId="{172191C8-A3BD-0A4F-A9EA-9AF3D6A41F41}" type="pres">
      <dgm:prSet presAssocID="{DA93E823-CCEE-9342-8016-C57C26D58501}" presName="bgRectTx" presStyleLbl="bgShp" presStyleIdx="1" presStyleCnt="4">
        <dgm:presLayoutVars>
          <dgm:bulletEnabled val="1"/>
        </dgm:presLayoutVars>
      </dgm:prSet>
      <dgm:spPr/>
      <dgm:t>
        <a:bodyPr/>
        <a:lstStyle/>
        <a:p>
          <a:endParaRPr lang="nl-NL"/>
        </a:p>
      </dgm:t>
    </dgm:pt>
    <dgm:pt modelId="{DF2B9390-0F6B-2E42-8CD9-B372820993FE}" type="pres">
      <dgm:prSet presAssocID="{DA93E823-CCEE-9342-8016-C57C26D58501}" presName="spComp" presStyleCnt="0"/>
      <dgm:spPr/>
    </dgm:pt>
    <dgm:pt modelId="{F0575496-1C9A-0047-A411-1E5C4C820151}" type="pres">
      <dgm:prSet presAssocID="{DA93E823-CCEE-9342-8016-C57C26D58501}" presName="vSp" presStyleCnt="0"/>
      <dgm:spPr/>
    </dgm:pt>
    <dgm:pt modelId="{B7F65B57-AF92-A24F-81F3-07F71CEC48F5}" type="pres">
      <dgm:prSet presAssocID="{CEED6C67-D442-8841-9080-A9953A46B8A8}" presName="rectComp" presStyleCnt="0"/>
      <dgm:spPr/>
    </dgm:pt>
    <dgm:pt modelId="{3402E1D9-640E-2B48-A9B1-2D15B92ADDEE}" type="pres">
      <dgm:prSet presAssocID="{CEED6C67-D442-8841-9080-A9953A46B8A8}" presName="bgRect" presStyleLbl="bgShp" presStyleIdx="2" presStyleCnt="4"/>
      <dgm:spPr/>
      <dgm:t>
        <a:bodyPr/>
        <a:lstStyle/>
        <a:p>
          <a:endParaRPr lang="nl-NL"/>
        </a:p>
      </dgm:t>
    </dgm:pt>
    <dgm:pt modelId="{15D2B024-9842-7C4D-A593-81BE10120FDA}" type="pres">
      <dgm:prSet presAssocID="{CEED6C67-D442-8841-9080-A9953A46B8A8}" presName="bgRectTx" presStyleLbl="bgShp" presStyleIdx="2" presStyleCnt="4">
        <dgm:presLayoutVars>
          <dgm:bulletEnabled val="1"/>
        </dgm:presLayoutVars>
      </dgm:prSet>
      <dgm:spPr/>
      <dgm:t>
        <a:bodyPr/>
        <a:lstStyle/>
        <a:p>
          <a:endParaRPr lang="nl-NL"/>
        </a:p>
      </dgm:t>
    </dgm:pt>
    <dgm:pt modelId="{6D857BC4-F38F-3643-9E3A-5803E37CBEA9}" type="pres">
      <dgm:prSet presAssocID="{CEED6C67-D442-8841-9080-A9953A46B8A8}" presName="spComp" presStyleCnt="0"/>
      <dgm:spPr/>
    </dgm:pt>
    <dgm:pt modelId="{44495D8D-6D00-A048-9154-54C33C8CEC48}" type="pres">
      <dgm:prSet presAssocID="{CEED6C67-D442-8841-9080-A9953A46B8A8}" presName="vSp" presStyleCnt="0"/>
      <dgm:spPr/>
    </dgm:pt>
    <dgm:pt modelId="{04C2E303-C5DA-7345-B086-40CC419DF19B}" type="pres">
      <dgm:prSet presAssocID="{228D8C63-DB5D-084C-B51C-1C959E4B3267}" presName="rectComp" presStyleCnt="0"/>
      <dgm:spPr/>
    </dgm:pt>
    <dgm:pt modelId="{34FCC78E-E64E-6844-A900-92A166DA89B2}" type="pres">
      <dgm:prSet presAssocID="{228D8C63-DB5D-084C-B51C-1C959E4B3267}" presName="bgRect" presStyleLbl="bgShp" presStyleIdx="3" presStyleCnt="4"/>
      <dgm:spPr/>
      <dgm:t>
        <a:bodyPr/>
        <a:lstStyle/>
        <a:p>
          <a:endParaRPr lang="nl-NL"/>
        </a:p>
      </dgm:t>
    </dgm:pt>
    <dgm:pt modelId="{94681538-AF45-BF4A-B911-454CC2ACE25F}" type="pres">
      <dgm:prSet presAssocID="{228D8C63-DB5D-084C-B51C-1C959E4B3267}" presName="bgRectTx" presStyleLbl="bgShp" presStyleIdx="3" presStyleCnt="4">
        <dgm:presLayoutVars>
          <dgm:bulletEnabled val="1"/>
        </dgm:presLayoutVars>
      </dgm:prSet>
      <dgm:spPr/>
      <dgm:t>
        <a:bodyPr/>
        <a:lstStyle/>
        <a:p>
          <a:endParaRPr lang="nl-NL"/>
        </a:p>
      </dgm:t>
    </dgm:pt>
  </dgm:ptLst>
  <dgm:cxnLst>
    <dgm:cxn modelId="{F732C919-3326-3E4A-AA74-2634946DA6C7}" srcId="{8139EA17-4F0F-2144-BE70-9E3121868E7F}" destId="{451B4FE2-6EBE-5C47-9D81-0522A75D9922}" srcOrd="0" destOrd="0" parTransId="{131ED741-8833-C548-BF85-B79AAFFB6CC7}" sibTransId="{D36401E5-8924-E44D-B2FC-7A11313CBDF7}"/>
    <dgm:cxn modelId="{90D603AC-ECFE-7C42-8D20-7CC2D758240B}" type="presOf" srcId="{405F8BEA-FF3C-2043-8958-D77483457538}" destId="{255F09D7-F7C2-E240-B4BC-ACB7C1ECE4DA}" srcOrd="0" destOrd="0" presId="urn:microsoft.com/office/officeart/2005/8/layout/hierarchy6"/>
    <dgm:cxn modelId="{C2670C35-0845-9048-8C51-F127324FC86D}" type="presOf" srcId="{131ED741-8833-C548-BF85-B79AAFFB6CC7}" destId="{85BC65A9-30F2-E042-ABA8-259B61ED0F46}" srcOrd="0" destOrd="0" presId="urn:microsoft.com/office/officeart/2005/8/layout/hierarchy6"/>
    <dgm:cxn modelId="{A65A51F4-766B-C74C-909E-C43E9051171F}" type="presOf" srcId="{19944637-32F3-0D4A-BD6B-D7C24D3C8539}" destId="{4C4A60D1-5769-CF43-B1D8-71A6B4ED66BA}" srcOrd="0" destOrd="0" presId="urn:microsoft.com/office/officeart/2005/8/layout/hierarchy6"/>
    <dgm:cxn modelId="{50568802-1C93-6E4D-BCC5-9E38A49098BF}" srcId="{E15EB245-C5DB-1E40-9347-B7EEB26C56BE}" destId="{2A5247F8-8073-7249-97E4-FD80464675D9}" srcOrd="1" destOrd="0" parTransId="{6FB4345C-89CE-724D-B550-C9A09E6373D0}" sibTransId="{CC71E977-E2A6-DB46-88C6-017D7E2E7966}"/>
    <dgm:cxn modelId="{DF7814F2-656A-9B4D-AD72-715185B7F06F}" type="presOf" srcId="{6C54566C-F097-C24A-A7F5-22534CA1CB90}" destId="{4322880F-CC51-4046-B3AE-E6F577B6CC6D}" srcOrd="0" destOrd="0" presId="urn:microsoft.com/office/officeart/2005/8/layout/hierarchy6"/>
    <dgm:cxn modelId="{DFB74748-C9CD-564D-8847-2C5FBD86B5AA}" srcId="{FB72AB9C-E525-E742-9297-3A9EF27952B7}" destId="{6C54566C-F097-C24A-A7F5-22534CA1CB90}" srcOrd="0" destOrd="0" parTransId="{DCDD830C-1674-3A46-A75D-B2277F6F818C}" sibTransId="{AD522675-517B-2D45-8FA9-003DA997D95A}"/>
    <dgm:cxn modelId="{AA32F4EC-EFAF-6346-9BA8-98AA2209ADD5}" type="presOf" srcId="{DCDD830C-1674-3A46-A75D-B2277F6F818C}" destId="{686D8B7A-8337-9245-9DDC-658E3318C758}" srcOrd="0" destOrd="0" presId="urn:microsoft.com/office/officeart/2005/8/layout/hierarchy6"/>
    <dgm:cxn modelId="{1D10DB39-1D44-8C47-8DBE-9FEC97992C02}" srcId="{2A5247F8-8073-7249-97E4-FD80464675D9}" destId="{19944637-32F3-0D4A-BD6B-D7C24D3C8539}" srcOrd="1" destOrd="0" parTransId="{ECC9AA8D-E2F9-9C49-9369-37B31AD42BEE}" sibTransId="{99412793-E7A2-7D44-9F1E-D9CC7BF1BAF8}"/>
    <dgm:cxn modelId="{3BB7B995-8B63-124A-B193-D7F170D17C13}" type="presOf" srcId="{DA93E823-CCEE-9342-8016-C57C26D58501}" destId="{172191C8-A3BD-0A4F-A9EA-9AF3D6A41F41}" srcOrd="1" destOrd="0" presId="urn:microsoft.com/office/officeart/2005/8/layout/hierarchy6"/>
    <dgm:cxn modelId="{3B9B26BA-5613-B144-82AF-A6F9043BA4B0}" type="presOf" srcId="{9E5ADB0B-68CB-EB4D-A85C-E9EE2E8E4C36}" destId="{AF0B8CD0-39E2-5543-B6FB-ACCF0FB50140}" srcOrd="0" destOrd="0" presId="urn:microsoft.com/office/officeart/2005/8/layout/hierarchy6"/>
    <dgm:cxn modelId="{88B473B8-3B25-544C-95D4-FF63336A38EC}" srcId="{405F8BEA-FF3C-2043-8958-D77483457538}" destId="{E15EB245-C5DB-1E40-9347-B7EEB26C56BE}" srcOrd="0" destOrd="0" parTransId="{AA5B75D0-94C2-AC4B-A799-D97C7E78F8E9}" sibTransId="{E1954857-1C3F-D24C-BA3A-74149BBD502B}"/>
    <dgm:cxn modelId="{46890060-316A-F747-ADA4-CD0F8D313583}" type="presOf" srcId="{228D8C63-DB5D-084C-B51C-1C959E4B3267}" destId="{34FCC78E-E64E-6844-A900-92A166DA89B2}" srcOrd="0" destOrd="0" presId="urn:microsoft.com/office/officeart/2005/8/layout/hierarchy6"/>
    <dgm:cxn modelId="{2F2EC083-708D-0444-8017-816B244235CC}" type="presOf" srcId="{CEED6C67-D442-8841-9080-A9953A46B8A8}" destId="{15D2B024-9842-7C4D-A593-81BE10120FDA}" srcOrd="1" destOrd="0" presId="urn:microsoft.com/office/officeart/2005/8/layout/hierarchy6"/>
    <dgm:cxn modelId="{F83A7942-8028-9640-9103-73C38499FDFC}" srcId="{405F8BEA-FF3C-2043-8958-D77483457538}" destId="{CEED6C67-D442-8841-9080-A9953A46B8A8}" srcOrd="3" destOrd="0" parTransId="{E66908B7-4EBB-244B-9E91-A9B5DB606EC6}" sibTransId="{A214846C-D820-0E47-9A20-F3AA81728C9F}"/>
    <dgm:cxn modelId="{97A4B459-93F8-5349-9C62-49FE3C0B5EA2}" type="presOf" srcId="{7D437783-B64E-564E-B789-39C0A1B433AA}" destId="{7713FE14-0A1F-3146-9C12-0DA97B63B584}" srcOrd="0" destOrd="0" presId="urn:microsoft.com/office/officeart/2005/8/layout/hierarchy6"/>
    <dgm:cxn modelId="{17AF77DE-F5B8-754C-BBCA-810EC0A7276D}" type="presOf" srcId="{CEED6C67-D442-8841-9080-A9953A46B8A8}" destId="{3402E1D9-640E-2B48-A9B1-2D15B92ADDEE}" srcOrd="0" destOrd="0" presId="urn:microsoft.com/office/officeart/2005/8/layout/hierarchy6"/>
    <dgm:cxn modelId="{8CBC4D11-182F-894F-9DDF-5BC9D71BFFE2}" type="presOf" srcId="{FB72AB9C-E525-E742-9297-3A9EF27952B7}" destId="{9AB12326-3A0E-5646-AD52-3853837C4C56}" srcOrd="0" destOrd="0" presId="urn:microsoft.com/office/officeart/2005/8/layout/hierarchy6"/>
    <dgm:cxn modelId="{36114EF3-8B47-4A47-AB00-185F80EA19EE}" type="presOf" srcId="{15A50FC6-38A4-BD4B-B042-EB335B326374}" destId="{B8800653-D895-A447-B3A7-17B63C3AEB93}" srcOrd="0" destOrd="0" presId="urn:microsoft.com/office/officeart/2005/8/layout/hierarchy6"/>
    <dgm:cxn modelId="{13828DDA-1253-5049-A9F3-4E016E19462A}" srcId="{2A5247F8-8073-7249-97E4-FD80464675D9}" destId="{FB72AB9C-E525-E742-9297-3A9EF27952B7}" srcOrd="0" destOrd="0" parTransId="{FD9E3C4A-C856-FC41-9BA6-70DA95773666}" sibTransId="{A8C76BDE-CB6F-C948-9B9A-5A6DF9002022}"/>
    <dgm:cxn modelId="{EE6BFA94-2844-5745-92E6-82B754EAA8FA}" type="presOf" srcId="{228D8C63-DB5D-084C-B51C-1C959E4B3267}" destId="{94681538-AF45-BF4A-B911-454CC2ACE25F}" srcOrd="1" destOrd="0" presId="urn:microsoft.com/office/officeart/2005/8/layout/hierarchy6"/>
    <dgm:cxn modelId="{4C45460F-C9BC-744E-A038-409A6A7B48F9}" type="presOf" srcId="{DA93E823-CCEE-9342-8016-C57C26D58501}" destId="{A5357F97-25FF-7749-B0AC-D82FB625FBCD}" srcOrd="0" destOrd="0" presId="urn:microsoft.com/office/officeart/2005/8/layout/hierarchy6"/>
    <dgm:cxn modelId="{C8DB882A-8982-8249-82C1-E5384C395383}" srcId="{405F8BEA-FF3C-2043-8958-D77483457538}" destId="{228D8C63-DB5D-084C-B51C-1C959E4B3267}" srcOrd="4" destOrd="0" parTransId="{3C7F2676-A455-564A-ADA6-5EE1C5920DFD}" sibTransId="{01E4AF18-0CE0-BA4F-B44B-CBC15F8B99C3}"/>
    <dgm:cxn modelId="{D13CA03E-60B9-EF4F-A161-5C8D00435C3A}" srcId="{405F8BEA-FF3C-2043-8958-D77483457538}" destId="{15A50FC6-38A4-BD4B-B042-EB335B326374}" srcOrd="1" destOrd="0" parTransId="{D06EB97F-B9E8-204E-B8E5-2FC063EF86E6}" sibTransId="{52BCE688-FAFA-1340-AABF-D703C4EA2695}"/>
    <dgm:cxn modelId="{5CE923BC-D6C7-3940-9B92-4E6AEB32E3B2}" srcId="{19944637-32F3-0D4A-BD6B-D7C24D3C8539}" destId="{28A77F7B-B2BE-6646-8244-E9E5FB128962}" srcOrd="0" destOrd="0" parTransId="{83E14FEF-3BDF-054C-9631-37A9025A4105}" sibTransId="{695AA983-52EF-3544-9432-431733450DBA}"/>
    <dgm:cxn modelId="{5F638A85-27E5-DC44-96E8-F041F906BD1A}" srcId="{451B4FE2-6EBE-5C47-9D81-0522A75D9922}" destId="{3A768D74-98B5-134C-9084-6BE950D540D5}" srcOrd="0" destOrd="0" parTransId="{7D437783-B64E-564E-B789-39C0A1B433AA}" sibTransId="{839018BD-9FF7-9742-9798-A1AEC363C4A5}"/>
    <dgm:cxn modelId="{034A8BC4-2DCA-824B-B92D-B016A452BC64}" type="presOf" srcId="{ECC9AA8D-E2F9-9C49-9369-37B31AD42BEE}" destId="{C9B25F6C-9E20-EF43-AF9E-03F0B4E79469}" srcOrd="0" destOrd="0" presId="urn:microsoft.com/office/officeart/2005/8/layout/hierarchy6"/>
    <dgm:cxn modelId="{C3A35202-B91F-1748-8C5C-74BDEE41B14A}" type="presOf" srcId="{8139EA17-4F0F-2144-BE70-9E3121868E7F}" destId="{4D05A0DA-4362-5A4D-8462-ABE78C9A711B}" srcOrd="0" destOrd="0" presId="urn:microsoft.com/office/officeart/2005/8/layout/hierarchy6"/>
    <dgm:cxn modelId="{6D068910-5274-0E40-BB23-7F2140C0AD9C}" type="presOf" srcId="{15A50FC6-38A4-BD4B-B042-EB335B326374}" destId="{35F671C6-DB2D-4D4A-B395-99BE119E3222}" srcOrd="1" destOrd="0" presId="urn:microsoft.com/office/officeart/2005/8/layout/hierarchy6"/>
    <dgm:cxn modelId="{05332F98-B7F1-3848-80B3-FED8966E1D0F}" type="presOf" srcId="{FD9E3C4A-C856-FC41-9BA6-70DA95773666}" destId="{3D2DF429-17F3-6C4E-ABA5-2998C104D489}" srcOrd="0" destOrd="0" presId="urn:microsoft.com/office/officeart/2005/8/layout/hierarchy6"/>
    <dgm:cxn modelId="{B0E773D3-9755-8646-88E9-CD0B76452E4C}" type="presOf" srcId="{6FB4345C-89CE-724D-B550-C9A09E6373D0}" destId="{F8DBD327-2323-9E41-A60D-C7A72430520F}" srcOrd="0" destOrd="0" presId="urn:microsoft.com/office/officeart/2005/8/layout/hierarchy6"/>
    <dgm:cxn modelId="{B73B531A-0FC2-614F-BBD3-2E736DF7B9E1}" type="presOf" srcId="{28A77F7B-B2BE-6646-8244-E9E5FB128962}" destId="{4A168320-7539-E944-AEC3-AE00FA872E3B}" srcOrd="0" destOrd="0" presId="urn:microsoft.com/office/officeart/2005/8/layout/hierarchy6"/>
    <dgm:cxn modelId="{549EF3DB-1467-E441-B3F7-6D9B06A0921F}" type="presOf" srcId="{2A5247F8-8073-7249-97E4-FD80464675D9}" destId="{CA6235FA-001A-044A-BFF9-496F2921454A}" srcOrd="0" destOrd="0" presId="urn:microsoft.com/office/officeart/2005/8/layout/hierarchy6"/>
    <dgm:cxn modelId="{AE66C1CE-7CAC-EA46-B53E-5C73CBCBABC7}" srcId="{E15EB245-C5DB-1E40-9347-B7EEB26C56BE}" destId="{8139EA17-4F0F-2144-BE70-9E3121868E7F}" srcOrd="0" destOrd="0" parTransId="{9E5ADB0B-68CB-EB4D-A85C-E9EE2E8E4C36}" sibTransId="{5DFCC990-54D0-F341-9587-696504685453}"/>
    <dgm:cxn modelId="{8B1C56F7-7C68-9A46-BC49-8ACAB6B48AB9}" type="presOf" srcId="{E15EB245-C5DB-1E40-9347-B7EEB26C56BE}" destId="{EEC739B2-E644-8B45-8843-AF8E6B45C76F}" srcOrd="0" destOrd="0" presId="urn:microsoft.com/office/officeart/2005/8/layout/hierarchy6"/>
    <dgm:cxn modelId="{AA2AAB98-41A0-1246-95AE-9EBFD88D13B2}" srcId="{405F8BEA-FF3C-2043-8958-D77483457538}" destId="{DA93E823-CCEE-9342-8016-C57C26D58501}" srcOrd="2" destOrd="0" parTransId="{B0EB5E1F-36F2-B64F-B934-BE56A5664347}" sibTransId="{740DC6F2-F607-FD40-87DC-407F3305299A}"/>
    <dgm:cxn modelId="{C38C5C3B-CC9C-3847-9AF1-B596EF622D4C}" type="presOf" srcId="{3A768D74-98B5-134C-9084-6BE950D540D5}" destId="{C147556F-A008-5847-9D8E-AE215F42A8C0}" srcOrd="0" destOrd="0" presId="urn:microsoft.com/office/officeart/2005/8/layout/hierarchy6"/>
    <dgm:cxn modelId="{FC04D767-87EA-9649-8CEB-4E80B4575208}" type="presOf" srcId="{83E14FEF-3BDF-054C-9631-37A9025A4105}" destId="{3BBC9ED0-BFF1-024D-B507-52B4F8C3FF19}" srcOrd="0" destOrd="0" presId="urn:microsoft.com/office/officeart/2005/8/layout/hierarchy6"/>
    <dgm:cxn modelId="{4387693F-6F35-1241-80E2-498D2981AAAE}" type="presOf" srcId="{451B4FE2-6EBE-5C47-9D81-0522A75D9922}" destId="{289C5CF4-FB5B-CC44-9F9D-1EBC06535AD0}" srcOrd="0" destOrd="0" presId="urn:microsoft.com/office/officeart/2005/8/layout/hierarchy6"/>
    <dgm:cxn modelId="{1CD27C8A-FB68-3743-B0A4-69B2C1973D6D}" type="presParOf" srcId="{255F09D7-F7C2-E240-B4BC-ACB7C1ECE4DA}" destId="{2ACC2881-4643-CB4E-989E-A7BC30E22940}" srcOrd="0" destOrd="0" presId="urn:microsoft.com/office/officeart/2005/8/layout/hierarchy6"/>
    <dgm:cxn modelId="{773122E9-DDB0-6247-8648-6BF1079D2FB5}" type="presParOf" srcId="{2ACC2881-4643-CB4E-989E-A7BC30E22940}" destId="{662B378A-EB7B-D04D-9A42-4EB8044A2E79}" srcOrd="0" destOrd="0" presId="urn:microsoft.com/office/officeart/2005/8/layout/hierarchy6"/>
    <dgm:cxn modelId="{92F10D7F-1E89-2F4C-ADA7-51D13125962F}" type="presParOf" srcId="{2ACC2881-4643-CB4E-989E-A7BC30E22940}" destId="{26D4207C-0357-EB4B-8EE0-B39537EB9535}" srcOrd="1" destOrd="0" presId="urn:microsoft.com/office/officeart/2005/8/layout/hierarchy6"/>
    <dgm:cxn modelId="{B0430D9F-B086-DF42-B31E-56ED7B39FB6B}" type="presParOf" srcId="{26D4207C-0357-EB4B-8EE0-B39537EB9535}" destId="{5F2DFBB6-4D6A-CB40-BDB7-9439F4542B50}" srcOrd="0" destOrd="0" presId="urn:microsoft.com/office/officeart/2005/8/layout/hierarchy6"/>
    <dgm:cxn modelId="{37997189-DBDA-AD49-9889-8E08EC063BCC}" type="presParOf" srcId="{5F2DFBB6-4D6A-CB40-BDB7-9439F4542B50}" destId="{EEC739B2-E644-8B45-8843-AF8E6B45C76F}" srcOrd="0" destOrd="0" presId="urn:microsoft.com/office/officeart/2005/8/layout/hierarchy6"/>
    <dgm:cxn modelId="{9693E50E-528F-814F-A896-5C7AC3AF583D}" type="presParOf" srcId="{5F2DFBB6-4D6A-CB40-BDB7-9439F4542B50}" destId="{F8A5E908-38F2-894E-B53C-C465D02BA7C4}" srcOrd="1" destOrd="0" presId="urn:microsoft.com/office/officeart/2005/8/layout/hierarchy6"/>
    <dgm:cxn modelId="{AE034E02-6C0E-9C4D-9472-0CEEA8957EB0}" type="presParOf" srcId="{F8A5E908-38F2-894E-B53C-C465D02BA7C4}" destId="{AF0B8CD0-39E2-5543-B6FB-ACCF0FB50140}" srcOrd="0" destOrd="0" presId="urn:microsoft.com/office/officeart/2005/8/layout/hierarchy6"/>
    <dgm:cxn modelId="{B78C0AF2-3342-E34E-9A4E-4F230CBB5259}" type="presParOf" srcId="{F8A5E908-38F2-894E-B53C-C465D02BA7C4}" destId="{93C12900-6D14-144F-8EE7-16B9AAD90968}" srcOrd="1" destOrd="0" presId="urn:microsoft.com/office/officeart/2005/8/layout/hierarchy6"/>
    <dgm:cxn modelId="{BABD2F89-9375-294B-8333-27EA2A7A16C9}" type="presParOf" srcId="{93C12900-6D14-144F-8EE7-16B9AAD90968}" destId="{4D05A0DA-4362-5A4D-8462-ABE78C9A711B}" srcOrd="0" destOrd="0" presId="urn:microsoft.com/office/officeart/2005/8/layout/hierarchy6"/>
    <dgm:cxn modelId="{59A8442E-D19D-6143-8E29-1CF2D2D5295D}" type="presParOf" srcId="{93C12900-6D14-144F-8EE7-16B9AAD90968}" destId="{DC5B1BAE-7ACA-0E4F-8AB0-EE4FAEDE747A}" srcOrd="1" destOrd="0" presId="urn:microsoft.com/office/officeart/2005/8/layout/hierarchy6"/>
    <dgm:cxn modelId="{174DAF54-22A4-4D40-9F95-1609FA6F2C4C}" type="presParOf" srcId="{DC5B1BAE-7ACA-0E4F-8AB0-EE4FAEDE747A}" destId="{85BC65A9-30F2-E042-ABA8-259B61ED0F46}" srcOrd="0" destOrd="0" presId="urn:microsoft.com/office/officeart/2005/8/layout/hierarchy6"/>
    <dgm:cxn modelId="{1FE0784B-B3A2-F441-A6F4-652B58F1DE12}" type="presParOf" srcId="{DC5B1BAE-7ACA-0E4F-8AB0-EE4FAEDE747A}" destId="{663DDA26-D6FF-384A-884C-A74327A49F18}" srcOrd="1" destOrd="0" presId="urn:microsoft.com/office/officeart/2005/8/layout/hierarchy6"/>
    <dgm:cxn modelId="{DDE75345-C77C-0C4D-9486-2599D03D5F51}" type="presParOf" srcId="{663DDA26-D6FF-384A-884C-A74327A49F18}" destId="{289C5CF4-FB5B-CC44-9F9D-1EBC06535AD0}" srcOrd="0" destOrd="0" presId="urn:microsoft.com/office/officeart/2005/8/layout/hierarchy6"/>
    <dgm:cxn modelId="{6EB7E283-A746-F446-A680-75A8442E3E18}" type="presParOf" srcId="{663DDA26-D6FF-384A-884C-A74327A49F18}" destId="{728D40C3-BACC-A943-A377-667754115C75}" srcOrd="1" destOrd="0" presId="urn:microsoft.com/office/officeart/2005/8/layout/hierarchy6"/>
    <dgm:cxn modelId="{8A32444C-95E3-3A43-9543-41B392067C82}" type="presParOf" srcId="{728D40C3-BACC-A943-A377-667754115C75}" destId="{7713FE14-0A1F-3146-9C12-0DA97B63B584}" srcOrd="0" destOrd="0" presId="urn:microsoft.com/office/officeart/2005/8/layout/hierarchy6"/>
    <dgm:cxn modelId="{B61FC663-F6A0-0A41-9A2E-0B35340830C2}" type="presParOf" srcId="{728D40C3-BACC-A943-A377-667754115C75}" destId="{D7590679-E7A3-F34F-A70D-EF0EE1A3F96C}" srcOrd="1" destOrd="0" presId="urn:microsoft.com/office/officeart/2005/8/layout/hierarchy6"/>
    <dgm:cxn modelId="{7EE5E0D9-1792-EF4C-8861-9D93F95E42BD}" type="presParOf" srcId="{D7590679-E7A3-F34F-A70D-EF0EE1A3F96C}" destId="{C147556F-A008-5847-9D8E-AE215F42A8C0}" srcOrd="0" destOrd="0" presId="urn:microsoft.com/office/officeart/2005/8/layout/hierarchy6"/>
    <dgm:cxn modelId="{CB506994-BD49-5140-94D5-F0D5D81659E6}" type="presParOf" srcId="{D7590679-E7A3-F34F-A70D-EF0EE1A3F96C}" destId="{7A6CEA43-29FA-4B4B-BD8E-A61E88DFC2EE}" srcOrd="1" destOrd="0" presId="urn:microsoft.com/office/officeart/2005/8/layout/hierarchy6"/>
    <dgm:cxn modelId="{A6D254A6-7309-604E-870C-6BC628D17914}" type="presParOf" srcId="{F8A5E908-38F2-894E-B53C-C465D02BA7C4}" destId="{F8DBD327-2323-9E41-A60D-C7A72430520F}" srcOrd="2" destOrd="0" presId="urn:microsoft.com/office/officeart/2005/8/layout/hierarchy6"/>
    <dgm:cxn modelId="{3E4E0F6E-F593-2E40-A8C1-4624CD6B2E58}" type="presParOf" srcId="{F8A5E908-38F2-894E-B53C-C465D02BA7C4}" destId="{CC238999-3014-AF49-B8B7-8C51C6E2A92A}" srcOrd="3" destOrd="0" presId="urn:microsoft.com/office/officeart/2005/8/layout/hierarchy6"/>
    <dgm:cxn modelId="{4E159711-1E4B-834E-B5B7-558ED38D121B}" type="presParOf" srcId="{CC238999-3014-AF49-B8B7-8C51C6E2A92A}" destId="{CA6235FA-001A-044A-BFF9-496F2921454A}" srcOrd="0" destOrd="0" presId="urn:microsoft.com/office/officeart/2005/8/layout/hierarchy6"/>
    <dgm:cxn modelId="{C5BD187C-0B9A-A54F-BC51-8C22B79DE476}" type="presParOf" srcId="{CC238999-3014-AF49-B8B7-8C51C6E2A92A}" destId="{EE755D28-B115-4F45-9EBE-EB4C5C1394DC}" srcOrd="1" destOrd="0" presId="urn:microsoft.com/office/officeart/2005/8/layout/hierarchy6"/>
    <dgm:cxn modelId="{88C0D22C-8D84-8745-8133-DA445F8DD553}" type="presParOf" srcId="{EE755D28-B115-4F45-9EBE-EB4C5C1394DC}" destId="{3D2DF429-17F3-6C4E-ABA5-2998C104D489}" srcOrd="0" destOrd="0" presId="urn:microsoft.com/office/officeart/2005/8/layout/hierarchy6"/>
    <dgm:cxn modelId="{9932F615-E8E8-3446-9037-10EE70B4BB90}" type="presParOf" srcId="{EE755D28-B115-4F45-9EBE-EB4C5C1394DC}" destId="{076CC8F2-7F2D-0349-8451-D94480FCE739}" srcOrd="1" destOrd="0" presId="urn:microsoft.com/office/officeart/2005/8/layout/hierarchy6"/>
    <dgm:cxn modelId="{808271DD-9DBB-D24D-BF67-945028F9056C}" type="presParOf" srcId="{076CC8F2-7F2D-0349-8451-D94480FCE739}" destId="{9AB12326-3A0E-5646-AD52-3853837C4C56}" srcOrd="0" destOrd="0" presId="urn:microsoft.com/office/officeart/2005/8/layout/hierarchy6"/>
    <dgm:cxn modelId="{3873D75C-FD75-374D-84E6-9D82B66B474F}" type="presParOf" srcId="{076CC8F2-7F2D-0349-8451-D94480FCE739}" destId="{91F121EC-B798-C64C-B94E-1F15BDECCF46}" srcOrd="1" destOrd="0" presId="urn:microsoft.com/office/officeart/2005/8/layout/hierarchy6"/>
    <dgm:cxn modelId="{565CC50B-5E92-1743-9E93-C9AC18359ABA}" type="presParOf" srcId="{91F121EC-B798-C64C-B94E-1F15BDECCF46}" destId="{686D8B7A-8337-9245-9DDC-658E3318C758}" srcOrd="0" destOrd="0" presId="urn:microsoft.com/office/officeart/2005/8/layout/hierarchy6"/>
    <dgm:cxn modelId="{A934F25C-372C-D547-857B-BD86496235DA}" type="presParOf" srcId="{91F121EC-B798-C64C-B94E-1F15BDECCF46}" destId="{D7BB286F-18BF-314B-BD7F-32A835316B89}" srcOrd="1" destOrd="0" presId="urn:microsoft.com/office/officeart/2005/8/layout/hierarchy6"/>
    <dgm:cxn modelId="{F3B2F08C-D666-E245-A818-96FCFB5E0ED6}" type="presParOf" srcId="{D7BB286F-18BF-314B-BD7F-32A835316B89}" destId="{4322880F-CC51-4046-B3AE-E6F577B6CC6D}" srcOrd="0" destOrd="0" presId="urn:microsoft.com/office/officeart/2005/8/layout/hierarchy6"/>
    <dgm:cxn modelId="{3EB3A794-3172-1D4E-982C-AFCF948A5B66}" type="presParOf" srcId="{D7BB286F-18BF-314B-BD7F-32A835316B89}" destId="{1F132E46-2BA0-114A-9427-065E3997D9C8}" srcOrd="1" destOrd="0" presId="urn:microsoft.com/office/officeart/2005/8/layout/hierarchy6"/>
    <dgm:cxn modelId="{75711A07-C026-ED4A-A35C-1FC6DFCC1F00}" type="presParOf" srcId="{EE755D28-B115-4F45-9EBE-EB4C5C1394DC}" destId="{C9B25F6C-9E20-EF43-AF9E-03F0B4E79469}" srcOrd="2" destOrd="0" presId="urn:microsoft.com/office/officeart/2005/8/layout/hierarchy6"/>
    <dgm:cxn modelId="{3C2ECD8C-167F-7C4E-A1C0-C07E47294279}" type="presParOf" srcId="{EE755D28-B115-4F45-9EBE-EB4C5C1394DC}" destId="{39DDE313-294B-9149-AA26-2B4AFB14D71B}" srcOrd="3" destOrd="0" presId="urn:microsoft.com/office/officeart/2005/8/layout/hierarchy6"/>
    <dgm:cxn modelId="{CD2D4230-FA3C-3047-8ACE-958F3ED514AC}" type="presParOf" srcId="{39DDE313-294B-9149-AA26-2B4AFB14D71B}" destId="{4C4A60D1-5769-CF43-B1D8-71A6B4ED66BA}" srcOrd="0" destOrd="0" presId="urn:microsoft.com/office/officeart/2005/8/layout/hierarchy6"/>
    <dgm:cxn modelId="{F8D71AC2-958E-5140-A8AE-080E352605CB}" type="presParOf" srcId="{39DDE313-294B-9149-AA26-2B4AFB14D71B}" destId="{11D92469-ABE2-2344-9174-CFDBC2C906BE}" srcOrd="1" destOrd="0" presId="urn:microsoft.com/office/officeart/2005/8/layout/hierarchy6"/>
    <dgm:cxn modelId="{CB02B583-818B-5A44-8C2C-4DCF9995FD79}" type="presParOf" srcId="{11D92469-ABE2-2344-9174-CFDBC2C906BE}" destId="{3BBC9ED0-BFF1-024D-B507-52B4F8C3FF19}" srcOrd="0" destOrd="0" presId="urn:microsoft.com/office/officeart/2005/8/layout/hierarchy6"/>
    <dgm:cxn modelId="{54B16269-D0A5-9D42-8174-2B7915293039}" type="presParOf" srcId="{11D92469-ABE2-2344-9174-CFDBC2C906BE}" destId="{EA32D1F0-D3A8-2D45-958E-F7B88DC53D33}" srcOrd="1" destOrd="0" presId="urn:microsoft.com/office/officeart/2005/8/layout/hierarchy6"/>
    <dgm:cxn modelId="{FEE3E14B-0307-A44D-B97C-442F81FA4DC2}" type="presParOf" srcId="{EA32D1F0-D3A8-2D45-958E-F7B88DC53D33}" destId="{4A168320-7539-E944-AEC3-AE00FA872E3B}" srcOrd="0" destOrd="0" presId="urn:microsoft.com/office/officeart/2005/8/layout/hierarchy6"/>
    <dgm:cxn modelId="{33F8BC71-C687-9549-943A-13B116624D93}" type="presParOf" srcId="{EA32D1F0-D3A8-2D45-958E-F7B88DC53D33}" destId="{430E58E1-6BD6-4649-9C95-72B50BF4E889}" srcOrd="1" destOrd="0" presId="urn:microsoft.com/office/officeart/2005/8/layout/hierarchy6"/>
    <dgm:cxn modelId="{2ECFD6B1-F5E1-454E-B7B4-D3DF18F05792}" type="presParOf" srcId="{255F09D7-F7C2-E240-B4BC-ACB7C1ECE4DA}" destId="{DE1E4322-CB2C-384D-8832-F3A246A8AF54}" srcOrd="1" destOrd="0" presId="urn:microsoft.com/office/officeart/2005/8/layout/hierarchy6"/>
    <dgm:cxn modelId="{5F0BE89B-851C-9942-A3B9-781DEF50C496}" type="presParOf" srcId="{DE1E4322-CB2C-384D-8832-F3A246A8AF54}" destId="{36AC3C44-5639-BA4F-9227-D359C2B50A34}" srcOrd="0" destOrd="0" presId="urn:microsoft.com/office/officeart/2005/8/layout/hierarchy6"/>
    <dgm:cxn modelId="{782D0796-D675-9449-A38D-498A64C2CEB7}" type="presParOf" srcId="{36AC3C44-5639-BA4F-9227-D359C2B50A34}" destId="{B8800653-D895-A447-B3A7-17B63C3AEB93}" srcOrd="0" destOrd="0" presId="urn:microsoft.com/office/officeart/2005/8/layout/hierarchy6"/>
    <dgm:cxn modelId="{9C7C04F6-D28B-5A4D-82D8-99FAA8360AA7}" type="presParOf" srcId="{36AC3C44-5639-BA4F-9227-D359C2B50A34}" destId="{35F671C6-DB2D-4D4A-B395-99BE119E3222}" srcOrd="1" destOrd="0" presId="urn:microsoft.com/office/officeart/2005/8/layout/hierarchy6"/>
    <dgm:cxn modelId="{DACDFDD2-925A-AE41-91CF-9811E208BB4D}" type="presParOf" srcId="{DE1E4322-CB2C-384D-8832-F3A246A8AF54}" destId="{14432808-FFE9-324A-AB99-CF3C8003666B}" srcOrd="1" destOrd="0" presId="urn:microsoft.com/office/officeart/2005/8/layout/hierarchy6"/>
    <dgm:cxn modelId="{42EF1BAF-771D-AB4D-9E51-9B5AD22C5ADB}" type="presParOf" srcId="{14432808-FFE9-324A-AB99-CF3C8003666B}" destId="{0D85D1AC-D5A0-CD44-8B38-E5C853B9D71D}" srcOrd="0" destOrd="0" presId="urn:microsoft.com/office/officeart/2005/8/layout/hierarchy6"/>
    <dgm:cxn modelId="{FA3E5A6B-B28B-4843-B473-0A3ABB42C07E}" type="presParOf" srcId="{DE1E4322-CB2C-384D-8832-F3A246A8AF54}" destId="{783A76DF-9704-384B-B748-8A3C6CF7910E}" srcOrd="2" destOrd="0" presId="urn:microsoft.com/office/officeart/2005/8/layout/hierarchy6"/>
    <dgm:cxn modelId="{7B24280E-DF3B-D740-AECB-DDAA1523C52A}" type="presParOf" srcId="{783A76DF-9704-384B-B748-8A3C6CF7910E}" destId="{A5357F97-25FF-7749-B0AC-D82FB625FBCD}" srcOrd="0" destOrd="0" presId="urn:microsoft.com/office/officeart/2005/8/layout/hierarchy6"/>
    <dgm:cxn modelId="{36FA6E64-42FD-664B-9A62-0DFC9B21938E}" type="presParOf" srcId="{783A76DF-9704-384B-B748-8A3C6CF7910E}" destId="{172191C8-A3BD-0A4F-A9EA-9AF3D6A41F41}" srcOrd="1" destOrd="0" presId="urn:microsoft.com/office/officeart/2005/8/layout/hierarchy6"/>
    <dgm:cxn modelId="{DA7B8B9D-F0C6-744B-9FB5-13E5C4235CBE}" type="presParOf" srcId="{DE1E4322-CB2C-384D-8832-F3A246A8AF54}" destId="{DF2B9390-0F6B-2E42-8CD9-B372820993FE}" srcOrd="3" destOrd="0" presId="urn:microsoft.com/office/officeart/2005/8/layout/hierarchy6"/>
    <dgm:cxn modelId="{D2963B44-E517-4F48-9AF7-75790E6A004E}" type="presParOf" srcId="{DF2B9390-0F6B-2E42-8CD9-B372820993FE}" destId="{F0575496-1C9A-0047-A411-1E5C4C820151}" srcOrd="0" destOrd="0" presId="urn:microsoft.com/office/officeart/2005/8/layout/hierarchy6"/>
    <dgm:cxn modelId="{4DD88603-EE17-9048-8045-CBEAA73DD416}" type="presParOf" srcId="{DE1E4322-CB2C-384D-8832-F3A246A8AF54}" destId="{B7F65B57-AF92-A24F-81F3-07F71CEC48F5}" srcOrd="4" destOrd="0" presId="urn:microsoft.com/office/officeart/2005/8/layout/hierarchy6"/>
    <dgm:cxn modelId="{CB41ADD4-5D86-8840-9E42-22B68223D819}" type="presParOf" srcId="{B7F65B57-AF92-A24F-81F3-07F71CEC48F5}" destId="{3402E1D9-640E-2B48-A9B1-2D15B92ADDEE}" srcOrd="0" destOrd="0" presId="urn:microsoft.com/office/officeart/2005/8/layout/hierarchy6"/>
    <dgm:cxn modelId="{59F3B6DF-4981-1949-BAF7-194673F31602}" type="presParOf" srcId="{B7F65B57-AF92-A24F-81F3-07F71CEC48F5}" destId="{15D2B024-9842-7C4D-A593-81BE10120FDA}" srcOrd="1" destOrd="0" presId="urn:microsoft.com/office/officeart/2005/8/layout/hierarchy6"/>
    <dgm:cxn modelId="{06B0ABFA-FBDF-F64A-ABD6-1C5ED1DB0810}" type="presParOf" srcId="{DE1E4322-CB2C-384D-8832-F3A246A8AF54}" destId="{6D857BC4-F38F-3643-9E3A-5803E37CBEA9}" srcOrd="5" destOrd="0" presId="urn:microsoft.com/office/officeart/2005/8/layout/hierarchy6"/>
    <dgm:cxn modelId="{A95D4496-7E3B-D04F-82C4-0CD225C984F7}" type="presParOf" srcId="{6D857BC4-F38F-3643-9E3A-5803E37CBEA9}" destId="{44495D8D-6D00-A048-9154-54C33C8CEC48}" srcOrd="0" destOrd="0" presId="urn:microsoft.com/office/officeart/2005/8/layout/hierarchy6"/>
    <dgm:cxn modelId="{D3CB2A4A-3977-6740-A8BB-3EE9BF252277}" type="presParOf" srcId="{DE1E4322-CB2C-384D-8832-F3A246A8AF54}" destId="{04C2E303-C5DA-7345-B086-40CC419DF19B}" srcOrd="6" destOrd="0" presId="urn:microsoft.com/office/officeart/2005/8/layout/hierarchy6"/>
    <dgm:cxn modelId="{A0DC90ED-D8CE-9440-90A3-B0CEE72F62A6}" type="presParOf" srcId="{04C2E303-C5DA-7345-B086-40CC419DF19B}" destId="{34FCC78E-E64E-6844-A900-92A166DA89B2}" srcOrd="0" destOrd="0" presId="urn:microsoft.com/office/officeart/2005/8/layout/hierarchy6"/>
    <dgm:cxn modelId="{3212837F-B679-B44D-8A77-2F77E3B73BD7}" type="presParOf" srcId="{04C2E303-C5DA-7345-B086-40CC419DF19B}" destId="{94681538-AF45-BF4A-B911-454CC2ACE25F}" srcOrd="1" destOrd="0" presId="urn:microsoft.com/office/officeart/2005/8/layout/hierarchy6"/>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05F8BEA-FF3C-2043-8958-D77483457538}" type="doc">
      <dgm:prSet loTypeId="urn:microsoft.com/office/officeart/2005/8/layout/hierarchy6" loCatId="" qsTypeId="urn:microsoft.com/office/officeart/2005/8/quickstyle/simple4" qsCatId="simple" csTypeId="urn:microsoft.com/office/officeart/2005/8/colors/accent1_2" csCatId="accent1" phldr="1"/>
      <dgm:spPr/>
      <dgm:t>
        <a:bodyPr/>
        <a:lstStyle/>
        <a:p>
          <a:endParaRPr lang="nl-NL"/>
        </a:p>
      </dgm:t>
    </dgm:pt>
    <dgm:pt modelId="{E15EB245-C5DB-1E40-9347-B7EEB26C56BE}">
      <dgm:prSet phldrT="[Tekst]" custT="1"/>
      <dgm:spPr/>
      <dgm:t>
        <a:bodyPr/>
        <a:lstStyle/>
        <a:p>
          <a:r>
            <a:rPr lang="nl-NL" sz="900">
              <a:latin typeface="Corbel" charset="0"/>
              <a:ea typeface="Corbel" charset="0"/>
              <a:cs typeface="Corbel" charset="0"/>
            </a:rPr>
            <a:t>Stank en geluidsoverlast door luchtvaart</a:t>
          </a:r>
        </a:p>
      </dgm:t>
    </dgm:pt>
    <dgm:pt modelId="{AA5B75D0-94C2-AC4B-A799-D97C7E78F8E9}" type="parTrans" cxnId="{88B473B8-3B25-544C-95D4-FF63336A38EC}">
      <dgm:prSet/>
      <dgm:spPr/>
      <dgm:t>
        <a:bodyPr/>
        <a:lstStyle/>
        <a:p>
          <a:endParaRPr lang="nl-NL" sz="1800">
            <a:latin typeface="Corbel" charset="0"/>
            <a:ea typeface="Corbel" charset="0"/>
            <a:cs typeface="Corbel" charset="0"/>
          </a:endParaRPr>
        </a:p>
      </dgm:t>
    </dgm:pt>
    <dgm:pt modelId="{E1954857-1C3F-D24C-BA3A-74149BBD502B}" type="sibTrans" cxnId="{88B473B8-3B25-544C-95D4-FF63336A38EC}">
      <dgm:prSet/>
      <dgm:spPr/>
      <dgm:t>
        <a:bodyPr/>
        <a:lstStyle/>
        <a:p>
          <a:endParaRPr lang="nl-NL" sz="1800">
            <a:latin typeface="Corbel" charset="0"/>
            <a:ea typeface="Corbel" charset="0"/>
            <a:cs typeface="Corbel" charset="0"/>
          </a:endParaRPr>
        </a:p>
      </dgm:t>
    </dgm:pt>
    <dgm:pt modelId="{2A5247F8-8073-7249-97E4-FD80464675D9}">
      <dgm:prSet phldrT="[Tekst]" custT="1"/>
      <dgm:spPr/>
      <dgm:t>
        <a:bodyPr/>
        <a:lstStyle/>
        <a:p>
          <a:r>
            <a:rPr lang="nl-NL" sz="900">
              <a:latin typeface="Corbel" charset="0"/>
              <a:ea typeface="Corbel" charset="0"/>
              <a:cs typeface="Corbel" charset="0"/>
            </a:rPr>
            <a:t>Immaterieel</a:t>
          </a:r>
        </a:p>
      </dgm:t>
    </dgm:pt>
    <dgm:pt modelId="{6FB4345C-89CE-724D-B550-C9A09E6373D0}" type="parTrans" cxnId="{50568802-1C93-6E4D-BCC5-9E38A49098BF}">
      <dgm:prSet/>
      <dgm:spPr/>
      <dgm:t>
        <a:bodyPr/>
        <a:lstStyle/>
        <a:p>
          <a:endParaRPr lang="nl-NL" sz="1800">
            <a:latin typeface="Corbel" charset="0"/>
            <a:ea typeface="Corbel" charset="0"/>
            <a:cs typeface="Corbel" charset="0"/>
          </a:endParaRPr>
        </a:p>
      </dgm:t>
    </dgm:pt>
    <dgm:pt modelId="{CC71E977-E2A6-DB46-88C6-017D7E2E7966}" type="sibTrans" cxnId="{50568802-1C93-6E4D-BCC5-9E38A49098BF}">
      <dgm:prSet/>
      <dgm:spPr/>
      <dgm:t>
        <a:bodyPr/>
        <a:lstStyle/>
        <a:p>
          <a:endParaRPr lang="nl-NL" sz="1800">
            <a:latin typeface="Corbel" charset="0"/>
            <a:ea typeface="Corbel" charset="0"/>
            <a:cs typeface="Corbel" charset="0"/>
          </a:endParaRPr>
        </a:p>
      </dgm:t>
    </dgm:pt>
    <dgm:pt modelId="{FB72AB9C-E525-E742-9297-3A9EF27952B7}">
      <dgm:prSet phldrT="[Tekst]" custT="1"/>
      <dgm:spPr/>
      <dgm:t>
        <a:bodyPr/>
        <a:lstStyle/>
        <a:p>
          <a:r>
            <a:rPr lang="nl-NL" sz="900">
              <a:latin typeface="Corbel" charset="0"/>
              <a:ea typeface="Corbel" charset="0"/>
              <a:cs typeface="Corbel" charset="0"/>
            </a:rPr>
            <a:t>Economische schade</a:t>
          </a:r>
        </a:p>
      </dgm:t>
    </dgm:pt>
    <dgm:pt modelId="{FD9E3C4A-C856-FC41-9BA6-70DA95773666}" type="parTrans" cxnId="{13828DDA-1253-5049-A9F3-4E016E19462A}">
      <dgm:prSet/>
      <dgm:spPr/>
      <dgm:t>
        <a:bodyPr/>
        <a:lstStyle/>
        <a:p>
          <a:endParaRPr lang="nl-NL" sz="1800">
            <a:latin typeface="Corbel" charset="0"/>
            <a:ea typeface="Corbel" charset="0"/>
            <a:cs typeface="Corbel" charset="0"/>
          </a:endParaRPr>
        </a:p>
      </dgm:t>
    </dgm:pt>
    <dgm:pt modelId="{A8C76BDE-CB6F-C948-9B9A-5A6DF9002022}" type="sibTrans" cxnId="{13828DDA-1253-5049-A9F3-4E016E19462A}">
      <dgm:prSet/>
      <dgm:spPr/>
      <dgm:t>
        <a:bodyPr/>
        <a:lstStyle/>
        <a:p>
          <a:endParaRPr lang="nl-NL" sz="1800">
            <a:latin typeface="Corbel" charset="0"/>
            <a:ea typeface="Corbel" charset="0"/>
            <a:cs typeface="Corbel" charset="0"/>
          </a:endParaRPr>
        </a:p>
      </dgm:t>
    </dgm:pt>
    <dgm:pt modelId="{15A50FC6-38A4-BD4B-B042-EB335B326374}">
      <dgm:prSet phldrT="[Tekst]" custT="1"/>
      <dgm:spPr/>
      <dgm:t>
        <a:bodyPr/>
        <a:lstStyle/>
        <a:p>
          <a:r>
            <a:rPr lang="nl-NL" sz="1200">
              <a:latin typeface="Corbel" charset="0"/>
              <a:ea typeface="Corbel" charset="0"/>
              <a:cs typeface="Corbel" charset="0"/>
            </a:rPr>
            <a:t>Risicogebied</a:t>
          </a:r>
          <a:endParaRPr lang="nl-NL" sz="2000">
            <a:latin typeface="Corbel" charset="0"/>
            <a:ea typeface="Corbel" charset="0"/>
            <a:cs typeface="Corbel" charset="0"/>
          </a:endParaRPr>
        </a:p>
      </dgm:t>
    </dgm:pt>
    <dgm:pt modelId="{D06EB97F-B9E8-204E-B8E5-2FC063EF86E6}" type="parTrans" cxnId="{D13CA03E-60B9-EF4F-A161-5C8D00435C3A}">
      <dgm:prSet/>
      <dgm:spPr/>
      <dgm:t>
        <a:bodyPr/>
        <a:lstStyle/>
        <a:p>
          <a:endParaRPr lang="nl-NL" sz="1800">
            <a:latin typeface="Corbel" charset="0"/>
            <a:ea typeface="Corbel" charset="0"/>
            <a:cs typeface="Corbel" charset="0"/>
          </a:endParaRPr>
        </a:p>
      </dgm:t>
    </dgm:pt>
    <dgm:pt modelId="{52BCE688-FAFA-1340-AABF-D703C4EA2695}" type="sibTrans" cxnId="{D13CA03E-60B9-EF4F-A161-5C8D00435C3A}">
      <dgm:prSet/>
      <dgm:spPr/>
      <dgm:t>
        <a:bodyPr/>
        <a:lstStyle/>
        <a:p>
          <a:endParaRPr lang="nl-NL" sz="1800">
            <a:latin typeface="Corbel" charset="0"/>
            <a:ea typeface="Corbel" charset="0"/>
            <a:cs typeface="Corbel" charset="0"/>
          </a:endParaRPr>
        </a:p>
      </dgm:t>
    </dgm:pt>
    <dgm:pt modelId="{DA93E823-CCEE-9342-8016-C57C26D58501}">
      <dgm:prSet phldrT="[Tekst]" custT="1"/>
      <dgm:spPr/>
      <dgm:t>
        <a:bodyPr/>
        <a:lstStyle/>
        <a:p>
          <a:r>
            <a:rPr lang="nl-NL" sz="1200">
              <a:latin typeface="Corbel" charset="0"/>
              <a:ea typeface="Corbel" charset="0"/>
              <a:cs typeface="Corbel" charset="0"/>
            </a:rPr>
            <a:t>Soort</a:t>
          </a:r>
          <a:r>
            <a:rPr lang="nl-NL" sz="1200" baseline="0">
              <a:latin typeface="Corbel" charset="0"/>
              <a:ea typeface="Corbel" charset="0"/>
              <a:cs typeface="Corbel" charset="0"/>
            </a:rPr>
            <a:t> schade</a:t>
          </a:r>
          <a:endParaRPr lang="nl-NL" sz="1200">
            <a:latin typeface="Corbel" charset="0"/>
            <a:ea typeface="Corbel" charset="0"/>
            <a:cs typeface="Corbel" charset="0"/>
          </a:endParaRPr>
        </a:p>
      </dgm:t>
    </dgm:pt>
    <dgm:pt modelId="{B0EB5E1F-36F2-B64F-B934-BE56A5664347}" type="parTrans" cxnId="{AA2AAB98-41A0-1246-95AE-9EBFD88D13B2}">
      <dgm:prSet/>
      <dgm:spPr/>
      <dgm:t>
        <a:bodyPr/>
        <a:lstStyle/>
        <a:p>
          <a:endParaRPr lang="nl-NL" sz="1800">
            <a:latin typeface="Corbel" charset="0"/>
            <a:ea typeface="Corbel" charset="0"/>
            <a:cs typeface="Corbel" charset="0"/>
          </a:endParaRPr>
        </a:p>
      </dgm:t>
    </dgm:pt>
    <dgm:pt modelId="{740DC6F2-F607-FD40-87DC-407F3305299A}" type="sibTrans" cxnId="{AA2AAB98-41A0-1246-95AE-9EBFD88D13B2}">
      <dgm:prSet/>
      <dgm:spPr/>
      <dgm:t>
        <a:bodyPr/>
        <a:lstStyle/>
        <a:p>
          <a:endParaRPr lang="nl-NL" sz="1800">
            <a:latin typeface="Corbel" charset="0"/>
            <a:ea typeface="Corbel" charset="0"/>
            <a:cs typeface="Corbel" charset="0"/>
          </a:endParaRPr>
        </a:p>
      </dgm:t>
    </dgm:pt>
    <dgm:pt modelId="{CEED6C67-D442-8841-9080-A9953A46B8A8}">
      <dgm:prSet phldrT="[Tekst]" custT="1"/>
      <dgm:spPr/>
      <dgm:t>
        <a:bodyPr/>
        <a:lstStyle/>
        <a:p>
          <a:r>
            <a:rPr lang="nl-NL" sz="1200">
              <a:latin typeface="Corbel" charset="0"/>
              <a:ea typeface="Corbel" charset="0"/>
              <a:cs typeface="Corbel" charset="0"/>
            </a:rPr>
            <a:t>Perspectief</a:t>
          </a:r>
        </a:p>
      </dgm:t>
    </dgm:pt>
    <dgm:pt modelId="{E66908B7-4EBB-244B-9E91-A9B5DB606EC6}" type="parTrans" cxnId="{F83A7942-8028-9640-9103-73C38499FDFC}">
      <dgm:prSet/>
      <dgm:spPr/>
      <dgm:t>
        <a:bodyPr/>
        <a:lstStyle/>
        <a:p>
          <a:endParaRPr lang="nl-NL" sz="1800">
            <a:latin typeface="Corbel" charset="0"/>
            <a:ea typeface="Corbel" charset="0"/>
            <a:cs typeface="Corbel" charset="0"/>
          </a:endParaRPr>
        </a:p>
      </dgm:t>
    </dgm:pt>
    <dgm:pt modelId="{A214846C-D820-0E47-9A20-F3AA81728C9F}" type="sibTrans" cxnId="{F83A7942-8028-9640-9103-73C38499FDFC}">
      <dgm:prSet/>
      <dgm:spPr/>
      <dgm:t>
        <a:bodyPr/>
        <a:lstStyle/>
        <a:p>
          <a:endParaRPr lang="nl-NL" sz="1800">
            <a:latin typeface="Corbel" charset="0"/>
            <a:ea typeface="Corbel" charset="0"/>
            <a:cs typeface="Corbel" charset="0"/>
          </a:endParaRPr>
        </a:p>
      </dgm:t>
    </dgm:pt>
    <dgm:pt modelId="{228D8C63-DB5D-084C-B51C-1C959E4B3267}">
      <dgm:prSet custT="1"/>
      <dgm:spPr/>
      <dgm:t>
        <a:bodyPr/>
        <a:lstStyle/>
        <a:p>
          <a:r>
            <a:rPr lang="nl-NL" sz="1200">
              <a:latin typeface="Corbel" charset="0"/>
              <a:ea typeface="Corbel" charset="0"/>
              <a:cs typeface="Corbel" charset="0"/>
            </a:rPr>
            <a:t>Grootheden</a:t>
          </a:r>
        </a:p>
      </dgm:t>
    </dgm:pt>
    <dgm:pt modelId="{3C7F2676-A455-564A-ADA6-5EE1C5920DFD}" type="parTrans" cxnId="{C8DB882A-8982-8249-82C1-E5384C395383}">
      <dgm:prSet/>
      <dgm:spPr/>
      <dgm:t>
        <a:bodyPr/>
        <a:lstStyle/>
        <a:p>
          <a:endParaRPr lang="nl-NL" sz="1800">
            <a:latin typeface="Corbel" charset="0"/>
            <a:ea typeface="Corbel" charset="0"/>
            <a:cs typeface="Corbel" charset="0"/>
          </a:endParaRPr>
        </a:p>
      </dgm:t>
    </dgm:pt>
    <dgm:pt modelId="{01E4AF18-0CE0-BA4F-B44B-CBC15F8B99C3}" type="sibTrans" cxnId="{C8DB882A-8982-8249-82C1-E5384C395383}">
      <dgm:prSet/>
      <dgm:spPr/>
      <dgm:t>
        <a:bodyPr/>
        <a:lstStyle/>
        <a:p>
          <a:endParaRPr lang="nl-NL" sz="1800">
            <a:latin typeface="Corbel" charset="0"/>
            <a:ea typeface="Corbel" charset="0"/>
            <a:cs typeface="Corbel" charset="0"/>
          </a:endParaRPr>
        </a:p>
      </dgm:t>
    </dgm:pt>
    <dgm:pt modelId="{6C54566C-F097-C24A-A7F5-22534CA1CB90}">
      <dgm:prSet custT="1"/>
      <dgm:spPr/>
      <dgm:t>
        <a:bodyPr/>
        <a:lstStyle/>
        <a:p>
          <a:r>
            <a:rPr lang="nl-NL" sz="900">
              <a:latin typeface="Corbel" charset="0"/>
              <a:ea typeface="Corbel" charset="0"/>
              <a:cs typeface="Corbel" charset="0"/>
            </a:rPr>
            <a:t>Financieel nadeel door bewuste fraudes en/of oneerlijke markt</a:t>
          </a:r>
        </a:p>
      </dgm:t>
    </dgm:pt>
    <dgm:pt modelId="{DCDD830C-1674-3A46-A75D-B2277F6F818C}" type="parTrans" cxnId="{DFB74748-C9CD-564D-8847-2C5FBD86B5AA}">
      <dgm:prSet/>
      <dgm:spPr/>
      <dgm:t>
        <a:bodyPr/>
        <a:lstStyle/>
        <a:p>
          <a:endParaRPr lang="nl-NL" sz="1800">
            <a:latin typeface="Corbel" charset="0"/>
            <a:ea typeface="Corbel" charset="0"/>
            <a:cs typeface="Corbel" charset="0"/>
          </a:endParaRPr>
        </a:p>
      </dgm:t>
    </dgm:pt>
    <dgm:pt modelId="{AD522675-517B-2D45-8FA9-003DA997D95A}" type="sibTrans" cxnId="{DFB74748-C9CD-564D-8847-2C5FBD86B5AA}">
      <dgm:prSet/>
      <dgm:spPr/>
      <dgm:t>
        <a:bodyPr/>
        <a:lstStyle/>
        <a:p>
          <a:endParaRPr lang="nl-NL" sz="1800">
            <a:latin typeface="Corbel" charset="0"/>
            <a:ea typeface="Corbel" charset="0"/>
            <a:cs typeface="Corbel" charset="0"/>
          </a:endParaRPr>
        </a:p>
      </dgm:t>
    </dgm:pt>
    <dgm:pt modelId="{19944637-32F3-0D4A-BD6B-D7C24D3C8539}">
      <dgm:prSet custT="1"/>
      <dgm:spPr/>
      <dgm:t>
        <a:bodyPr/>
        <a:lstStyle/>
        <a:p>
          <a:r>
            <a:rPr lang="nl-NL" sz="900"/>
            <a:t>Gezondheidsschade</a:t>
          </a:r>
        </a:p>
      </dgm:t>
    </dgm:pt>
    <dgm:pt modelId="{ECC9AA8D-E2F9-9C49-9369-37B31AD42BEE}" type="parTrans" cxnId="{1D10DB39-1D44-8C47-8DBE-9FEC97992C02}">
      <dgm:prSet/>
      <dgm:spPr/>
      <dgm:t>
        <a:bodyPr/>
        <a:lstStyle/>
        <a:p>
          <a:endParaRPr lang="nl-NL"/>
        </a:p>
      </dgm:t>
    </dgm:pt>
    <dgm:pt modelId="{99412793-E7A2-7D44-9F1E-D9CC7BF1BAF8}" type="sibTrans" cxnId="{1D10DB39-1D44-8C47-8DBE-9FEC97992C02}">
      <dgm:prSet/>
      <dgm:spPr/>
      <dgm:t>
        <a:bodyPr/>
        <a:lstStyle/>
        <a:p>
          <a:endParaRPr lang="nl-NL"/>
        </a:p>
      </dgm:t>
    </dgm:pt>
    <dgm:pt modelId="{28A77F7B-B2BE-6646-8244-E9E5FB128962}">
      <dgm:prSet custT="1"/>
      <dgm:spPr/>
      <dgm:t>
        <a:bodyPr/>
        <a:lstStyle/>
        <a:p>
          <a:r>
            <a:rPr lang="nl-NL" sz="800"/>
            <a:t>Verlies van levenskwaliteit of levensduur als gevolg van blootstelling aan gezondheidsbeschadigende stoffen en straling</a:t>
          </a:r>
        </a:p>
      </dgm:t>
    </dgm:pt>
    <dgm:pt modelId="{83E14FEF-3BDF-054C-9631-37A9025A4105}" type="parTrans" cxnId="{5CE923BC-D6C7-3940-9B92-4E6AEB32E3B2}">
      <dgm:prSet/>
      <dgm:spPr/>
      <dgm:t>
        <a:bodyPr/>
        <a:lstStyle/>
        <a:p>
          <a:endParaRPr lang="nl-NL"/>
        </a:p>
      </dgm:t>
    </dgm:pt>
    <dgm:pt modelId="{695AA983-52EF-3544-9432-431733450DBA}" type="sibTrans" cxnId="{5CE923BC-D6C7-3940-9B92-4E6AEB32E3B2}">
      <dgm:prSet/>
      <dgm:spPr/>
      <dgm:t>
        <a:bodyPr/>
        <a:lstStyle/>
        <a:p>
          <a:endParaRPr lang="nl-NL"/>
        </a:p>
      </dgm:t>
    </dgm:pt>
    <dgm:pt modelId="{255F09D7-F7C2-E240-B4BC-ACB7C1ECE4DA}" type="pres">
      <dgm:prSet presAssocID="{405F8BEA-FF3C-2043-8958-D77483457538}" presName="mainComposite" presStyleCnt="0">
        <dgm:presLayoutVars>
          <dgm:chPref val="1"/>
          <dgm:dir/>
          <dgm:animOne val="branch"/>
          <dgm:animLvl val="lvl"/>
          <dgm:resizeHandles val="exact"/>
        </dgm:presLayoutVars>
      </dgm:prSet>
      <dgm:spPr/>
      <dgm:t>
        <a:bodyPr/>
        <a:lstStyle/>
        <a:p>
          <a:endParaRPr lang="nl-NL"/>
        </a:p>
      </dgm:t>
    </dgm:pt>
    <dgm:pt modelId="{2ACC2881-4643-CB4E-989E-A7BC30E22940}" type="pres">
      <dgm:prSet presAssocID="{405F8BEA-FF3C-2043-8958-D77483457538}" presName="hierFlow" presStyleCnt="0"/>
      <dgm:spPr/>
    </dgm:pt>
    <dgm:pt modelId="{662B378A-EB7B-D04D-9A42-4EB8044A2E79}" type="pres">
      <dgm:prSet presAssocID="{405F8BEA-FF3C-2043-8958-D77483457538}" presName="firstBuf" presStyleCnt="0"/>
      <dgm:spPr/>
    </dgm:pt>
    <dgm:pt modelId="{26D4207C-0357-EB4B-8EE0-B39537EB9535}" type="pres">
      <dgm:prSet presAssocID="{405F8BEA-FF3C-2043-8958-D77483457538}" presName="hierChild1" presStyleCnt="0">
        <dgm:presLayoutVars>
          <dgm:chPref val="1"/>
          <dgm:animOne val="branch"/>
          <dgm:animLvl val="lvl"/>
        </dgm:presLayoutVars>
      </dgm:prSet>
      <dgm:spPr/>
    </dgm:pt>
    <dgm:pt modelId="{5F2DFBB6-4D6A-CB40-BDB7-9439F4542B50}" type="pres">
      <dgm:prSet presAssocID="{E15EB245-C5DB-1E40-9347-B7EEB26C56BE}" presName="Name14" presStyleCnt="0"/>
      <dgm:spPr/>
    </dgm:pt>
    <dgm:pt modelId="{EEC739B2-E644-8B45-8843-AF8E6B45C76F}" type="pres">
      <dgm:prSet presAssocID="{E15EB245-C5DB-1E40-9347-B7EEB26C56BE}" presName="level1Shape" presStyleLbl="node0" presStyleIdx="0" presStyleCnt="1" custScaleX="137026">
        <dgm:presLayoutVars>
          <dgm:chPref val="3"/>
        </dgm:presLayoutVars>
      </dgm:prSet>
      <dgm:spPr/>
      <dgm:t>
        <a:bodyPr/>
        <a:lstStyle/>
        <a:p>
          <a:endParaRPr lang="nl-NL"/>
        </a:p>
      </dgm:t>
    </dgm:pt>
    <dgm:pt modelId="{F8A5E908-38F2-894E-B53C-C465D02BA7C4}" type="pres">
      <dgm:prSet presAssocID="{E15EB245-C5DB-1E40-9347-B7EEB26C56BE}" presName="hierChild2" presStyleCnt="0"/>
      <dgm:spPr/>
    </dgm:pt>
    <dgm:pt modelId="{F8DBD327-2323-9E41-A60D-C7A72430520F}" type="pres">
      <dgm:prSet presAssocID="{6FB4345C-89CE-724D-B550-C9A09E6373D0}" presName="Name19" presStyleLbl="parChTrans1D2" presStyleIdx="0" presStyleCnt="1"/>
      <dgm:spPr/>
      <dgm:t>
        <a:bodyPr/>
        <a:lstStyle/>
        <a:p>
          <a:endParaRPr lang="nl-NL"/>
        </a:p>
      </dgm:t>
    </dgm:pt>
    <dgm:pt modelId="{CC238999-3014-AF49-B8B7-8C51C6E2A92A}" type="pres">
      <dgm:prSet presAssocID="{2A5247F8-8073-7249-97E4-FD80464675D9}" presName="Name21" presStyleCnt="0"/>
      <dgm:spPr/>
    </dgm:pt>
    <dgm:pt modelId="{CA6235FA-001A-044A-BFF9-496F2921454A}" type="pres">
      <dgm:prSet presAssocID="{2A5247F8-8073-7249-97E4-FD80464675D9}" presName="level2Shape" presStyleLbl="node2" presStyleIdx="0" presStyleCnt="1"/>
      <dgm:spPr/>
      <dgm:t>
        <a:bodyPr/>
        <a:lstStyle/>
        <a:p>
          <a:endParaRPr lang="nl-NL"/>
        </a:p>
      </dgm:t>
    </dgm:pt>
    <dgm:pt modelId="{EE755D28-B115-4F45-9EBE-EB4C5C1394DC}" type="pres">
      <dgm:prSet presAssocID="{2A5247F8-8073-7249-97E4-FD80464675D9}" presName="hierChild3" presStyleCnt="0"/>
      <dgm:spPr/>
    </dgm:pt>
    <dgm:pt modelId="{C9B25F6C-9E20-EF43-AF9E-03F0B4E79469}" type="pres">
      <dgm:prSet presAssocID="{ECC9AA8D-E2F9-9C49-9369-37B31AD42BEE}" presName="Name19" presStyleLbl="parChTrans1D3" presStyleIdx="0" presStyleCnt="2"/>
      <dgm:spPr/>
      <dgm:t>
        <a:bodyPr/>
        <a:lstStyle/>
        <a:p>
          <a:endParaRPr lang="nl-NL"/>
        </a:p>
      </dgm:t>
    </dgm:pt>
    <dgm:pt modelId="{39DDE313-294B-9149-AA26-2B4AFB14D71B}" type="pres">
      <dgm:prSet presAssocID="{19944637-32F3-0D4A-BD6B-D7C24D3C8539}" presName="Name21" presStyleCnt="0"/>
      <dgm:spPr/>
    </dgm:pt>
    <dgm:pt modelId="{4C4A60D1-5769-CF43-B1D8-71A6B4ED66BA}" type="pres">
      <dgm:prSet presAssocID="{19944637-32F3-0D4A-BD6B-D7C24D3C8539}" presName="level2Shape" presStyleLbl="node3" presStyleIdx="0" presStyleCnt="2" custScaleX="117852"/>
      <dgm:spPr/>
      <dgm:t>
        <a:bodyPr/>
        <a:lstStyle/>
        <a:p>
          <a:endParaRPr lang="nl-NL"/>
        </a:p>
      </dgm:t>
    </dgm:pt>
    <dgm:pt modelId="{11D92469-ABE2-2344-9174-CFDBC2C906BE}" type="pres">
      <dgm:prSet presAssocID="{19944637-32F3-0D4A-BD6B-D7C24D3C8539}" presName="hierChild3" presStyleCnt="0"/>
      <dgm:spPr/>
    </dgm:pt>
    <dgm:pt modelId="{3BBC9ED0-BFF1-024D-B507-52B4F8C3FF19}" type="pres">
      <dgm:prSet presAssocID="{83E14FEF-3BDF-054C-9631-37A9025A4105}" presName="Name19" presStyleLbl="parChTrans1D4" presStyleIdx="0" presStyleCnt="2"/>
      <dgm:spPr/>
      <dgm:t>
        <a:bodyPr/>
        <a:lstStyle/>
        <a:p>
          <a:endParaRPr lang="nl-NL"/>
        </a:p>
      </dgm:t>
    </dgm:pt>
    <dgm:pt modelId="{EA32D1F0-D3A8-2D45-958E-F7B88DC53D33}" type="pres">
      <dgm:prSet presAssocID="{28A77F7B-B2BE-6646-8244-E9E5FB128962}" presName="Name21" presStyleCnt="0"/>
      <dgm:spPr/>
    </dgm:pt>
    <dgm:pt modelId="{4A168320-7539-E944-AEC3-AE00FA872E3B}" type="pres">
      <dgm:prSet presAssocID="{28A77F7B-B2BE-6646-8244-E9E5FB128962}" presName="level2Shape" presStyleLbl="node4" presStyleIdx="0" presStyleCnt="2" custScaleX="169616"/>
      <dgm:spPr/>
      <dgm:t>
        <a:bodyPr/>
        <a:lstStyle/>
        <a:p>
          <a:endParaRPr lang="nl-NL"/>
        </a:p>
      </dgm:t>
    </dgm:pt>
    <dgm:pt modelId="{430E58E1-6BD6-4649-9C95-72B50BF4E889}" type="pres">
      <dgm:prSet presAssocID="{28A77F7B-B2BE-6646-8244-E9E5FB128962}" presName="hierChild3" presStyleCnt="0"/>
      <dgm:spPr/>
    </dgm:pt>
    <dgm:pt modelId="{3D2DF429-17F3-6C4E-ABA5-2998C104D489}" type="pres">
      <dgm:prSet presAssocID="{FD9E3C4A-C856-FC41-9BA6-70DA95773666}" presName="Name19" presStyleLbl="parChTrans1D3" presStyleIdx="1" presStyleCnt="2"/>
      <dgm:spPr/>
      <dgm:t>
        <a:bodyPr/>
        <a:lstStyle/>
        <a:p>
          <a:endParaRPr lang="nl-NL"/>
        </a:p>
      </dgm:t>
    </dgm:pt>
    <dgm:pt modelId="{076CC8F2-7F2D-0349-8451-D94480FCE739}" type="pres">
      <dgm:prSet presAssocID="{FB72AB9C-E525-E742-9297-3A9EF27952B7}" presName="Name21" presStyleCnt="0"/>
      <dgm:spPr/>
    </dgm:pt>
    <dgm:pt modelId="{9AB12326-3A0E-5646-AD52-3853837C4C56}" type="pres">
      <dgm:prSet presAssocID="{FB72AB9C-E525-E742-9297-3A9EF27952B7}" presName="level2Shape" presStyleLbl="node3" presStyleIdx="1" presStyleCnt="2"/>
      <dgm:spPr/>
      <dgm:t>
        <a:bodyPr/>
        <a:lstStyle/>
        <a:p>
          <a:endParaRPr lang="nl-NL"/>
        </a:p>
      </dgm:t>
    </dgm:pt>
    <dgm:pt modelId="{91F121EC-B798-C64C-B94E-1F15BDECCF46}" type="pres">
      <dgm:prSet presAssocID="{FB72AB9C-E525-E742-9297-3A9EF27952B7}" presName="hierChild3" presStyleCnt="0"/>
      <dgm:spPr/>
    </dgm:pt>
    <dgm:pt modelId="{686D8B7A-8337-9245-9DDC-658E3318C758}" type="pres">
      <dgm:prSet presAssocID="{DCDD830C-1674-3A46-A75D-B2277F6F818C}" presName="Name19" presStyleLbl="parChTrans1D4" presStyleIdx="1" presStyleCnt="2"/>
      <dgm:spPr/>
      <dgm:t>
        <a:bodyPr/>
        <a:lstStyle/>
        <a:p>
          <a:endParaRPr lang="nl-NL"/>
        </a:p>
      </dgm:t>
    </dgm:pt>
    <dgm:pt modelId="{D7BB286F-18BF-314B-BD7F-32A835316B89}" type="pres">
      <dgm:prSet presAssocID="{6C54566C-F097-C24A-A7F5-22534CA1CB90}" presName="Name21" presStyleCnt="0"/>
      <dgm:spPr/>
    </dgm:pt>
    <dgm:pt modelId="{4322880F-CC51-4046-B3AE-E6F577B6CC6D}" type="pres">
      <dgm:prSet presAssocID="{6C54566C-F097-C24A-A7F5-22534CA1CB90}" presName="level2Shape" presStyleLbl="node4" presStyleIdx="1" presStyleCnt="2" custScaleX="117730"/>
      <dgm:spPr/>
      <dgm:t>
        <a:bodyPr/>
        <a:lstStyle/>
        <a:p>
          <a:endParaRPr lang="nl-NL"/>
        </a:p>
      </dgm:t>
    </dgm:pt>
    <dgm:pt modelId="{1F132E46-2BA0-114A-9427-065E3997D9C8}" type="pres">
      <dgm:prSet presAssocID="{6C54566C-F097-C24A-A7F5-22534CA1CB90}" presName="hierChild3" presStyleCnt="0"/>
      <dgm:spPr/>
    </dgm:pt>
    <dgm:pt modelId="{DE1E4322-CB2C-384D-8832-F3A246A8AF54}" type="pres">
      <dgm:prSet presAssocID="{405F8BEA-FF3C-2043-8958-D77483457538}" presName="bgShapesFlow" presStyleCnt="0"/>
      <dgm:spPr/>
    </dgm:pt>
    <dgm:pt modelId="{36AC3C44-5639-BA4F-9227-D359C2B50A34}" type="pres">
      <dgm:prSet presAssocID="{15A50FC6-38A4-BD4B-B042-EB335B326374}" presName="rectComp" presStyleCnt="0"/>
      <dgm:spPr/>
    </dgm:pt>
    <dgm:pt modelId="{B8800653-D895-A447-B3A7-17B63C3AEB93}" type="pres">
      <dgm:prSet presAssocID="{15A50FC6-38A4-BD4B-B042-EB335B326374}" presName="bgRect" presStyleLbl="bgShp" presStyleIdx="0" presStyleCnt="4"/>
      <dgm:spPr/>
      <dgm:t>
        <a:bodyPr/>
        <a:lstStyle/>
        <a:p>
          <a:endParaRPr lang="nl-NL"/>
        </a:p>
      </dgm:t>
    </dgm:pt>
    <dgm:pt modelId="{35F671C6-DB2D-4D4A-B395-99BE119E3222}" type="pres">
      <dgm:prSet presAssocID="{15A50FC6-38A4-BD4B-B042-EB335B326374}" presName="bgRectTx" presStyleLbl="bgShp" presStyleIdx="0" presStyleCnt="4">
        <dgm:presLayoutVars>
          <dgm:bulletEnabled val="1"/>
        </dgm:presLayoutVars>
      </dgm:prSet>
      <dgm:spPr/>
      <dgm:t>
        <a:bodyPr/>
        <a:lstStyle/>
        <a:p>
          <a:endParaRPr lang="nl-NL"/>
        </a:p>
      </dgm:t>
    </dgm:pt>
    <dgm:pt modelId="{14432808-FFE9-324A-AB99-CF3C8003666B}" type="pres">
      <dgm:prSet presAssocID="{15A50FC6-38A4-BD4B-B042-EB335B326374}" presName="spComp" presStyleCnt="0"/>
      <dgm:spPr/>
    </dgm:pt>
    <dgm:pt modelId="{0D85D1AC-D5A0-CD44-8B38-E5C853B9D71D}" type="pres">
      <dgm:prSet presAssocID="{15A50FC6-38A4-BD4B-B042-EB335B326374}" presName="vSp" presStyleCnt="0"/>
      <dgm:spPr/>
    </dgm:pt>
    <dgm:pt modelId="{783A76DF-9704-384B-B748-8A3C6CF7910E}" type="pres">
      <dgm:prSet presAssocID="{DA93E823-CCEE-9342-8016-C57C26D58501}" presName="rectComp" presStyleCnt="0"/>
      <dgm:spPr/>
    </dgm:pt>
    <dgm:pt modelId="{A5357F97-25FF-7749-B0AC-D82FB625FBCD}" type="pres">
      <dgm:prSet presAssocID="{DA93E823-CCEE-9342-8016-C57C26D58501}" presName="bgRect" presStyleLbl="bgShp" presStyleIdx="1" presStyleCnt="4"/>
      <dgm:spPr/>
      <dgm:t>
        <a:bodyPr/>
        <a:lstStyle/>
        <a:p>
          <a:endParaRPr lang="nl-NL"/>
        </a:p>
      </dgm:t>
    </dgm:pt>
    <dgm:pt modelId="{172191C8-A3BD-0A4F-A9EA-9AF3D6A41F41}" type="pres">
      <dgm:prSet presAssocID="{DA93E823-CCEE-9342-8016-C57C26D58501}" presName="bgRectTx" presStyleLbl="bgShp" presStyleIdx="1" presStyleCnt="4">
        <dgm:presLayoutVars>
          <dgm:bulletEnabled val="1"/>
        </dgm:presLayoutVars>
      </dgm:prSet>
      <dgm:spPr/>
      <dgm:t>
        <a:bodyPr/>
        <a:lstStyle/>
        <a:p>
          <a:endParaRPr lang="nl-NL"/>
        </a:p>
      </dgm:t>
    </dgm:pt>
    <dgm:pt modelId="{DF2B9390-0F6B-2E42-8CD9-B372820993FE}" type="pres">
      <dgm:prSet presAssocID="{DA93E823-CCEE-9342-8016-C57C26D58501}" presName="spComp" presStyleCnt="0"/>
      <dgm:spPr/>
    </dgm:pt>
    <dgm:pt modelId="{F0575496-1C9A-0047-A411-1E5C4C820151}" type="pres">
      <dgm:prSet presAssocID="{DA93E823-CCEE-9342-8016-C57C26D58501}" presName="vSp" presStyleCnt="0"/>
      <dgm:spPr/>
    </dgm:pt>
    <dgm:pt modelId="{B7F65B57-AF92-A24F-81F3-07F71CEC48F5}" type="pres">
      <dgm:prSet presAssocID="{CEED6C67-D442-8841-9080-A9953A46B8A8}" presName="rectComp" presStyleCnt="0"/>
      <dgm:spPr/>
    </dgm:pt>
    <dgm:pt modelId="{3402E1D9-640E-2B48-A9B1-2D15B92ADDEE}" type="pres">
      <dgm:prSet presAssocID="{CEED6C67-D442-8841-9080-A9953A46B8A8}" presName="bgRect" presStyleLbl="bgShp" presStyleIdx="2" presStyleCnt="4"/>
      <dgm:spPr/>
      <dgm:t>
        <a:bodyPr/>
        <a:lstStyle/>
        <a:p>
          <a:endParaRPr lang="nl-NL"/>
        </a:p>
      </dgm:t>
    </dgm:pt>
    <dgm:pt modelId="{15D2B024-9842-7C4D-A593-81BE10120FDA}" type="pres">
      <dgm:prSet presAssocID="{CEED6C67-D442-8841-9080-A9953A46B8A8}" presName="bgRectTx" presStyleLbl="bgShp" presStyleIdx="2" presStyleCnt="4">
        <dgm:presLayoutVars>
          <dgm:bulletEnabled val="1"/>
        </dgm:presLayoutVars>
      </dgm:prSet>
      <dgm:spPr/>
      <dgm:t>
        <a:bodyPr/>
        <a:lstStyle/>
        <a:p>
          <a:endParaRPr lang="nl-NL"/>
        </a:p>
      </dgm:t>
    </dgm:pt>
    <dgm:pt modelId="{6D857BC4-F38F-3643-9E3A-5803E37CBEA9}" type="pres">
      <dgm:prSet presAssocID="{CEED6C67-D442-8841-9080-A9953A46B8A8}" presName="spComp" presStyleCnt="0"/>
      <dgm:spPr/>
    </dgm:pt>
    <dgm:pt modelId="{44495D8D-6D00-A048-9154-54C33C8CEC48}" type="pres">
      <dgm:prSet presAssocID="{CEED6C67-D442-8841-9080-A9953A46B8A8}" presName="vSp" presStyleCnt="0"/>
      <dgm:spPr/>
    </dgm:pt>
    <dgm:pt modelId="{04C2E303-C5DA-7345-B086-40CC419DF19B}" type="pres">
      <dgm:prSet presAssocID="{228D8C63-DB5D-084C-B51C-1C959E4B3267}" presName="rectComp" presStyleCnt="0"/>
      <dgm:spPr/>
    </dgm:pt>
    <dgm:pt modelId="{34FCC78E-E64E-6844-A900-92A166DA89B2}" type="pres">
      <dgm:prSet presAssocID="{228D8C63-DB5D-084C-B51C-1C959E4B3267}" presName="bgRect" presStyleLbl="bgShp" presStyleIdx="3" presStyleCnt="4"/>
      <dgm:spPr/>
      <dgm:t>
        <a:bodyPr/>
        <a:lstStyle/>
        <a:p>
          <a:endParaRPr lang="nl-NL"/>
        </a:p>
      </dgm:t>
    </dgm:pt>
    <dgm:pt modelId="{94681538-AF45-BF4A-B911-454CC2ACE25F}" type="pres">
      <dgm:prSet presAssocID="{228D8C63-DB5D-084C-B51C-1C959E4B3267}" presName="bgRectTx" presStyleLbl="bgShp" presStyleIdx="3" presStyleCnt="4">
        <dgm:presLayoutVars>
          <dgm:bulletEnabled val="1"/>
        </dgm:presLayoutVars>
      </dgm:prSet>
      <dgm:spPr/>
      <dgm:t>
        <a:bodyPr/>
        <a:lstStyle/>
        <a:p>
          <a:endParaRPr lang="nl-NL"/>
        </a:p>
      </dgm:t>
    </dgm:pt>
  </dgm:ptLst>
  <dgm:cxnLst>
    <dgm:cxn modelId="{6AABD0B3-FBF1-0944-8E89-E9E4C5EDAA63}" type="presOf" srcId="{83E14FEF-3BDF-054C-9631-37A9025A4105}" destId="{3BBC9ED0-BFF1-024D-B507-52B4F8C3FF19}" srcOrd="0" destOrd="0" presId="urn:microsoft.com/office/officeart/2005/8/layout/hierarchy6"/>
    <dgm:cxn modelId="{6233582A-018B-4D4B-B86D-7A4B437D06D8}" type="presOf" srcId="{19944637-32F3-0D4A-BD6B-D7C24D3C8539}" destId="{4C4A60D1-5769-CF43-B1D8-71A6B4ED66BA}" srcOrd="0" destOrd="0" presId="urn:microsoft.com/office/officeart/2005/8/layout/hierarchy6"/>
    <dgm:cxn modelId="{2AFB6724-AA23-CB43-BA42-87AD5B2298D8}" type="presOf" srcId="{DA93E823-CCEE-9342-8016-C57C26D58501}" destId="{172191C8-A3BD-0A4F-A9EA-9AF3D6A41F41}" srcOrd="1" destOrd="0" presId="urn:microsoft.com/office/officeart/2005/8/layout/hierarchy6"/>
    <dgm:cxn modelId="{50568802-1C93-6E4D-BCC5-9E38A49098BF}" srcId="{E15EB245-C5DB-1E40-9347-B7EEB26C56BE}" destId="{2A5247F8-8073-7249-97E4-FD80464675D9}" srcOrd="0" destOrd="0" parTransId="{6FB4345C-89CE-724D-B550-C9A09E6373D0}" sibTransId="{CC71E977-E2A6-DB46-88C6-017D7E2E7966}"/>
    <dgm:cxn modelId="{5D3D5349-0F54-7544-94EF-66BDAA59396A}" type="presOf" srcId="{CEED6C67-D442-8841-9080-A9953A46B8A8}" destId="{3402E1D9-640E-2B48-A9B1-2D15B92ADDEE}" srcOrd="0" destOrd="0" presId="urn:microsoft.com/office/officeart/2005/8/layout/hierarchy6"/>
    <dgm:cxn modelId="{84DA60F2-6409-D444-88F8-FFA90A88BE94}" type="presOf" srcId="{FD9E3C4A-C856-FC41-9BA6-70DA95773666}" destId="{3D2DF429-17F3-6C4E-ABA5-2998C104D489}" srcOrd="0" destOrd="0" presId="urn:microsoft.com/office/officeart/2005/8/layout/hierarchy6"/>
    <dgm:cxn modelId="{7B4F6F44-8A04-AC46-A817-76405504B998}" type="presOf" srcId="{6C54566C-F097-C24A-A7F5-22534CA1CB90}" destId="{4322880F-CC51-4046-B3AE-E6F577B6CC6D}" srcOrd="0" destOrd="0" presId="urn:microsoft.com/office/officeart/2005/8/layout/hierarchy6"/>
    <dgm:cxn modelId="{DFB74748-C9CD-564D-8847-2C5FBD86B5AA}" srcId="{FB72AB9C-E525-E742-9297-3A9EF27952B7}" destId="{6C54566C-F097-C24A-A7F5-22534CA1CB90}" srcOrd="0" destOrd="0" parTransId="{DCDD830C-1674-3A46-A75D-B2277F6F818C}" sibTransId="{AD522675-517B-2D45-8FA9-003DA997D95A}"/>
    <dgm:cxn modelId="{1D10DB39-1D44-8C47-8DBE-9FEC97992C02}" srcId="{2A5247F8-8073-7249-97E4-FD80464675D9}" destId="{19944637-32F3-0D4A-BD6B-D7C24D3C8539}" srcOrd="0" destOrd="0" parTransId="{ECC9AA8D-E2F9-9C49-9369-37B31AD42BEE}" sibTransId="{99412793-E7A2-7D44-9F1E-D9CC7BF1BAF8}"/>
    <dgm:cxn modelId="{63E16824-9F34-264F-A9C3-C20800AD221B}" type="presOf" srcId="{FB72AB9C-E525-E742-9297-3A9EF27952B7}" destId="{9AB12326-3A0E-5646-AD52-3853837C4C56}" srcOrd="0" destOrd="0" presId="urn:microsoft.com/office/officeart/2005/8/layout/hierarchy6"/>
    <dgm:cxn modelId="{F0393C8B-6306-0349-B414-614801CD13B8}" type="presOf" srcId="{15A50FC6-38A4-BD4B-B042-EB335B326374}" destId="{B8800653-D895-A447-B3A7-17B63C3AEB93}" srcOrd="0" destOrd="0" presId="urn:microsoft.com/office/officeart/2005/8/layout/hierarchy6"/>
    <dgm:cxn modelId="{88B473B8-3B25-544C-95D4-FF63336A38EC}" srcId="{405F8BEA-FF3C-2043-8958-D77483457538}" destId="{E15EB245-C5DB-1E40-9347-B7EEB26C56BE}" srcOrd="0" destOrd="0" parTransId="{AA5B75D0-94C2-AC4B-A799-D97C7E78F8E9}" sibTransId="{E1954857-1C3F-D24C-BA3A-74149BBD502B}"/>
    <dgm:cxn modelId="{F83A7942-8028-9640-9103-73C38499FDFC}" srcId="{405F8BEA-FF3C-2043-8958-D77483457538}" destId="{CEED6C67-D442-8841-9080-A9953A46B8A8}" srcOrd="3" destOrd="0" parTransId="{E66908B7-4EBB-244B-9E91-A9B5DB606EC6}" sibTransId="{A214846C-D820-0E47-9A20-F3AA81728C9F}"/>
    <dgm:cxn modelId="{79F9E978-2C4E-5246-8875-638D614098F1}" type="presOf" srcId="{405F8BEA-FF3C-2043-8958-D77483457538}" destId="{255F09D7-F7C2-E240-B4BC-ACB7C1ECE4DA}" srcOrd="0" destOrd="0" presId="urn:microsoft.com/office/officeart/2005/8/layout/hierarchy6"/>
    <dgm:cxn modelId="{13828DDA-1253-5049-A9F3-4E016E19462A}" srcId="{2A5247F8-8073-7249-97E4-FD80464675D9}" destId="{FB72AB9C-E525-E742-9297-3A9EF27952B7}" srcOrd="1" destOrd="0" parTransId="{FD9E3C4A-C856-FC41-9BA6-70DA95773666}" sibTransId="{A8C76BDE-CB6F-C948-9B9A-5A6DF9002022}"/>
    <dgm:cxn modelId="{C9BCC498-7A72-BC46-8597-C9FBC5F993B9}" type="presOf" srcId="{28A77F7B-B2BE-6646-8244-E9E5FB128962}" destId="{4A168320-7539-E944-AEC3-AE00FA872E3B}" srcOrd="0" destOrd="0" presId="urn:microsoft.com/office/officeart/2005/8/layout/hierarchy6"/>
    <dgm:cxn modelId="{869CF44B-B1D9-A549-BC29-55C9634B5BC3}" type="presOf" srcId="{6FB4345C-89CE-724D-B550-C9A09E6373D0}" destId="{F8DBD327-2323-9E41-A60D-C7A72430520F}" srcOrd="0" destOrd="0" presId="urn:microsoft.com/office/officeart/2005/8/layout/hierarchy6"/>
    <dgm:cxn modelId="{C8DB882A-8982-8249-82C1-E5384C395383}" srcId="{405F8BEA-FF3C-2043-8958-D77483457538}" destId="{228D8C63-DB5D-084C-B51C-1C959E4B3267}" srcOrd="4" destOrd="0" parTransId="{3C7F2676-A455-564A-ADA6-5EE1C5920DFD}" sibTransId="{01E4AF18-0CE0-BA4F-B44B-CBC15F8B99C3}"/>
    <dgm:cxn modelId="{D13CA03E-60B9-EF4F-A161-5C8D00435C3A}" srcId="{405F8BEA-FF3C-2043-8958-D77483457538}" destId="{15A50FC6-38A4-BD4B-B042-EB335B326374}" srcOrd="1" destOrd="0" parTransId="{D06EB97F-B9E8-204E-B8E5-2FC063EF86E6}" sibTransId="{52BCE688-FAFA-1340-AABF-D703C4EA2695}"/>
    <dgm:cxn modelId="{58F2F8FF-0BFA-3B41-A950-B25ED73B417D}" type="presOf" srcId="{2A5247F8-8073-7249-97E4-FD80464675D9}" destId="{CA6235FA-001A-044A-BFF9-496F2921454A}" srcOrd="0" destOrd="0" presId="urn:microsoft.com/office/officeart/2005/8/layout/hierarchy6"/>
    <dgm:cxn modelId="{DF8F74C2-8721-FC45-AB05-2C701418DE75}" type="presOf" srcId="{15A50FC6-38A4-BD4B-B042-EB335B326374}" destId="{35F671C6-DB2D-4D4A-B395-99BE119E3222}" srcOrd="1" destOrd="0" presId="urn:microsoft.com/office/officeart/2005/8/layout/hierarchy6"/>
    <dgm:cxn modelId="{5CE923BC-D6C7-3940-9B92-4E6AEB32E3B2}" srcId="{19944637-32F3-0D4A-BD6B-D7C24D3C8539}" destId="{28A77F7B-B2BE-6646-8244-E9E5FB128962}" srcOrd="0" destOrd="0" parTransId="{83E14FEF-3BDF-054C-9631-37A9025A4105}" sibTransId="{695AA983-52EF-3544-9432-431733450DBA}"/>
    <dgm:cxn modelId="{1629C521-3F63-E647-B24B-56DF5802D3EE}" type="presOf" srcId="{228D8C63-DB5D-084C-B51C-1C959E4B3267}" destId="{94681538-AF45-BF4A-B911-454CC2ACE25F}" srcOrd="1" destOrd="0" presId="urn:microsoft.com/office/officeart/2005/8/layout/hierarchy6"/>
    <dgm:cxn modelId="{3BC61925-9888-0E41-8BE7-1D14BEE62355}" type="presOf" srcId="{E15EB245-C5DB-1E40-9347-B7EEB26C56BE}" destId="{EEC739B2-E644-8B45-8843-AF8E6B45C76F}" srcOrd="0" destOrd="0" presId="urn:microsoft.com/office/officeart/2005/8/layout/hierarchy6"/>
    <dgm:cxn modelId="{AA2AAB98-41A0-1246-95AE-9EBFD88D13B2}" srcId="{405F8BEA-FF3C-2043-8958-D77483457538}" destId="{DA93E823-CCEE-9342-8016-C57C26D58501}" srcOrd="2" destOrd="0" parTransId="{B0EB5E1F-36F2-B64F-B934-BE56A5664347}" sibTransId="{740DC6F2-F607-FD40-87DC-407F3305299A}"/>
    <dgm:cxn modelId="{05D46D6B-E352-7145-807A-E60A780B430E}" type="presOf" srcId="{CEED6C67-D442-8841-9080-A9953A46B8A8}" destId="{15D2B024-9842-7C4D-A593-81BE10120FDA}" srcOrd="1" destOrd="0" presId="urn:microsoft.com/office/officeart/2005/8/layout/hierarchy6"/>
    <dgm:cxn modelId="{68D2BADC-A538-CD40-98E5-D13190069729}" type="presOf" srcId="{ECC9AA8D-E2F9-9C49-9369-37B31AD42BEE}" destId="{C9B25F6C-9E20-EF43-AF9E-03F0B4E79469}" srcOrd="0" destOrd="0" presId="urn:microsoft.com/office/officeart/2005/8/layout/hierarchy6"/>
    <dgm:cxn modelId="{C3340A3A-7A69-CD46-BB59-3D8C9CBB34A3}" type="presOf" srcId="{DA93E823-CCEE-9342-8016-C57C26D58501}" destId="{A5357F97-25FF-7749-B0AC-D82FB625FBCD}" srcOrd="0" destOrd="0" presId="urn:microsoft.com/office/officeart/2005/8/layout/hierarchy6"/>
    <dgm:cxn modelId="{F830C87B-E0EA-5740-9E0F-09752172BFAD}" type="presOf" srcId="{228D8C63-DB5D-084C-B51C-1C959E4B3267}" destId="{34FCC78E-E64E-6844-A900-92A166DA89B2}" srcOrd="0" destOrd="0" presId="urn:microsoft.com/office/officeart/2005/8/layout/hierarchy6"/>
    <dgm:cxn modelId="{D598096A-219C-2A45-997B-09A83831EB3F}" type="presOf" srcId="{DCDD830C-1674-3A46-A75D-B2277F6F818C}" destId="{686D8B7A-8337-9245-9DDC-658E3318C758}" srcOrd="0" destOrd="0" presId="urn:microsoft.com/office/officeart/2005/8/layout/hierarchy6"/>
    <dgm:cxn modelId="{0F56470F-1DA0-904F-8D8D-7555B6BBFD54}" type="presParOf" srcId="{255F09D7-F7C2-E240-B4BC-ACB7C1ECE4DA}" destId="{2ACC2881-4643-CB4E-989E-A7BC30E22940}" srcOrd="0" destOrd="0" presId="urn:microsoft.com/office/officeart/2005/8/layout/hierarchy6"/>
    <dgm:cxn modelId="{5227A0DE-E0AF-C841-89D5-79889119393F}" type="presParOf" srcId="{2ACC2881-4643-CB4E-989E-A7BC30E22940}" destId="{662B378A-EB7B-D04D-9A42-4EB8044A2E79}" srcOrd="0" destOrd="0" presId="urn:microsoft.com/office/officeart/2005/8/layout/hierarchy6"/>
    <dgm:cxn modelId="{229EC3DF-AB8E-9F4E-9EA6-0577BD482352}" type="presParOf" srcId="{2ACC2881-4643-CB4E-989E-A7BC30E22940}" destId="{26D4207C-0357-EB4B-8EE0-B39537EB9535}" srcOrd="1" destOrd="0" presId="urn:microsoft.com/office/officeart/2005/8/layout/hierarchy6"/>
    <dgm:cxn modelId="{296831AD-7840-494F-9099-973AC4602FBB}" type="presParOf" srcId="{26D4207C-0357-EB4B-8EE0-B39537EB9535}" destId="{5F2DFBB6-4D6A-CB40-BDB7-9439F4542B50}" srcOrd="0" destOrd="0" presId="urn:microsoft.com/office/officeart/2005/8/layout/hierarchy6"/>
    <dgm:cxn modelId="{8BEDCE18-5861-8C4D-BFA5-3F7F02C246EE}" type="presParOf" srcId="{5F2DFBB6-4D6A-CB40-BDB7-9439F4542B50}" destId="{EEC739B2-E644-8B45-8843-AF8E6B45C76F}" srcOrd="0" destOrd="0" presId="urn:microsoft.com/office/officeart/2005/8/layout/hierarchy6"/>
    <dgm:cxn modelId="{764226E4-1DF5-6343-BAE6-42DEACBB2EB1}" type="presParOf" srcId="{5F2DFBB6-4D6A-CB40-BDB7-9439F4542B50}" destId="{F8A5E908-38F2-894E-B53C-C465D02BA7C4}" srcOrd="1" destOrd="0" presId="urn:microsoft.com/office/officeart/2005/8/layout/hierarchy6"/>
    <dgm:cxn modelId="{A8530098-ECF4-A349-80FC-70C6446625E3}" type="presParOf" srcId="{F8A5E908-38F2-894E-B53C-C465D02BA7C4}" destId="{F8DBD327-2323-9E41-A60D-C7A72430520F}" srcOrd="0" destOrd="0" presId="urn:microsoft.com/office/officeart/2005/8/layout/hierarchy6"/>
    <dgm:cxn modelId="{1563B2A0-47BD-114A-BEC2-876BA91553B6}" type="presParOf" srcId="{F8A5E908-38F2-894E-B53C-C465D02BA7C4}" destId="{CC238999-3014-AF49-B8B7-8C51C6E2A92A}" srcOrd="1" destOrd="0" presId="urn:microsoft.com/office/officeart/2005/8/layout/hierarchy6"/>
    <dgm:cxn modelId="{7B38CBAF-70AD-1246-A13D-AF0550FBBE0A}" type="presParOf" srcId="{CC238999-3014-AF49-B8B7-8C51C6E2A92A}" destId="{CA6235FA-001A-044A-BFF9-496F2921454A}" srcOrd="0" destOrd="0" presId="urn:microsoft.com/office/officeart/2005/8/layout/hierarchy6"/>
    <dgm:cxn modelId="{99776A8D-8F1A-E345-900B-8DAF478E18DC}" type="presParOf" srcId="{CC238999-3014-AF49-B8B7-8C51C6E2A92A}" destId="{EE755D28-B115-4F45-9EBE-EB4C5C1394DC}" srcOrd="1" destOrd="0" presId="urn:microsoft.com/office/officeart/2005/8/layout/hierarchy6"/>
    <dgm:cxn modelId="{B22D610C-E011-D949-87BD-C0D59FAC52D7}" type="presParOf" srcId="{EE755D28-B115-4F45-9EBE-EB4C5C1394DC}" destId="{C9B25F6C-9E20-EF43-AF9E-03F0B4E79469}" srcOrd="0" destOrd="0" presId="urn:microsoft.com/office/officeart/2005/8/layout/hierarchy6"/>
    <dgm:cxn modelId="{021091D3-E5D6-5944-BC33-8F734405EF8B}" type="presParOf" srcId="{EE755D28-B115-4F45-9EBE-EB4C5C1394DC}" destId="{39DDE313-294B-9149-AA26-2B4AFB14D71B}" srcOrd="1" destOrd="0" presId="urn:microsoft.com/office/officeart/2005/8/layout/hierarchy6"/>
    <dgm:cxn modelId="{279F81C0-B1DC-9842-988D-10C839843895}" type="presParOf" srcId="{39DDE313-294B-9149-AA26-2B4AFB14D71B}" destId="{4C4A60D1-5769-CF43-B1D8-71A6B4ED66BA}" srcOrd="0" destOrd="0" presId="urn:microsoft.com/office/officeart/2005/8/layout/hierarchy6"/>
    <dgm:cxn modelId="{ACDA883D-CA75-C045-9DC7-3765D6773793}" type="presParOf" srcId="{39DDE313-294B-9149-AA26-2B4AFB14D71B}" destId="{11D92469-ABE2-2344-9174-CFDBC2C906BE}" srcOrd="1" destOrd="0" presId="urn:microsoft.com/office/officeart/2005/8/layout/hierarchy6"/>
    <dgm:cxn modelId="{19D88EA5-CC03-B34E-83E2-15682F3B1580}" type="presParOf" srcId="{11D92469-ABE2-2344-9174-CFDBC2C906BE}" destId="{3BBC9ED0-BFF1-024D-B507-52B4F8C3FF19}" srcOrd="0" destOrd="0" presId="urn:microsoft.com/office/officeart/2005/8/layout/hierarchy6"/>
    <dgm:cxn modelId="{9C183E80-8567-4744-A0CB-81F8FA220EA8}" type="presParOf" srcId="{11D92469-ABE2-2344-9174-CFDBC2C906BE}" destId="{EA32D1F0-D3A8-2D45-958E-F7B88DC53D33}" srcOrd="1" destOrd="0" presId="urn:microsoft.com/office/officeart/2005/8/layout/hierarchy6"/>
    <dgm:cxn modelId="{BF47B459-054F-5E47-8455-6CE5E9BA0363}" type="presParOf" srcId="{EA32D1F0-D3A8-2D45-958E-F7B88DC53D33}" destId="{4A168320-7539-E944-AEC3-AE00FA872E3B}" srcOrd="0" destOrd="0" presId="urn:microsoft.com/office/officeart/2005/8/layout/hierarchy6"/>
    <dgm:cxn modelId="{8E14CDC0-5521-7E43-B856-FC0FFCBEC5E7}" type="presParOf" srcId="{EA32D1F0-D3A8-2D45-958E-F7B88DC53D33}" destId="{430E58E1-6BD6-4649-9C95-72B50BF4E889}" srcOrd="1" destOrd="0" presId="urn:microsoft.com/office/officeart/2005/8/layout/hierarchy6"/>
    <dgm:cxn modelId="{FB5A4717-E0F7-204A-919A-ED06E193D621}" type="presParOf" srcId="{EE755D28-B115-4F45-9EBE-EB4C5C1394DC}" destId="{3D2DF429-17F3-6C4E-ABA5-2998C104D489}" srcOrd="2" destOrd="0" presId="urn:microsoft.com/office/officeart/2005/8/layout/hierarchy6"/>
    <dgm:cxn modelId="{D119CC06-00EB-1143-ACCD-BB75A35FE5A4}" type="presParOf" srcId="{EE755D28-B115-4F45-9EBE-EB4C5C1394DC}" destId="{076CC8F2-7F2D-0349-8451-D94480FCE739}" srcOrd="3" destOrd="0" presId="urn:microsoft.com/office/officeart/2005/8/layout/hierarchy6"/>
    <dgm:cxn modelId="{5A86C2E0-8ED4-BD4C-AA32-52CC0F4AF826}" type="presParOf" srcId="{076CC8F2-7F2D-0349-8451-D94480FCE739}" destId="{9AB12326-3A0E-5646-AD52-3853837C4C56}" srcOrd="0" destOrd="0" presId="urn:microsoft.com/office/officeart/2005/8/layout/hierarchy6"/>
    <dgm:cxn modelId="{EB1C094C-9E55-8144-BDB1-304E41DA2DCD}" type="presParOf" srcId="{076CC8F2-7F2D-0349-8451-D94480FCE739}" destId="{91F121EC-B798-C64C-B94E-1F15BDECCF46}" srcOrd="1" destOrd="0" presId="urn:microsoft.com/office/officeart/2005/8/layout/hierarchy6"/>
    <dgm:cxn modelId="{F4C16308-8DE3-B94A-B262-88F14D3AEED7}" type="presParOf" srcId="{91F121EC-B798-C64C-B94E-1F15BDECCF46}" destId="{686D8B7A-8337-9245-9DDC-658E3318C758}" srcOrd="0" destOrd="0" presId="urn:microsoft.com/office/officeart/2005/8/layout/hierarchy6"/>
    <dgm:cxn modelId="{0776C371-0C18-EC4C-9238-75514756BF36}" type="presParOf" srcId="{91F121EC-B798-C64C-B94E-1F15BDECCF46}" destId="{D7BB286F-18BF-314B-BD7F-32A835316B89}" srcOrd="1" destOrd="0" presId="urn:microsoft.com/office/officeart/2005/8/layout/hierarchy6"/>
    <dgm:cxn modelId="{38B7A0C3-9590-2E4B-952A-2285E2FCB2B4}" type="presParOf" srcId="{D7BB286F-18BF-314B-BD7F-32A835316B89}" destId="{4322880F-CC51-4046-B3AE-E6F577B6CC6D}" srcOrd="0" destOrd="0" presId="urn:microsoft.com/office/officeart/2005/8/layout/hierarchy6"/>
    <dgm:cxn modelId="{936CE52B-25E2-1940-A63E-2D618FC41172}" type="presParOf" srcId="{D7BB286F-18BF-314B-BD7F-32A835316B89}" destId="{1F132E46-2BA0-114A-9427-065E3997D9C8}" srcOrd="1" destOrd="0" presId="urn:microsoft.com/office/officeart/2005/8/layout/hierarchy6"/>
    <dgm:cxn modelId="{3D64B893-4584-F04F-993C-12AF8347D9AC}" type="presParOf" srcId="{255F09D7-F7C2-E240-B4BC-ACB7C1ECE4DA}" destId="{DE1E4322-CB2C-384D-8832-F3A246A8AF54}" srcOrd="1" destOrd="0" presId="urn:microsoft.com/office/officeart/2005/8/layout/hierarchy6"/>
    <dgm:cxn modelId="{79323F0D-8598-924E-A5EF-0672DE51E6D0}" type="presParOf" srcId="{DE1E4322-CB2C-384D-8832-F3A246A8AF54}" destId="{36AC3C44-5639-BA4F-9227-D359C2B50A34}" srcOrd="0" destOrd="0" presId="urn:microsoft.com/office/officeart/2005/8/layout/hierarchy6"/>
    <dgm:cxn modelId="{2FE24E34-B021-FD43-ADFB-617D23812702}" type="presParOf" srcId="{36AC3C44-5639-BA4F-9227-D359C2B50A34}" destId="{B8800653-D895-A447-B3A7-17B63C3AEB93}" srcOrd="0" destOrd="0" presId="urn:microsoft.com/office/officeart/2005/8/layout/hierarchy6"/>
    <dgm:cxn modelId="{D1E3C115-CF4E-4549-8DA7-BFC45ED01885}" type="presParOf" srcId="{36AC3C44-5639-BA4F-9227-D359C2B50A34}" destId="{35F671C6-DB2D-4D4A-B395-99BE119E3222}" srcOrd="1" destOrd="0" presId="urn:microsoft.com/office/officeart/2005/8/layout/hierarchy6"/>
    <dgm:cxn modelId="{2CF98C0F-B39B-E543-9BC1-3EEF11E0AEF3}" type="presParOf" srcId="{DE1E4322-CB2C-384D-8832-F3A246A8AF54}" destId="{14432808-FFE9-324A-AB99-CF3C8003666B}" srcOrd="1" destOrd="0" presId="urn:microsoft.com/office/officeart/2005/8/layout/hierarchy6"/>
    <dgm:cxn modelId="{CB4FCED8-6729-1A4F-A763-A937C99E57FC}" type="presParOf" srcId="{14432808-FFE9-324A-AB99-CF3C8003666B}" destId="{0D85D1AC-D5A0-CD44-8B38-E5C853B9D71D}" srcOrd="0" destOrd="0" presId="urn:microsoft.com/office/officeart/2005/8/layout/hierarchy6"/>
    <dgm:cxn modelId="{4E77318C-FFC0-C042-B4DA-7BB0642F12EE}" type="presParOf" srcId="{DE1E4322-CB2C-384D-8832-F3A246A8AF54}" destId="{783A76DF-9704-384B-B748-8A3C6CF7910E}" srcOrd="2" destOrd="0" presId="urn:microsoft.com/office/officeart/2005/8/layout/hierarchy6"/>
    <dgm:cxn modelId="{A31697F8-3C74-6A4B-9F49-7CFA6EE29A04}" type="presParOf" srcId="{783A76DF-9704-384B-B748-8A3C6CF7910E}" destId="{A5357F97-25FF-7749-B0AC-D82FB625FBCD}" srcOrd="0" destOrd="0" presId="urn:microsoft.com/office/officeart/2005/8/layout/hierarchy6"/>
    <dgm:cxn modelId="{94052FC2-5D9F-9F4A-9A74-0E8D5E747B8F}" type="presParOf" srcId="{783A76DF-9704-384B-B748-8A3C6CF7910E}" destId="{172191C8-A3BD-0A4F-A9EA-9AF3D6A41F41}" srcOrd="1" destOrd="0" presId="urn:microsoft.com/office/officeart/2005/8/layout/hierarchy6"/>
    <dgm:cxn modelId="{88BD6C1B-58C5-ED4D-8044-935C756C358E}" type="presParOf" srcId="{DE1E4322-CB2C-384D-8832-F3A246A8AF54}" destId="{DF2B9390-0F6B-2E42-8CD9-B372820993FE}" srcOrd="3" destOrd="0" presId="urn:microsoft.com/office/officeart/2005/8/layout/hierarchy6"/>
    <dgm:cxn modelId="{69AC1B3E-3EBE-3140-B5D3-EF2A71C49F37}" type="presParOf" srcId="{DF2B9390-0F6B-2E42-8CD9-B372820993FE}" destId="{F0575496-1C9A-0047-A411-1E5C4C820151}" srcOrd="0" destOrd="0" presId="urn:microsoft.com/office/officeart/2005/8/layout/hierarchy6"/>
    <dgm:cxn modelId="{50ADB8DA-6A9F-634A-80D3-AA4EA05B3E46}" type="presParOf" srcId="{DE1E4322-CB2C-384D-8832-F3A246A8AF54}" destId="{B7F65B57-AF92-A24F-81F3-07F71CEC48F5}" srcOrd="4" destOrd="0" presId="urn:microsoft.com/office/officeart/2005/8/layout/hierarchy6"/>
    <dgm:cxn modelId="{5245F945-16B0-6E45-89F1-13705CB951D5}" type="presParOf" srcId="{B7F65B57-AF92-A24F-81F3-07F71CEC48F5}" destId="{3402E1D9-640E-2B48-A9B1-2D15B92ADDEE}" srcOrd="0" destOrd="0" presId="urn:microsoft.com/office/officeart/2005/8/layout/hierarchy6"/>
    <dgm:cxn modelId="{730ECA66-0B34-224E-B841-F40FD5CF5FD9}" type="presParOf" srcId="{B7F65B57-AF92-A24F-81F3-07F71CEC48F5}" destId="{15D2B024-9842-7C4D-A593-81BE10120FDA}" srcOrd="1" destOrd="0" presId="urn:microsoft.com/office/officeart/2005/8/layout/hierarchy6"/>
    <dgm:cxn modelId="{76DE47E3-3EF3-B54D-9881-8E420DD5D929}" type="presParOf" srcId="{DE1E4322-CB2C-384D-8832-F3A246A8AF54}" destId="{6D857BC4-F38F-3643-9E3A-5803E37CBEA9}" srcOrd="5" destOrd="0" presId="urn:microsoft.com/office/officeart/2005/8/layout/hierarchy6"/>
    <dgm:cxn modelId="{B5EB4A9E-5B40-6B41-BB7F-1703F9377846}" type="presParOf" srcId="{6D857BC4-F38F-3643-9E3A-5803E37CBEA9}" destId="{44495D8D-6D00-A048-9154-54C33C8CEC48}" srcOrd="0" destOrd="0" presId="urn:microsoft.com/office/officeart/2005/8/layout/hierarchy6"/>
    <dgm:cxn modelId="{98B47621-A864-2C40-BF19-194AA3751818}" type="presParOf" srcId="{DE1E4322-CB2C-384D-8832-F3A246A8AF54}" destId="{04C2E303-C5DA-7345-B086-40CC419DF19B}" srcOrd="6" destOrd="0" presId="urn:microsoft.com/office/officeart/2005/8/layout/hierarchy6"/>
    <dgm:cxn modelId="{EC3056A8-3407-0B41-91B6-C3D632E2C65A}" type="presParOf" srcId="{04C2E303-C5DA-7345-B086-40CC419DF19B}" destId="{34FCC78E-E64E-6844-A900-92A166DA89B2}" srcOrd="0" destOrd="0" presId="urn:microsoft.com/office/officeart/2005/8/layout/hierarchy6"/>
    <dgm:cxn modelId="{AB520958-B34B-CD4B-9D55-6B73F9FC1218}" type="presParOf" srcId="{04C2E303-C5DA-7345-B086-40CC419DF19B}" destId="{94681538-AF45-BF4A-B911-454CC2ACE25F}" srcOrd="1" destOrd="0" presId="urn:microsoft.com/office/officeart/2005/8/layout/hierarchy6"/>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05F8BEA-FF3C-2043-8958-D77483457538}" type="doc">
      <dgm:prSet loTypeId="urn:microsoft.com/office/officeart/2005/8/layout/hierarchy6" loCatId="" qsTypeId="urn:microsoft.com/office/officeart/2005/8/quickstyle/simple4" qsCatId="simple" csTypeId="urn:microsoft.com/office/officeart/2005/8/colors/accent1_2" csCatId="accent1" phldr="1"/>
      <dgm:spPr/>
      <dgm:t>
        <a:bodyPr/>
        <a:lstStyle/>
        <a:p>
          <a:endParaRPr lang="nl-NL"/>
        </a:p>
      </dgm:t>
    </dgm:pt>
    <dgm:pt modelId="{E15EB245-C5DB-1E40-9347-B7EEB26C56BE}">
      <dgm:prSet phldrT="[Tekst]" custT="1"/>
      <dgm:spPr/>
      <dgm:t>
        <a:bodyPr/>
        <a:lstStyle/>
        <a:p>
          <a:r>
            <a:rPr lang="nl-NL" sz="900">
              <a:latin typeface="Corbel" charset="0"/>
              <a:ea typeface="Corbel" charset="0"/>
              <a:cs typeface="Corbel" charset="0"/>
            </a:rPr>
            <a:t>Ongewenste verspreiding genetisch gemanipuleerde organismen (GGO's)</a:t>
          </a:r>
        </a:p>
      </dgm:t>
    </dgm:pt>
    <dgm:pt modelId="{AA5B75D0-94C2-AC4B-A799-D97C7E78F8E9}" type="parTrans" cxnId="{88B473B8-3B25-544C-95D4-FF63336A38EC}">
      <dgm:prSet/>
      <dgm:spPr/>
      <dgm:t>
        <a:bodyPr/>
        <a:lstStyle/>
        <a:p>
          <a:endParaRPr lang="nl-NL" sz="1800">
            <a:latin typeface="Corbel" charset="0"/>
            <a:ea typeface="Corbel" charset="0"/>
            <a:cs typeface="Corbel" charset="0"/>
          </a:endParaRPr>
        </a:p>
      </dgm:t>
    </dgm:pt>
    <dgm:pt modelId="{E1954857-1C3F-D24C-BA3A-74149BBD502B}" type="sibTrans" cxnId="{88B473B8-3B25-544C-95D4-FF63336A38EC}">
      <dgm:prSet/>
      <dgm:spPr/>
      <dgm:t>
        <a:bodyPr/>
        <a:lstStyle/>
        <a:p>
          <a:endParaRPr lang="nl-NL" sz="1800">
            <a:latin typeface="Corbel" charset="0"/>
            <a:ea typeface="Corbel" charset="0"/>
            <a:cs typeface="Corbel" charset="0"/>
          </a:endParaRPr>
        </a:p>
      </dgm:t>
    </dgm:pt>
    <dgm:pt modelId="{2A5247F8-8073-7249-97E4-FD80464675D9}">
      <dgm:prSet phldrT="[Tekst]" custT="1"/>
      <dgm:spPr/>
      <dgm:t>
        <a:bodyPr/>
        <a:lstStyle/>
        <a:p>
          <a:r>
            <a:rPr lang="nl-NL" sz="900">
              <a:latin typeface="Corbel" charset="0"/>
              <a:ea typeface="Corbel" charset="0"/>
              <a:cs typeface="Corbel" charset="0"/>
            </a:rPr>
            <a:t>(Im)materieel</a:t>
          </a:r>
        </a:p>
      </dgm:t>
    </dgm:pt>
    <dgm:pt modelId="{6FB4345C-89CE-724D-B550-C9A09E6373D0}" type="parTrans" cxnId="{50568802-1C93-6E4D-BCC5-9E38A49098BF}">
      <dgm:prSet/>
      <dgm:spPr/>
      <dgm:t>
        <a:bodyPr/>
        <a:lstStyle/>
        <a:p>
          <a:endParaRPr lang="nl-NL" sz="1800">
            <a:latin typeface="Corbel" charset="0"/>
            <a:ea typeface="Corbel" charset="0"/>
            <a:cs typeface="Corbel" charset="0"/>
          </a:endParaRPr>
        </a:p>
      </dgm:t>
    </dgm:pt>
    <dgm:pt modelId="{CC71E977-E2A6-DB46-88C6-017D7E2E7966}" type="sibTrans" cxnId="{50568802-1C93-6E4D-BCC5-9E38A49098BF}">
      <dgm:prSet/>
      <dgm:spPr/>
      <dgm:t>
        <a:bodyPr/>
        <a:lstStyle/>
        <a:p>
          <a:endParaRPr lang="nl-NL" sz="1800">
            <a:latin typeface="Corbel" charset="0"/>
            <a:ea typeface="Corbel" charset="0"/>
            <a:cs typeface="Corbel" charset="0"/>
          </a:endParaRPr>
        </a:p>
      </dgm:t>
    </dgm:pt>
    <dgm:pt modelId="{FB72AB9C-E525-E742-9297-3A9EF27952B7}">
      <dgm:prSet phldrT="[Tekst]" custT="1"/>
      <dgm:spPr/>
      <dgm:t>
        <a:bodyPr/>
        <a:lstStyle/>
        <a:p>
          <a:r>
            <a:rPr lang="nl-NL" sz="900">
              <a:latin typeface="Corbel" charset="0"/>
              <a:ea typeface="Corbel" charset="0"/>
              <a:cs typeface="Corbel" charset="0"/>
            </a:rPr>
            <a:t>Gezondheid</a:t>
          </a:r>
        </a:p>
      </dgm:t>
    </dgm:pt>
    <dgm:pt modelId="{FD9E3C4A-C856-FC41-9BA6-70DA95773666}" type="parTrans" cxnId="{13828DDA-1253-5049-A9F3-4E016E19462A}">
      <dgm:prSet/>
      <dgm:spPr/>
      <dgm:t>
        <a:bodyPr/>
        <a:lstStyle/>
        <a:p>
          <a:endParaRPr lang="nl-NL" sz="1800">
            <a:latin typeface="Corbel" charset="0"/>
            <a:ea typeface="Corbel" charset="0"/>
            <a:cs typeface="Corbel" charset="0"/>
          </a:endParaRPr>
        </a:p>
      </dgm:t>
    </dgm:pt>
    <dgm:pt modelId="{A8C76BDE-CB6F-C948-9B9A-5A6DF9002022}" type="sibTrans" cxnId="{13828DDA-1253-5049-A9F3-4E016E19462A}">
      <dgm:prSet/>
      <dgm:spPr/>
      <dgm:t>
        <a:bodyPr/>
        <a:lstStyle/>
        <a:p>
          <a:endParaRPr lang="nl-NL" sz="1800">
            <a:latin typeface="Corbel" charset="0"/>
            <a:ea typeface="Corbel" charset="0"/>
            <a:cs typeface="Corbel" charset="0"/>
          </a:endParaRPr>
        </a:p>
      </dgm:t>
    </dgm:pt>
    <dgm:pt modelId="{15A50FC6-38A4-BD4B-B042-EB335B326374}">
      <dgm:prSet phldrT="[Tekst]" custT="1"/>
      <dgm:spPr/>
      <dgm:t>
        <a:bodyPr/>
        <a:lstStyle/>
        <a:p>
          <a:r>
            <a:rPr lang="nl-NL" sz="1200">
              <a:latin typeface="Corbel" charset="0"/>
              <a:ea typeface="Corbel" charset="0"/>
              <a:cs typeface="Corbel" charset="0"/>
            </a:rPr>
            <a:t>Risicogebied</a:t>
          </a:r>
          <a:endParaRPr lang="nl-NL" sz="2000">
            <a:latin typeface="Corbel" charset="0"/>
            <a:ea typeface="Corbel" charset="0"/>
            <a:cs typeface="Corbel" charset="0"/>
          </a:endParaRPr>
        </a:p>
      </dgm:t>
    </dgm:pt>
    <dgm:pt modelId="{D06EB97F-B9E8-204E-B8E5-2FC063EF86E6}" type="parTrans" cxnId="{D13CA03E-60B9-EF4F-A161-5C8D00435C3A}">
      <dgm:prSet/>
      <dgm:spPr/>
      <dgm:t>
        <a:bodyPr/>
        <a:lstStyle/>
        <a:p>
          <a:endParaRPr lang="nl-NL" sz="1800">
            <a:latin typeface="Corbel" charset="0"/>
            <a:ea typeface="Corbel" charset="0"/>
            <a:cs typeface="Corbel" charset="0"/>
          </a:endParaRPr>
        </a:p>
      </dgm:t>
    </dgm:pt>
    <dgm:pt modelId="{52BCE688-FAFA-1340-AABF-D703C4EA2695}" type="sibTrans" cxnId="{D13CA03E-60B9-EF4F-A161-5C8D00435C3A}">
      <dgm:prSet/>
      <dgm:spPr/>
      <dgm:t>
        <a:bodyPr/>
        <a:lstStyle/>
        <a:p>
          <a:endParaRPr lang="nl-NL" sz="1800">
            <a:latin typeface="Corbel" charset="0"/>
            <a:ea typeface="Corbel" charset="0"/>
            <a:cs typeface="Corbel" charset="0"/>
          </a:endParaRPr>
        </a:p>
      </dgm:t>
    </dgm:pt>
    <dgm:pt modelId="{DA93E823-CCEE-9342-8016-C57C26D58501}">
      <dgm:prSet phldrT="[Tekst]" custT="1"/>
      <dgm:spPr/>
      <dgm:t>
        <a:bodyPr/>
        <a:lstStyle/>
        <a:p>
          <a:r>
            <a:rPr lang="nl-NL" sz="1200">
              <a:latin typeface="Corbel" charset="0"/>
              <a:ea typeface="Corbel" charset="0"/>
              <a:cs typeface="Corbel" charset="0"/>
            </a:rPr>
            <a:t>Soort</a:t>
          </a:r>
          <a:r>
            <a:rPr lang="nl-NL" sz="1200" baseline="0">
              <a:latin typeface="Corbel" charset="0"/>
              <a:ea typeface="Corbel" charset="0"/>
              <a:cs typeface="Corbel" charset="0"/>
            </a:rPr>
            <a:t> schade</a:t>
          </a:r>
          <a:endParaRPr lang="nl-NL" sz="1200">
            <a:latin typeface="Corbel" charset="0"/>
            <a:ea typeface="Corbel" charset="0"/>
            <a:cs typeface="Corbel" charset="0"/>
          </a:endParaRPr>
        </a:p>
      </dgm:t>
    </dgm:pt>
    <dgm:pt modelId="{B0EB5E1F-36F2-B64F-B934-BE56A5664347}" type="parTrans" cxnId="{AA2AAB98-41A0-1246-95AE-9EBFD88D13B2}">
      <dgm:prSet/>
      <dgm:spPr/>
      <dgm:t>
        <a:bodyPr/>
        <a:lstStyle/>
        <a:p>
          <a:endParaRPr lang="nl-NL" sz="1800">
            <a:latin typeface="Corbel" charset="0"/>
            <a:ea typeface="Corbel" charset="0"/>
            <a:cs typeface="Corbel" charset="0"/>
          </a:endParaRPr>
        </a:p>
      </dgm:t>
    </dgm:pt>
    <dgm:pt modelId="{740DC6F2-F607-FD40-87DC-407F3305299A}" type="sibTrans" cxnId="{AA2AAB98-41A0-1246-95AE-9EBFD88D13B2}">
      <dgm:prSet/>
      <dgm:spPr/>
      <dgm:t>
        <a:bodyPr/>
        <a:lstStyle/>
        <a:p>
          <a:endParaRPr lang="nl-NL" sz="1800">
            <a:latin typeface="Corbel" charset="0"/>
            <a:ea typeface="Corbel" charset="0"/>
            <a:cs typeface="Corbel" charset="0"/>
          </a:endParaRPr>
        </a:p>
      </dgm:t>
    </dgm:pt>
    <dgm:pt modelId="{CEED6C67-D442-8841-9080-A9953A46B8A8}">
      <dgm:prSet phldrT="[Tekst]" custT="1"/>
      <dgm:spPr/>
      <dgm:t>
        <a:bodyPr/>
        <a:lstStyle/>
        <a:p>
          <a:r>
            <a:rPr lang="nl-NL" sz="1200">
              <a:latin typeface="Corbel" charset="0"/>
              <a:ea typeface="Corbel" charset="0"/>
              <a:cs typeface="Corbel" charset="0"/>
            </a:rPr>
            <a:t>Perspectief</a:t>
          </a:r>
        </a:p>
      </dgm:t>
    </dgm:pt>
    <dgm:pt modelId="{E66908B7-4EBB-244B-9E91-A9B5DB606EC6}" type="parTrans" cxnId="{F83A7942-8028-9640-9103-73C38499FDFC}">
      <dgm:prSet/>
      <dgm:spPr/>
      <dgm:t>
        <a:bodyPr/>
        <a:lstStyle/>
        <a:p>
          <a:endParaRPr lang="nl-NL" sz="1800">
            <a:latin typeface="Corbel" charset="0"/>
            <a:ea typeface="Corbel" charset="0"/>
            <a:cs typeface="Corbel" charset="0"/>
          </a:endParaRPr>
        </a:p>
      </dgm:t>
    </dgm:pt>
    <dgm:pt modelId="{A214846C-D820-0E47-9A20-F3AA81728C9F}" type="sibTrans" cxnId="{F83A7942-8028-9640-9103-73C38499FDFC}">
      <dgm:prSet/>
      <dgm:spPr/>
      <dgm:t>
        <a:bodyPr/>
        <a:lstStyle/>
        <a:p>
          <a:endParaRPr lang="nl-NL" sz="1800">
            <a:latin typeface="Corbel" charset="0"/>
            <a:ea typeface="Corbel" charset="0"/>
            <a:cs typeface="Corbel" charset="0"/>
          </a:endParaRPr>
        </a:p>
      </dgm:t>
    </dgm:pt>
    <dgm:pt modelId="{228D8C63-DB5D-084C-B51C-1C959E4B3267}">
      <dgm:prSet custT="1"/>
      <dgm:spPr/>
      <dgm:t>
        <a:bodyPr/>
        <a:lstStyle/>
        <a:p>
          <a:r>
            <a:rPr lang="nl-NL" sz="1200">
              <a:latin typeface="Corbel" charset="0"/>
              <a:ea typeface="Corbel" charset="0"/>
              <a:cs typeface="Corbel" charset="0"/>
            </a:rPr>
            <a:t>Grootheden</a:t>
          </a:r>
        </a:p>
      </dgm:t>
    </dgm:pt>
    <dgm:pt modelId="{3C7F2676-A455-564A-ADA6-5EE1C5920DFD}" type="parTrans" cxnId="{C8DB882A-8982-8249-82C1-E5384C395383}">
      <dgm:prSet/>
      <dgm:spPr/>
      <dgm:t>
        <a:bodyPr/>
        <a:lstStyle/>
        <a:p>
          <a:endParaRPr lang="nl-NL" sz="1800">
            <a:latin typeface="Corbel" charset="0"/>
            <a:ea typeface="Corbel" charset="0"/>
            <a:cs typeface="Corbel" charset="0"/>
          </a:endParaRPr>
        </a:p>
      </dgm:t>
    </dgm:pt>
    <dgm:pt modelId="{01E4AF18-0CE0-BA4F-B44B-CBC15F8B99C3}" type="sibTrans" cxnId="{C8DB882A-8982-8249-82C1-E5384C395383}">
      <dgm:prSet/>
      <dgm:spPr/>
      <dgm:t>
        <a:bodyPr/>
        <a:lstStyle/>
        <a:p>
          <a:endParaRPr lang="nl-NL" sz="1800">
            <a:latin typeface="Corbel" charset="0"/>
            <a:ea typeface="Corbel" charset="0"/>
            <a:cs typeface="Corbel" charset="0"/>
          </a:endParaRPr>
        </a:p>
      </dgm:t>
    </dgm:pt>
    <dgm:pt modelId="{6C54566C-F097-C24A-A7F5-22534CA1CB90}">
      <dgm:prSet custT="1"/>
      <dgm:spPr/>
      <dgm:t>
        <a:bodyPr/>
        <a:lstStyle/>
        <a:p>
          <a:r>
            <a:rPr lang="nl-NL" sz="700"/>
            <a:t>Verlies van levenskwaliteit of levensduur als gevolg van blootstelling aan gezondheidsbeschadigende stoffen en straling</a:t>
          </a:r>
          <a:endParaRPr lang="nl-NL" sz="700">
            <a:latin typeface="Corbel" charset="0"/>
            <a:ea typeface="Corbel" charset="0"/>
            <a:cs typeface="Corbel" charset="0"/>
          </a:endParaRPr>
        </a:p>
      </dgm:t>
    </dgm:pt>
    <dgm:pt modelId="{DCDD830C-1674-3A46-A75D-B2277F6F818C}" type="parTrans" cxnId="{DFB74748-C9CD-564D-8847-2C5FBD86B5AA}">
      <dgm:prSet/>
      <dgm:spPr/>
      <dgm:t>
        <a:bodyPr/>
        <a:lstStyle/>
        <a:p>
          <a:endParaRPr lang="nl-NL" sz="1800">
            <a:latin typeface="Corbel" charset="0"/>
            <a:ea typeface="Corbel" charset="0"/>
            <a:cs typeface="Corbel" charset="0"/>
          </a:endParaRPr>
        </a:p>
      </dgm:t>
    </dgm:pt>
    <dgm:pt modelId="{AD522675-517B-2D45-8FA9-003DA997D95A}" type="sibTrans" cxnId="{DFB74748-C9CD-564D-8847-2C5FBD86B5AA}">
      <dgm:prSet/>
      <dgm:spPr/>
      <dgm:t>
        <a:bodyPr/>
        <a:lstStyle/>
        <a:p>
          <a:endParaRPr lang="nl-NL" sz="1800">
            <a:latin typeface="Corbel" charset="0"/>
            <a:ea typeface="Corbel" charset="0"/>
            <a:cs typeface="Corbel" charset="0"/>
          </a:endParaRPr>
        </a:p>
      </dgm:t>
    </dgm:pt>
    <dgm:pt modelId="{19944637-32F3-0D4A-BD6B-D7C24D3C8539}">
      <dgm:prSet custT="1"/>
      <dgm:spPr/>
      <dgm:t>
        <a:bodyPr/>
        <a:lstStyle/>
        <a:p>
          <a:r>
            <a:rPr lang="nl-NL" sz="900"/>
            <a:t>Milieu</a:t>
          </a:r>
        </a:p>
      </dgm:t>
    </dgm:pt>
    <dgm:pt modelId="{ECC9AA8D-E2F9-9C49-9369-37B31AD42BEE}" type="parTrans" cxnId="{1D10DB39-1D44-8C47-8DBE-9FEC97992C02}">
      <dgm:prSet/>
      <dgm:spPr/>
      <dgm:t>
        <a:bodyPr/>
        <a:lstStyle/>
        <a:p>
          <a:endParaRPr lang="nl-NL"/>
        </a:p>
      </dgm:t>
    </dgm:pt>
    <dgm:pt modelId="{99412793-E7A2-7D44-9F1E-D9CC7BF1BAF8}" type="sibTrans" cxnId="{1D10DB39-1D44-8C47-8DBE-9FEC97992C02}">
      <dgm:prSet/>
      <dgm:spPr/>
      <dgm:t>
        <a:bodyPr/>
        <a:lstStyle/>
        <a:p>
          <a:endParaRPr lang="nl-NL"/>
        </a:p>
      </dgm:t>
    </dgm:pt>
    <dgm:pt modelId="{28A77F7B-B2BE-6646-8244-E9E5FB128962}">
      <dgm:prSet custT="1"/>
      <dgm:spPr/>
      <dgm:t>
        <a:bodyPr/>
        <a:lstStyle/>
        <a:p>
          <a:r>
            <a:rPr lang="nl-NL" sz="800"/>
            <a:t>Ontstaan van schaarste door onbruikbaar</a:t>
          </a:r>
          <a:r>
            <a:rPr lang="nl-NL" sz="800" baseline="0"/>
            <a:t> raken of vernieting van middelen</a:t>
          </a:r>
          <a:endParaRPr lang="nl-NL" sz="800"/>
        </a:p>
      </dgm:t>
    </dgm:pt>
    <dgm:pt modelId="{83E14FEF-3BDF-054C-9631-37A9025A4105}" type="parTrans" cxnId="{5CE923BC-D6C7-3940-9B92-4E6AEB32E3B2}">
      <dgm:prSet/>
      <dgm:spPr/>
      <dgm:t>
        <a:bodyPr/>
        <a:lstStyle/>
        <a:p>
          <a:endParaRPr lang="nl-NL"/>
        </a:p>
      </dgm:t>
    </dgm:pt>
    <dgm:pt modelId="{695AA983-52EF-3544-9432-431733450DBA}" type="sibTrans" cxnId="{5CE923BC-D6C7-3940-9B92-4E6AEB32E3B2}">
      <dgm:prSet/>
      <dgm:spPr/>
      <dgm:t>
        <a:bodyPr/>
        <a:lstStyle/>
        <a:p>
          <a:endParaRPr lang="nl-NL"/>
        </a:p>
      </dgm:t>
    </dgm:pt>
    <dgm:pt modelId="{8CC93556-66BF-FE44-9807-4F267EBB87A5}">
      <dgm:prSet/>
      <dgm:spPr/>
      <dgm:t>
        <a:bodyPr/>
        <a:lstStyle/>
        <a:p>
          <a:r>
            <a:rPr lang="nl-NL"/>
            <a:t>Instituties</a:t>
          </a:r>
        </a:p>
      </dgm:t>
    </dgm:pt>
    <dgm:pt modelId="{1A6DFA69-1471-C147-B348-6F3E9EDA3D29}" type="parTrans" cxnId="{06D74370-4381-9647-AC24-D1CA7BA7DF81}">
      <dgm:prSet/>
      <dgm:spPr/>
      <dgm:t>
        <a:bodyPr/>
        <a:lstStyle/>
        <a:p>
          <a:endParaRPr lang="nl-NL"/>
        </a:p>
      </dgm:t>
    </dgm:pt>
    <dgm:pt modelId="{65C14A6F-6AFF-6645-9FB2-C7F50E7EF059}" type="sibTrans" cxnId="{06D74370-4381-9647-AC24-D1CA7BA7DF81}">
      <dgm:prSet/>
      <dgm:spPr/>
      <dgm:t>
        <a:bodyPr/>
        <a:lstStyle/>
        <a:p>
          <a:endParaRPr lang="nl-NL"/>
        </a:p>
      </dgm:t>
    </dgm:pt>
    <dgm:pt modelId="{B3BCE1C6-507B-2E41-AF8F-58DB28AA401F}">
      <dgm:prSet custT="1"/>
      <dgm:spPr/>
      <dgm:t>
        <a:bodyPr/>
        <a:lstStyle/>
        <a:p>
          <a:r>
            <a:rPr lang="nl-NL" sz="800"/>
            <a:t>Maatschappelijke en economische ontwrichting</a:t>
          </a:r>
        </a:p>
      </dgm:t>
    </dgm:pt>
    <dgm:pt modelId="{B21DBB11-EDD6-5B4D-9B2E-638FC2598441}" type="parTrans" cxnId="{378A4A14-22AB-994B-8C8F-8AD0460433AF}">
      <dgm:prSet/>
      <dgm:spPr/>
      <dgm:t>
        <a:bodyPr/>
        <a:lstStyle/>
        <a:p>
          <a:endParaRPr lang="nl-NL"/>
        </a:p>
      </dgm:t>
    </dgm:pt>
    <dgm:pt modelId="{27ECC1D1-7BBF-734B-B1F8-7BAE5CEA2853}" type="sibTrans" cxnId="{378A4A14-22AB-994B-8C8F-8AD0460433AF}">
      <dgm:prSet/>
      <dgm:spPr/>
      <dgm:t>
        <a:bodyPr/>
        <a:lstStyle/>
        <a:p>
          <a:endParaRPr lang="nl-NL"/>
        </a:p>
      </dgm:t>
    </dgm:pt>
    <dgm:pt modelId="{255F09D7-F7C2-E240-B4BC-ACB7C1ECE4DA}" type="pres">
      <dgm:prSet presAssocID="{405F8BEA-FF3C-2043-8958-D77483457538}" presName="mainComposite" presStyleCnt="0">
        <dgm:presLayoutVars>
          <dgm:chPref val="1"/>
          <dgm:dir/>
          <dgm:animOne val="branch"/>
          <dgm:animLvl val="lvl"/>
          <dgm:resizeHandles val="exact"/>
        </dgm:presLayoutVars>
      </dgm:prSet>
      <dgm:spPr/>
      <dgm:t>
        <a:bodyPr/>
        <a:lstStyle/>
        <a:p>
          <a:endParaRPr lang="nl-NL"/>
        </a:p>
      </dgm:t>
    </dgm:pt>
    <dgm:pt modelId="{2ACC2881-4643-CB4E-989E-A7BC30E22940}" type="pres">
      <dgm:prSet presAssocID="{405F8BEA-FF3C-2043-8958-D77483457538}" presName="hierFlow" presStyleCnt="0"/>
      <dgm:spPr/>
    </dgm:pt>
    <dgm:pt modelId="{662B378A-EB7B-D04D-9A42-4EB8044A2E79}" type="pres">
      <dgm:prSet presAssocID="{405F8BEA-FF3C-2043-8958-D77483457538}" presName="firstBuf" presStyleCnt="0"/>
      <dgm:spPr/>
    </dgm:pt>
    <dgm:pt modelId="{26D4207C-0357-EB4B-8EE0-B39537EB9535}" type="pres">
      <dgm:prSet presAssocID="{405F8BEA-FF3C-2043-8958-D77483457538}" presName="hierChild1" presStyleCnt="0">
        <dgm:presLayoutVars>
          <dgm:chPref val="1"/>
          <dgm:animOne val="branch"/>
          <dgm:animLvl val="lvl"/>
        </dgm:presLayoutVars>
      </dgm:prSet>
      <dgm:spPr/>
    </dgm:pt>
    <dgm:pt modelId="{5F2DFBB6-4D6A-CB40-BDB7-9439F4542B50}" type="pres">
      <dgm:prSet presAssocID="{E15EB245-C5DB-1E40-9347-B7EEB26C56BE}" presName="Name14" presStyleCnt="0"/>
      <dgm:spPr/>
    </dgm:pt>
    <dgm:pt modelId="{EEC739B2-E644-8B45-8843-AF8E6B45C76F}" type="pres">
      <dgm:prSet presAssocID="{E15EB245-C5DB-1E40-9347-B7EEB26C56BE}" presName="level1Shape" presStyleLbl="node0" presStyleIdx="0" presStyleCnt="1" custScaleX="270586">
        <dgm:presLayoutVars>
          <dgm:chPref val="3"/>
        </dgm:presLayoutVars>
      </dgm:prSet>
      <dgm:spPr/>
      <dgm:t>
        <a:bodyPr/>
        <a:lstStyle/>
        <a:p>
          <a:endParaRPr lang="nl-NL"/>
        </a:p>
      </dgm:t>
    </dgm:pt>
    <dgm:pt modelId="{F8A5E908-38F2-894E-B53C-C465D02BA7C4}" type="pres">
      <dgm:prSet presAssocID="{E15EB245-C5DB-1E40-9347-B7EEB26C56BE}" presName="hierChild2" presStyleCnt="0"/>
      <dgm:spPr/>
    </dgm:pt>
    <dgm:pt modelId="{F8DBD327-2323-9E41-A60D-C7A72430520F}" type="pres">
      <dgm:prSet presAssocID="{6FB4345C-89CE-724D-B550-C9A09E6373D0}" presName="Name19" presStyleLbl="parChTrans1D2" presStyleIdx="0" presStyleCnt="1"/>
      <dgm:spPr/>
      <dgm:t>
        <a:bodyPr/>
        <a:lstStyle/>
        <a:p>
          <a:endParaRPr lang="nl-NL"/>
        </a:p>
      </dgm:t>
    </dgm:pt>
    <dgm:pt modelId="{CC238999-3014-AF49-B8B7-8C51C6E2A92A}" type="pres">
      <dgm:prSet presAssocID="{2A5247F8-8073-7249-97E4-FD80464675D9}" presName="Name21" presStyleCnt="0"/>
      <dgm:spPr/>
    </dgm:pt>
    <dgm:pt modelId="{CA6235FA-001A-044A-BFF9-496F2921454A}" type="pres">
      <dgm:prSet presAssocID="{2A5247F8-8073-7249-97E4-FD80464675D9}" presName="level2Shape" presStyleLbl="node2" presStyleIdx="0" presStyleCnt="1" custScaleX="129105"/>
      <dgm:spPr/>
      <dgm:t>
        <a:bodyPr/>
        <a:lstStyle/>
        <a:p>
          <a:endParaRPr lang="nl-NL"/>
        </a:p>
      </dgm:t>
    </dgm:pt>
    <dgm:pt modelId="{EE755D28-B115-4F45-9EBE-EB4C5C1394DC}" type="pres">
      <dgm:prSet presAssocID="{2A5247F8-8073-7249-97E4-FD80464675D9}" presName="hierChild3" presStyleCnt="0"/>
      <dgm:spPr/>
    </dgm:pt>
    <dgm:pt modelId="{C9B25F6C-9E20-EF43-AF9E-03F0B4E79469}" type="pres">
      <dgm:prSet presAssocID="{ECC9AA8D-E2F9-9C49-9369-37B31AD42BEE}" presName="Name19" presStyleLbl="parChTrans1D3" presStyleIdx="0" presStyleCnt="3"/>
      <dgm:spPr/>
      <dgm:t>
        <a:bodyPr/>
        <a:lstStyle/>
        <a:p>
          <a:endParaRPr lang="nl-NL"/>
        </a:p>
      </dgm:t>
    </dgm:pt>
    <dgm:pt modelId="{39DDE313-294B-9149-AA26-2B4AFB14D71B}" type="pres">
      <dgm:prSet presAssocID="{19944637-32F3-0D4A-BD6B-D7C24D3C8539}" presName="Name21" presStyleCnt="0"/>
      <dgm:spPr/>
    </dgm:pt>
    <dgm:pt modelId="{4C4A60D1-5769-CF43-B1D8-71A6B4ED66BA}" type="pres">
      <dgm:prSet presAssocID="{19944637-32F3-0D4A-BD6B-D7C24D3C8539}" presName="level2Shape" presStyleLbl="node3" presStyleIdx="0" presStyleCnt="3" custScaleX="117852"/>
      <dgm:spPr/>
      <dgm:t>
        <a:bodyPr/>
        <a:lstStyle/>
        <a:p>
          <a:endParaRPr lang="nl-NL"/>
        </a:p>
      </dgm:t>
    </dgm:pt>
    <dgm:pt modelId="{11D92469-ABE2-2344-9174-CFDBC2C906BE}" type="pres">
      <dgm:prSet presAssocID="{19944637-32F3-0D4A-BD6B-D7C24D3C8539}" presName="hierChild3" presStyleCnt="0"/>
      <dgm:spPr/>
    </dgm:pt>
    <dgm:pt modelId="{3BBC9ED0-BFF1-024D-B507-52B4F8C3FF19}" type="pres">
      <dgm:prSet presAssocID="{83E14FEF-3BDF-054C-9631-37A9025A4105}" presName="Name19" presStyleLbl="parChTrans1D4" presStyleIdx="0" presStyleCnt="3"/>
      <dgm:spPr/>
      <dgm:t>
        <a:bodyPr/>
        <a:lstStyle/>
        <a:p>
          <a:endParaRPr lang="nl-NL"/>
        </a:p>
      </dgm:t>
    </dgm:pt>
    <dgm:pt modelId="{EA32D1F0-D3A8-2D45-958E-F7B88DC53D33}" type="pres">
      <dgm:prSet presAssocID="{28A77F7B-B2BE-6646-8244-E9E5FB128962}" presName="Name21" presStyleCnt="0"/>
      <dgm:spPr/>
    </dgm:pt>
    <dgm:pt modelId="{4A168320-7539-E944-AEC3-AE00FA872E3B}" type="pres">
      <dgm:prSet presAssocID="{28A77F7B-B2BE-6646-8244-E9E5FB128962}" presName="level2Shape" presStyleLbl="node4" presStyleIdx="0" presStyleCnt="3" custScaleX="170736" custScaleY="176807"/>
      <dgm:spPr/>
      <dgm:t>
        <a:bodyPr/>
        <a:lstStyle/>
        <a:p>
          <a:endParaRPr lang="nl-NL"/>
        </a:p>
      </dgm:t>
    </dgm:pt>
    <dgm:pt modelId="{430E58E1-6BD6-4649-9C95-72B50BF4E889}" type="pres">
      <dgm:prSet presAssocID="{28A77F7B-B2BE-6646-8244-E9E5FB128962}" presName="hierChild3" presStyleCnt="0"/>
      <dgm:spPr/>
    </dgm:pt>
    <dgm:pt modelId="{3D2DF429-17F3-6C4E-ABA5-2998C104D489}" type="pres">
      <dgm:prSet presAssocID="{FD9E3C4A-C856-FC41-9BA6-70DA95773666}" presName="Name19" presStyleLbl="parChTrans1D3" presStyleIdx="1" presStyleCnt="3"/>
      <dgm:spPr/>
      <dgm:t>
        <a:bodyPr/>
        <a:lstStyle/>
        <a:p>
          <a:endParaRPr lang="nl-NL"/>
        </a:p>
      </dgm:t>
    </dgm:pt>
    <dgm:pt modelId="{076CC8F2-7F2D-0349-8451-D94480FCE739}" type="pres">
      <dgm:prSet presAssocID="{FB72AB9C-E525-E742-9297-3A9EF27952B7}" presName="Name21" presStyleCnt="0"/>
      <dgm:spPr/>
    </dgm:pt>
    <dgm:pt modelId="{9AB12326-3A0E-5646-AD52-3853837C4C56}" type="pres">
      <dgm:prSet presAssocID="{FB72AB9C-E525-E742-9297-3A9EF27952B7}" presName="level2Shape" presStyleLbl="node3" presStyleIdx="1" presStyleCnt="3" custScaleX="143257"/>
      <dgm:spPr/>
      <dgm:t>
        <a:bodyPr/>
        <a:lstStyle/>
        <a:p>
          <a:endParaRPr lang="nl-NL"/>
        </a:p>
      </dgm:t>
    </dgm:pt>
    <dgm:pt modelId="{91F121EC-B798-C64C-B94E-1F15BDECCF46}" type="pres">
      <dgm:prSet presAssocID="{FB72AB9C-E525-E742-9297-3A9EF27952B7}" presName="hierChild3" presStyleCnt="0"/>
      <dgm:spPr/>
    </dgm:pt>
    <dgm:pt modelId="{686D8B7A-8337-9245-9DDC-658E3318C758}" type="pres">
      <dgm:prSet presAssocID="{DCDD830C-1674-3A46-A75D-B2277F6F818C}" presName="Name19" presStyleLbl="parChTrans1D4" presStyleIdx="1" presStyleCnt="3"/>
      <dgm:spPr/>
      <dgm:t>
        <a:bodyPr/>
        <a:lstStyle/>
        <a:p>
          <a:endParaRPr lang="nl-NL"/>
        </a:p>
      </dgm:t>
    </dgm:pt>
    <dgm:pt modelId="{D7BB286F-18BF-314B-BD7F-32A835316B89}" type="pres">
      <dgm:prSet presAssocID="{6C54566C-F097-C24A-A7F5-22534CA1CB90}" presName="Name21" presStyleCnt="0"/>
      <dgm:spPr/>
    </dgm:pt>
    <dgm:pt modelId="{4322880F-CC51-4046-B3AE-E6F577B6CC6D}" type="pres">
      <dgm:prSet presAssocID="{6C54566C-F097-C24A-A7F5-22534CA1CB90}" presName="level2Shape" presStyleLbl="node4" presStyleIdx="1" presStyleCnt="3" custScaleX="151851" custScaleY="176808"/>
      <dgm:spPr/>
      <dgm:t>
        <a:bodyPr/>
        <a:lstStyle/>
        <a:p>
          <a:endParaRPr lang="nl-NL"/>
        </a:p>
      </dgm:t>
    </dgm:pt>
    <dgm:pt modelId="{1F132E46-2BA0-114A-9427-065E3997D9C8}" type="pres">
      <dgm:prSet presAssocID="{6C54566C-F097-C24A-A7F5-22534CA1CB90}" presName="hierChild3" presStyleCnt="0"/>
      <dgm:spPr/>
    </dgm:pt>
    <dgm:pt modelId="{F3AA6211-C7D3-094B-B5DE-70DCAA0E748C}" type="pres">
      <dgm:prSet presAssocID="{1A6DFA69-1471-C147-B348-6F3E9EDA3D29}" presName="Name19" presStyleLbl="parChTrans1D3" presStyleIdx="2" presStyleCnt="3"/>
      <dgm:spPr/>
      <dgm:t>
        <a:bodyPr/>
        <a:lstStyle/>
        <a:p>
          <a:endParaRPr lang="nl-NL"/>
        </a:p>
      </dgm:t>
    </dgm:pt>
    <dgm:pt modelId="{1C9775EE-15DD-454A-B274-B1F03EF46B9D}" type="pres">
      <dgm:prSet presAssocID="{8CC93556-66BF-FE44-9807-4F267EBB87A5}" presName="Name21" presStyleCnt="0"/>
      <dgm:spPr/>
    </dgm:pt>
    <dgm:pt modelId="{1ABFAD1D-A453-E746-8946-D2A36F377C86}" type="pres">
      <dgm:prSet presAssocID="{8CC93556-66BF-FE44-9807-4F267EBB87A5}" presName="level2Shape" presStyleLbl="node3" presStyleIdx="2" presStyleCnt="3"/>
      <dgm:spPr/>
      <dgm:t>
        <a:bodyPr/>
        <a:lstStyle/>
        <a:p>
          <a:endParaRPr lang="nl-NL"/>
        </a:p>
      </dgm:t>
    </dgm:pt>
    <dgm:pt modelId="{77FCB50E-3499-9E4A-8DC4-28CEA91402FB}" type="pres">
      <dgm:prSet presAssocID="{8CC93556-66BF-FE44-9807-4F267EBB87A5}" presName="hierChild3" presStyleCnt="0"/>
      <dgm:spPr/>
    </dgm:pt>
    <dgm:pt modelId="{3F69F1E0-43FE-E543-BBA0-7A79F754FF86}" type="pres">
      <dgm:prSet presAssocID="{B21DBB11-EDD6-5B4D-9B2E-638FC2598441}" presName="Name19" presStyleLbl="parChTrans1D4" presStyleIdx="2" presStyleCnt="3"/>
      <dgm:spPr/>
      <dgm:t>
        <a:bodyPr/>
        <a:lstStyle/>
        <a:p>
          <a:endParaRPr lang="nl-NL"/>
        </a:p>
      </dgm:t>
    </dgm:pt>
    <dgm:pt modelId="{27029105-1607-0045-BB9E-8D8E951B54D8}" type="pres">
      <dgm:prSet presAssocID="{B3BCE1C6-507B-2E41-AF8F-58DB28AA401F}" presName="Name21" presStyleCnt="0"/>
      <dgm:spPr/>
    </dgm:pt>
    <dgm:pt modelId="{DA4DC5C0-A03C-CF43-8FD1-CB816AE8B7CC}" type="pres">
      <dgm:prSet presAssocID="{B3BCE1C6-507B-2E41-AF8F-58DB28AA401F}" presName="level2Shape" presStyleLbl="node4" presStyleIdx="2" presStyleCnt="3" custScaleX="148512" custScaleY="176808"/>
      <dgm:spPr/>
      <dgm:t>
        <a:bodyPr/>
        <a:lstStyle/>
        <a:p>
          <a:endParaRPr lang="nl-NL"/>
        </a:p>
      </dgm:t>
    </dgm:pt>
    <dgm:pt modelId="{360C9225-B9F8-6E44-999C-1C3F5923A6FF}" type="pres">
      <dgm:prSet presAssocID="{B3BCE1C6-507B-2E41-AF8F-58DB28AA401F}" presName="hierChild3" presStyleCnt="0"/>
      <dgm:spPr/>
    </dgm:pt>
    <dgm:pt modelId="{DE1E4322-CB2C-384D-8832-F3A246A8AF54}" type="pres">
      <dgm:prSet presAssocID="{405F8BEA-FF3C-2043-8958-D77483457538}" presName="bgShapesFlow" presStyleCnt="0"/>
      <dgm:spPr/>
    </dgm:pt>
    <dgm:pt modelId="{36AC3C44-5639-BA4F-9227-D359C2B50A34}" type="pres">
      <dgm:prSet presAssocID="{15A50FC6-38A4-BD4B-B042-EB335B326374}" presName="rectComp" presStyleCnt="0"/>
      <dgm:spPr/>
    </dgm:pt>
    <dgm:pt modelId="{B8800653-D895-A447-B3A7-17B63C3AEB93}" type="pres">
      <dgm:prSet presAssocID="{15A50FC6-38A4-BD4B-B042-EB335B326374}" presName="bgRect" presStyleLbl="bgShp" presStyleIdx="0" presStyleCnt="4"/>
      <dgm:spPr/>
      <dgm:t>
        <a:bodyPr/>
        <a:lstStyle/>
        <a:p>
          <a:endParaRPr lang="nl-NL"/>
        </a:p>
      </dgm:t>
    </dgm:pt>
    <dgm:pt modelId="{35F671C6-DB2D-4D4A-B395-99BE119E3222}" type="pres">
      <dgm:prSet presAssocID="{15A50FC6-38A4-BD4B-B042-EB335B326374}" presName="bgRectTx" presStyleLbl="bgShp" presStyleIdx="0" presStyleCnt="4">
        <dgm:presLayoutVars>
          <dgm:bulletEnabled val="1"/>
        </dgm:presLayoutVars>
      </dgm:prSet>
      <dgm:spPr/>
      <dgm:t>
        <a:bodyPr/>
        <a:lstStyle/>
        <a:p>
          <a:endParaRPr lang="nl-NL"/>
        </a:p>
      </dgm:t>
    </dgm:pt>
    <dgm:pt modelId="{14432808-FFE9-324A-AB99-CF3C8003666B}" type="pres">
      <dgm:prSet presAssocID="{15A50FC6-38A4-BD4B-B042-EB335B326374}" presName="spComp" presStyleCnt="0"/>
      <dgm:spPr/>
    </dgm:pt>
    <dgm:pt modelId="{0D85D1AC-D5A0-CD44-8B38-E5C853B9D71D}" type="pres">
      <dgm:prSet presAssocID="{15A50FC6-38A4-BD4B-B042-EB335B326374}" presName="vSp" presStyleCnt="0"/>
      <dgm:spPr/>
    </dgm:pt>
    <dgm:pt modelId="{783A76DF-9704-384B-B748-8A3C6CF7910E}" type="pres">
      <dgm:prSet presAssocID="{DA93E823-CCEE-9342-8016-C57C26D58501}" presName="rectComp" presStyleCnt="0"/>
      <dgm:spPr/>
    </dgm:pt>
    <dgm:pt modelId="{A5357F97-25FF-7749-B0AC-D82FB625FBCD}" type="pres">
      <dgm:prSet presAssocID="{DA93E823-CCEE-9342-8016-C57C26D58501}" presName="bgRect" presStyleLbl="bgShp" presStyleIdx="1" presStyleCnt="4"/>
      <dgm:spPr/>
      <dgm:t>
        <a:bodyPr/>
        <a:lstStyle/>
        <a:p>
          <a:endParaRPr lang="nl-NL"/>
        </a:p>
      </dgm:t>
    </dgm:pt>
    <dgm:pt modelId="{172191C8-A3BD-0A4F-A9EA-9AF3D6A41F41}" type="pres">
      <dgm:prSet presAssocID="{DA93E823-CCEE-9342-8016-C57C26D58501}" presName="bgRectTx" presStyleLbl="bgShp" presStyleIdx="1" presStyleCnt="4">
        <dgm:presLayoutVars>
          <dgm:bulletEnabled val="1"/>
        </dgm:presLayoutVars>
      </dgm:prSet>
      <dgm:spPr/>
      <dgm:t>
        <a:bodyPr/>
        <a:lstStyle/>
        <a:p>
          <a:endParaRPr lang="nl-NL"/>
        </a:p>
      </dgm:t>
    </dgm:pt>
    <dgm:pt modelId="{DF2B9390-0F6B-2E42-8CD9-B372820993FE}" type="pres">
      <dgm:prSet presAssocID="{DA93E823-CCEE-9342-8016-C57C26D58501}" presName="spComp" presStyleCnt="0"/>
      <dgm:spPr/>
    </dgm:pt>
    <dgm:pt modelId="{F0575496-1C9A-0047-A411-1E5C4C820151}" type="pres">
      <dgm:prSet presAssocID="{DA93E823-CCEE-9342-8016-C57C26D58501}" presName="vSp" presStyleCnt="0"/>
      <dgm:spPr/>
    </dgm:pt>
    <dgm:pt modelId="{B7F65B57-AF92-A24F-81F3-07F71CEC48F5}" type="pres">
      <dgm:prSet presAssocID="{CEED6C67-D442-8841-9080-A9953A46B8A8}" presName="rectComp" presStyleCnt="0"/>
      <dgm:spPr/>
    </dgm:pt>
    <dgm:pt modelId="{3402E1D9-640E-2B48-A9B1-2D15B92ADDEE}" type="pres">
      <dgm:prSet presAssocID="{CEED6C67-D442-8841-9080-A9953A46B8A8}" presName="bgRect" presStyleLbl="bgShp" presStyleIdx="2" presStyleCnt="4"/>
      <dgm:spPr/>
      <dgm:t>
        <a:bodyPr/>
        <a:lstStyle/>
        <a:p>
          <a:endParaRPr lang="nl-NL"/>
        </a:p>
      </dgm:t>
    </dgm:pt>
    <dgm:pt modelId="{15D2B024-9842-7C4D-A593-81BE10120FDA}" type="pres">
      <dgm:prSet presAssocID="{CEED6C67-D442-8841-9080-A9953A46B8A8}" presName="bgRectTx" presStyleLbl="bgShp" presStyleIdx="2" presStyleCnt="4">
        <dgm:presLayoutVars>
          <dgm:bulletEnabled val="1"/>
        </dgm:presLayoutVars>
      </dgm:prSet>
      <dgm:spPr/>
      <dgm:t>
        <a:bodyPr/>
        <a:lstStyle/>
        <a:p>
          <a:endParaRPr lang="nl-NL"/>
        </a:p>
      </dgm:t>
    </dgm:pt>
    <dgm:pt modelId="{6D857BC4-F38F-3643-9E3A-5803E37CBEA9}" type="pres">
      <dgm:prSet presAssocID="{CEED6C67-D442-8841-9080-A9953A46B8A8}" presName="spComp" presStyleCnt="0"/>
      <dgm:spPr/>
    </dgm:pt>
    <dgm:pt modelId="{44495D8D-6D00-A048-9154-54C33C8CEC48}" type="pres">
      <dgm:prSet presAssocID="{CEED6C67-D442-8841-9080-A9953A46B8A8}" presName="vSp" presStyleCnt="0"/>
      <dgm:spPr/>
    </dgm:pt>
    <dgm:pt modelId="{04C2E303-C5DA-7345-B086-40CC419DF19B}" type="pres">
      <dgm:prSet presAssocID="{228D8C63-DB5D-084C-B51C-1C959E4B3267}" presName="rectComp" presStyleCnt="0"/>
      <dgm:spPr/>
    </dgm:pt>
    <dgm:pt modelId="{34FCC78E-E64E-6844-A900-92A166DA89B2}" type="pres">
      <dgm:prSet presAssocID="{228D8C63-DB5D-084C-B51C-1C959E4B3267}" presName="bgRect" presStyleLbl="bgShp" presStyleIdx="3" presStyleCnt="4" custScaleY="155673"/>
      <dgm:spPr/>
      <dgm:t>
        <a:bodyPr/>
        <a:lstStyle/>
        <a:p>
          <a:endParaRPr lang="nl-NL"/>
        </a:p>
      </dgm:t>
    </dgm:pt>
    <dgm:pt modelId="{94681538-AF45-BF4A-B911-454CC2ACE25F}" type="pres">
      <dgm:prSet presAssocID="{228D8C63-DB5D-084C-B51C-1C959E4B3267}" presName="bgRectTx" presStyleLbl="bgShp" presStyleIdx="3" presStyleCnt="4">
        <dgm:presLayoutVars>
          <dgm:bulletEnabled val="1"/>
        </dgm:presLayoutVars>
      </dgm:prSet>
      <dgm:spPr/>
      <dgm:t>
        <a:bodyPr/>
        <a:lstStyle/>
        <a:p>
          <a:endParaRPr lang="nl-NL"/>
        </a:p>
      </dgm:t>
    </dgm:pt>
  </dgm:ptLst>
  <dgm:cxnLst>
    <dgm:cxn modelId="{AE47F988-3623-084A-ACE3-5CF1B36F0E16}" type="presOf" srcId="{FB72AB9C-E525-E742-9297-3A9EF27952B7}" destId="{9AB12326-3A0E-5646-AD52-3853837C4C56}" srcOrd="0" destOrd="0" presId="urn:microsoft.com/office/officeart/2005/8/layout/hierarchy6"/>
    <dgm:cxn modelId="{54E8D9AC-880E-4A4A-8CC5-B87357791531}" type="presOf" srcId="{15A50FC6-38A4-BD4B-B042-EB335B326374}" destId="{35F671C6-DB2D-4D4A-B395-99BE119E3222}" srcOrd="1" destOrd="0" presId="urn:microsoft.com/office/officeart/2005/8/layout/hierarchy6"/>
    <dgm:cxn modelId="{50568802-1C93-6E4D-BCC5-9E38A49098BF}" srcId="{E15EB245-C5DB-1E40-9347-B7EEB26C56BE}" destId="{2A5247F8-8073-7249-97E4-FD80464675D9}" srcOrd="0" destOrd="0" parTransId="{6FB4345C-89CE-724D-B550-C9A09E6373D0}" sibTransId="{CC71E977-E2A6-DB46-88C6-017D7E2E7966}"/>
    <dgm:cxn modelId="{18A6C6CC-0763-0C43-BBBB-B9D8895D60C1}" type="presOf" srcId="{15A50FC6-38A4-BD4B-B042-EB335B326374}" destId="{B8800653-D895-A447-B3A7-17B63C3AEB93}" srcOrd="0" destOrd="0" presId="urn:microsoft.com/office/officeart/2005/8/layout/hierarchy6"/>
    <dgm:cxn modelId="{70FA627C-E5B3-5444-83E2-5DE5FC37C234}" type="presOf" srcId="{B21DBB11-EDD6-5B4D-9B2E-638FC2598441}" destId="{3F69F1E0-43FE-E543-BBA0-7A79F754FF86}" srcOrd="0" destOrd="0" presId="urn:microsoft.com/office/officeart/2005/8/layout/hierarchy6"/>
    <dgm:cxn modelId="{DFB74748-C9CD-564D-8847-2C5FBD86B5AA}" srcId="{FB72AB9C-E525-E742-9297-3A9EF27952B7}" destId="{6C54566C-F097-C24A-A7F5-22534CA1CB90}" srcOrd="0" destOrd="0" parTransId="{DCDD830C-1674-3A46-A75D-B2277F6F818C}" sibTransId="{AD522675-517B-2D45-8FA9-003DA997D95A}"/>
    <dgm:cxn modelId="{1D10DB39-1D44-8C47-8DBE-9FEC97992C02}" srcId="{2A5247F8-8073-7249-97E4-FD80464675D9}" destId="{19944637-32F3-0D4A-BD6B-D7C24D3C8539}" srcOrd="0" destOrd="0" parTransId="{ECC9AA8D-E2F9-9C49-9369-37B31AD42BEE}" sibTransId="{99412793-E7A2-7D44-9F1E-D9CC7BF1BAF8}"/>
    <dgm:cxn modelId="{6CD50BD6-99DF-3448-BC52-D777E7B02054}" type="presOf" srcId="{228D8C63-DB5D-084C-B51C-1C959E4B3267}" destId="{34FCC78E-E64E-6844-A900-92A166DA89B2}" srcOrd="0" destOrd="0" presId="urn:microsoft.com/office/officeart/2005/8/layout/hierarchy6"/>
    <dgm:cxn modelId="{88B473B8-3B25-544C-95D4-FF63336A38EC}" srcId="{405F8BEA-FF3C-2043-8958-D77483457538}" destId="{E15EB245-C5DB-1E40-9347-B7EEB26C56BE}" srcOrd="0" destOrd="0" parTransId="{AA5B75D0-94C2-AC4B-A799-D97C7E78F8E9}" sibTransId="{E1954857-1C3F-D24C-BA3A-74149BBD502B}"/>
    <dgm:cxn modelId="{F04895E0-265C-7D46-AAE4-26ED190634F2}" type="presOf" srcId="{2A5247F8-8073-7249-97E4-FD80464675D9}" destId="{CA6235FA-001A-044A-BFF9-496F2921454A}" srcOrd="0" destOrd="0" presId="urn:microsoft.com/office/officeart/2005/8/layout/hierarchy6"/>
    <dgm:cxn modelId="{92D8C4F9-DF45-DA4B-BF6D-1941E3BC9D69}" type="presOf" srcId="{E15EB245-C5DB-1E40-9347-B7EEB26C56BE}" destId="{EEC739B2-E644-8B45-8843-AF8E6B45C76F}" srcOrd="0" destOrd="0" presId="urn:microsoft.com/office/officeart/2005/8/layout/hierarchy6"/>
    <dgm:cxn modelId="{F83A7942-8028-9640-9103-73C38499FDFC}" srcId="{405F8BEA-FF3C-2043-8958-D77483457538}" destId="{CEED6C67-D442-8841-9080-A9953A46B8A8}" srcOrd="3" destOrd="0" parTransId="{E66908B7-4EBB-244B-9E91-A9B5DB606EC6}" sibTransId="{A214846C-D820-0E47-9A20-F3AA81728C9F}"/>
    <dgm:cxn modelId="{06D74370-4381-9647-AC24-D1CA7BA7DF81}" srcId="{2A5247F8-8073-7249-97E4-FD80464675D9}" destId="{8CC93556-66BF-FE44-9807-4F267EBB87A5}" srcOrd="2" destOrd="0" parTransId="{1A6DFA69-1471-C147-B348-6F3E9EDA3D29}" sibTransId="{65C14A6F-6AFF-6645-9FB2-C7F50E7EF059}"/>
    <dgm:cxn modelId="{06AE3CBE-2687-CB45-871D-7A9D1720CE76}" type="presOf" srcId="{B3BCE1C6-507B-2E41-AF8F-58DB28AA401F}" destId="{DA4DC5C0-A03C-CF43-8FD1-CB816AE8B7CC}" srcOrd="0" destOrd="0" presId="urn:microsoft.com/office/officeart/2005/8/layout/hierarchy6"/>
    <dgm:cxn modelId="{13828DDA-1253-5049-A9F3-4E016E19462A}" srcId="{2A5247F8-8073-7249-97E4-FD80464675D9}" destId="{FB72AB9C-E525-E742-9297-3A9EF27952B7}" srcOrd="1" destOrd="0" parTransId="{FD9E3C4A-C856-FC41-9BA6-70DA95773666}" sibTransId="{A8C76BDE-CB6F-C948-9B9A-5A6DF9002022}"/>
    <dgm:cxn modelId="{E39EEB6C-7D03-314F-87EE-04DB277AAE0B}" type="presOf" srcId="{CEED6C67-D442-8841-9080-A9953A46B8A8}" destId="{15D2B024-9842-7C4D-A593-81BE10120FDA}" srcOrd="1" destOrd="0" presId="urn:microsoft.com/office/officeart/2005/8/layout/hierarchy6"/>
    <dgm:cxn modelId="{C8DB882A-8982-8249-82C1-E5384C395383}" srcId="{405F8BEA-FF3C-2043-8958-D77483457538}" destId="{228D8C63-DB5D-084C-B51C-1C959E4B3267}" srcOrd="4" destOrd="0" parTransId="{3C7F2676-A455-564A-ADA6-5EE1C5920DFD}" sibTransId="{01E4AF18-0CE0-BA4F-B44B-CBC15F8B99C3}"/>
    <dgm:cxn modelId="{2B6D8FB5-986F-1746-AF4E-07DDBE2F7197}" type="presOf" srcId="{8CC93556-66BF-FE44-9807-4F267EBB87A5}" destId="{1ABFAD1D-A453-E746-8946-D2A36F377C86}" srcOrd="0" destOrd="0" presId="urn:microsoft.com/office/officeart/2005/8/layout/hierarchy6"/>
    <dgm:cxn modelId="{D13CA03E-60B9-EF4F-A161-5C8D00435C3A}" srcId="{405F8BEA-FF3C-2043-8958-D77483457538}" destId="{15A50FC6-38A4-BD4B-B042-EB335B326374}" srcOrd="1" destOrd="0" parTransId="{D06EB97F-B9E8-204E-B8E5-2FC063EF86E6}" sibTransId="{52BCE688-FAFA-1340-AABF-D703C4EA2695}"/>
    <dgm:cxn modelId="{8757181D-24AE-5541-A9CB-3CF991B4B7AB}" type="presOf" srcId="{DA93E823-CCEE-9342-8016-C57C26D58501}" destId="{A5357F97-25FF-7749-B0AC-D82FB625FBCD}" srcOrd="0" destOrd="0" presId="urn:microsoft.com/office/officeart/2005/8/layout/hierarchy6"/>
    <dgm:cxn modelId="{E85ADE1C-2BA6-C043-8A24-5D9579A26435}" type="presOf" srcId="{19944637-32F3-0D4A-BD6B-D7C24D3C8539}" destId="{4C4A60D1-5769-CF43-B1D8-71A6B4ED66BA}" srcOrd="0" destOrd="0" presId="urn:microsoft.com/office/officeart/2005/8/layout/hierarchy6"/>
    <dgm:cxn modelId="{5CE923BC-D6C7-3940-9B92-4E6AEB32E3B2}" srcId="{19944637-32F3-0D4A-BD6B-D7C24D3C8539}" destId="{28A77F7B-B2BE-6646-8244-E9E5FB128962}" srcOrd="0" destOrd="0" parTransId="{83E14FEF-3BDF-054C-9631-37A9025A4105}" sibTransId="{695AA983-52EF-3544-9432-431733450DBA}"/>
    <dgm:cxn modelId="{2DA7883A-50F3-2D4B-A807-1E5989D88C46}" type="presOf" srcId="{228D8C63-DB5D-084C-B51C-1C959E4B3267}" destId="{94681538-AF45-BF4A-B911-454CC2ACE25F}" srcOrd="1" destOrd="0" presId="urn:microsoft.com/office/officeart/2005/8/layout/hierarchy6"/>
    <dgm:cxn modelId="{09D151A7-C0B1-A744-AC0D-3E9832B75364}" type="presOf" srcId="{1A6DFA69-1471-C147-B348-6F3E9EDA3D29}" destId="{F3AA6211-C7D3-094B-B5DE-70DCAA0E748C}" srcOrd="0" destOrd="0" presId="urn:microsoft.com/office/officeart/2005/8/layout/hierarchy6"/>
    <dgm:cxn modelId="{9E7B3E3D-BC7C-4B4F-80E5-BC327FB41B85}" type="presOf" srcId="{CEED6C67-D442-8841-9080-A9953A46B8A8}" destId="{3402E1D9-640E-2B48-A9B1-2D15B92ADDEE}" srcOrd="0" destOrd="0" presId="urn:microsoft.com/office/officeart/2005/8/layout/hierarchy6"/>
    <dgm:cxn modelId="{EF434483-FEBE-AC43-94CD-BB02A2F272D4}" type="presOf" srcId="{DA93E823-CCEE-9342-8016-C57C26D58501}" destId="{172191C8-A3BD-0A4F-A9EA-9AF3D6A41F41}" srcOrd="1" destOrd="0" presId="urn:microsoft.com/office/officeart/2005/8/layout/hierarchy6"/>
    <dgm:cxn modelId="{472110F2-D982-AB43-A167-28F8025D9F9E}" type="presOf" srcId="{83E14FEF-3BDF-054C-9631-37A9025A4105}" destId="{3BBC9ED0-BFF1-024D-B507-52B4F8C3FF19}" srcOrd="0" destOrd="0" presId="urn:microsoft.com/office/officeart/2005/8/layout/hierarchy6"/>
    <dgm:cxn modelId="{2875024A-61A1-2745-89CB-8C399AA28238}" type="presOf" srcId="{28A77F7B-B2BE-6646-8244-E9E5FB128962}" destId="{4A168320-7539-E944-AEC3-AE00FA872E3B}" srcOrd="0" destOrd="0" presId="urn:microsoft.com/office/officeart/2005/8/layout/hierarchy6"/>
    <dgm:cxn modelId="{A16532C9-8421-9045-A03C-48E075D039D9}" type="presOf" srcId="{405F8BEA-FF3C-2043-8958-D77483457538}" destId="{255F09D7-F7C2-E240-B4BC-ACB7C1ECE4DA}" srcOrd="0" destOrd="0" presId="urn:microsoft.com/office/officeart/2005/8/layout/hierarchy6"/>
    <dgm:cxn modelId="{3957BFE3-0308-AD4A-BB8A-BBC1E03D6A93}" type="presOf" srcId="{6FB4345C-89CE-724D-B550-C9A09E6373D0}" destId="{F8DBD327-2323-9E41-A60D-C7A72430520F}" srcOrd="0" destOrd="0" presId="urn:microsoft.com/office/officeart/2005/8/layout/hierarchy6"/>
    <dgm:cxn modelId="{4344C55F-6A7F-204A-8B00-CB36C648760D}" type="presOf" srcId="{6C54566C-F097-C24A-A7F5-22534CA1CB90}" destId="{4322880F-CC51-4046-B3AE-E6F577B6CC6D}" srcOrd="0" destOrd="0" presId="urn:microsoft.com/office/officeart/2005/8/layout/hierarchy6"/>
    <dgm:cxn modelId="{CDB5187D-078C-3B46-ADD1-A36FBA48970C}" type="presOf" srcId="{DCDD830C-1674-3A46-A75D-B2277F6F818C}" destId="{686D8B7A-8337-9245-9DDC-658E3318C758}" srcOrd="0" destOrd="0" presId="urn:microsoft.com/office/officeart/2005/8/layout/hierarchy6"/>
    <dgm:cxn modelId="{AA2AAB98-41A0-1246-95AE-9EBFD88D13B2}" srcId="{405F8BEA-FF3C-2043-8958-D77483457538}" destId="{DA93E823-CCEE-9342-8016-C57C26D58501}" srcOrd="2" destOrd="0" parTransId="{B0EB5E1F-36F2-B64F-B934-BE56A5664347}" sibTransId="{740DC6F2-F607-FD40-87DC-407F3305299A}"/>
    <dgm:cxn modelId="{378A4A14-22AB-994B-8C8F-8AD0460433AF}" srcId="{8CC93556-66BF-FE44-9807-4F267EBB87A5}" destId="{B3BCE1C6-507B-2E41-AF8F-58DB28AA401F}" srcOrd="0" destOrd="0" parTransId="{B21DBB11-EDD6-5B4D-9B2E-638FC2598441}" sibTransId="{27ECC1D1-7BBF-734B-B1F8-7BAE5CEA2853}"/>
    <dgm:cxn modelId="{146DB0B1-042A-424E-A7A8-35B66B063511}" type="presOf" srcId="{ECC9AA8D-E2F9-9C49-9369-37B31AD42BEE}" destId="{C9B25F6C-9E20-EF43-AF9E-03F0B4E79469}" srcOrd="0" destOrd="0" presId="urn:microsoft.com/office/officeart/2005/8/layout/hierarchy6"/>
    <dgm:cxn modelId="{1579E75A-7D1E-7E41-AE78-2BC777CC3367}" type="presOf" srcId="{FD9E3C4A-C856-FC41-9BA6-70DA95773666}" destId="{3D2DF429-17F3-6C4E-ABA5-2998C104D489}" srcOrd="0" destOrd="0" presId="urn:microsoft.com/office/officeart/2005/8/layout/hierarchy6"/>
    <dgm:cxn modelId="{957C994A-001C-574E-82E3-75EDAD8D8E1E}" type="presParOf" srcId="{255F09D7-F7C2-E240-B4BC-ACB7C1ECE4DA}" destId="{2ACC2881-4643-CB4E-989E-A7BC30E22940}" srcOrd="0" destOrd="0" presId="urn:microsoft.com/office/officeart/2005/8/layout/hierarchy6"/>
    <dgm:cxn modelId="{F0E0C759-66CB-484D-96B7-08C37DB48FE8}" type="presParOf" srcId="{2ACC2881-4643-CB4E-989E-A7BC30E22940}" destId="{662B378A-EB7B-D04D-9A42-4EB8044A2E79}" srcOrd="0" destOrd="0" presId="urn:microsoft.com/office/officeart/2005/8/layout/hierarchy6"/>
    <dgm:cxn modelId="{35D8901B-D091-EC4D-871A-05DFE60D1428}" type="presParOf" srcId="{2ACC2881-4643-CB4E-989E-A7BC30E22940}" destId="{26D4207C-0357-EB4B-8EE0-B39537EB9535}" srcOrd="1" destOrd="0" presId="urn:microsoft.com/office/officeart/2005/8/layout/hierarchy6"/>
    <dgm:cxn modelId="{041B15FA-6A9D-BB40-A7B0-C843BF860C13}" type="presParOf" srcId="{26D4207C-0357-EB4B-8EE0-B39537EB9535}" destId="{5F2DFBB6-4D6A-CB40-BDB7-9439F4542B50}" srcOrd="0" destOrd="0" presId="urn:microsoft.com/office/officeart/2005/8/layout/hierarchy6"/>
    <dgm:cxn modelId="{2A3E27DD-33EF-EB43-BDA1-E46096F26D44}" type="presParOf" srcId="{5F2DFBB6-4D6A-CB40-BDB7-9439F4542B50}" destId="{EEC739B2-E644-8B45-8843-AF8E6B45C76F}" srcOrd="0" destOrd="0" presId="urn:microsoft.com/office/officeart/2005/8/layout/hierarchy6"/>
    <dgm:cxn modelId="{D8D884B1-F9B1-E744-BD9A-A9EE9EED3661}" type="presParOf" srcId="{5F2DFBB6-4D6A-CB40-BDB7-9439F4542B50}" destId="{F8A5E908-38F2-894E-B53C-C465D02BA7C4}" srcOrd="1" destOrd="0" presId="urn:microsoft.com/office/officeart/2005/8/layout/hierarchy6"/>
    <dgm:cxn modelId="{55639587-2500-C04A-AA27-FE6CA6C0EB24}" type="presParOf" srcId="{F8A5E908-38F2-894E-B53C-C465D02BA7C4}" destId="{F8DBD327-2323-9E41-A60D-C7A72430520F}" srcOrd="0" destOrd="0" presId="urn:microsoft.com/office/officeart/2005/8/layout/hierarchy6"/>
    <dgm:cxn modelId="{AAA4A0B9-AA26-8040-8839-AFAB88A04199}" type="presParOf" srcId="{F8A5E908-38F2-894E-B53C-C465D02BA7C4}" destId="{CC238999-3014-AF49-B8B7-8C51C6E2A92A}" srcOrd="1" destOrd="0" presId="urn:microsoft.com/office/officeart/2005/8/layout/hierarchy6"/>
    <dgm:cxn modelId="{35C0F685-426D-F84B-9222-0ED9F16ED190}" type="presParOf" srcId="{CC238999-3014-AF49-B8B7-8C51C6E2A92A}" destId="{CA6235FA-001A-044A-BFF9-496F2921454A}" srcOrd="0" destOrd="0" presId="urn:microsoft.com/office/officeart/2005/8/layout/hierarchy6"/>
    <dgm:cxn modelId="{A9DF36C9-3848-2C4B-B039-DD1C73EB751F}" type="presParOf" srcId="{CC238999-3014-AF49-B8B7-8C51C6E2A92A}" destId="{EE755D28-B115-4F45-9EBE-EB4C5C1394DC}" srcOrd="1" destOrd="0" presId="urn:microsoft.com/office/officeart/2005/8/layout/hierarchy6"/>
    <dgm:cxn modelId="{63CFF3BD-E897-AB4C-9D4C-F0447750D1A8}" type="presParOf" srcId="{EE755D28-B115-4F45-9EBE-EB4C5C1394DC}" destId="{C9B25F6C-9E20-EF43-AF9E-03F0B4E79469}" srcOrd="0" destOrd="0" presId="urn:microsoft.com/office/officeart/2005/8/layout/hierarchy6"/>
    <dgm:cxn modelId="{C7FD226F-B4E3-D647-8481-097B9D9CD73A}" type="presParOf" srcId="{EE755D28-B115-4F45-9EBE-EB4C5C1394DC}" destId="{39DDE313-294B-9149-AA26-2B4AFB14D71B}" srcOrd="1" destOrd="0" presId="urn:microsoft.com/office/officeart/2005/8/layout/hierarchy6"/>
    <dgm:cxn modelId="{C9C0E7F4-EF66-7848-BF7A-5099A46AB057}" type="presParOf" srcId="{39DDE313-294B-9149-AA26-2B4AFB14D71B}" destId="{4C4A60D1-5769-CF43-B1D8-71A6B4ED66BA}" srcOrd="0" destOrd="0" presId="urn:microsoft.com/office/officeart/2005/8/layout/hierarchy6"/>
    <dgm:cxn modelId="{F40DDCB1-2FAC-B242-91EA-8D1D30A78EDB}" type="presParOf" srcId="{39DDE313-294B-9149-AA26-2B4AFB14D71B}" destId="{11D92469-ABE2-2344-9174-CFDBC2C906BE}" srcOrd="1" destOrd="0" presId="urn:microsoft.com/office/officeart/2005/8/layout/hierarchy6"/>
    <dgm:cxn modelId="{250781AC-7699-234D-9818-88270DE21B5A}" type="presParOf" srcId="{11D92469-ABE2-2344-9174-CFDBC2C906BE}" destId="{3BBC9ED0-BFF1-024D-B507-52B4F8C3FF19}" srcOrd="0" destOrd="0" presId="urn:microsoft.com/office/officeart/2005/8/layout/hierarchy6"/>
    <dgm:cxn modelId="{E08FF4AD-B054-2246-BCE1-46CA618C13DB}" type="presParOf" srcId="{11D92469-ABE2-2344-9174-CFDBC2C906BE}" destId="{EA32D1F0-D3A8-2D45-958E-F7B88DC53D33}" srcOrd="1" destOrd="0" presId="urn:microsoft.com/office/officeart/2005/8/layout/hierarchy6"/>
    <dgm:cxn modelId="{5366DF2D-4814-704B-8E99-402C346457B0}" type="presParOf" srcId="{EA32D1F0-D3A8-2D45-958E-F7B88DC53D33}" destId="{4A168320-7539-E944-AEC3-AE00FA872E3B}" srcOrd="0" destOrd="0" presId="urn:microsoft.com/office/officeart/2005/8/layout/hierarchy6"/>
    <dgm:cxn modelId="{E4EE32D4-E140-344B-BD1A-7BFFF8830779}" type="presParOf" srcId="{EA32D1F0-D3A8-2D45-958E-F7B88DC53D33}" destId="{430E58E1-6BD6-4649-9C95-72B50BF4E889}" srcOrd="1" destOrd="0" presId="urn:microsoft.com/office/officeart/2005/8/layout/hierarchy6"/>
    <dgm:cxn modelId="{B6656E5B-660E-9347-AB20-0B4CBC223113}" type="presParOf" srcId="{EE755D28-B115-4F45-9EBE-EB4C5C1394DC}" destId="{3D2DF429-17F3-6C4E-ABA5-2998C104D489}" srcOrd="2" destOrd="0" presId="urn:microsoft.com/office/officeart/2005/8/layout/hierarchy6"/>
    <dgm:cxn modelId="{5FAB84ED-6776-A04A-BB71-5EC6D1DCE1A2}" type="presParOf" srcId="{EE755D28-B115-4F45-9EBE-EB4C5C1394DC}" destId="{076CC8F2-7F2D-0349-8451-D94480FCE739}" srcOrd="3" destOrd="0" presId="urn:microsoft.com/office/officeart/2005/8/layout/hierarchy6"/>
    <dgm:cxn modelId="{D71C6F91-45C3-C049-8663-D743C73BD723}" type="presParOf" srcId="{076CC8F2-7F2D-0349-8451-D94480FCE739}" destId="{9AB12326-3A0E-5646-AD52-3853837C4C56}" srcOrd="0" destOrd="0" presId="urn:microsoft.com/office/officeart/2005/8/layout/hierarchy6"/>
    <dgm:cxn modelId="{EB553699-C843-7140-AB22-941DEC23E084}" type="presParOf" srcId="{076CC8F2-7F2D-0349-8451-D94480FCE739}" destId="{91F121EC-B798-C64C-B94E-1F15BDECCF46}" srcOrd="1" destOrd="0" presId="urn:microsoft.com/office/officeart/2005/8/layout/hierarchy6"/>
    <dgm:cxn modelId="{BAB101C3-239B-E247-BE27-D6DBD08694DB}" type="presParOf" srcId="{91F121EC-B798-C64C-B94E-1F15BDECCF46}" destId="{686D8B7A-8337-9245-9DDC-658E3318C758}" srcOrd="0" destOrd="0" presId="urn:microsoft.com/office/officeart/2005/8/layout/hierarchy6"/>
    <dgm:cxn modelId="{B2AF969A-4CC0-124D-AF67-BC34224B96A1}" type="presParOf" srcId="{91F121EC-B798-C64C-B94E-1F15BDECCF46}" destId="{D7BB286F-18BF-314B-BD7F-32A835316B89}" srcOrd="1" destOrd="0" presId="urn:microsoft.com/office/officeart/2005/8/layout/hierarchy6"/>
    <dgm:cxn modelId="{31870D53-AAB9-2B42-85D7-49F5B353883F}" type="presParOf" srcId="{D7BB286F-18BF-314B-BD7F-32A835316B89}" destId="{4322880F-CC51-4046-B3AE-E6F577B6CC6D}" srcOrd="0" destOrd="0" presId="urn:microsoft.com/office/officeart/2005/8/layout/hierarchy6"/>
    <dgm:cxn modelId="{F190482D-2308-8B41-8311-05CBBF04DE22}" type="presParOf" srcId="{D7BB286F-18BF-314B-BD7F-32A835316B89}" destId="{1F132E46-2BA0-114A-9427-065E3997D9C8}" srcOrd="1" destOrd="0" presId="urn:microsoft.com/office/officeart/2005/8/layout/hierarchy6"/>
    <dgm:cxn modelId="{6E569442-1FFB-044F-B11F-9946EBEC29B2}" type="presParOf" srcId="{EE755D28-B115-4F45-9EBE-EB4C5C1394DC}" destId="{F3AA6211-C7D3-094B-B5DE-70DCAA0E748C}" srcOrd="4" destOrd="0" presId="urn:microsoft.com/office/officeart/2005/8/layout/hierarchy6"/>
    <dgm:cxn modelId="{0BA68A76-DBFB-1F4C-87A8-B8F656367E3A}" type="presParOf" srcId="{EE755D28-B115-4F45-9EBE-EB4C5C1394DC}" destId="{1C9775EE-15DD-454A-B274-B1F03EF46B9D}" srcOrd="5" destOrd="0" presId="urn:microsoft.com/office/officeart/2005/8/layout/hierarchy6"/>
    <dgm:cxn modelId="{F4403A4D-B7B5-5740-B56A-6698DB4DBFE5}" type="presParOf" srcId="{1C9775EE-15DD-454A-B274-B1F03EF46B9D}" destId="{1ABFAD1D-A453-E746-8946-D2A36F377C86}" srcOrd="0" destOrd="0" presId="urn:microsoft.com/office/officeart/2005/8/layout/hierarchy6"/>
    <dgm:cxn modelId="{9F7F421A-D60E-A348-B1E8-03047BDDCC58}" type="presParOf" srcId="{1C9775EE-15DD-454A-B274-B1F03EF46B9D}" destId="{77FCB50E-3499-9E4A-8DC4-28CEA91402FB}" srcOrd="1" destOrd="0" presId="urn:microsoft.com/office/officeart/2005/8/layout/hierarchy6"/>
    <dgm:cxn modelId="{AFC87E4C-AB04-7546-BAC5-145EC5127D1C}" type="presParOf" srcId="{77FCB50E-3499-9E4A-8DC4-28CEA91402FB}" destId="{3F69F1E0-43FE-E543-BBA0-7A79F754FF86}" srcOrd="0" destOrd="0" presId="urn:microsoft.com/office/officeart/2005/8/layout/hierarchy6"/>
    <dgm:cxn modelId="{8A7E4C45-24FE-1D42-B7F0-BE145CFED958}" type="presParOf" srcId="{77FCB50E-3499-9E4A-8DC4-28CEA91402FB}" destId="{27029105-1607-0045-BB9E-8D8E951B54D8}" srcOrd="1" destOrd="0" presId="urn:microsoft.com/office/officeart/2005/8/layout/hierarchy6"/>
    <dgm:cxn modelId="{A2B97F97-D864-8F41-A7F3-6E44C932B80D}" type="presParOf" srcId="{27029105-1607-0045-BB9E-8D8E951B54D8}" destId="{DA4DC5C0-A03C-CF43-8FD1-CB816AE8B7CC}" srcOrd="0" destOrd="0" presId="urn:microsoft.com/office/officeart/2005/8/layout/hierarchy6"/>
    <dgm:cxn modelId="{DA8DCEDF-490A-B247-ADCC-A30FB53CD53E}" type="presParOf" srcId="{27029105-1607-0045-BB9E-8D8E951B54D8}" destId="{360C9225-B9F8-6E44-999C-1C3F5923A6FF}" srcOrd="1" destOrd="0" presId="urn:microsoft.com/office/officeart/2005/8/layout/hierarchy6"/>
    <dgm:cxn modelId="{5802DE83-45BC-2C4F-9C80-55703F05B42C}" type="presParOf" srcId="{255F09D7-F7C2-E240-B4BC-ACB7C1ECE4DA}" destId="{DE1E4322-CB2C-384D-8832-F3A246A8AF54}" srcOrd="1" destOrd="0" presId="urn:microsoft.com/office/officeart/2005/8/layout/hierarchy6"/>
    <dgm:cxn modelId="{20A0A9B6-6299-D546-AB3C-15F0483A7F5A}" type="presParOf" srcId="{DE1E4322-CB2C-384D-8832-F3A246A8AF54}" destId="{36AC3C44-5639-BA4F-9227-D359C2B50A34}" srcOrd="0" destOrd="0" presId="urn:microsoft.com/office/officeart/2005/8/layout/hierarchy6"/>
    <dgm:cxn modelId="{F85D1E4F-B542-6F48-944C-3F48C10D48D9}" type="presParOf" srcId="{36AC3C44-5639-BA4F-9227-D359C2B50A34}" destId="{B8800653-D895-A447-B3A7-17B63C3AEB93}" srcOrd="0" destOrd="0" presId="urn:microsoft.com/office/officeart/2005/8/layout/hierarchy6"/>
    <dgm:cxn modelId="{4BA26F7B-1AA7-1A46-B0D1-C3490CA7E734}" type="presParOf" srcId="{36AC3C44-5639-BA4F-9227-D359C2B50A34}" destId="{35F671C6-DB2D-4D4A-B395-99BE119E3222}" srcOrd="1" destOrd="0" presId="urn:microsoft.com/office/officeart/2005/8/layout/hierarchy6"/>
    <dgm:cxn modelId="{4BDBF1A7-589A-0341-97A1-89593944059A}" type="presParOf" srcId="{DE1E4322-CB2C-384D-8832-F3A246A8AF54}" destId="{14432808-FFE9-324A-AB99-CF3C8003666B}" srcOrd="1" destOrd="0" presId="urn:microsoft.com/office/officeart/2005/8/layout/hierarchy6"/>
    <dgm:cxn modelId="{EE60F7A9-1416-FF42-BB1C-B1FF2A30AB05}" type="presParOf" srcId="{14432808-FFE9-324A-AB99-CF3C8003666B}" destId="{0D85D1AC-D5A0-CD44-8B38-E5C853B9D71D}" srcOrd="0" destOrd="0" presId="urn:microsoft.com/office/officeart/2005/8/layout/hierarchy6"/>
    <dgm:cxn modelId="{FDC46E6E-78E9-C04E-BF0A-355C41D5AB90}" type="presParOf" srcId="{DE1E4322-CB2C-384D-8832-F3A246A8AF54}" destId="{783A76DF-9704-384B-B748-8A3C6CF7910E}" srcOrd="2" destOrd="0" presId="urn:microsoft.com/office/officeart/2005/8/layout/hierarchy6"/>
    <dgm:cxn modelId="{BA3C778B-A615-5547-8FDD-0AAD0FADF0CF}" type="presParOf" srcId="{783A76DF-9704-384B-B748-8A3C6CF7910E}" destId="{A5357F97-25FF-7749-B0AC-D82FB625FBCD}" srcOrd="0" destOrd="0" presId="urn:microsoft.com/office/officeart/2005/8/layout/hierarchy6"/>
    <dgm:cxn modelId="{59F3525C-BD58-6244-9460-4C1AA36FE957}" type="presParOf" srcId="{783A76DF-9704-384B-B748-8A3C6CF7910E}" destId="{172191C8-A3BD-0A4F-A9EA-9AF3D6A41F41}" srcOrd="1" destOrd="0" presId="urn:microsoft.com/office/officeart/2005/8/layout/hierarchy6"/>
    <dgm:cxn modelId="{E9149968-CE5E-C94E-BDA1-74CF048827E8}" type="presParOf" srcId="{DE1E4322-CB2C-384D-8832-F3A246A8AF54}" destId="{DF2B9390-0F6B-2E42-8CD9-B372820993FE}" srcOrd="3" destOrd="0" presId="urn:microsoft.com/office/officeart/2005/8/layout/hierarchy6"/>
    <dgm:cxn modelId="{032438F6-FC43-B14D-A4A1-2C0FAD316785}" type="presParOf" srcId="{DF2B9390-0F6B-2E42-8CD9-B372820993FE}" destId="{F0575496-1C9A-0047-A411-1E5C4C820151}" srcOrd="0" destOrd="0" presId="urn:microsoft.com/office/officeart/2005/8/layout/hierarchy6"/>
    <dgm:cxn modelId="{7A1B90B4-E6FA-824D-A70C-FC6DF21AD2FD}" type="presParOf" srcId="{DE1E4322-CB2C-384D-8832-F3A246A8AF54}" destId="{B7F65B57-AF92-A24F-81F3-07F71CEC48F5}" srcOrd="4" destOrd="0" presId="urn:microsoft.com/office/officeart/2005/8/layout/hierarchy6"/>
    <dgm:cxn modelId="{85E592C4-5DA8-F541-A867-C34212FFDD4B}" type="presParOf" srcId="{B7F65B57-AF92-A24F-81F3-07F71CEC48F5}" destId="{3402E1D9-640E-2B48-A9B1-2D15B92ADDEE}" srcOrd="0" destOrd="0" presId="urn:microsoft.com/office/officeart/2005/8/layout/hierarchy6"/>
    <dgm:cxn modelId="{BCB2B12E-0EE7-7540-B4C4-6F414C6FAA89}" type="presParOf" srcId="{B7F65B57-AF92-A24F-81F3-07F71CEC48F5}" destId="{15D2B024-9842-7C4D-A593-81BE10120FDA}" srcOrd="1" destOrd="0" presId="urn:microsoft.com/office/officeart/2005/8/layout/hierarchy6"/>
    <dgm:cxn modelId="{B1ED3E1D-AE80-1D4B-9E2D-94934DA8526E}" type="presParOf" srcId="{DE1E4322-CB2C-384D-8832-F3A246A8AF54}" destId="{6D857BC4-F38F-3643-9E3A-5803E37CBEA9}" srcOrd="5" destOrd="0" presId="urn:microsoft.com/office/officeart/2005/8/layout/hierarchy6"/>
    <dgm:cxn modelId="{8B0F92BE-48A7-F742-B1E9-7F2E73CCC597}" type="presParOf" srcId="{6D857BC4-F38F-3643-9E3A-5803E37CBEA9}" destId="{44495D8D-6D00-A048-9154-54C33C8CEC48}" srcOrd="0" destOrd="0" presId="urn:microsoft.com/office/officeart/2005/8/layout/hierarchy6"/>
    <dgm:cxn modelId="{72450D48-1080-6946-9C28-70E998665533}" type="presParOf" srcId="{DE1E4322-CB2C-384D-8832-F3A246A8AF54}" destId="{04C2E303-C5DA-7345-B086-40CC419DF19B}" srcOrd="6" destOrd="0" presId="urn:microsoft.com/office/officeart/2005/8/layout/hierarchy6"/>
    <dgm:cxn modelId="{1C407678-E853-EB40-8218-315070709911}" type="presParOf" srcId="{04C2E303-C5DA-7345-B086-40CC419DF19B}" destId="{34FCC78E-E64E-6844-A900-92A166DA89B2}" srcOrd="0" destOrd="0" presId="urn:microsoft.com/office/officeart/2005/8/layout/hierarchy6"/>
    <dgm:cxn modelId="{8E14CC92-D789-8145-B60C-95CCE5890038}" type="presParOf" srcId="{04C2E303-C5DA-7345-B086-40CC419DF19B}" destId="{94681538-AF45-BF4A-B911-454CC2ACE25F}" srcOrd="1" destOrd="0" presId="urn:microsoft.com/office/officeart/2005/8/layout/hierarchy6"/>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FCC78E-E64E-6844-A900-92A166DA89B2}">
      <dsp:nvSpPr>
        <dsp:cNvPr id="0" name=""/>
        <dsp:cNvSpPr/>
      </dsp:nvSpPr>
      <dsp:spPr>
        <a:xfrm>
          <a:off x="0" y="2369291"/>
          <a:ext cx="4996815" cy="672422"/>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2">
          <a:scrgbClr r="0" g="0" b="0"/>
        </a:effectRef>
        <a:fontRef idx="minor"/>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nl-NL" sz="1200" kern="1200">
              <a:latin typeface="Corbel" charset="0"/>
              <a:ea typeface="Corbel" charset="0"/>
              <a:cs typeface="Corbel" charset="0"/>
            </a:rPr>
            <a:t>Grootheden</a:t>
          </a:r>
        </a:p>
      </dsp:txBody>
      <dsp:txXfrm>
        <a:off x="0" y="2369291"/>
        <a:ext cx="1499044" cy="672422"/>
      </dsp:txXfrm>
    </dsp:sp>
    <dsp:sp modelId="{3402E1D9-640E-2B48-A9B1-2D15B92ADDEE}">
      <dsp:nvSpPr>
        <dsp:cNvPr id="0" name=""/>
        <dsp:cNvSpPr/>
      </dsp:nvSpPr>
      <dsp:spPr>
        <a:xfrm>
          <a:off x="0" y="1584797"/>
          <a:ext cx="4996815" cy="672422"/>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2">
          <a:scrgbClr r="0" g="0" b="0"/>
        </a:effectRef>
        <a:fontRef idx="minor"/>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nl-NL" sz="1200" kern="1200">
              <a:latin typeface="Corbel" charset="0"/>
              <a:ea typeface="Corbel" charset="0"/>
              <a:cs typeface="Corbel" charset="0"/>
            </a:rPr>
            <a:t>Perspectief</a:t>
          </a:r>
        </a:p>
      </dsp:txBody>
      <dsp:txXfrm>
        <a:off x="0" y="1584797"/>
        <a:ext cx="1499044" cy="672422"/>
      </dsp:txXfrm>
    </dsp:sp>
    <dsp:sp modelId="{A5357F97-25FF-7749-B0AC-D82FB625FBCD}">
      <dsp:nvSpPr>
        <dsp:cNvPr id="0" name=""/>
        <dsp:cNvSpPr/>
      </dsp:nvSpPr>
      <dsp:spPr>
        <a:xfrm>
          <a:off x="0" y="800304"/>
          <a:ext cx="4996815" cy="672422"/>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2">
          <a:scrgbClr r="0" g="0" b="0"/>
        </a:effectRef>
        <a:fontRef idx="minor"/>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nl-NL" sz="1200" kern="1200">
              <a:latin typeface="Corbel" charset="0"/>
              <a:ea typeface="Corbel" charset="0"/>
              <a:cs typeface="Corbel" charset="0"/>
            </a:rPr>
            <a:t>Soort</a:t>
          </a:r>
          <a:r>
            <a:rPr lang="nl-NL" sz="1200" kern="1200" baseline="0">
              <a:latin typeface="Corbel" charset="0"/>
              <a:ea typeface="Corbel" charset="0"/>
              <a:cs typeface="Corbel" charset="0"/>
            </a:rPr>
            <a:t> schade</a:t>
          </a:r>
          <a:endParaRPr lang="nl-NL" sz="1200" kern="1200">
            <a:latin typeface="Corbel" charset="0"/>
            <a:ea typeface="Corbel" charset="0"/>
            <a:cs typeface="Corbel" charset="0"/>
          </a:endParaRPr>
        </a:p>
      </dsp:txBody>
      <dsp:txXfrm>
        <a:off x="0" y="800304"/>
        <a:ext cx="1499044" cy="672422"/>
      </dsp:txXfrm>
    </dsp:sp>
    <dsp:sp modelId="{B8800653-D895-A447-B3A7-17B63C3AEB93}">
      <dsp:nvSpPr>
        <dsp:cNvPr id="0" name=""/>
        <dsp:cNvSpPr/>
      </dsp:nvSpPr>
      <dsp:spPr>
        <a:xfrm>
          <a:off x="0" y="15810"/>
          <a:ext cx="4996815" cy="672422"/>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2">
          <a:scrgbClr r="0" g="0" b="0"/>
        </a:effectRef>
        <a:fontRef idx="minor"/>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nl-NL" sz="1200" kern="1200">
              <a:latin typeface="Corbel" charset="0"/>
              <a:ea typeface="Corbel" charset="0"/>
              <a:cs typeface="Corbel" charset="0"/>
            </a:rPr>
            <a:t>Risicogebied</a:t>
          </a:r>
          <a:endParaRPr lang="nl-NL" sz="2000" kern="1200">
            <a:latin typeface="Corbel" charset="0"/>
            <a:ea typeface="Corbel" charset="0"/>
            <a:cs typeface="Corbel" charset="0"/>
          </a:endParaRPr>
        </a:p>
      </dsp:txBody>
      <dsp:txXfrm>
        <a:off x="0" y="15810"/>
        <a:ext cx="1499044" cy="672422"/>
      </dsp:txXfrm>
    </dsp:sp>
    <dsp:sp modelId="{EEC739B2-E644-8B45-8843-AF8E6B45C76F}">
      <dsp:nvSpPr>
        <dsp:cNvPr id="0" name=""/>
        <dsp:cNvSpPr/>
      </dsp:nvSpPr>
      <dsp:spPr>
        <a:xfrm>
          <a:off x="2340369" y="71846"/>
          <a:ext cx="1151742" cy="560352"/>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latin typeface="Corbel" charset="0"/>
              <a:ea typeface="Corbel" charset="0"/>
              <a:cs typeface="Corbel" charset="0"/>
            </a:rPr>
            <a:t>Hoogwaterveiligheid</a:t>
          </a:r>
        </a:p>
      </dsp:txBody>
      <dsp:txXfrm>
        <a:off x="2356781" y="88258"/>
        <a:ext cx="1118918" cy="527528"/>
      </dsp:txXfrm>
    </dsp:sp>
    <dsp:sp modelId="{AF0B8CD0-39E2-5543-B6FB-ACCF0FB50140}">
      <dsp:nvSpPr>
        <dsp:cNvPr id="0" name=""/>
        <dsp:cNvSpPr/>
      </dsp:nvSpPr>
      <dsp:spPr>
        <a:xfrm>
          <a:off x="1993219" y="632198"/>
          <a:ext cx="923021" cy="224140"/>
        </a:xfrm>
        <a:custGeom>
          <a:avLst/>
          <a:gdLst/>
          <a:ahLst/>
          <a:cxnLst/>
          <a:rect l="0" t="0" r="0" b="0"/>
          <a:pathLst>
            <a:path>
              <a:moveTo>
                <a:pt x="923021" y="0"/>
              </a:moveTo>
              <a:lnTo>
                <a:pt x="923021" y="112070"/>
              </a:lnTo>
              <a:lnTo>
                <a:pt x="0" y="112070"/>
              </a:lnTo>
              <a:lnTo>
                <a:pt x="0" y="224140"/>
              </a:lnTo>
            </a:path>
          </a:pathLst>
        </a:cu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D05A0DA-4362-5A4D-8462-ABE78C9A711B}">
      <dsp:nvSpPr>
        <dsp:cNvPr id="0" name=""/>
        <dsp:cNvSpPr/>
      </dsp:nvSpPr>
      <dsp:spPr>
        <a:xfrm>
          <a:off x="1572954" y="856339"/>
          <a:ext cx="840528" cy="560352"/>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latin typeface="Corbel" charset="0"/>
              <a:ea typeface="Corbel" charset="0"/>
              <a:cs typeface="Corbel" charset="0"/>
            </a:rPr>
            <a:t>Materieel</a:t>
          </a:r>
        </a:p>
      </dsp:txBody>
      <dsp:txXfrm>
        <a:off x="1589366" y="872751"/>
        <a:ext cx="807704" cy="527528"/>
      </dsp:txXfrm>
    </dsp:sp>
    <dsp:sp modelId="{85BC65A9-30F2-E042-ABA8-259B61ED0F46}">
      <dsp:nvSpPr>
        <dsp:cNvPr id="0" name=""/>
        <dsp:cNvSpPr/>
      </dsp:nvSpPr>
      <dsp:spPr>
        <a:xfrm>
          <a:off x="1947499" y="1416692"/>
          <a:ext cx="91440" cy="224140"/>
        </a:xfrm>
        <a:custGeom>
          <a:avLst/>
          <a:gdLst/>
          <a:ahLst/>
          <a:cxnLst/>
          <a:rect l="0" t="0" r="0" b="0"/>
          <a:pathLst>
            <a:path>
              <a:moveTo>
                <a:pt x="45720" y="0"/>
              </a:moveTo>
              <a:lnTo>
                <a:pt x="45720" y="224140"/>
              </a:lnTo>
            </a:path>
          </a:pathLst>
        </a:custGeom>
        <a:noFill/>
        <a:ln w="6350" cap="flat" cmpd="sng" algn="ctr">
          <a:solidFill>
            <a:schemeClr val="accent1">
              <a:shade val="8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289C5CF4-FB5B-CC44-9F9D-1EBC06535AD0}">
      <dsp:nvSpPr>
        <dsp:cNvPr id="0" name=""/>
        <dsp:cNvSpPr/>
      </dsp:nvSpPr>
      <dsp:spPr>
        <a:xfrm>
          <a:off x="1499719" y="1640832"/>
          <a:ext cx="986999" cy="560352"/>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nl-NL" sz="1050" kern="1200">
              <a:latin typeface="Corbel" charset="0"/>
              <a:ea typeface="Corbel" charset="0"/>
              <a:cs typeface="Corbel" charset="0"/>
            </a:rPr>
            <a:t>Economische schade</a:t>
          </a:r>
        </a:p>
      </dsp:txBody>
      <dsp:txXfrm>
        <a:off x="1516131" y="1657244"/>
        <a:ext cx="954175" cy="527528"/>
      </dsp:txXfrm>
    </dsp:sp>
    <dsp:sp modelId="{7713FE14-0A1F-3146-9C12-0DA97B63B584}">
      <dsp:nvSpPr>
        <dsp:cNvPr id="0" name=""/>
        <dsp:cNvSpPr/>
      </dsp:nvSpPr>
      <dsp:spPr>
        <a:xfrm>
          <a:off x="1947499" y="2201185"/>
          <a:ext cx="91440" cy="224140"/>
        </a:xfrm>
        <a:custGeom>
          <a:avLst/>
          <a:gdLst/>
          <a:ahLst/>
          <a:cxnLst/>
          <a:rect l="0" t="0" r="0" b="0"/>
          <a:pathLst>
            <a:path>
              <a:moveTo>
                <a:pt x="45720" y="0"/>
              </a:moveTo>
              <a:lnTo>
                <a:pt x="45720" y="224140"/>
              </a:lnTo>
            </a:path>
          </a:pathLst>
        </a:custGeom>
        <a:noFill/>
        <a:ln w="6350" cap="flat" cmpd="sng" algn="ctr">
          <a:solidFill>
            <a:schemeClr val="accent1">
              <a:shade val="8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C147556F-A008-5847-9D8E-AE215F42A8C0}">
      <dsp:nvSpPr>
        <dsp:cNvPr id="0" name=""/>
        <dsp:cNvSpPr/>
      </dsp:nvSpPr>
      <dsp:spPr>
        <a:xfrm>
          <a:off x="1572954" y="2425326"/>
          <a:ext cx="840528" cy="560352"/>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latin typeface="Corbel" charset="0"/>
              <a:ea typeface="Corbel" charset="0"/>
              <a:cs typeface="Corbel" charset="0"/>
            </a:rPr>
            <a:t>Schade industrie</a:t>
          </a:r>
        </a:p>
      </dsp:txBody>
      <dsp:txXfrm>
        <a:off x="1589366" y="2441738"/>
        <a:ext cx="807704" cy="527528"/>
      </dsp:txXfrm>
    </dsp:sp>
    <dsp:sp modelId="{F8DBD327-2323-9E41-A60D-C7A72430520F}">
      <dsp:nvSpPr>
        <dsp:cNvPr id="0" name=""/>
        <dsp:cNvSpPr/>
      </dsp:nvSpPr>
      <dsp:spPr>
        <a:xfrm>
          <a:off x="2916240" y="632198"/>
          <a:ext cx="923021" cy="224140"/>
        </a:xfrm>
        <a:custGeom>
          <a:avLst/>
          <a:gdLst/>
          <a:ahLst/>
          <a:cxnLst/>
          <a:rect l="0" t="0" r="0" b="0"/>
          <a:pathLst>
            <a:path>
              <a:moveTo>
                <a:pt x="0" y="0"/>
              </a:moveTo>
              <a:lnTo>
                <a:pt x="0" y="112070"/>
              </a:lnTo>
              <a:lnTo>
                <a:pt x="923021" y="112070"/>
              </a:lnTo>
              <a:lnTo>
                <a:pt x="923021" y="224140"/>
              </a:lnTo>
            </a:path>
          </a:pathLst>
        </a:cu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CA6235FA-001A-044A-BFF9-496F2921454A}">
      <dsp:nvSpPr>
        <dsp:cNvPr id="0" name=""/>
        <dsp:cNvSpPr/>
      </dsp:nvSpPr>
      <dsp:spPr>
        <a:xfrm>
          <a:off x="3418997" y="856339"/>
          <a:ext cx="840528" cy="560352"/>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latin typeface="Corbel" charset="0"/>
              <a:ea typeface="Corbel" charset="0"/>
              <a:cs typeface="Corbel" charset="0"/>
            </a:rPr>
            <a:t>Immaterieel</a:t>
          </a:r>
        </a:p>
      </dsp:txBody>
      <dsp:txXfrm>
        <a:off x="3435409" y="872751"/>
        <a:ext cx="807704" cy="527528"/>
      </dsp:txXfrm>
    </dsp:sp>
    <dsp:sp modelId="{3D2DF429-17F3-6C4E-ABA5-2998C104D489}">
      <dsp:nvSpPr>
        <dsp:cNvPr id="0" name=""/>
        <dsp:cNvSpPr/>
      </dsp:nvSpPr>
      <dsp:spPr>
        <a:xfrm>
          <a:off x="3271196" y="1416692"/>
          <a:ext cx="568065" cy="224140"/>
        </a:xfrm>
        <a:custGeom>
          <a:avLst/>
          <a:gdLst/>
          <a:ahLst/>
          <a:cxnLst/>
          <a:rect l="0" t="0" r="0" b="0"/>
          <a:pathLst>
            <a:path>
              <a:moveTo>
                <a:pt x="568065" y="0"/>
              </a:moveTo>
              <a:lnTo>
                <a:pt x="568065" y="112070"/>
              </a:lnTo>
              <a:lnTo>
                <a:pt x="0" y="112070"/>
              </a:lnTo>
              <a:lnTo>
                <a:pt x="0" y="224140"/>
              </a:lnTo>
            </a:path>
          </a:pathLst>
        </a:custGeom>
        <a:noFill/>
        <a:ln w="6350" cap="flat" cmpd="sng" algn="ctr">
          <a:solidFill>
            <a:schemeClr val="accent1">
              <a:shade val="8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9AB12326-3A0E-5646-AD52-3853837C4C56}">
      <dsp:nvSpPr>
        <dsp:cNvPr id="0" name=""/>
        <dsp:cNvSpPr/>
      </dsp:nvSpPr>
      <dsp:spPr>
        <a:xfrm>
          <a:off x="2782320" y="1640832"/>
          <a:ext cx="977753" cy="560352"/>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nl-NL" sz="1050" kern="1200">
              <a:latin typeface="Corbel" charset="0"/>
              <a:ea typeface="Corbel" charset="0"/>
              <a:cs typeface="Corbel" charset="0"/>
            </a:rPr>
            <a:t>Institutionele schade</a:t>
          </a:r>
        </a:p>
      </dsp:txBody>
      <dsp:txXfrm>
        <a:off x="2798732" y="1657244"/>
        <a:ext cx="944929" cy="527528"/>
      </dsp:txXfrm>
    </dsp:sp>
    <dsp:sp modelId="{686D8B7A-8337-9245-9DDC-658E3318C758}">
      <dsp:nvSpPr>
        <dsp:cNvPr id="0" name=""/>
        <dsp:cNvSpPr/>
      </dsp:nvSpPr>
      <dsp:spPr>
        <a:xfrm>
          <a:off x="3225476" y="2201185"/>
          <a:ext cx="91440" cy="224140"/>
        </a:xfrm>
        <a:custGeom>
          <a:avLst/>
          <a:gdLst/>
          <a:ahLst/>
          <a:cxnLst/>
          <a:rect l="0" t="0" r="0" b="0"/>
          <a:pathLst>
            <a:path>
              <a:moveTo>
                <a:pt x="45720" y="0"/>
              </a:moveTo>
              <a:lnTo>
                <a:pt x="45720" y="224140"/>
              </a:lnTo>
            </a:path>
          </a:pathLst>
        </a:custGeom>
        <a:noFill/>
        <a:ln w="6350" cap="flat" cmpd="sng" algn="ctr">
          <a:solidFill>
            <a:schemeClr val="accent1">
              <a:shade val="8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322880F-CC51-4046-B3AE-E6F577B6CC6D}">
      <dsp:nvSpPr>
        <dsp:cNvPr id="0" name=""/>
        <dsp:cNvSpPr/>
      </dsp:nvSpPr>
      <dsp:spPr>
        <a:xfrm>
          <a:off x="2738877" y="2425326"/>
          <a:ext cx="1064638" cy="560352"/>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latin typeface="Corbel" charset="0"/>
              <a:ea typeface="Corbel" charset="0"/>
              <a:cs typeface="Corbel" charset="0"/>
            </a:rPr>
            <a:t>Maatschappelijke en economische ontwrichting</a:t>
          </a:r>
        </a:p>
      </dsp:txBody>
      <dsp:txXfrm>
        <a:off x="2755289" y="2441738"/>
        <a:ext cx="1031814" cy="527528"/>
      </dsp:txXfrm>
    </dsp:sp>
    <dsp:sp modelId="{C9B25F6C-9E20-EF43-AF9E-03F0B4E79469}">
      <dsp:nvSpPr>
        <dsp:cNvPr id="0" name=""/>
        <dsp:cNvSpPr/>
      </dsp:nvSpPr>
      <dsp:spPr>
        <a:xfrm>
          <a:off x="3839261" y="1416692"/>
          <a:ext cx="636677" cy="224140"/>
        </a:xfrm>
        <a:custGeom>
          <a:avLst/>
          <a:gdLst/>
          <a:ahLst/>
          <a:cxnLst/>
          <a:rect l="0" t="0" r="0" b="0"/>
          <a:pathLst>
            <a:path>
              <a:moveTo>
                <a:pt x="0" y="0"/>
              </a:moveTo>
              <a:lnTo>
                <a:pt x="0" y="112070"/>
              </a:lnTo>
              <a:lnTo>
                <a:pt x="636677" y="112070"/>
              </a:lnTo>
              <a:lnTo>
                <a:pt x="636677" y="224140"/>
              </a:lnTo>
            </a:path>
          </a:pathLst>
        </a:custGeom>
        <a:noFill/>
        <a:ln w="6350" cap="flat" cmpd="sng" algn="ctr">
          <a:solidFill>
            <a:schemeClr val="accent1">
              <a:shade val="8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C4A60D1-5769-CF43-B1D8-71A6B4ED66BA}">
      <dsp:nvSpPr>
        <dsp:cNvPr id="0" name=""/>
        <dsp:cNvSpPr/>
      </dsp:nvSpPr>
      <dsp:spPr>
        <a:xfrm>
          <a:off x="4055674" y="1640832"/>
          <a:ext cx="840528" cy="560352"/>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nl-NL" sz="1050" kern="1200"/>
            <a:t>Fysieke schade</a:t>
          </a:r>
        </a:p>
      </dsp:txBody>
      <dsp:txXfrm>
        <a:off x="4072086" y="1657244"/>
        <a:ext cx="807704" cy="527528"/>
      </dsp:txXfrm>
    </dsp:sp>
    <dsp:sp modelId="{3BBC9ED0-BFF1-024D-B507-52B4F8C3FF19}">
      <dsp:nvSpPr>
        <dsp:cNvPr id="0" name=""/>
        <dsp:cNvSpPr/>
      </dsp:nvSpPr>
      <dsp:spPr>
        <a:xfrm>
          <a:off x="4430219" y="2201185"/>
          <a:ext cx="91440" cy="224140"/>
        </a:xfrm>
        <a:custGeom>
          <a:avLst/>
          <a:gdLst/>
          <a:ahLst/>
          <a:cxnLst/>
          <a:rect l="0" t="0" r="0" b="0"/>
          <a:pathLst>
            <a:path>
              <a:moveTo>
                <a:pt x="45720" y="0"/>
              </a:moveTo>
              <a:lnTo>
                <a:pt x="45720" y="224140"/>
              </a:lnTo>
            </a:path>
          </a:pathLst>
        </a:custGeom>
        <a:noFill/>
        <a:ln w="6350" cap="flat" cmpd="sng" algn="ctr">
          <a:solidFill>
            <a:schemeClr val="accent1">
              <a:shade val="8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A168320-7539-E944-AEC3-AE00FA872E3B}">
      <dsp:nvSpPr>
        <dsp:cNvPr id="0" name=""/>
        <dsp:cNvSpPr/>
      </dsp:nvSpPr>
      <dsp:spPr>
        <a:xfrm>
          <a:off x="4055674" y="2425326"/>
          <a:ext cx="840528" cy="560352"/>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t>Doden en gewonden</a:t>
          </a:r>
        </a:p>
      </dsp:txBody>
      <dsp:txXfrm>
        <a:off x="4072086" y="2441738"/>
        <a:ext cx="807704" cy="52752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FCC78E-E64E-6844-A900-92A166DA89B2}">
      <dsp:nvSpPr>
        <dsp:cNvPr id="0" name=""/>
        <dsp:cNvSpPr/>
      </dsp:nvSpPr>
      <dsp:spPr>
        <a:xfrm>
          <a:off x="0" y="2766309"/>
          <a:ext cx="4996815" cy="789535"/>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2">
          <a:scrgbClr r="0" g="0" b="0"/>
        </a:effectRef>
        <a:fontRef idx="minor"/>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nl-NL" sz="1200" kern="1200">
              <a:latin typeface="Corbel" charset="0"/>
              <a:ea typeface="Corbel" charset="0"/>
              <a:cs typeface="Corbel" charset="0"/>
            </a:rPr>
            <a:t>Grootheden</a:t>
          </a:r>
        </a:p>
      </dsp:txBody>
      <dsp:txXfrm>
        <a:off x="0" y="2766309"/>
        <a:ext cx="1499044" cy="789535"/>
      </dsp:txXfrm>
    </dsp:sp>
    <dsp:sp modelId="{3402E1D9-640E-2B48-A9B1-2D15B92ADDEE}">
      <dsp:nvSpPr>
        <dsp:cNvPr id="0" name=""/>
        <dsp:cNvSpPr/>
      </dsp:nvSpPr>
      <dsp:spPr>
        <a:xfrm>
          <a:off x="0" y="1845184"/>
          <a:ext cx="4996815" cy="789535"/>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2">
          <a:scrgbClr r="0" g="0" b="0"/>
        </a:effectRef>
        <a:fontRef idx="minor"/>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nl-NL" sz="1200" kern="1200">
              <a:latin typeface="Corbel" charset="0"/>
              <a:ea typeface="Corbel" charset="0"/>
              <a:cs typeface="Corbel" charset="0"/>
            </a:rPr>
            <a:t>Perspectief</a:t>
          </a:r>
        </a:p>
      </dsp:txBody>
      <dsp:txXfrm>
        <a:off x="0" y="1845184"/>
        <a:ext cx="1499044" cy="789535"/>
      </dsp:txXfrm>
    </dsp:sp>
    <dsp:sp modelId="{A5357F97-25FF-7749-B0AC-D82FB625FBCD}">
      <dsp:nvSpPr>
        <dsp:cNvPr id="0" name=""/>
        <dsp:cNvSpPr/>
      </dsp:nvSpPr>
      <dsp:spPr>
        <a:xfrm>
          <a:off x="0" y="924059"/>
          <a:ext cx="4996815" cy="789535"/>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2">
          <a:scrgbClr r="0" g="0" b="0"/>
        </a:effectRef>
        <a:fontRef idx="minor"/>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nl-NL" sz="1200" kern="1200">
              <a:latin typeface="Corbel" charset="0"/>
              <a:ea typeface="Corbel" charset="0"/>
              <a:cs typeface="Corbel" charset="0"/>
            </a:rPr>
            <a:t>Soort</a:t>
          </a:r>
          <a:r>
            <a:rPr lang="nl-NL" sz="1200" kern="1200" baseline="0">
              <a:latin typeface="Corbel" charset="0"/>
              <a:ea typeface="Corbel" charset="0"/>
              <a:cs typeface="Corbel" charset="0"/>
            </a:rPr>
            <a:t> schade</a:t>
          </a:r>
          <a:endParaRPr lang="nl-NL" sz="1200" kern="1200">
            <a:latin typeface="Corbel" charset="0"/>
            <a:ea typeface="Corbel" charset="0"/>
            <a:cs typeface="Corbel" charset="0"/>
          </a:endParaRPr>
        </a:p>
      </dsp:txBody>
      <dsp:txXfrm>
        <a:off x="0" y="924059"/>
        <a:ext cx="1499044" cy="789535"/>
      </dsp:txXfrm>
    </dsp:sp>
    <dsp:sp modelId="{B8800653-D895-A447-B3A7-17B63C3AEB93}">
      <dsp:nvSpPr>
        <dsp:cNvPr id="0" name=""/>
        <dsp:cNvSpPr/>
      </dsp:nvSpPr>
      <dsp:spPr>
        <a:xfrm>
          <a:off x="0" y="2934"/>
          <a:ext cx="4996815" cy="789535"/>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2">
          <a:scrgbClr r="0" g="0" b="0"/>
        </a:effectRef>
        <a:fontRef idx="minor"/>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nl-NL" sz="1200" kern="1200">
              <a:latin typeface="Corbel" charset="0"/>
              <a:ea typeface="Corbel" charset="0"/>
              <a:cs typeface="Corbel" charset="0"/>
            </a:rPr>
            <a:t>Risicogebied</a:t>
          </a:r>
          <a:endParaRPr lang="nl-NL" sz="2000" kern="1200">
            <a:latin typeface="Corbel" charset="0"/>
            <a:ea typeface="Corbel" charset="0"/>
            <a:cs typeface="Corbel" charset="0"/>
          </a:endParaRPr>
        </a:p>
      </dsp:txBody>
      <dsp:txXfrm>
        <a:off x="0" y="2934"/>
        <a:ext cx="1499044" cy="789535"/>
      </dsp:txXfrm>
    </dsp:sp>
    <dsp:sp modelId="{EEC739B2-E644-8B45-8843-AF8E6B45C76F}">
      <dsp:nvSpPr>
        <dsp:cNvPr id="0" name=""/>
        <dsp:cNvSpPr/>
      </dsp:nvSpPr>
      <dsp:spPr>
        <a:xfrm>
          <a:off x="2605765" y="68729"/>
          <a:ext cx="1352336" cy="657946"/>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latin typeface="Corbel" charset="0"/>
              <a:ea typeface="Corbel" charset="0"/>
              <a:cs typeface="Corbel" charset="0"/>
            </a:rPr>
            <a:t>Stank en geluidsoverlast door luchtvaart</a:t>
          </a:r>
        </a:p>
      </dsp:txBody>
      <dsp:txXfrm>
        <a:off x="2625036" y="88000"/>
        <a:ext cx="1313794" cy="619404"/>
      </dsp:txXfrm>
    </dsp:sp>
    <dsp:sp modelId="{F8DBD327-2323-9E41-A60D-C7A72430520F}">
      <dsp:nvSpPr>
        <dsp:cNvPr id="0" name=""/>
        <dsp:cNvSpPr/>
      </dsp:nvSpPr>
      <dsp:spPr>
        <a:xfrm>
          <a:off x="3236213" y="726675"/>
          <a:ext cx="91440" cy="263178"/>
        </a:xfrm>
        <a:custGeom>
          <a:avLst/>
          <a:gdLst/>
          <a:ahLst/>
          <a:cxnLst/>
          <a:rect l="0" t="0" r="0" b="0"/>
          <a:pathLst>
            <a:path>
              <a:moveTo>
                <a:pt x="45720" y="0"/>
              </a:moveTo>
              <a:lnTo>
                <a:pt x="45720" y="263178"/>
              </a:lnTo>
            </a:path>
          </a:pathLst>
        </a:cu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CA6235FA-001A-044A-BFF9-496F2921454A}">
      <dsp:nvSpPr>
        <dsp:cNvPr id="0" name=""/>
        <dsp:cNvSpPr/>
      </dsp:nvSpPr>
      <dsp:spPr>
        <a:xfrm>
          <a:off x="2788473" y="989854"/>
          <a:ext cx="986919" cy="657946"/>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latin typeface="Corbel" charset="0"/>
              <a:ea typeface="Corbel" charset="0"/>
              <a:cs typeface="Corbel" charset="0"/>
            </a:rPr>
            <a:t>Immaterieel</a:t>
          </a:r>
        </a:p>
      </dsp:txBody>
      <dsp:txXfrm>
        <a:off x="2807744" y="1009125"/>
        <a:ext cx="948377" cy="619404"/>
      </dsp:txXfrm>
    </dsp:sp>
    <dsp:sp modelId="{C9B25F6C-9E20-EF43-AF9E-03F0B4E79469}">
      <dsp:nvSpPr>
        <dsp:cNvPr id="0" name=""/>
        <dsp:cNvSpPr/>
      </dsp:nvSpPr>
      <dsp:spPr>
        <a:xfrm>
          <a:off x="2468973" y="1647800"/>
          <a:ext cx="812960" cy="263178"/>
        </a:xfrm>
        <a:custGeom>
          <a:avLst/>
          <a:gdLst/>
          <a:ahLst/>
          <a:cxnLst/>
          <a:rect l="0" t="0" r="0" b="0"/>
          <a:pathLst>
            <a:path>
              <a:moveTo>
                <a:pt x="812960" y="0"/>
              </a:moveTo>
              <a:lnTo>
                <a:pt x="812960" y="131589"/>
              </a:lnTo>
              <a:lnTo>
                <a:pt x="0" y="131589"/>
              </a:lnTo>
              <a:lnTo>
                <a:pt x="0" y="263178"/>
              </a:lnTo>
            </a:path>
          </a:pathLst>
        </a:custGeom>
        <a:noFill/>
        <a:ln w="6350" cap="flat" cmpd="sng" algn="ctr">
          <a:solidFill>
            <a:schemeClr val="accent1">
              <a:shade val="8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C4A60D1-5769-CF43-B1D8-71A6B4ED66BA}">
      <dsp:nvSpPr>
        <dsp:cNvPr id="0" name=""/>
        <dsp:cNvSpPr/>
      </dsp:nvSpPr>
      <dsp:spPr>
        <a:xfrm>
          <a:off x="1887420" y="1910979"/>
          <a:ext cx="1163104" cy="657946"/>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t>Gezondheidsschade</a:t>
          </a:r>
        </a:p>
      </dsp:txBody>
      <dsp:txXfrm>
        <a:off x="1906691" y="1930250"/>
        <a:ext cx="1124562" cy="619404"/>
      </dsp:txXfrm>
    </dsp:sp>
    <dsp:sp modelId="{3BBC9ED0-BFF1-024D-B507-52B4F8C3FF19}">
      <dsp:nvSpPr>
        <dsp:cNvPr id="0" name=""/>
        <dsp:cNvSpPr/>
      </dsp:nvSpPr>
      <dsp:spPr>
        <a:xfrm>
          <a:off x="2423253" y="2568925"/>
          <a:ext cx="91440" cy="263178"/>
        </a:xfrm>
        <a:custGeom>
          <a:avLst/>
          <a:gdLst/>
          <a:ahLst/>
          <a:cxnLst/>
          <a:rect l="0" t="0" r="0" b="0"/>
          <a:pathLst>
            <a:path>
              <a:moveTo>
                <a:pt x="45720" y="0"/>
              </a:moveTo>
              <a:lnTo>
                <a:pt x="45720" y="263178"/>
              </a:lnTo>
            </a:path>
          </a:pathLst>
        </a:custGeom>
        <a:noFill/>
        <a:ln w="6350" cap="flat" cmpd="sng" algn="ctr">
          <a:solidFill>
            <a:schemeClr val="accent1">
              <a:shade val="8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A168320-7539-E944-AEC3-AE00FA872E3B}">
      <dsp:nvSpPr>
        <dsp:cNvPr id="0" name=""/>
        <dsp:cNvSpPr/>
      </dsp:nvSpPr>
      <dsp:spPr>
        <a:xfrm>
          <a:off x="1631986" y="2832104"/>
          <a:ext cx="1673973" cy="657946"/>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nl-NL" sz="800" kern="1200"/>
            <a:t>Verlies van levenskwaliteit of levensduur als gevolg van blootstelling aan gezondheidsbeschadigende stoffen en straling</a:t>
          </a:r>
        </a:p>
      </dsp:txBody>
      <dsp:txXfrm>
        <a:off x="1651257" y="2851375"/>
        <a:ext cx="1635431" cy="619404"/>
      </dsp:txXfrm>
    </dsp:sp>
    <dsp:sp modelId="{3D2DF429-17F3-6C4E-ABA5-2998C104D489}">
      <dsp:nvSpPr>
        <dsp:cNvPr id="0" name=""/>
        <dsp:cNvSpPr/>
      </dsp:nvSpPr>
      <dsp:spPr>
        <a:xfrm>
          <a:off x="3281933" y="1647800"/>
          <a:ext cx="901052" cy="263178"/>
        </a:xfrm>
        <a:custGeom>
          <a:avLst/>
          <a:gdLst/>
          <a:ahLst/>
          <a:cxnLst/>
          <a:rect l="0" t="0" r="0" b="0"/>
          <a:pathLst>
            <a:path>
              <a:moveTo>
                <a:pt x="0" y="0"/>
              </a:moveTo>
              <a:lnTo>
                <a:pt x="0" y="131589"/>
              </a:lnTo>
              <a:lnTo>
                <a:pt x="901052" y="131589"/>
              </a:lnTo>
              <a:lnTo>
                <a:pt x="901052" y="263178"/>
              </a:lnTo>
            </a:path>
          </a:pathLst>
        </a:custGeom>
        <a:noFill/>
        <a:ln w="6350" cap="flat" cmpd="sng" algn="ctr">
          <a:solidFill>
            <a:schemeClr val="accent1">
              <a:shade val="8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9AB12326-3A0E-5646-AD52-3853837C4C56}">
      <dsp:nvSpPr>
        <dsp:cNvPr id="0" name=""/>
        <dsp:cNvSpPr/>
      </dsp:nvSpPr>
      <dsp:spPr>
        <a:xfrm>
          <a:off x="3689526" y="1910979"/>
          <a:ext cx="986919" cy="657946"/>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latin typeface="Corbel" charset="0"/>
              <a:ea typeface="Corbel" charset="0"/>
              <a:cs typeface="Corbel" charset="0"/>
            </a:rPr>
            <a:t>Economische schade</a:t>
          </a:r>
        </a:p>
      </dsp:txBody>
      <dsp:txXfrm>
        <a:off x="3708797" y="1930250"/>
        <a:ext cx="948377" cy="619404"/>
      </dsp:txXfrm>
    </dsp:sp>
    <dsp:sp modelId="{686D8B7A-8337-9245-9DDC-658E3318C758}">
      <dsp:nvSpPr>
        <dsp:cNvPr id="0" name=""/>
        <dsp:cNvSpPr/>
      </dsp:nvSpPr>
      <dsp:spPr>
        <a:xfrm>
          <a:off x="4137266" y="2568925"/>
          <a:ext cx="91440" cy="263178"/>
        </a:xfrm>
        <a:custGeom>
          <a:avLst/>
          <a:gdLst/>
          <a:ahLst/>
          <a:cxnLst/>
          <a:rect l="0" t="0" r="0" b="0"/>
          <a:pathLst>
            <a:path>
              <a:moveTo>
                <a:pt x="45720" y="0"/>
              </a:moveTo>
              <a:lnTo>
                <a:pt x="45720" y="263178"/>
              </a:lnTo>
            </a:path>
          </a:pathLst>
        </a:custGeom>
        <a:noFill/>
        <a:ln w="6350" cap="flat" cmpd="sng" algn="ctr">
          <a:solidFill>
            <a:schemeClr val="accent1">
              <a:shade val="8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322880F-CC51-4046-B3AE-E6F577B6CC6D}">
      <dsp:nvSpPr>
        <dsp:cNvPr id="0" name=""/>
        <dsp:cNvSpPr/>
      </dsp:nvSpPr>
      <dsp:spPr>
        <a:xfrm>
          <a:off x="3602036" y="2832104"/>
          <a:ext cx="1161900" cy="657946"/>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latin typeface="Corbel" charset="0"/>
              <a:ea typeface="Corbel" charset="0"/>
              <a:cs typeface="Corbel" charset="0"/>
            </a:rPr>
            <a:t>Financieel nadeel door bewuste fraudes en/of oneerlijke markt</a:t>
          </a:r>
        </a:p>
      </dsp:txBody>
      <dsp:txXfrm>
        <a:off x="3621307" y="2851375"/>
        <a:ext cx="1123358" cy="61940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FCC78E-E64E-6844-A900-92A166DA89B2}">
      <dsp:nvSpPr>
        <dsp:cNvPr id="0" name=""/>
        <dsp:cNvSpPr/>
      </dsp:nvSpPr>
      <dsp:spPr>
        <a:xfrm>
          <a:off x="0" y="2041206"/>
          <a:ext cx="4996815" cy="79610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2">
          <a:scrgbClr r="0" g="0" b="0"/>
        </a:effectRef>
        <a:fontRef idx="minor"/>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nl-NL" sz="1200" kern="1200">
              <a:latin typeface="Corbel" charset="0"/>
              <a:ea typeface="Corbel" charset="0"/>
              <a:cs typeface="Corbel" charset="0"/>
            </a:rPr>
            <a:t>Grootheden</a:t>
          </a:r>
        </a:p>
      </dsp:txBody>
      <dsp:txXfrm>
        <a:off x="0" y="2041206"/>
        <a:ext cx="1499044" cy="796100"/>
      </dsp:txXfrm>
    </dsp:sp>
    <dsp:sp modelId="{3402E1D9-640E-2B48-A9B1-2D15B92ADDEE}">
      <dsp:nvSpPr>
        <dsp:cNvPr id="0" name=""/>
        <dsp:cNvSpPr/>
      </dsp:nvSpPr>
      <dsp:spPr>
        <a:xfrm>
          <a:off x="0" y="1444581"/>
          <a:ext cx="4996815" cy="511392"/>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2">
          <a:scrgbClr r="0" g="0" b="0"/>
        </a:effectRef>
        <a:fontRef idx="minor"/>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nl-NL" sz="1200" kern="1200">
              <a:latin typeface="Corbel" charset="0"/>
              <a:ea typeface="Corbel" charset="0"/>
              <a:cs typeface="Corbel" charset="0"/>
            </a:rPr>
            <a:t>Perspectief</a:t>
          </a:r>
        </a:p>
      </dsp:txBody>
      <dsp:txXfrm>
        <a:off x="0" y="1444581"/>
        <a:ext cx="1499044" cy="511392"/>
      </dsp:txXfrm>
    </dsp:sp>
    <dsp:sp modelId="{A5357F97-25FF-7749-B0AC-D82FB625FBCD}">
      <dsp:nvSpPr>
        <dsp:cNvPr id="0" name=""/>
        <dsp:cNvSpPr/>
      </dsp:nvSpPr>
      <dsp:spPr>
        <a:xfrm>
          <a:off x="0" y="847956"/>
          <a:ext cx="4996815" cy="511392"/>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2">
          <a:scrgbClr r="0" g="0" b="0"/>
        </a:effectRef>
        <a:fontRef idx="minor"/>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nl-NL" sz="1200" kern="1200">
              <a:latin typeface="Corbel" charset="0"/>
              <a:ea typeface="Corbel" charset="0"/>
              <a:cs typeface="Corbel" charset="0"/>
            </a:rPr>
            <a:t>Soort</a:t>
          </a:r>
          <a:r>
            <a:rPr lang="nl-NL" sz="1200" kern="1200" baseline="0">
              <a:latin typeface="Corbel" charset="0"/>
              <a:ea typeface="Corbel" charset="0"/>
              <a:cs typeface="Corbel" charset="0"/>
            </a:rPr>
            <a:t> schade</a:t>
          </a:r>
          <a:endParaRPr lang="nl-NL" sz="1200" kern="1200">
            <a:latin typeface="Corbel" charset="0"/>
            <a:ea typeface="Corbel" charset="0"/>
            <a:cs typeface="Corbel" charset="0"/>
          </a:endParaRPr>
        </a:p>
      </dsp:txBody>
      <dsp:txXfrm>
        <a:off x="0" y="847956"/>
        <a:ext cx="1499044" cy="511392"/>
      </dsp:txXfrm>
    </dsp:sp>
    <dsp:sp modelId="{B8800653-D895-A447-B3A7-17B63C3AEB93}">
      <dsp:nvSpPr>
        <dsp:cNvPr id="0" name=""/>
        <dsp:cNvSpPr/>
      </dsp:nvSpPr>
      <dsp:spPr>
        <a:xfrm>
          <a:off x="0" y="251331"/>
          <a:ext cx="4996815" cy="511392"/>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2">
          <a:scrgbClr r="0" g="0" b="0"/>
        </a:effectRef>
        <a:fontRef idx="minor"/>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nl-NL" sz="1200" kern="1200">
              <a:latin typeface="Corbel" charset="0"/>
              <a:ea typeface="Corbel" charset="0"/>
              <a:cs typeface="Corbel" charset="0"/>
            </a:rPr>
            <a:t>Risicogebied</a:t>
          </a:r>
          <a:endParaRPr lang="nl-NL" sz="2000" kern="1200">
            <a:latin typeface="Corbel" charset="0"/>
            <a:ea typeface="Corbel" charset="0"/>
            <a:cs typeface="Corbel" charset="0"/>
          </a:endParaRPr>
        </a:p>
      </dsp:txBody>
      <dsp:txXfrm>
        <a:off x="0" y="251331"/>
        <a:ext cx="1499044" cy="511392"/>
      </dsp:txXfrm>
    </dsp:sp>
    <dsp:sp modelId="{EEC739B2-E644-8B45-8843-AF8E6B45C76F}">
      <dsp:nvSpPr>
        <dsp:cNvPr id="0" name=""/>
        <dsp:cNvSpPr/>
      </dsp:nvSpPr>
      <dsp:spPr>
        <a:xfrm>
          <a:off x="2340100" y="293947"/>
          <a:ext cx="1729696" cy="426160"/>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latin typeface="Corbel" charset="0"/>
              <a:ea typeface="Corbel" charset="0"/>
              <a:cs typeface="Corbel" charset="0"/>
            </a:rPr>
            <a:t>Ongewenste verspreiding genetisch gemanipuleerde organismen (GGO's)</a:t>
          </a:r>
        </a:p>
      </dsp:txBody>
      <dsp:txXfrm>
        <a:off x="2352582" y="306429"/>
        <a:ext cx="1704732" cy="401196"/>
      </dsp:txXfrm>
    </dsp:sp>
    <dsp:sp modelId="{F8DBD327-2323-9E41-A60D-C7A72430520F}">
      <dsp:nvSpPr>
        <dsp:cNvPr id="0" name=""/>
        <dsp:cNvSpPr/>
      </dsp:nvSpPr>
      <dsp:spPr>
        <a:xfrm>
          <a:off x="3159228" y="720108"/>
          <a:ext cx="91440" cy="170464"/>
        </a:xfrm>
        <a:custGeom>
          <a:avLst/>
          <a:gdLst/>
          <a:ahLst/>
          <a:cxnLst/>
          <a:rect l="0" t="0" r="0" b="0"/>
          <a:pathLst>
            <a:path>
              <a:moveTo>
                <a:pt x="45720" y="0"/>
              </a:moveTo>
              <a:lnTo>
                <a:pt x="45720" y="170464"/>
              </a:lnTo>
            </a:path>
          </a:pathLst>
        </a:cu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CA6235FA-001A-044A-BFF9-496F2921454A}">
      <dsp:nvSpPr>
        <dsp:cNvPr id="0" name=""/>
        <dsp:cNvSpPr/>
      </dsp:nvSpPr>
      <dsp:spPr>
        <a:xfrm>
          <a:off x="2792302" y="890572"/>
          <a:ext cx="825292" cy="426160"/>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latin typeface="Corbel" charset="0"/>
              <a:ea typeface="Corbel" charset="0"/>
              <a:cs typeface="Corbel" charset="0"/>
            </a:rPr>
            <a:t>(Im)materieel</a:t>
          </a:r>
        </a:p>
      </dsp:txBody>
      <dsp:txXfrm>
        <a:off x="2804784" y="903054"/>
        <a:ext cx="800328" cy="401196"/>
      </dsp:txXfrm>
    </dsp:sp>
    <dsp:sp modelId="{C9B25F6C-9E20-EF43-AF9E-03F0B4E79469}">
      <dsp:nvSpPr>
        <dsp:cNvPr id="0" name=""/>
        <dsp:cNvSpPr/>
      </dsp:nvSpPr>
      <dsp:spPr>
        <a:xfrm>
          <a:off x="2046167" y="1316733"/>
          <a:ext cx="1158780" cy="170464"/>
        </a:xfrm>
        <a:custGeom>
          <a:avLst/>
          <a:gdLst/>
          <a:ahLst/>
          <a:cxnLst/>
          <a:rect l="0" t="0" r="0" b="0"/>
          <a:pathLst>
            <a:path>
              <a:moveTo>
                <a:pt x="1158780" y="0"/>
              </a:moveTo>
              <a:lnTo>
                <a:pt x="1158780" y="85232"/>
              </a:lnTo>
              <a:lnTo>
                <a:pt x="0" y="85232"/>
              </a:lnTo>
              <a:lnTo>
                <a:pt x="0" y="170464"/>
              </a:lnTo>
            </a:path>
          </a:pathLst>
        </a:custGeom>
        <a:noFill/>
        <a:ln w="6350" cap="flat" cmpd="sng" algn="ctr">
          <a:solidFill>
            <a:schemeClr val="accent1">
              <a:shade val="8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C4A60D1-5769-CF43-B1D8-71A6B4ED66BA}">
      <dsp:nvSpPr>
        <dsp:cNvPr id="0" name=""/>
        <dsp:cNvSpPr/>
      </dsp:nvSpPr>
      <dsp:spPr>
        <a:xfrm>
          <a:off x="1669488" y="1487197"/>
          <a:ext cx="753358" cy="426160"/>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t>Milieu</a:t>
          </a:r>
        </a:p>
      </dsp:txBody>
      <dsp:txXfrm>
        <a:off x="1681970" y="1499679"/>
        <a:ext cx="728394" cy="401196"/>
      </dsp:txXfrm>
    </dsp:sp>
    <dsp:sp modelId="{3BBC9ED0-BFF1-024D-B507-52B4F8C3FF19}">
      <dsp:nvSpPr>
        <dsp:cNvPr id="0" name=""/>
        <dsp:cNvSpPr/>
      </dsp:nvSpPr>
      <dsp:spPr>
        <a:xfrm>
          <a:off x="2000447" y="1913358"/>
          <a:ext cx="91440" cy="170464"/>
        </a:xfrm>
        <a:custGeom>
          <a:avLst/>
          <a:gdLst/>
          <a:ahLst/>
          <a:cxnLst/>
          <a:rect l="0" t="0" r="0" b="0"/>
          <a:pathLst>
            <a:path>
              <a:moveTo>
                <a:pt x="45720" y="0"/>
              </a:moveTo>
              <a:lnTo>
                <a:pt x="45720" y="170464"/>
              </a:lnTo>
            </a:path>
          </a:pathLst>
        </a:custGeom>
        <a:noFill/>
        <a:ln w="6350" cap="flat" cmpd="sng" algn="ctr">
          <a:solidFill>
            <a:schemeClr val="accent1">
              <a:shade val="8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A168320-7539-E944-AEC3-AE00FA872E3B}">
      <dsp:nvSpPr>
        <dsp:cNvPr id="0" name=""/>
        <dsp:cNvSpPr/>
      </dsp:nvSpPr>
      <dsp:spPr>
        <a:xfrm>
          <a:off x="1500460" y="2083822"/>
          <a:ext cx="1091414" cy="753481"/>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nl-NL" sz="800" kern="1200"/>
            <a:t>Ontstaan van schaarste door onbruikbaar</a:t>
          </a:r>
          <a:r>
            <a:rPr lang="nl-NL" sz="800" kern="1200" baseline="0"/>
            <a:t> raken of vernieting van middelen</a:t>
          </a:r>
          <a:endParaRPr lang="nl-NL" sz="800" kern="1200"/>
        </a:p>
      </dsp:txBody>
      <dsp:txXfrm>
        <a:off x="1522529" y="2105891"/>
        <a:ext cx="1047276" cy="709343"/>
      </dsp:txXfrm>
    </dsp:sp>
    <dsp:sp modelId="{3D2DF429-17F3-6C4E-ABA5-2998C104D489}">
      <dsp:nvSpPr>
        <dsp:cNvPr id="0" name=""/>
        <dsp:cNvSpPr/>
      </dsp:nvSpPr>
      <dsp:spPr>
        <a:xfrm>
          <a:off x="3159228" y="1316733"/>
          <a:ext cx="91440" cy="170464"/>
        </a:xfrm>
        <a:custGeom>
          <a:avLst/>
          <a:gdLst/>
          <a:ahLst/>
          <a:cxnLst/>
          <a:rect l="0" t="0" r="0" b="0"/>
          <a:pathLst>
            <a:path>
              <a:moveTo>
                <a:pt x="45720" y="0"/>
              </a:moveTo>
              <a:lnTo>
                <a:pt x="45720" y="85232"/>
              </a:lnTo>
              <a:lnTo>
                <a:pt x="109765" y="85232"/>
              </a:lnTo>
              <a:lnTo>
                <a:pt x="109765" y="170464"/>
              </a:lnTo>
            </a:path>
          </a:pathLst>
        </a:custGeom>
        <a:noFill/>
        <a:ln w="6350" cap="flat" cmpd="sng" algn="ctr">
          <a:solidFill>
            <a:schemeClr val="accent1">
              <a:shade val="8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9AB12326-3A0E-5646-AD52-3853837C4C56}">
      <dsp:nvSpPr>
        <dsp:cNvPr id="0" name=""/>
        <dsp:cNvSpPr/>
      </dsp:nvSpPr>
      <dsp:spPr>
        <a:xfrm>
          <a:off x="2811115" y="1487197"/>
          <a:ext cx="915757" cy="426160"/>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latin typeface="Corbel" charset="0"/>
              <a:ea typeface="Corbel" charset="0"/>
              <a:cs typeface="Corbel" charset="0"/>
            </a:rPr>
            <a:t>Gezondheid</a:t>
          </a:r>
        </a:p>
      </dsp:txBody>
      <dsp:txXfrm>
        <a:off x="2823597" y="1499679"/>
        <a:ext cx="890793" cy="401196"/>
      </dsp:txXfrm>
    </dsp:sp>
    <dsp:sp modelId="{686D8B7A-8337-9245-9DDC-658E3318C758}">
      <dsp:nvSpPr>
        <dsp:cNvPr id="0" name=""/>
        <dsp:cNvSpPr/>
      </dsp:nvSpPr>
      <dsp:spPr>
        <a:xfrm>
          <a:off x="3223274" y="1913358"/>
          <a:ext cx="91440" cy="170464"/>
        </a:xfrm>
        <a:custGeom>
          <a:avLst/>
          <a:gdLst/>
          <a:ahLst/>
          <a:cxnLst/>
          <a:rect l="0" t="0" r="0" b="0"/>
          <a:pathLst>
            <a:path>
              <a:moveTo>
                <a:pt x="45720" y="0"/>
              </a:moveTo>
              <a:lnTo>
                <a:pt x="45720" y="170464"/>
              </a:lnTo>
            </a:path>
          </a:pathLst>
        </a:custGeom>
        <a:noFill/>
        <a:ln w="6350" cap="flat" cmpd="sng" algn="ctr">
          <a:solidFill>
            <a:schemeClr val="accent1">
              <a:shade val="8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322880F-CC51-4046-B3AE-E6F577B6CC6D}">
      <dsp:nvSpPr>
        <dsp:cNvPr id="0" name=""/>
        <dsp:cNvSpPr/>
      </dsp:nvSpPr>
      <dsp:spPr>
        <a:xfrm>
          <a:off x="2783647" y="2083822"/>
          <a:ext cx="970693" cy="753486"/>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nl-NL" sz="700" kern="1200"/>
            <a:t>Verlies van levenskwaliteit of levensduur als gevolg van blootstelling aan gezondheidsbeschadigende stoffen en straling</a:t>
          </a:r>
          <a:endParaRPr lang="nl-NL" sz="700" kern="1200">
            <a:latin typeface="Corbel" charset="0"/>
            <a:ea typeface="Corbel" charset="0"/>
            <a:cs typeface="Corbel" charset="0"/>
          </a:endParaRPr>
        </a:p>
      </dsp:txBody>
      <dsp:txXfrm>
        <a:off x="2805716" y="2105891"/>
        <a:ext cx="926555" cy="709348"/>
      </dsp:txXfrm>
    </dsp:sp>
    <dsp:sp modelId="{F3AA6211-C7D3-094B-B5DE-70DCAA0E748C}">
      <dsp:nvSpPr>
        <dsp:cNvPr id="0" name=""/>
        <dsp:cNvSpPr/>
      </dsp:nvSpPr>
      <dsp:spPr>
        <a:xfrm>
          <a:off x="3204948" y="1316733"/>
          <a:ext cx="1215839" cy="170464"/>
        </a:xfrm>
        <a:custGeom>
          <a:avLst/>
          <a:gdLst/>
          <a:ahLst/>
          <a:cxnLst/>
          <a:rect l="0" t="0" r="0" b="0"/>
          <a:pathLst>
            <a:path>
              <a:moveTo>
                <a:pt x="0" y="0"/>
              </a:moveTo>
              <a:lnTo>
                <a:pt x="0" y="85232"/>
              </a:lnTo>
              <a:lnTo>
                <a:pt x="1215839" y="85232"/>
              </a:lnTo>
              <a:lnTo>
                <a:pt x="1215839" y="170464"/>
              </a:lnTo>
            </a:path>
          </a:pathLst>
        </a:custGeom>
        <a:noFill/>
        <a:ln w="6350" cap="flat" cmpd="sng" algn="ctr">
          <a:solidFill>
            <a:schemeClr val="accent1">
              <a:shade val="8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1ABFAD1D-A453-E746-8946-D2A36F377C86}">
      <dsp:nvSpPr>
        <dsp:cNvPr id="0" name=""/>
        <dsp:cNvSpPr/>
      </dsp:nvSpPr>
      <dsp:spPr>
        <a:xfrm>
          <a:off x="4101167" y="1487197"/>
          <a:ext cx="639240" cy="426160"/>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nl-NL" sz="1000" kern="1200"/>
            <a:t>Instituties</a:t>
          </a:r>
        </a:p>
      </dsp:txBody>
      <dsp:txXfrm>
        <a:off x="4113649" y="1499679"/>
        <a:ext cx="614276" cy="401196"/>
      </dsp:txXfrm>
    </dsp:sp>
    <dsp:sp modelId="{3F69F1E0-43FE-E543-BBA0-7A79F754FF86}">
      <dsp:nvSpPr>
        <dsp:cNvPr id="0" name=""/>
        <dsp:cNvSpPr/>
      </dsp:nvSpPr>
      <dsp:spPr>
        <a:xfrm>
          <a:off x="4375068" y="1913358"/>
          <a:ext cx="91440" cy="170464"/>
        </a:xfrm>
        <a:custGeom>
          <a:avLst/>
          <a:gdLst/>
          <a:ahLst/>
          <a:cxnLst/>
          <a:rect l="0" t="0" r="0" b="0"/>
          <a:pathLst>
            <a:path>
              <a:moveTo>
                <a:pt x="45720" y="0"/>
              </a:moveTo>
              <a:lnTo>
                <a:pt x="45720" y="170464"/>
              </a:lnTo>
            </a:path>
          </a:pathLst>
        </a:custGeom>
        <a:noFill/>
        <a:ln w="6350" cap="flat" cmpd="sng" algn="ctr">
          <a:solidFill>
            <a:schemeClr val="accent1">
              <a:shade val="8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DA4DC5C0-A03C-CF43-8FD1-CB816AE8B7CC}">
      <dsp:nvSpPr>
        <dsp:cNvPr id="0" name=""/>
        <dsp:cNvSpPr/>
      </dsp:nvSpPr>
      <dsp:spPr>
        <a:xfrm>
          <a:off x="3946113" y="2083822"/>
          <a:ext cx="949349" cy="753486"/>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nl-NL" sz="800" kern="1200"/>
            <a:t>Maatschappelijke en economische ontwrichting</a:t>
          </a:r>
        </a:p>
      </dsp:txBody>
      <dsp:txXfrm>
        <a:off x="3968182" y="2105891"/>
        <a:ext cx="905211" cy="709348"/>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h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F6C337-63E2-9342-994F-990F1A0643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2312</TotalTime>
  <Pages>73</Pages>
  <Words>31068</Words>
  <Characters>170875</Characters>
  <Application>Microsoft Macintosh Word</Application>
  <DocSecurity>0</DocSecurity>
  <Lines>1423</Lines>
  <Paragraphs>403</Paragraphs>
  <ScaleCrop>false</ScaleCrop>
  <HeadingPairs>
    <vt:vector size="2" baseType="variant">
      <vt:variant>
        <vt:lpstr>Titel</vt:lpstr>
      </vt:variant>
      <vt:variant>
        <vt:i4>1</vt:i4>
      </vt:variant>
    </vt:vector>
  </HeadingPairs>
  <TitlesOfParts>
    <vt:vector size="1" baseType="lpstr">
      <vt:lpstr/>
    </vt:vector>
  </TitlesOfParts>
  <Company>Rijksoverheid</Company>
  <LinksUpToDate>false</LinksUpToDate>
  <CharactersWithSpaces>201540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Office-gebruiker</dc:creator>
  <cp:lastModifiedBy>Floris Enzerink</cp:lastModifiedBy>
  <cp:revision>548</cp:revision>
  <cp:lastPrinted>2017-06-23T07:19:00Z</cp:lastPrinted>
  <dcterms:created xsi:type="dcterms:W3CDTF">2017-04-14T11:55:00Z</dcterms:created>
  <dcterms:modified xsi:type="dcterms:W3CDTF">2017-06-28T08:45:00Z</dcterms:modified>
</cp:coreProperties>
</file>